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26F1" w14:textId="77777777" w:rsidR="0018666E" w:rsidRPr="00990B77" w:rsidRDefault="0018666E" w:rsidP="0018666E">
      <w:pPr>
        <w:pStyle w:val="Kjene"/>
        <w:rPr>
          <w:rFonts w:ascii="Times New Roman" w:hAnsi="Times New Roman"/>
          <w:sz w:val="20"/>
          <w:szCs w:val="20"/>
        </w:rPr>
      </w:pPr>
    </w:p>
    <w:p w14:paraId="4BFDA971" w14:textId="77777777" w:rsidR="0018666E" w:rsidRDefault="0018666E" w:rsidP="0018666E">
      <w:pPr>
        <w:widowControl w:val="0"/>
        <w:spacing w:after="0" w:line="240" w:lineRule="auto"/>
        <w:jc w:val="both"/>
        <w:rPr>
          <w:rFonts w:ascii="Times New Roman" w:hAnsi="Times New Roman"/>
          <w:sz w:val="20"/>
          <w:szCs w:val="20"/>
        </w:rPr>
      </w:pPr>
      <w:r w:rsidRPr="00990B77">
        <w:rPr>
          <w:rFonts w:ascii="Times New Roman" w:hAnsi="Times New Roman"/>
          <w:sz w:val="20"/>
          <w:szCs w:val="20"/>
        </w:rPr>
        <w:t>Text consolidated by Valsts valodas centrs (State Language Centre) with amending laws of:</w:t>
      </w:r>
    </w:p>
    <w:p w14:paraId="5D5A2F3D" w14:textId="77777777" w:rsidR="0018666E" w:rsidRDefault="0018666E" w:rsidP="0018666E">
      <w:pPr>
        <w:spacing w:after="0" w:line="240" w:lineRule="auto"/>
        <w:jc w:val="center"/>
        <w:rPr>
          <w:rStyle w:val="tvdoctopindex"/>
          <w:rFonts w:ascii="Times New Roman" w:hAnsi="Times New Roman"/>
          <w:noProof/>
          <w:sz w:val="20"/>
          <w:szCs w:val="20"/>
        </w:rPr>
      </w:pPr>
      <w:r w:rsidRPr="00990B77">
        <w:rPr>
          <w:rStyle w:val="tvdoctopindex"/>
          <w:rFonts w:ascii="Times New Roman" w:hAnsi="Times New Roman"/>
          <w:noProof/>
          <w:sz w:val="20"/>
          <w:szCs w:val="20"/>
        </w:rPr>
        <w:t>3</w:t>
      </w:r>
      <w:r>
        <w:rPr>
          <w:rStyle w:val="tvdoctopindex"/>
          <w:rFonts w:ascii="Times New Roman" w:hAnsi="Times New Roman"/>
          <w:noProof/>
          <w:sz w:val="20"/>
          <w:szCs w:val="20"/>
        </w:rPr>
        <w:t> </w:t>
      </w:r>
      <w:r w:rsidRPr="00990B77">
        <w:rPr>
          <w:rStyle w:val="tvdoctopindex"/>
          <w:rFonts w:ascii="Times New Roman" w:hAnsi="Times New Roman"/>
          <w:noProof/>
          <w:sz w:val="20"/>
          <w:szCs w:val="20"/>
        </w:rPr>
        <w:t>June</w:t>
      </w:r>
      <w:r>
        <w:rPr>
          <w:rStyle w:val="tvdoctopindex"/>
          <w:rFonts w:ascii="Times New Roman" w:hAnsi="Times New Roman"/>
          <w:noProof/>
          <w:sz w:val="20"/>
          <w:szCs w:val="20"/>
        </w:rPr>
        <w:t> </w:t>
      </w:r>
      <w:r w:rsidRPr="00990B77">
        <w:rPr>
          <w:rStyle w:val="tvdoctopindex"/>
          <w:rFonts w:ascii="Times New Roman" w:hAnsi="Times New Roman"/>
          <w:noProof/>
          <w:sz w:val="20"/>
          <w:szCs w:val="20"/>
        </w:rPr>
        <w:t>2010 [shall co</w:t>
      </w:r>
      <w:r>
        <w:rPr>
          <w:rStyle w:val="tvdoctopindex"/>
          <w:rFonts w:ascii="Times New Roman" w:hAnsi="Times New Roman"/>
          <w:noProof/>
          <w:sz w:val="20"/>
          <w:szCs w:val="20"/>
        </w:rPr>
        <w:t>me into force on 1 July 2010];</w:t>
      </w:r>
    </w:p>
    <w:p w14:paraId="67D3132C" w14:textId="77777777" w:rsidR="0018666E" w:rsidRDefault="0018666E" w:rsidP="0018666E">
      <w:pPr>
        <w:spacing w:after="0" w:line="240" w:lineRule="auto"/>
        <w:jc w:val="center"/>
        <w:rPr>
          <w:rStyle w:val="tvdoctopindex"/>
          <w:rFonts w:ascii="Times New Roman" w:hAnsi="Times New Roman"/>
          <w:noProof/>
          <w:sz w:val="20"/>
          <w:szCs w:val="20"/>
        </w:rPr>
      </w:pPr>
      <w:r>
        <w:rPr>
          <w:rStyle w:val="tvdoctopindex"/>
          <w:rFonts w:ascii="Times New Roman" w:hAnsi="Times New Roman"/>
          <w:noProof/>
          <w:sz w:val="20"/>
          <w:szCs w:val="20"/>
        </w:rPr>
        <w:t>5 </w:t>
      </w:r>
      <w:r w:rsidRPr="00990B77">
        <w:rPr>
          <w:rStyle w:val="tvdoctopindex"/>
          <w:rFonts w:ascii="Times New Roman" w:hAnsi="Times New Roman"/>
          <w:noProof/>
          <w:sz w:val="20"/>
          <w:szCs w:val="20"/>
        </w:rPr>
        <w:t>June</w:t>
      </w:r>
      <w:r>
        <w:rPr>
          <w:rStyle w:val="tvdoctopindex"/>
          <w:rFonts w:ascii="Times New Roman" w:hAnsi="Times New Roman"/>
          <w:noProof/>
          <w:sz w:val="20"/>
          <w:szCs w:val="20"/>
        </w:rPr>
        <w:t> </w:t>
      </w:r>
      <w:r w:rsidRPr="00990B77">
        <w:rPr>
          <w:rStyle w:val="tvdoctopindex"/>
          <w:rFonts w:ascii="Times New Roman" w:hAnsi="Times New Roman"/>
          <w:noProof/>
          <w:sz w:val="20"/>
          <w:szCs w:val="20"/>
        </w:rPr>
        <w:t>201</w:t>
      </w:r>
      <w:r>
        <w:rPr>
          <w:rStyle w:val="tvdoctopindex"/>
          <w:rFonts w:ascii="Times New Roman" w:hAnsi="Times New Roman"/>
          <w:noProof/>
          <w:sz w:val="20"/>
          <w:szCs w:val="20"/>
        </w:rPr>
        <w:t>4</w:t>
      </w:r>
      <w:r w:rsidRPr="00990B77">
        <w:rPr>
          <w:rStyle w:val="tvdoctopindex"/>
          <w:rFonts w:ascii="Times New Roman" w:hAnsi="Times New Roman"/>
          <w:noProof/>
          <w:sz w:val="20"/>
          <w:szCs w:val="20"/>
        </w:rPr>
        <w:t xml:space="preserve"> [shall come into force </w:t>
      </w:r>
      <w:r>
        <w:rPr>
          <w:rStyle w:val="tvdoctopindex"/>
          <w:rFonts w:ascii="Times New Roman" w:hAnsi="Times New Roman"/>
          <w:noProof/>
          <w:sz w:val="20"/>
          <w:szCs w:val="20"/>
        </w:rPr>
        <w:t>on</w:t>
      </w:r>
      <w:r w:rsidRPr="00990B77">
        <w:rPr>
          <w:rStyle w:val="tvdoctopindex"/>
          <w:rFonts w:ascii="Times New Roman" w:hAnsi="Times New Roman"/>
          <w:noProof/>
          <w:sz w:val="20"/>
          <w:szCs w:val="20"/>
        </w:rPr>
        <w:t xml:space="preserve"> 1</w:t>
      </w:r>
      <w:r>
        <w:rPr>
          <w:rStyle w:val="tvdoctopindex"/>
          <w:rFonts w:ascii="Times New Roman" w:hAnsi="Times New Roman"/>
          <w:noProof/>
          <w:sz w:val="20"/>
          <w:szCs w:val="20"/>
        </w:rPr>
        <w:t> January </w:t>
      </w:r>
      <w:r w:rsidRPr="00990B77">
        <w:rPr>
          <w:rStyle w:val="tvdoctopindex"/>
          <w:rFonts w:ascii="Times New Roman" w:hAnsi="Times New Roman"/>
          <w:noProof/>
          <w:sz w:val="20"/>
          <w:szCs w:val="20"/>
        </w:rPr>
        <w:t>201</w:t>
      </w:r>
      <w:r>
        <w:rPr>
          <w:rStyle w:val="tvdoctopindex"/>
          <w:rFonts w:ascii="Times New Roman" w:hAnsi="Times New Roman"/>
          <w:noProof/>
          <w:sz w:val="20"/>
          <w:szCs w:val="20"/>
        </w:rPr>
        <w:t>5</w:t>
      </w:r>
      <w:r w:rsidRPr="00990B77">
        <w:rPr>
          <w:rStyle w:val="tvdoctopindex"/>
          <w:rFonts w:ascii="Times New Roman" w:hAnsi="Times New Roman"/>
          <w:noProof/>
          <w:sz w:val="20"/>
          <w:szCs w:val="20"/>
        </w:rPr>
        <w:t>]</w:t>
      </w:r>
      <w:r>
        <w:rPr>
          <w:rStyle w:val="tvdoctopindex"/>
          <w:rFonts w:ascii="Times New Roman" w:hAnsi="Times New Roman"/>
          <w:noProof/>
          <w:sz w:val="20"/>
          <w:szCs w:val="20"/>
        </w:rPr>
        <w:t>;</w:t>
      </w:r>
    </w:p>
    <w:p w14:paraId="27935AEC" w14:textId="77777777" w:rsidR="0018666E" w:rsidRDefault="0018666E" w:rsidP="0018666E">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30 March 2017 [shall come into force on 26 April 2017];</w:t>
      </w:r>
    </w:p>
    <w:p w14:paraId="5B13E4B4" w14:textId="77777777" w:rsidR="0018666E" w:rsidRPr="00990B77" w:rsidRDefault="0018666E" w:rsidP="0018666E">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3 October 2019 [shall come into force on 1 November 2019].</w:t>
      </w:r>
    </w:p>
    <w:p w14:paraId="2539A67B" w14:textId="77777777" w:rsidR="0018666E" w:rsidRPr="00990B77" w:rsidRDefault="0018666E" w:rsidP="0018666E">
      <w:pPr>
        <w:pStyle w:val="Tekstabloks"/>
        <w:ind w:left="0" w:right="0"/>
        <w:jc w:val="left"/>
        <w:rPr>
          <w:snapToGrid w:val="0"/>
          <w:szCs w:val="20"/>
        </w:rPr>
      </w:pPr>
      <w:r w:rsidRPr="00990B77">
        <w:rPr>
          <w:szCs w:val="20"/>
        </w:rPr>
        <w:t>If a whole or part of a section has been amended, the date of the amending law appears in square brackets at the end of the section.</w:t>
      </w:r>
      <w:r w:rsidRPr="00990B77">
        <w:rPr>
          <w:snapToGrid w:val="0"/>
          <w:szCs w:val="20"/>
        </w:rPr>
        <w:t xml:space="preserve"> If a whole section, paragraph or clause has been deleted, the date of the deletion appears in square brackets beside the deleted section, paragraph or clause.</w:t>
      </w:r>
    </w:p>
    <w:p w14:paraId="2FB49566" w14:textId="77777777" w:rsidR="0018666E" w:rsidRDefault="0018666E" w:rsidP="0018666E">
      <w:pPr>
        <w:spacing w:after="0" w:line="240" w:lineRule="auto"/>
        <w:jc w:val="right"/>
        <w:rPr>
          <w:rFonts w:ascii="Times New Roman" w:hAnsi="Times New Roman"/>
          <w:sz w:val="24"/>
        </w:rPr>
      </w:pPr>
    </w:p>
    <w:p w14:paraId="3DD4464B" w14:textId="77777777" w:rsidR="0018666E" w:rsidRDefault="0018666E" w:rsidP="0018666E">
      <w:pPr>
        <w:spacing w:after="0" w:line="240" w:lineRule="auto"/>
        <w:jc w:val="right"/>
        <w:rPr>
          <w:rFonts w:ascii="Times New Roman" w:hAnsi="Times New Roman"/>
          <w:sz w:val="24"/>
        </w:rPr>
      </w:pPr>
    </w:p>
    <w:p w14:paraId="139975BA" w14:textId="77777777" w:rsidR="0018666E" w:rsidRDefault="0018666E" w:rsidP="0018666E">
      <w:pPr>
        <w:spacing w:after="0" w:line="240" w:lineRule="auto"/>
        <w:jc w:val="right"/>
        <w:rPr>
          <w:rFonts w:ascii="Times New Roman" w:eastAsia="Times New Roman" w:hAnsi="Times New Roman"/>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rPr>
        <w:t> </w:t>
      </w:r>
      <w:r w:rsidRPr="00C515CE">
        <w:rPr>
          <w:rFonts w:ascii="Times New Roman" w:hAnsi="Times New Roman"/>
          <w:sz w:val="24"/>
          <w:vertAlign w:val="superscript"/>
        </w:rPr>
        <w:t>1</w:t>
      </w:r>
      <w:r>
        <w:rPr>
          <w:rFonts w:ascii="Times New Roman" w:hAnsi="Times New Roman"/>
          <w:sz w:val="24"/>
        </w:rPr>
        <w:t xml:space="preserve"> has adopted and</w:t>
      </w:r>
    </w:p>
    <w:p w14:paraId="0146292E" w14:textId="77777777" w:rsidR="0018666E" w:rsidRDefault="0018666E" w:rsidP="0018666E">
      <w:pPr>
        <w:spacing w:after="0" w:line="240" w:lineRule="auto"/>
        <w:jc w:val="right"/>
        <w:rPr>
          <w:rFonts w:ascii="Times New Roman" w:eastAsia="Times New Roman" w:hAnsi="Times New Roman"/>
          <w:sz w:val="24"/>
          <w:szCs w:val="24"/>
        </w:rPr>
      </w:pPr>
      <w:r>
        <w:rPr>
          <w:rFonts w:ascii="Times New Roman" w:hAnsi="Times New Roman"/>
          <w:sz w:val="24"/>
        </w:rPr>
        <w:t>the President has proclaimed the following law:</w:t>
      </w:r>
    </w:p>
    <w:p w14:paraId="3ACD1F3A"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5DAC1521" w14:textId="77777777" w:rsidR="009C51F8" w:rsidRPr="00923FFF" w:rsidRDefault="009C51F8" w:rsidP="00CD7724">
      <w:pPr>
        <w:spacing w:after="0" w:line="240" w:lineRule="auto"/>
        <w:jc w:val="both"/>
        <w:rPr>
          <w:rFonts w:ascii="Times New Roman" w:eastAsia="Times New Roman" w:hAnsi="Times New Roman" w:cs="Times New Roman"/>
          <w:noProof/>
          <w:sz w:val="24"/>
          <w:szCs w:val="24"/>
          <w:lang w:eastAsia="lv-LV"/>
        </w:rPr>
      </w:pPr>
    </w:p>
    <w:p w14:paraId="6DFA03B3" w14:textId="77777777" w:rsidR="00923FFF" w:rsidRPr="009C51F8" w:rsidRDefault="00923FFF" w:rsidP="009C51F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Amelioration Law</w:t>
      </w:r>
    </w:p>
    <w:p w14:paraId="59C43745"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45A266BA" w14:textId="77777777" w:rsidR="009C51F8" w:rsidRPr="00923FFF" w:rsidRDefault="009C51F8" w:rsidP="00CD7724">
      <w:pPr>
        <w:spacing w:after="0" w:line="240" w:lineRule="auto"/>
        <w:jc w:val="both"/>
        <w:rPr>
          <w:rFonts w:ascii="Times New Roman" w:eastAsia="Times New Roman" w:hAnsi="Times New Roman" w:cs="Times New Roman"/>
          <w:noProof/>
          <w:sz w:val="24"/>
          <w:szCs w:val="24"/>
          <w:lang w:eastAsia="lv-LV"/>
        </w:rPr>
      </w:pPr>
    </w:p>
    <w:p w14:paraId="5F2E084B" w14:textId="77777777" w:rsidR="009C51F8" w:rsidRPr="009C51F8" w:rsidRDefault="00923FFF" w:rsidP="009C51F8">
      <w:pPr>
        <w:spacing w:after="0" w:line="240" w:lineRule="auto"/>
        <w:jc w:val="center"/>
        <w:rPr>
          <w:rFonts w:ascii="Times New Roman" w:eastAsia="Times New Roman" w:hAnsi="Times New Roman" w:cs="Times New Roman"/>
          <w:b/>
          <w:bCs/>
          <w:noProof/>
          <w:sz w:val="24"/>
          <w:szCs w:val="24"/>
        </w:rPr>
      </w:pPr>
      <w:bookmarkStart w:id="0" w:name="n1"/>
      <w:bookmarkStart w:id="1" w:name="n-325581"/>
      <w:bookmarkEnd w:id="0"/>
      <w:bookmarkEnd w:id="1"/>
      <w:r>
        <w:rPr>
          <w:rFonts w:ascii="Times New Roman" w:hAnsi="Times New Roman"/>
          <w:b/>
          <w:sz w:val="24"/>
        </w:rPr>
        <w:t>Chapter I</w:t>
      </w:r>
    </w:p>
    <w:p w14:paraId="2B6CD9BF" w14:textId="1E5287BC" w:rsidR="00923FFF" w:rsidRDefault="00923FFF" w:rsidP="009C51F8">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General Provisions</w:t>
      </w:r>
    </w:p>
    <w:p w14:paraId="312ACD70" w14:textId="77777777" w:rsidR="009C51F8" w:rsidRPr="00923FFF" w:rsidRDefault="009C51F8" w:rsidP="00CD7724">
      <w:pPr>
        <w:spacing w:after="0" w:line="240" w:lineRule="auto"/>
        <w:jc w:val="both"/>
        <w:rPr>
          <w:rFonts w:ascii="Times New Roman" w:eastAsia="Times New Roman" w:hAnsi="Times New Roman" w:cs="Times New Roman"/>
          <w:noProof/>
          <w:sz w:val="24"/>
          <w:szCs w:val="24"/>
          <w:lang w:eastAsia="lv-LV"/>
        </w:rPr>
      </w:pPr>
    </w:p>
    <w:p w14:paraId="09EA47A3"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bookmarkStart w:id="2" w:name="p1"/>
      <w:bookmarkStart w:id="3" w:name="p-518787"/>
      <w:bookmarkEnd w:id="2"/>
      <w:bookmarkEnd w:id="3"/>
      <w:r>
        <w:rPr>
          <w:rFonts w:ascii="Times New Roman" w:hAnsi="Times New Roman"/>
          <w:b/>
          <w:sz w:val="24"/>
        </w:rPr>
        <w:t xml:space="preserve">Section 1. </w:t>
      </w:r>
      <w:r>
        <w:rPr>
          <w:rFonts w:ascii="Times New Roman" w:hAnsi="Times New Roman"/>
          <w:sz w:val="24"/>
        </w:rPr>
        <w:t>The terms used in this Law are as follows:</w:t>
      </w:r>
    </w:p>
    <w:p w14:paraId="7BCAE41F"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 xml:space="preserve">land amelioration </w:t>
      </w:r>
      <w:r>
        <w:rPr>
          <w:rFonts w:ascii="Times New Roman" w:hAnsi="Times New Roman"/>
          <w:sz w:val="24"/>
        </w:rPr>
        <w:t>– land improvement, reducing the adverse effects of climatic conditions and ensuring long-term use of natural resources;</w:t>
      </w:r>
    </w:p>
    <w:p w14:paraId="319E6409"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 xml:space="preserve">amelioration system </w:t>
      </w:r>
      <w:r>
        <w:rPr>
          <w:rFonts w:ascii="Times New Roman" w:hAnsi="Times New Roman"/>
          <w:sz w:val="24"/>
        </w:rPr>
        <w:t>– a complex of dedicated structures and installations for regulation of groundwater regime;</w:t>
      </w:r>
    </w:p>
    <w:p w14:paraId="247080F7"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 xml:space="preserve">State amelioration system </w:t>
      </w:r>
      <w:r>
        <w:rPr>
          <w:rFonts w:ascii="Times New Roman" w:hAnsi="Times New Roman"/>
          <w:sz w:val="24"/>
        </w:rPr>
        <w:t>– an amelioration system belonging to the State, the operation and maintenance of which is implemented by the State;</w:t>
      </w:r>
    </w:p>
    <w:p w14:paraId="0B105974"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 xml:space="preserve">amelioration system of national significance </w:t>
      </w:r>
      <w:r>
        <w:rPr>
          <w:rFonts w:ascii="Times New Roman" w:hAnsi="Times New Roman"/>
          <w:sz w:val="24"/>
        </w:rPr>
        <w:t>– an amelioration system, which conforms to the criteria and parameters specified in laws and regulations and the operation and maintenance of which is ensured by the State;</w:t>
      </w:r>
    </w:p>
    <w:p w14:paraId="0D4462D4"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 xml:space="preserve">local government amelioration system </w:t>
      </w:r>
      <w:r>
        <w:rPr>
          <w:rFonts w:ascii="Times New Roman" w:hAnsi="Times New Roman"/>
          <w:sz w:val="24"/>
        </w:rPr>
        <w:t>– an amelioration system belonging to a local government, the operation and maintenance of which is ensured by the local government;</w:t>
      </w:r>
    </w:p>
    <w:p w14:paraId="13900E86"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amelioration system of local government significance for common use</w:t>
      </w:r>
      <w:r>
        <w:rPr>
          <w:rFonts w:ascii="Times New Roman" w:hAnsi="Times New Roman"/>
          <w:sz w:val="24"/>
        </w:rPr>
        <w:t xml:space="preserve"> –an amelioration system for common use, which has a significant impact on the water regime in building territories, agricultural and forest territories, infrastructure objects (streets, roads, water management objects, local government polders) specified in the spatial plan of the local government;</w:t>
      </w:r>
    </w:p>
    <w:p w14:paraId="1889E44D"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 xml:space="preserve">amelioration system for common use </w:t>
      </w:r>
      <w:r>
        <w:rPr>
          <w:rFonts w:ascii="Times New Roman" w:hAnsi="Times New Roman"/>
          <w:sz w:val="24"/>
        </w:rPr>
        <w:t>– an amelioration system, which regulates the water regime on two or more land properties or on land in legal possessions;</w:t>
      </w:r>
    </w:p>
    <w:p w14:paraId="7D082B98"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 xml:space="preserve">amelioration system of a single property </w:t>
      </w:r>
      <w:r>
        <w:rPr>
          <w:rFonts w:ascii="Times New Roman" w:hAnsi="Times New Roman"/>
          <w:sz w:val="24"/>
        </w:rPr>
        <w:t>– an amelioration system, which regulates the water regime on one land property;</w:t>
      </w:r>
    </w:p>
    <w:p w14:paraId="3D7D6D51"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 xml:space="preserve">operation of an amelioration system </w:t>
      </w:r>
      <w:r>
        <w:rPr>
          <w:rFonts w:ascii="Times New Roman" w:hAnsi="Times New Roman"/>
          <w:sz w:val="24"/>
        </w:rPr>
        <w:t>– use of an amelioration system for the designed purposes;</w:t>
      </w:r>
    </w:p>
    <w:p w14:paraId="0FD78316"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 xml:space="preserve">maintenance of an amelioration system </w:t>
      </w:r>
      <w:r>
        <w:rPr>
          <w:rFonts w:ascii="Times New Roman" w:hAnsi="Times New Roman"/>
          <w:sz w:val="24"/>
        </w:rPr>
        <w:t>– a complex of supervision and care work of an amelioration system, which ensures the working and preservation thereof;</w:t>
      </w:r>
    </w:p>
    <w:p w14:paraId="59CCA17B"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 xml:space="preserve">ameliorative hydrometry </w:t>
      </w:r>
      <w:r>
        <w:rPr>
          <w:rFonts w:ascii="Times New Roman" w:hAnsi="Times New Roman"/>
          <w:sz w:val="24"/>
        </w:rPr>
        <w:t>– systematic observations and measurements of the water regime of waterways, water reservoirs and amelioration systems at hydrometrical stations, as well as processing of the data obtained;</w:t>
      </w:r>
    </w:p>
    <w:p w14:paraId="1A5BD842"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 xml:space="preserve">hydrometrical station </w:t>
      </w:r>
      <w:r>
        <w:rPr>
          <w:rFonts w:ascii="Times New Roman" w:hAnsi="Times New Roman"/>
          <w:sz w:val="24"/>
        </w:rPr>
        <w:t>– a stationary equipped place where systematic observations and measurements of the water regime of waterways, water reservoirs and amelioration systems are performed.</w:t>
      </w:r>
    </w:p>
    <w:p w14:paraId="50841705"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3 June 2010; 5 June 2014</w:t>
      </w:r>
      <w:r>
        <w:rPr>
          <w:rFonts w:ascii="Times New Roman" w:hAnsi="Times New Roman"/>
          <w:sz w:val="24"/>
        </w:rPr>
        <w:t>]</w:t>
      </w:r>
    </w:p>
    <w:p w14:paraId="7F38D17E"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4" w:name="p2"/>
      <w:bookmarkStart w:id="5" w:name="p-620368"/>
      <w:bookmarkEnd w:id="4"/>
      <w:bookmarkEnd w:id="5"/>
    </w:p>
    <w:p w14:paraId="7673F9BF" w14:textId="521809B2"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the Law is to ensure such mechanism for the management of amelioration systems, which promotes sustainable management and use of natural resources, ensures the water regime necessary for the safety and welfare of inhabitants, development of infrastructure, as well as construction, operation, maintenance, and management of amelioration systems.</w:t>
      </w:r>
    </w:p>
    <w:p w14:paraId="5A4119E8"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5 June 2014; 30 March 2017</w:t>
      </w:r>
      <w:r>
        <w:rPr>
          <w:rFonts w:ascii="Times New Roman" w:hAnsi="Times New Roman"/>
          <w:sz w:val="24"/>
        </w:rPr>
        <w:t>]</w:t>
      </w:r>
    </w:p>
    <w:p w14:paraId="1B86722D"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6" w:name="p3"/>
      <w:bookmarkStart w:id="7" w:name="p-325586"/>
      <w:bookmarkEnd w:id="6"/>
      <w:bookmarkEnd w:id="7"/>
    </w:p>
    <w:p w14:paraId="0E8BCD80" w14:textId="3F1ECC0A"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 xml:space="preserve">A land owner or lawful possessor has the right to perform land amelioration in conformity with the requirements laid down in the laws and regulations regarding construction </w:t>
      </w:r>
      <w:r>
        <w:rPr>
          <w:rFonts w:ascii="Times New Roman" w:hAnsi="Times New Roman"/>
          <w:sz w:val="24"/>
        </w:rPr>
        <w:lastRenderedPageBreak/>
        <w:t>of amelioration systems, and has the obligation to operate and maintain an amelioration system in accordance with the requirements of the relevant laws and regulations.</w:t>
      </w:r>
    </w:p>
    <w:p w14:paraId="454DEAB0"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8" w:name="p4"/>
      <w:bookmarkStart w:id="9" w:name="p-518789"/>
      <w:bookmarkEnd w:id="8"/>
      <w:bookmarkEnd w:id="9"/>
    </w:p>
    <w:p w14:paraId="2457506A" w14:textId="0FD6FA53"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The State limited liability company Immovable Properties of the Ministry of Agriculture shall issue technical regulations for the following activities in ameliorated land and protective zones of land use around amelioration structures and installations:</w:t>
      </w:r>
    </w:p>
    <w:p w14:paraId="44B4ACBA"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construction, movement, and reconstruction of structures and engineering communications;</w:t>
      </w:r>
    </w:p>
    <w:p w14:paraId="62533A94"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extraction of mineral resources;</w:t>
      </w:r>
    </w:p>
    <w:p w14:paraId="2DFB25E5"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afforestation;</w:t>
      </w:r>
    </w:p>
    <w:p w14:paraId="16E98BC6"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planting of woody plantations in the ameliorated land to be used for agriculture;</w:t>
      </w:r>
    </w:p>
    <w:p w14:paraId="18A3ECA5"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other activities in places where it may disturb the operational regime of the amelioration system.</w:t>
      </w:r>
    </w:p>
    <w:p w14:paraId="63BA34E1"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receive technical regulations an owner or legal possessor of immovable property or his or her authorised person shall submit an application to the State limited liability company Immovable Properties of the Ministry of Agriculture, in which the intention is substantiated and to which a plan of the intended site of the measure in scale of 1:10 000 or higher accuracy is attached.</w:t>
      </w:r>
    </w:p>
    <w:p w14:paraId="798B8BC1"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[5 June 2014]</w:t>
      </w:r>
    </w:p>
    <w:p w14:paraId="797D5A27"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5 June 2014 / See Paragraph 8 of the Transitional Provisions</w:t>
      </w:r>
      <w:r>
        <w:rPr>
          <w:rFonts w:ascii="Times New Roman" w:hAnsi="Times New Roman"/>
          <w:sz w:val="24"/>
        </w:rPr>
        <w:t>]</w:t>
      </w:r>
    </w:p>
    <w:p w14:paraId="5566BB01"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10" w:name="p5"/>
      <w:bookmarkStart w:id="11" w:name="p-518790"/>
      <w:bookmarkEnd w:id="10"/>
      <w:bookmarkEnd w:id="11"/>
    </w:p>
    <w:p w14:paraId="58F891DD" w14:textId="5DF9DB81"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Construction, reconstruction, or renovation of structures and engineering networks within the boundaries of ameliorated land or outside them, or in operation protection zones around amelioration structures and installations may not deteriorate the groundwater regime and the operation of the amelioration system.</w:t>
      </w:r>
    </w:p>
    <w:p w14:paraId="5300A353"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5 June 2014</w:t>
      </w:r>
      <w:r>
        <w:rPr>
          <w:rFonts w:ascii="Times New Roman" w:hAnsi="Times New Roman"/>
          <w:sz w:val="24"/>
        </w:rPr>
        <w:t>]</w:t>
      </w:r>
    </w:p>
    <w:p w14:paraId="48F27F23"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12" w:name="p6"/>
      <w:bookmarkStart w:id="13" w:name="p-325589"/>
      <w:bookmarkEnd w:id="12"/>
      <w:bookmarkEnd w:id="13"/>
    </w:p>
    <w:p w14:paraId="5A869166" w14:textId="6120F8B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Land owners or lawful possessors shall jointly ensure the design and construction of an amelioration system for common use in accordance with the procedures laid down in laws and regulations.</w:t>
      </w:r>
    </w:p>
    <w:p w14:paraId="316A515E"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14" w:name="p7"/>
      <w:bookmarkStart w:id="15" w:name="p-325590"/>
      <w:bookmarkEnd w:id="14"/>
      <w:bookmarkEnd w:id="15"/>
    </w:p>
    <w:p w14:paraId="7784E59F" w14:textId="1A0448D2"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Amelioration systems depending on their effect on the groundwater regime shall be classified as follows:</w:t>
      </w:r>
    </w:p>
    <w:p w14:paraId="4069F05C"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drainage system – a complex of dedicated structures for draining of land;</w:t>
      </w:r>
    </w:p>
    <w:p w14:paraId="3B36CCF8"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irrigation system – a complex of dedicated structures and installations for irrigation of land;</w:t>
      </w:r>
    </w:p>
    <w:p w14:paraId="40620DE0"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two-way amelioration system – a drainage system which may also be also be used for irrigation of land.</w:t>
      </w:r>
    </w:p>
    <w:p w14:paraId="2C96C944"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16" w:name="p8"/>
      <w:bookmarkStart w:id="17" w:name="p-518792"/>
      <w:bookmarkEnd w:id="16"/>
      <w:bookmarkEnd w:id="17"/>
    </w:p>
    <w:p w14:paraId="0CBB24AB" w14:textId="56C05C03"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Amelioration systems according to data of the amelioration cadastre, as well as depending on their operation and maintenance shall be classified as follows:</w:t>
      </w:r>
    </w:p>
    <w:p w14:paraId="027A62E1"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amelioration system;</w:t>
      </w:r>
    </w:p>
    <w:p w14:paraId="2C301267"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amelioration system of national significance;</w:t>
      </w:r>
    </w:p>
    <w:p w14:paraId="4B3EC9E5"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local government amelioration system;</w:t>
      </w:r>
    </w:p>
    <w:p w14:paraId="42D423D1"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an amelioration system of local government significance for common use;</w:t>
      </w:r>
    </w:p>
    <w:p w14:paraId="5F6EE9A8"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amelioration system for common use;</w:t>
      </w:r>
    </w:p>
    <w:p w14:paraId="3D06BEFA"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amelioration system of a single property.</w:t>
      </w:r>
    </w:p>
    <w:p w14:paraId="46D95AB5"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3EB074A7"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18" w:name="p9"/>
      <w:bookmarkStart w:id="19" w:name="p-325592"/>
      <w:bookmarkEnd w:id="18"/>
      <w:bookmarkEnd w:id="19"/>
    </w:p>
    <w:p w14:paraId="1B799C16" w14:textId="76809A68"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procedures for determining and reimbursing losses related to the damage to, destruction or limitation of the right to use amelioration systems shall be determined by the Cabinet.</w:t>
      </w:r>
    </w:p>
    <w:p w14:paraId="20E485D1"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20" w:name="n2"/>
      <w:bookmarkStart w:id="21" w:name="n-325593"/>
      <w:bookmarkEnd w:id="20"/>
      <w:bookmarkEnd w:id="21"/>
    </w:p>
    <w:p w14:paraId="374F0942" w14:textId="127801AA" w:rsidR="009C51F8" w:rsidRPr="009C51F8"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365B2AA" w14:textId="04010CA7" w:rsidR="00923FFF" w:rsidRPr="00923FFF"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Management of an Amelioration System</w:t>
      </w:r>
    </w:p>
    <w:p w14:paraId="47DCFA6F"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22" w:name="p10"/>
      <w:bookmarkStart w:id="23" w:name="p-325594"/>
      <w:bookmarkEnd w:id="22"/>
      <w:bookmarkEnd w:id="23"/>
    </w:p>
    <w:p w14:paraId="0F83DFDB" w14:textId="79EE5919"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The construction of an amelioration system shall be controlled by the building authority of the local government.</w:t>
      </w:r>
    </w:p>
    <w:p w14:paraId="6CFB6AA6"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24" w:name="p11"/>
      <w:bookmarkStart w:id="25" w:name="p-325595"/>
      <w:bookmarkEnd w:id="24"/>
      <w:bookmarkEnd w:id="25"/>
    </w:p>
    <w:p w14:paraId="512F7B98" w14:textId="038052F6"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The operation and maintenance of an amelioration system shall be supervised by State and local government institutions in accordance with the procedures laid down in laws and regulations.</w:t>
      </w:r>
    </w:p>
    <w:p w14:paraId="5C719F79"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26" w:name="p12"/>
      <w:bookmarkStart w:id="27" w:name="p-518794"/>
      <w:bookmarkEnd w:id="26"/>
      <w:bookmarkEnd w:id="27"/>
    </w:p>
    <w:p w14:paraId="25A56869" w14:textId="043766DB"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A land owner or legal possessor shall ensure the possibility to access the amelioration structures and installations located within the boundaries of the land in his or her ownership or legal possession to officials and persons authorised or appointed thereby who control and monitor the amelioration system or perform tasks related to the inventory, construction, operation, and maintenance of the amelioration system.</w:t>
      </w:r>
    </w:p>
    <w:p w14:paraId="55A35717"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5 June 2014</w:t>
      </w:r>
      <w:r>
        <w:rPr>
          <w:rFonts w:ascii="Times New Roman" w:hAnsi="Times New Roman"/>
          <w:sz w:val="24"/>
        </w:rPr>
        <w:t>]</w:t>
      </w:r>
    </w:p>
    <w:p w14:paraId="26EE4DCB"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28" w:name="p13"/>
      <w:bookmarkStart w:id="29" w:name="p-325597"/>
      <w:bookmarkEnd w:id="28"/>
      <w:bookmarkEnd w:id="29"/>
    </w:p>
    <w:p w14:paraId="7650EA1D" w14:textId="0DFFBC7A"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The procedures for performing ameliorative hydrometric work shall be determined by the Cabinet.</w:t>
      </w:r>
    </w:p>
    <w:p w14:paraId="55219F4C"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30" w:name="p13_1"/>
      <w:bookmarkStart w:id="31" w:name="p-518795"/>
      <w:bookmarkEnd w:id="30"/>
      <w:bookmarkEnd w:id="31"/>
    </w:p>
    <w:p w14:paraId="193255CB" w14:textId="1F2B2470"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list of State amelioration systems and amelioration systems of national significance shall be approved by the Minister for Agriculture in accordance with the laws and regulations regarding amelioration cadastre.</w:t>
      </w:r>
    </w:p>
    <w:p w14:paraId="3B121EF1"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59834DC3"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32" w:name="n3"/>
      <w:bookmarkStart w:id="33" w:name="n-325598"/>
      <w:bookmarkEnd w:id="32"/>
      <w:bookmarkEnd w:id="33"/>
    </w:p>
    <w:p w14:paraId="4D921BBB" w14:textId="05E912CF" w:rsidR="009C51F8" w:rsidRPr="009C51F8"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139E75B" w14:textId="6E22F15B" w:rsidR="00923FFF" w:rsidRPr="00923FFF"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Amelioration Cadastre</w:t>
      </w:r>
    </w:p>
    <w:p w14:paraId="66E5D786"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34" w:name="p14"/>
      <w:bookmarkStart w:id="35" w:name="p-620369"/>
      <w:bookmarkEnd w:id="34"/>
      <w:bookmarkEnd w:id="35"/>
    </w:p>
    <w:p w14:paraId="656D65CC" w14:textId="1D4B2562"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The amelioration cadastre shall include information on any amelioration system in the ownership or legal possession of the State, local government, natural person or legal person, including data on the layout of the ameliorated land, the quantitative and qualitative condition of the amelioration system, as well as indicate the owner or legal possessor of this land.</w:t>
      </w:r>
    </w:p>
    <w:p w14:paraId="30E737D9"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Data of the Immovable Property State Cadastre Information System on borders, land owner or legal possessor, as well as cadastral designation of the land unit shall be used for the establishment and maintenance of the amelioration cadastre.</w:t>
      </w:r>
    </w:p>
    <w:p w14:paraId="31565986"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content of the amelioration cadastre, the procedures for establishment, maintenance and information exchange shall be determined by the Cabinet.</w:t>
      </w:r>
    </w:p>
    <w:p w14:paraId="58B52D6A"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30 March 2017</w:t>
      </w:r>
      <w:r>
        <w:rPr>
          <w:rFonts w:ascii="Times New Roman" w:hAnsi="Times New Roman"/>
          <w:sz w:val="24"/>
        </w:rPr>
        <w:t>]</w:t>
      </w:r>
    </w:p>
    <w:p w14:paraId="3D6DDB8C"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36" w:name="p15"/>
      <w:bookmarkStart w:id="37" w:name="p-325601"/>
      <w:bookmarkEnd w:id="36"/>
      <w:bookmarkEnd w:id="37"/>
    </w:p>
    <w:p w14:paraId="399C1D24" w14:textId="1A8A0EFE"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Data of the amelioration cadastre shall be maintained and updated by the State limited liability company Immovable Properties of the Ministry of Agriculture.</w:t>
      </w:r>
    </w:p>
    <w:p w14:paraId="37B13200"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38" w:name="p16"/>
      <w:bookmarkStart w:id="39" w:name="p-325602"/>
      <w:bookmarkEnd w:id="38"/>
      <w:bookmarkEnd w:id="39"/>
    </w:p>
    <w:p w14:paraId="3516BB8E" w14:textId="3A8C6952"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In order to update the amelioration cadastre:</w:t>
      </w:r>
    </w:p>
    <w:p w14:paraId="44260962"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limited liability company Immovable Properties of the Ministry of Agriculture shall perform the initial inventory of the State amelioration system and the amelioration system of national significance;</w:t>
      </w:r>
    </w:p>
    <w:p w14:paraId="0242C36E"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land owner or legal possessor shall perform the initial inventory of the amelioration system of a single property and of an amelioration system for common use.</w:t>
      </w:r>
    </w:p>
    <w:p w14:paraId="565009BC"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land owner or legal possessor shall submit the information obtained during the inventory to the State limited liability company Immovable Properties of the Ministry of Agriculture.</w:t>
      </w:r>
    </w:p>
    <w:p w14:paraId="579242AC"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content of and the procedures for performing the inventory of an amelioration system, as well as the procedures for submitting and updating the data of the amelioration cadastre shall be determined by the Cabinet.</w:t>
      </w:r>
    </w:p>
    <w:p w14:paraId="348BB474"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40" w:name="p17"/>
      <w:bookmarkStart w:id="41" w:name="p-620370"/>
      <w:bookmarkEnd w:id="40"/>
      <w:bookmarkEnd w:id="41"/>
    </w:p>
    <w:p w14:paraId="21149501" w14:textId="52662AFB"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Upon a request of the owner or legal possessor of a land unit or a local government, the State limited liability company Immovable Properties of the Ministry of Agriculture shall issue to the requester statement of the amelioration cadastre on the amelioration system or a part of the amelioration system of the land unit.</w:t>
      </w:r>
    </w:p>
    <w:p w14:paraId="2DA51D02"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30 March 2017</w:t>
      </w:r>
      <w:r>
        <w:rPr>
          <w:rFonts w:ascii="Times New Roman" w:hAnsi="Times New Roman"/>
          <w:sz w:val="24"/>
        </w:rPr>
        <w:t>]</w:t>
      </w:r>
    </w:p>
    <w:p w14:paraId="21D50542"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42" w:name="p18"/>
      <w:bookmarkStart w:id="43" w:name="p-325604"/>
      <w:bookmarkEnd w:id="42"/>
      <w:bookmarkEnd w:id="43"/>
    </w:p>
    <w:p w14:paraId="3256A0CE" w14:textId="6E9694BD"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A land owner or legal possessor shall, within a month after changes in an amelioration system, inform the State limited liability company Immovable Properties of the Ministry of Agriculture in writing about the quantitative or qualitative changes in the amelioration system within the boundaries of the land in their ownership or legal possession.</w:t>
      </w:r>
    </w:p>
    <w:p w14:paraId="5D447516"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44" w:name="n4"/>
      <w:bookmarkStart w:id="45" w:name="n-620371"/>
      <w:bookmarkEnd w:id="44"/>
      <w:bookmarkEnd w:id="45"/>
    </w:p>
    <w:p w14:paraId="74E0724E" w14:textId="04376C5A" w:rsidR="009C51F8" w:rsidRPr="009C51F8"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063D8D3" w14:textId="793EAF85" w:rsidR="00923FFF" w:rsidRPr="00923FFF"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Construction, Operation and Maintenance of an Amelioration System</w:t>
      </w:r>
    </w:p>
    <w:p w14:paraId="5181F643" w14:textId="77777777" w:rsidR="00923FFF" w:rsidRPr="00923FFF" w:rsidRDefault="00923FFF" w:rsidP="009C51F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30 March 2017</w:t>
      </w:r>
      <w:r>
        <w:rPr>
          <w:rFonts w:ascii="Times New Roman" w:hAnsi="Times New Roman"/>
          <w:sz w:val="24"/>
        </w:rPr>
        <w:t>]</w:t>
      </w:r>
    </w:p>
    <w:p w14:paraId="67F93068"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46" w:name="p19"/>
      <w:bookmarkStart w:id="47" w:name="p-518797"/>
      <w:bookmarkEnd w:id="46"/>
      <w:bookmarkEnd w:id="47"/>
    </w:p>
    <w:p w14:paraId="01D1397E" w14:textId="264CB645"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The State amelioration system and an amelioration system of national significance shall be constructed, maintained, and operated by the State limited liability company Immovable Properties of the Ministry of Agriculture.</w:t>
      </w:r>
    </w:p>
    <w:p w14:paraId="52973F62"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1CFA6F88"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48" w:name="p20"/>
      <w:bookmarkStart w:id="49" w:name="p-325608"/>
      <w:bookmarkEnd w:id="48"/>
      <w:bookmarkEnd w:id="49"/>
    </w:p>
    <w:p w14:paraId="0F677DAE" w14:textId="5DC30096"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Hydrometrical stations of ameliorative hydrometry shall be maintained, systematic observations, measurements and calculations shall be performed therein and hydrometric data shall be made available to the public by the State limited liability company Immovable Properties of the Ministry of Agriculture.</w:t>
      </w:r>
    </w:p>
    <w:p w14:paraId="58E6AAEC"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50" w:name="p21"/>
      <w:bookmarkStart w:id="51" w:name="p-325609"/>
      <w:bookmarkEnd w:id="50"/>
      <w:bookmarkEnd w:id="51"/>
    </w:p>
    <w:p w14:paraId="104D35FC" w14:textId="4E95839B"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Amelioration systems on State forest land transferred to the management of the State stock company Latvian State Forests, the State Forest Service and the Nature Conservation Agency shall be operated and maintained by the State stock company Latvian State Forests, the State Forest Service and the Nature Conservation Agency accordingly, except that specified in Section 19 of this Law.</w:t>
      </w:r>
    </w:p>
    <w:p w14:paraId="13D2BE0A"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52" w:name="p22"/>
      <w:bookmarkStart w:id="53" w:name="p-518799"/>
      <w:bookmarkEnd w:id="52"/>
      <w:bookmarkEnd w:id="53"/>
    </w:p>
    <w:p w14:paraId="7D1CB9BE" w14:textId="243802DE"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 The construction, operation, and maintenance of a local government amelioration system shall be ensured by the relevant local government.</w:t>
      </w:r>
    </w:p>
    <w:p w14:paraId="520EACE0"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local government amelioration system is located in the administrative territory of two or several local governments, they have a duty to participate in construction, operation, and maintenance of the local government amelioration system.</w:t>
      </w:r>
    </w:p>
    <w:p w14:paraId="180AFB26"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5 June 2014</w:t>
      </w:r>
      <w:r>
        <w:rPr>
          <w:rFonts w:ascii="Times New Roman" w:hAnsi="Times New Roman"/>
          <w:sz w:val="24"/>
        </w:rPr>
        <w:t>]</w:t>
      </w:r>
    </w:p>
    <w:p w14:paraId="775FCC9C"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54" w:name="p22_1"/>
      <w:bookmarkStart w:id="55" w:name="p-518800"/>
      <w:bookmarkEnd w:id="54"/>
      <w:bookmarkEnd w:id="55"/>
    </w:p>
    <w:p w14:paraId="78519840" w14:textId="16D152BD"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construction, operation, and maintenance of an amelioration system of local government significance for common use shall be ensured by the owners or legal possessors of the relevant land. The local government may participate in construction, operation, and maintenance of an amelioration system of local government significance for common use.</w:t>
      </w:r>
    </w:p>
    <w:p w14:paraId="6D4AB8F9"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a local government shall participate in construction, operation, and maintenance of an amelioration system of local government significance for common use, as well as the procedures by which the local government shall participate in covering the costs of construction, operation, and maintenance of an amelioration system of local government significance for common use, shall be determined by the Cabinet.</w:t>
      </w:r>
    </w:p>
    <w:p w14:paraId="66A70DAF"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06E85E92"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56" w:name="p22_2"/>
      <w:bookmarkStart w:id="57" w:name="p-620372"/>
      <w:bookmarkEnd w:id="56"/>
      <w:bookmarkEnd w:id="57"/>
    </w:p>
    <w:p w14:paraId="31C4DBB3" w14:textId="313986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22.</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Local government shall take the decision to grant the status of an amelioration system of local government significance for common use. Before taking the decision, the local government shall coordinate the location, designations of the amelioration cadastre and length of the amelioration system for common use with the State limited liability company Immovable Properties of the Ministry of Agriculture, and shall also find out and evaluate the opinion of the land owners or legal possessors within the boundaries of the land unit of which the amelioration system for common use is located. The decision taken may be appealed before a court in accordance with the procedures laid down in the Administrative Procedure Law. Appeal of the decision shall not suspend its operation.</w:t>
      </w:r>
    </w:p>
    <w:p w14:paraId="682D35CC"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local government may provide additional requirements for the operation and maintenance of an amelioration system of local government significance for common use and liability for violating the aforementioned requirements in the binding regulations.</w:t>
      </w:r>
    </w:p>
    <w:p w14:paraId="2975AFCC"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shall, within one month after a decision to grant the status of an amelioration system of local government significance for common use is taken, inform the State limited liability company Immovable Properties of the Ministry of Agriculture thereon.</w:t>
      </w:r>
    </w:p>
    <w:p w14:paraId="22E5F309"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5 June 2014; 30 March 2017</w:t>
      </w:r>
      <w:r>
        <w:rPr>
          <w:rFonts w:ascii="Times New Roman" w:hAnsi="Times New Roman"/>
          <w:sz w:val="24"/>
        </w:rPr>
        <w:t>]</w:t>
      </w:r>
    </w:p>
    <w:p w14:paraId="36EA2FD2"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58" w:name="p23"/>
      <w:bookmarkStart w:id="59" w:name="p-325611"/>
      <w:bookmarkEnd w:id="58"/>
      <w:bookmarkEnd w:id="59"/>
    </w:p>
    <w:p w14:paraId="6AA97682" w14:textId="1B80CAA0"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An amelioration system for common use shall be operated and maintained by owners or legal possessors of the relevant land.</w:t>
      </w:r>
    </w:p>
    <w:p w14:paraId="214B5BC6"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60" w:name="p24"/>
      <w:bookmarkStart w:id="61" w:name="p-325612"/>
      <w:bookmarkEnd w:id="60"/>
      <w:bookmarkEnd w:id="61"/>
    </w:p>
    <w:p w14:paraId="02345C0E" w14:textId="51396102"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An amelioration system of a single property shall be operated and maintained by the owner or legal possessor of the relevant land.</w:t>
      </w:r>
    </w:p>
    <w:p w14:paraId="741BC217"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62" w:name="p25"/>
      <w:bookmarkStart w:id="63" w:name="p-325613"/>
      <w:bookmarkEnd w:id="62"/>
      <w:bookmarkEnd w:id="63"/>
    </w:p>
    <w:p w14:paraId="2DBC3E1C" w14:textId="630C90CC"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The Cabinet shall issue regulations regarding the operation and maintenance of an amelioration system by stipulating the requirements, which the land owner or legal possessor must observe while using, caring for and preserving the amelioration system.</w:t>
      </w:r>
    </w:p>
    <w:p w14:paraId="453870B4"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64" w:name="p25_1"/>
      <w:bookmarkStart w:id="65" w:name="p-620373"/>
      <w:bookmarkEnd w:id="64"/>
      <w:bookmarkEnd w:id="65"/>
    </w:p>
    <w:p w14:paraId="29A7746B" w14:textId="67F1E058"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Construction conception planned in the borderland shall be coordinated with the State Border Guard before the submission of the conception application.</w:t>
      </w:r>
    </w:p>
    <w:p w14:paraId="1829F8DA"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March 2017</w:t>
      </w:r>
      <w:r>
        <w:rPr>
          <w:rFonts w:ascii="Times New Roman" w:hAnsi="Times New Roman"/>
          <w:sz w:val="24"/>
        </w:rPr>
        <w:t>]</w:t>
      </w:r>
    </w:p>
    <w:p w14:paraId="72FC8157"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66" w:name="p25_2"/>
      <w:bookmarkStart w:id="67" w:name="p-620374"/>
      <w:bookmarkEnd w:id="66"/>
      <w:bookmarkEnd w:id="67"/>
    </w:p>
    <w:p w14:paraId="1D3C7DB7" w14:textId="21486FFA"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25.</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Owners of amelioration systems have the obligation to coordinate the construction conception of an amelioration system with the land owner. The construction conception coordination procedure may be replaced with the timely provision of information to the land owner in writing, if the renovation of State amelioration systems and amelioration systems of national and local government significance is planned, without changing the width of the previously determined protection zone or the size of the protection zone.</w:t>
      </w:r>
    </w:p>
    <w:p w14:paraId="34AFAA00"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March 2017</w:t>
      </w:r>
      <w:r>
        <w:rPr>
          <w:rFonts w:ascii="Times New Roman" w:hAnsi="Times New Roman"/>
          <w:sz w:val="24"/>
        </w:rPr>
        <w:t>]</w:t>
      </w:r>
    </w:p>
    <w:p w14:paraId="41225FA4"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68" w:name="n5"/>
      <w:bookmarkStart w:id="69" w:name="n-325614"/>
      <w:bookmarkEnd w:id="68"/>
      <w:bookmarkEnd w:id="69"/>
    </w:p>
    <w:p w14:paraId="231E7792" w14:textId="5BFAD74C" w:rsidR="009C51F8" w:rsidRPr="009C51F8" w:rsidRDefault="00923FFF" w:rsidP="004E4E9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21997A4" w14:textId="618E173D" w:rsidR="00923FFF" w:rsidRPr="00923FFF" w:rsidRDefault="00923FFF" w:rsidP="004E4E9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Amelioration</w:t>
      </w:r>
    </w:p>
    <w:p w14:paraId="6C4D9BAB" w14:textId="77777777" w:rsidR="009C51F8" w:rsidRDefault="009C51F8" w:rsidP="004E4E9F">
      <w:pPr>
        <w:keepNext/>
        <w:spacing w:after="0" w:line="240" w:lineRule="auto"/>
        <w:jc w:val="both"/>
        <w:rPr>
          <w:rFonts w:ascii="Times New Roman" w:eastAsia="Times New Roman" w:hAnsi="Times New Roman" w:cs="Times New Roman"/>
          <w:b/>
          <w:bCs/>
          <w:noProof/>
          <w:sz w:val="24"/>
          <w:szCs w:val="24"/>
        </w:rPr>
      </w:pPr>
      <w:bookmarkStart w:id="70" w:name="p26"/>
      <w:bookmarkStart w:id="71" w:name="p-344195"/>
      <w:bookmarkEnd w:id="70"/>
      <w:bookmarkEnd w:id="71"/>
    </w:p>
    <w:p w14:paraId="3ADB6005" w14:textId="5EBBF908" w:rsidR="00923FFF" w:rsidRPr="00923FFF" w:rsidRDefault="00923FFF" w:rsidP="004E4E9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p>
    <w:p w14:paraId="0CFF79CF" w14:textId="77777777" w:rsidR="00923FFF" w:rsidRPr="00923FFF" w:rsidRDefault="00923FFF" w:rsidP="004E4E9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[3 June 2010]</w:t>
      </w:r>
    </w:p>
    <w:p w14:paraId="2B258D02" w14:textId="77777777" w:rsidR="009C51F8" w:rsidRDefault="009C51F8" w:rsidP="004E4E9F">
      <w:pPr>
        <w:keepNext/>
        <w:spacing w:after="0" w:line="240" w:lineRule="auto"/>
        <w:jc w:val="both"/>
        <w:rPr>
          <w:rFonts w:ascii="Times New Roman" w:eastAsia="Times New Roman" w:hAnsi="Times New Roman" w:cs="Times New Roman"/>
          <w:b/>
          <w:bCs/>
          <w:noProof/>
          <w:sz w:val="24"/>
          <w:szCs w:val="24"/>
        </w:rPr>
      </w:pPr>
      <w:bookmarkStart w:id="72" w:name="p27"/>
      <w:bookmarkStart w:id="73" w:name="p-518803"/>
      <w:bookmarkEnd w:id="72"/>
      <w:bookmarkEnd w:id="73"/>
    </w:p>
    <w:p w14:paraId="3FF0B372" w14:textId="7859E14F" w:rsidR="00923FFF" w:rsidRPr="00923FFF" w:rsidRDefault="00923FFF" w:rsidP="004E4E9F">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The construction, reconstruction and renovation, operation and maintenance of the State amelioration system and an amelioration system of national significance shall be financed from the funds provided for this purpose in the State budget.</w:t>
      </w:r>
    </w:p>
    <w:p w14:paraId="1020ED91"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4E9F">
        <w:rPr>
          <w:rFonts w:ascii="Times New Roman" w:hAnsi="Times New Roman"/>
          <w:i/>
          <w:iCs/>
          <w:sz w:val="24"/>
        </w:rPr>
        <w:t>3 June 2010; 5 June 2014</w:t>
      </w:r>
      <w:r>
        <w:rPr>
          <w:rFonts w:ascii="Times New Roman" w:hAnsi="Times New Roman"/>
          <w:sz w:val="24"/>
        </w:rPr>
        <w:t>]</w:t>
      </w:r>
    </w:p>
    <w:p w14:paraId="2F950A2D"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74" w:name="p28"/>
      <w:bookmarkStart w:id="75" w:name="p-325619"/>
      <w:bookmarkEnd w:id="74"/>
      <w:bookmarkEnd w:id="75"/>
    </w:p>
    <w:p w14:paraId="5A467C49" w14:textId="5A9F6290"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The construction, operation and maintenance of a local government amelioration system shall be financed by the local government.</w:t>
      </w:r>
    </w:p>
    <w:p w14:paraId="3262E98B"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76" w:name="p29"/>
      <w:bookmarkStart w:id="77" w:name="p-518805"/>
      <w:bookmarkEnd w:id="76"/>
      <w:bookmarkEnd w:id="77"/>
    </w:p>
    <w:p w14:paraId="5D1AE797" w14:textId="03B42E5A"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(1) The construction, operation and maintenance of an amelioration system for common use shall be financed by owners or legal possessors of the relevant land according to a fixed cost.</w:t>
      </w:r>
    </w:p>
    <w:p w14:paraId="6C337B59"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calculating, distributing of costs, and settling of accounts for the construction, operation, and maintenance of an amelioration system for common use, amelioration system of local government significance for common use, as well as such amelioration system for common use, amelioration system of local government significance for common use which is located in the administrative territory of two or several local governments, shall be determined by the Cabinet.</w:t>
      </w:r>
    </w:p>
    <w:p w14:paraId="0E0FE9F7"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cases when an amelioration system for common use does not provide the water regime provided for in the construction norms for amelioration systems and hydrotechnical structures or creates an accident threat, the local government is entitled to ensure the financing of the construction, operation and maintenance of an amelioration system for common use, collecting payment from the land owner or legal possessor.</w:t>
      </w:r>
    </w:p>
    <w:p w14:paraId="138F5A1C"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629E5E80"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78" w:name="p30"/>
      <w:bookmarkStart w:id="79" w:name="p-325622"/>
      <w:bookmarkEnd w:id="78"/>
      <w:bookmarkEnd w:id="79"/>
    </w:p>
    <w:p w14:paraId="7D80B28B" w14:textId="17A651D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The construction, operation and maintenance of an amelioration system of a single property shall be financed by the owner or legal possessor of the relevant land.</w:t>
      </w:r>
    </w:p>
    <w:p w14:paraId="3373C83A"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80" w:name="p31"/>
      <w:bookmarkStart w:id="81" w:name="p-325623"/>
      <w:bookmarkEnd w:id="80"/>
      <w:bookmarkEnd w:id="81"/>
    </w:p>
    <w:p w14:paraId="4D4E7E8C" w14:textId="709C3395"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Ameliorative hydrometry, practical scientific research and development of amelioration, preparation of sectoral norms (standards) and organisation of the amelioration cadastre shall be financed from the funds from the State budget intended for this purpose.</w:t>
      </w:r>
    </w:p>
    <w:p w14:paraId="3A01097E"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82" w:name="n6"/>
      <w:bookmarkStart w:id="83" w:name="n-325624"/>
      <w:bookmarkEnd w:id="82"/>
      <w:bookmarkEnd w:id="83"/>
    </w:p>
    <w:p w14:paraId="77963143" w14:textId="7BD51E87" w:rsidR="009C51F8" w:rsidRPr="009C51F8"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5759AB08" w14:textId="62DDF1E8" w:rsidR="00923FFF" w:rsidRPr="00923FFF"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Ameliorative Technical Documentation</w:t>
      </w:r>
    </w:p>
    <w:p w14:paraId="3218CABE"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84" w:name="p32"/>
      <w:bookmarkStart w:id="85" w:name="p-325625"/>
      <w:bookmarkEnd w:id="84"/>
      <w:bookmarkEnd w:id="85"/>
    </w:p>
    <w:p w14:paraId="26033A82" w14:textId="54D608B4"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(1) Ameliorative technical documentation shall contain the documentation of agricultural land amelioration projects, drawings of hydrotechnical structure projects (originals), documentation of drainage and polder projects, forest amelioration projects, documentation of projects for buildings and structures of undertakings in the field of amelioration, as well as documentation of different water management developments.</w:t>
      </w:r>
    </w:p>
    <w:p w14:paraId="64E85694"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archives of ameliorative technical documentation shall be stored by the State limited liability company Immovable Properties of the Ministry of Agriculture.</w:t>
      </w:r>
    </w:p>
    <w:p w14:paraId="706EBC90"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86" w:name="n7"/>
      <w:bookmarkStart w:id="87" w:name="n-705410"/>
      <w:bookmarkStart w:id="88" w:name="aa"/>
      <w:bookmarkEnd w:id="86"/>
      <w:bookmarkEnd w:id="87"/>
      <w:bookmarkEnd w:id="88"/>
    </w:p>
    <w:p w14:paraId="32413640" w14:textId="7C269D55" w:rsidR="009C51F8" w:rsidRPr="009C51F8" w:rsidRDefault="00923FFF" w:rsidP="004E4E9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404E654D" w14:textId="43D3F40D" w:rsidR="00923FFF" w:rsidRPr="00923FFF" w:rsidRDefault="00923FFF" w:rsidP="004E4E9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Amelioration and Competence in Administrative Offence Proceedings</w:t>
      </w:r>
    </w:p>
    <w:p w14:paraId="1A910647" w14:textId="77777777" w:rsidR="00923FFF" w:rsidRPr="00923FFF" w:rsidRDefault="00923FFF" w:rsidP="004E4E9F">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62C80C52"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89" w:name="p33"/>
      <w:bookmarkStart w:id="90" w:name="p-705412"/>
      <w:bookmarkEnd w:id="89"/>
      <w:bookmarkEnd w:id="90"/>
    </w:p>
    <w:p w14:paraId="48AA9A53" w14:textId="6344D5B9"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33. </w:t>
      </w:r>
      <w:r>
        <w:rPr>
          <w:rFonts w:ascii="Times New Roman" w:hAnsi="Times New Roman"/>
          <w:sz w:val="24"/>
        </w:rPr>
        <w:t>(1) For the littering, polluting, allowing to overgrow or clogging the amelioration system, a fine from three to forty units of fine shall be imposed on a natural person but a fine from twenty to one hundred units of fine on a legal person.</w:t>
      </w:r>
    </w:p>
    <w:p w14:paraId="53EF3566"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damage to or destruction of an amelioration system, a fine from fourteen to one hundred and forty units of fine shall be imposed on a natural person but a fine from twenty-eight to two hundred and eighty units of fine on a legal person.</w:t>
      </w:r>
    </w:p>
    <w:p w14:paraId="1AE05C54"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6822CF76" w14:textId="77777777" w:rsidR="009C51F8" w:rsidRDefault="009C51F8" w:rsidP="00CD7724">
      <w:pPr>
        <w:spacing w:after="0" w:line="240" w:lineRule="auto"/>
        <w:jc w:val="both"/>
        <w:rPr>
          <w:rFonts w:ascii="Times New Roman" w:eastAsia="Times New Roman" w:hAnsi="Times New Roman" w:cs="Times New Roman"/>
          <w:b/>
          <w:bCs/>
          <w:noProof/>
          <w:sz w:val="24"/>
          <w:szCs w:val="24"/>
        </w:rPr>
      </w:pPr>
      <w:bookmarkStart w:id="91" w:name="p34"/>
      <w:bookmarkStart w:id="92" w:name="p-705413"/>
      <w:bookmarkEnd w:id="91"/>
      <w:bookmarkEnd w:id="92"/>
    </w:p>
    <w:p w14:paraId="2C42C6ED" w14:textId="354661CD"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34. </w:t>
      </w:r>
      <w:r>
        <w:rPr>
          <w:rFonts w:ascii="Times New Roman" w:hAnsi="Times New Roman"/>
          <w:sz w:val="24"/>
        </w:rPr>
        <w:t>The administrative offence proceedings for the offences referred to in Section 33 of this Law shall be conducted by the official of a local government building authority or the environmental control official of the local government.</w:t>
      </w:r>
    </w:p>
    <w:p w14:paraId="18D645B8"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xml:space="preserve"> </w:t>
      </w:r>
      <w:r>
        <w:rPr>
          <w:rFonts w:ascii="Times New Roman" w:hAnsi="Times New Roman"/>
          <w:i/>
          <w:iCs/>
          <w:sz w:val="24"/>
        </w:rPr>
        <w:t>This Section shall come into force on 1 July 2020.</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65743677"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93" w:name="325626"/>
      <w:bookmarkEnd w:id="93"/>
    </w:p>
    <w:p w14:paraId="6F3D7297" w14:textId="1A7DC17A" w:rsidR="00923FFF" w:rsidRPr="00923FFF" w:rsidRDefault="00923FFF" w:rsidP="009C51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4" w:name="pn-325626"/>
      <w:bookmarkEnd w:id="94"/>
    </w:p>
    <w:p w14:paraId="456A6DC0"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95" w:name="p-325627"/>
      <w:bookmarkEnd w:id="95"/>
    </w:p>
    <w:p w14:paraId="23620763" w14:textId="365A6892"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Amelioration Law of 20 November 2003 (</w:t>
      </w:r>
      <w:r w:rsidRPr="00987DB6">
        <w:rPr>
          <w:rFonts w:ascii="Times New Roman" w:hAnsi="Times New Roman"/>
          <w:i/>
          <w:iCs/>
          <w:sz w:val="24"/>
        </w:rPr>
        <w:t>Latvijas Republikas Saeimas un Ministru Kabineta Ziņotājs</w:t>
      </w:r>
      <w:r>
        <w:rPr>
          <w:rFonts w:ascii="Times New Roman" w:hAnsi="Times New Roman"/>
          <w:sz w:val="24"/>
        </w:rPr>
        <w:t>, 2004, No. 2) is repealed.</w:t>
      </w:r>
      <w:bookmarkStart w:id="96" w:name="pn1"/>
      <w:bookmarkEnd w:id="96"/>
    </w:p>
    <w:p w14:paraId="0A63C75F"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97" w:name="p-344200"/>
      <w:bookmarkEnd w:id="97"/>
    </w:p>
    <w:p w14:paraId="02C2369D" w14:textId="1F0127E2"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[3 June 2010]</w:t>
      </w:r>
      <w:bookmarkStart w:id="98" w:name="pn2"/>
      <w:bookmarkEnd w:id="98"/>
    </w:p>
    <w:p w14:paraId="3E647155"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99" w:name="p-344201"/>
      <w:bookmarkEnd w:id="99"/>
    </w:p>
    <w:p w14:paraId="6FB5C9BF" w14:textId="30E438D1"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 June 2010]</w:t>
      </w:r>
      <w:bookmarkStart w:id="100" w:name="pn3"/>
      <w:bookmarkEnd w:id="100"/>
    </w:p>
    <w:p w14:paraId="3399F4AA"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101" w:name="p-325630"/>
      <w:bookmarkEnd w:id="101"/>
    </w:p>
    <w:p w14:paraId="2C09A4BE" w14:textId="2E5CA7B1"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the regulations referred to in Section 13 and Section 16, Paragraph three of this Law by 30 June 2010.</w:t>
      </w:r>
      <w:bookmarkStart w:id="102" w:name="pn4"/>
      <w:bookmarkEnd w:id="102"/>
    </w:p>
    <w:p w14:paraId="5D58C8F0"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103" w:name="p-325631"/>
      <w:bookmarkEnd w:id="103"/>
    </w:p>
    <w:p w14:paraId="0901DD46" w14:textId="344BDC8C"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day when the relevant Cabinet regulations come into force, but not later than until 30 June 2010, the following Cabinet regulations shall be applicable insofar as they are not in contradiction with this Law:</w:t>
      </w:r>
      <w:bookmarkStart w:id="104" w:name="pn5"/>
      <w:bookmarkEnd w:id="104"/>
    </w:p>
    <w:p w14:paraId="27928E83"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272 of 8 April 2004, Regulations Regarding the Operation and Maintenance of Land Amelioration Systems;</w:t>
      </w:r>
    </w:p>
    <w:p w14:paraId="3C720764"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520 of 1 June 2004, Procedures for the Determination and Reimbursement of Losses Related to the Damage to, Destruction or Limitation of the Right to Use Amelioration Systems;</w:t>
      </w:r>
    </w:p>
    <w:p w14:paraId="7D924BF6"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629 of 27 July 2004, Regulations Regarding Land Amelioration Cadastre;</w:t>
      </w:r>
    </w:p>
    <w:p w14:paraId="707904E4" w14:textId="77777777" w:rsidR="00923FFF" w:rsidRPr="00923FFF" w:rsidRDefault="00923FFF" w:rsidP="009C51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662 of 3 August 2004, Procedures for Calculation of the Costs of Construction, Operation and Maintenance of Amelioration Systems for Common Use, Their Distribution and Settlement.</w:t>
      </w:r>
    </w:p>
    <w:p w14:paraId="4D968064"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105" w:name="p-344202"/>
      <w:bookmarkEnd w:id="105"/>
    </w:p>
    <w:p w14:paraId="6DBD87A6" w14:textId="32219679"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[3 June 2010]</w:t>
      </w:r>
      <w:bookmarkStart w:id="106" w:name="pn6"/>
      <w:bookmarkEnd w:id="106"/>
    </w:p>
    <w:p w14:paraId="1C4E306D"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107" w:name="p-325633"/>
      <w:bookmarkEnd w:id="107"/>
    </w:p>
    <w:p w14:paraId="1B09F001" w14:textId="21C84D6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 the coming into force of this Law the Rural Support Service shall transfer and the State limited liability company Immovable Properties of the Ministry of Agriculture shall accept the amelioration cadastre and ameliorative hydrometry and all the moveable and immovable property relating to them, concurrently excluding the property from the balance of the Rural Support Service and placing it in the balance of the State limited liability company Immovable Properties of the Ministry of Agriculture.</w:t>
      </w:r>
      <w:bookmarkStart w:id="108" w:name="pn7"/>
      <w:bookmarkEnd w:id="108"/>
    </w:p>
    <w:p w14:paraId="220C4607"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109" w:name="p-518807"/>
      <w:bookmarkEnd w:id="109"/>
    </w:p>
    <w:p w14:paraId="67492436" w14:textId="43E0CC59"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4, Paragraph one, Clause 4 of this Law in relation to the issuance of technical provisions for planting of woody plantations in ameliorated land to be used for agriculture shall come into force concurrently with the relevant amendments to the Law on Agriculture and Rural Development.</w:t>
      </w:r>
      <w:bookmarkStart w:id="110" w:name="pn8"/>
      <w:bookmarkEnd w:id="110"/>
    </w:p>
    <w:p w14:paraId="7BFF2140"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87DB6">
        <w:rPr>
          <w:rFonts w:ascii="Times New Roman" w:hAnsi="Times New Roman"/>
          <w:i/>
          <w:iCs/>
          <w:sz w:val="24"/>
        </w:rPr>
        <w:t>5 June 2014</w:t>
      </w:r>
      <w:r>
        <w:rPr>
          <w:rFonts w:ascii="Times New Roman" w:hAnsi="Times New Roman"/>
          <w:sz w:val="24"/>
        </w:rPr>
        <w:t>]</w:t>
      </w:r>
    </w:p>
    <w:p w14:paraId="03FEEC64"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111" w:name="p-518808"/>
      <w:bookmarkEnd w:id="111"/>
    </w:p>
    <w:p w14:paraId="05AB9B33" w14:textId="4BE75043"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by 31 December 2014, issue the regulations referred to in Section 22.</w:t>
      </w:r>
      <w:r>
        <w:rPr>
          <w:rFonts w:ascii="Times New Roman" w:hAnsi="Times New Roman"/>
          <w:sz w:val="24"/>
          <w:vertAlign w:val="superscript"/>
        </w:rPr>
        <w:t>1</w:t>
      </w:r>
      <w:r>
        <w:rPr>
          <w:rFonts w:ascii="Times New Roman" w:hAnsi="Times New Roman"/>
          <w:sz w:val="24"/>
        </w:rPr>
        <w:t>, Paragraph two and Section 29, Paragraph two of this Law.</w:t>
      </w:r>
      <w:bookmarkStart w:id="112" w:name="pn9"/>
      <w:bookmarkEnd w:id="112"/>
    </w:p>
    <w:p w14:paraId="236DAC40"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7AFF365C" w14:textId="77777777" w:rsidR="009C51F8" w:rsidRDefault="009C51F8" w:rsidP="00CD7724">
      <w:pPr>
        <w:spacing w:after="0" w:line="240" w:lineRule="auto"/>
        <w:jc w:val="both"/>
        <w:rPr>
          <w:rFonts w:ascii="Times New Roman" w:eastAsia="Times New Roman" w:hAnsi="Times New Roman" w:cs="Times New Roman"/>
          <w:noProof/>
          <w:sz w:val="24"/>
          <w:szCs w:val="24"/>
        </w:rPr>
      </w:pPr>
      <w:bookmarkStart w:id="113" w:name="p-705417"/>
      <w:bookmarkEnd w:id="113"/>
    </w:p>
    <w:p w14:paraId="4175D9FC" w14:textId="65BF67D5"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Chapter VII of this Law shall come into force concurrently with the Law on Administrative Liability.</w:t>
      </w:r>
      <w:bookmarkStart w:id="114" w:name="pn10"/>
      <w:bookmarkEnd w:id="114"/>
    </w:p>
    <w:p w14:paraId="61385E01" w14:textId="77777777"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3320ABE1"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399630AD"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6446FAF0" w14:textId="076E9D53" w:rsidR="009C51F8"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25 January 2010.</w:t>
      </w:r>
    </w:p>
    <w:p w14:paraId="6466A657"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4A7B34D0" w14:textId="1215ABA5"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987DB6">
        <w:rPr>
          <w:rFonts w:ascii="Times New Roman" w:hAnsi="Times New Roman"/>
          <w:i/>
          <w:iCs/>
          <w:sz w:val="24"/>
        </w:rPr>
        <w:t>Saeima</w:t>
      </w:r>
      <w:r>
        <w:rPr>
          <w:rFonts w:ascii="Times New Roman" w:hAnsi="Times New Roman"/>
          <w:sz w:val="24"/>
        </w:rPr>
        <w:t xml:space="preserve"> on 14 January 2010.</w:t>
      </w:r>
    </w:p>
    <w:p w14:paraId="1FA9CA62"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7270F310"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73A5F157" w14:textId="3CE6D3E8" w:rsidR="00923FFF" w:rsidRPr="00923FFF" w:rsidRDefault="00923FFF" w:rsidP="00987DB6">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87DB6">
        <w:rPr>
          <w:rFonts w:ascii="Times New Roman" w:hAnsi="Times New Roman"/>
          <w:sz w:val="24"/>
        </w:rPr>
        <w:tab/>
      </w:r>
      <w:r>
        <w:rPr>
          <w:rFonts w:ascii="Times New Roman" w:hAnsi="Times New Roman"/>
          <w:sz w:val="24"/>
        </w:rPr>
        <w:t>V. Zatlers</w:t>
      </w:r>
    </w:p>
    <w:p w14:paraId="41C5BC4F" w14:textId="77777777" w:rsidR="009C51F8" w:rsidRDefault="009C51F8" w:rsidP="00CD7724">
      <w:pPr>
        <w:spacing w:after="0" w:line="240" w:lineRule="auto"/>
        <w:jc w:val="both"/>
        <w:rPr>
          <w:rFonts w:ascii="Times New Roman" w:eastAsia="Times New Roman" w:hAnsi="Times New Roman" w:cs="Times New Roman"/>
          <w:noProof/>
          <w:sz w:val="24"/>
          <w:szCs w:val="24"/>
          <w:lang w:eastAsia="lv-LV"/>
        </w:rPr>
      </w:pPr>
    </w:p>
    <w:p w14:paraId="40289862" w14:textId="72299F00" w:rsidR="00923FFF" w:rsidRPr="00923FFF" w:rsidRDefault="00923FFF" w:rsidP="00CD772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January 2010</w:t>
      </w:r>
    </w:p>
    <w:p w14:paraId="706AB227" w14:textId="77777777" w:rsidR="00923FFF" w:rsidRPr="00CD7724" w:rsidRDefault="00923FFF" w:rsidP="00CD7724">
      <w:pPr>
        <w:spacing w:after="0" w:line="240" w:lineRule="auto"/>
        <w:jc w:val="both"/>
        <w:rPr>
          <w:rFonts w:ascii="Times New Roman" w:hAnsi="Times New Roman"/>
          <w:noProof/>
          <w:sz w:val="24"/>
        </w:rPr>
      </w:pPr>
    </w:p>
    <w:sectPr w:rsidR="00923FFF" w:rsidRPr="00CD7724" w:rsidSect="00CD772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83D47" w14:textId="77777777" w:rsidR="00923FFF" w:rsidRPr="00923FFF" w:rsidRDefault="00923FFF" w:rsidP="00923FFF">
      <w:pPr>
        <w:spacing w:after="0" w:line="240" w:lineRule="auto"/>
        <w:rPr>
          <w:noProof/>
          <w:lang w:val="en-US"/>
        </w:rPr>
      </w:pPr>
      <w:r w:rsidRPr="00923FFF">
        <w:rPr>
          <w:noProof/>
          <w:lang w:val="en-US"/>
        </w:rPr>
        <w:separator/>
      </w:r>
    </w:p>
  </w:endnote>
  <w:endnote w:type="continuationSeparator" w:id="0">
    <w:p w14:paraId="080511AC" w14:textId="77777777" w:rsidR="00923FFF" w:rsidRPr="00923FFF" w:rsidRDefault="00923FFF" w:rsidP="00923FFF">
      <w:pPr>
        <w:spacing w:after="0" w:line="240" w:lineRule="auto"/>
        <w:rPr>
          <w:noProof/>
          <w:lang w:val="en-US"/>
        </w:rPr>
      </w:pPr>
      <w:r w:rsidRPr="00923FF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7C4E" w14:textId="77777777" w:rsidR="00EE1E86" w:rsidRPr="00990B77" w:rsidRDefault="00EE1E86" w:rsidP="00EE1E86">
    <w:pPr>
      <w:pStyle w:val="Kjene"/>
      <w:rPr>
        <w:rFonts w:ascii="Times New Roman" w:hAnsi="Times New Roman"/>
        <w:sz w:val="20"/>
        <w:szCs w:val="20"/>
      </w:rPr>
    </w:pPr>
  </w:p>
  <w:p w14:paraId="6712773A" w14:textId="77777777" w:rsidR="00EE1E86" w:rsidRPr="00990B77" w:rsidRDefault="00EE1E86" w:rsidP="00EE1E86">
    <w:pPr>
      <w:pStyle w:val="Kjene"/>
      <w:framePr w:wrap="around" w:vAnchor="text" w:hAnchor="margin" w:xAlign="right" w:y="1"/>
      <w:jc w:val="right"/>
      <w:rPr>
        <w:rStyle w:val="Lappusesnumurs"/>
        <w:rFonts w:ascii="Times New Roman" w:hAnsi="Times New Roman"/>
        <w:sz w:val="20"/>
        <w:szCs w:val="20"/>
      </w:rPr>
    </w:pPr>
    <w:r w:rsidRPr="00990B77">
      <w:rPr>
        <w:rStyle w:val="Lappusesnumurs"/>
        <w:rFonts w:ascii="Times New Roman" w:hAnsi="Times New Roman"/>
        <w:sz w:val="20"/>
        <w:szCs w:val="20"/>
      </w:rPr>
      <w:fldChar w:fldCharType="begin"/>
    </w:r>
    <w:r w:rsidRPr="00990B77">
      <w:rPr>
        <w:rStyle w:val="Lappusesnumurs"/>
        <w:rFonts w:ascii="Times New Roman" w:hAnsi="Times New Roman"/>
        <w:sz w:val="20"/>
        <w:szCs w:val="20"/>
      </w:rPr>
      <w:instrText xml:space="preserve"> PAGE </w:instrText>
    </w:r>
    <w:r w:rsidRPr="00990B77">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990B77">
      <w:rPr>
        <w:rStyle w:val="Lappusesnumurs"/>
        <w:rFonts w:ascii="Times New Roman" w:hAnsi="Times New Roman"/>
        <w:sz w:val="20"/>
        <w:szCs w:val="20"/>
      </w:rPr>
      <w:fldChar w:fldCharType="end"/>
    </w:r>
    <w:r w:rsidRPr="00990B77">
      <w:rPr>
        <w:rStyle w:val="Lappusesnumurs"/>
        <w:rFonts w:ascii="Times New Roman" w:hAnsi="Times New Roman"/>
        <w:sz w:val="20"/>
        <w:szCs w:val="20"/>
      </w:rPr>
      <w:t xml:space="preserve"> </w:t>
    </w:r>
  </w:p>
  <w:p w14:paraId="4A74E36E" w14:textId="77777777" w:rsidR="00EE1E86" w:rsidRPr="00990B77" w:rsidRDefault="00EE1E86" w:rsidP="00EE1E86">
    <w:pPr>
      <w:pStyle w:val="Kjene"/>
      <w:rPr>
        <w:rFonts w:ascii="Times New Roman" w:hAnsi="Times New Roman"/>
        <w:sz w:val="20"/>
        <w:szCs w:val="20"/>
      </w:rPr>
    </w:pPr>
    <w:r w:rsidRPr="00990B77">
      <w:rPr>
        <w:rFonts w:ascii="Times New Roman" w:hAnsi="Times New Roman"/>
        <w:sz w:val="20"/>
        <w:szCs w:val="20"/>
      </w:rPr>
      <w:t xml:space="preserve">Translation </w:t>
    </w:r>
    <w:r w:rsidRPr="00990B77">
      <w:rPr>
        <w:rFonts w:ascii="Times New Roman" w:hAnsi="Times New Roman"/>
        <w:sz w:val="20"/>
        <w:szCs w:val="20"/>
      </w:rPr>
      <w:fldChar w:fldCharType="begin"/>
    </w:r>
    <w:r w:rsidRPr="00990B77">
      <w:rPr>
        <w:rFonts w:ascii="Times New Roman" w:hAnsi="Times New Roman"/>
        <w:sz w:val="20"/>
        <w:szCs w:val="20"/>
      </w:rPr>
      <w:instrText>symbol 169 \f "UnivrstyRoman TL" \s 8</w:instrText>
    </w:r>
    <w:r w:rsidRPr="00990B77">
      <w:rPr>
        <w:rFonts w:ascii="Times New Roman" w:hAnsi="Times New Roman"/>
        <w:sz w:val="20"/>
        <w:szCs w:val="20"/>
      </w:rPr>
      <w:fldChar w:fldCharType="separate"/>
    </w:r>
    <w:r w:rsidRPr="00990B77">
      <w:rPr>
        <w:rFonts w:ascii="Times New Roman" w:hAnsi="Times New Roman"/>
        <w:sz w:val="20"/>
        <w:szCs w:val="20"/>
      </w:rPr>
      <w:t>©</w:t>
    </w:r>
    <w:r w:rsidRPr="00990B77">
      <w:rPr>
        <w:rFonts w:ascii="Times New Roman" w:hAnsi="Times New Roman"/>
        <w:sz w:val="20"/>
        <w:szCs w:val="20"/>
      </w:rPr>
      <w:fldChar w:fldCharType="end"/>
    </w:r>
    <w:r>
      <w:rPr>
        <w:rFonts w:ascii="Times New Roman" w:hAnsi="Times New Roman"/>
        <w:sz w:val="20"/>
        <w:szCs w:val="20"/>
      </w:rPr>
      <w:t xml:space="preserve"> 2022</w:t>
    </w:r>
    <w:r w:rsidRPr="00990B77">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39FA" w14:textId="77777777" w:rsidR="00D11D33" w:rsidRPr="00990B77" w:rsidRDefault="00D11D33" w:rsidP="00D11D33">
    <w:pPr>
      <w:pStyle w:val="Kjene"/>
      <w:rPr>
        <w:rFonts w:ascii="Times New Roman" w:hAnsi="Times New Roman"/>
        <w:sz w:val="20"/>
        <w:szCs w:val="20"/>
        <w:vertAlign w:val="superscript"/>
      </w:rPr>
    </w:pPr>
  </w:p>
  <w:p w14:paraId="258DED29" w14:textId="77777777" w:rsidR="00D11D33" w:rsidRPr="00990B77" w:rsidRDefault="00D11D33" w:rsidP="00D11D33">
    <w:pPr>
      <w:pStyle w:val="Kjene"/>
      <w:rPr>
        <w:rFonts w:ascii="Times New Roman" w:hAnsi="Times New Roman"/>
        <w:sz w:val="20"/>
        <w:szCs w:val="20"/>
      </w:rPr>
    </w:pPr>
    <w:r w:rsidRPr="00990B77">
      <w:rPr>
        <w:rFonts w:ascii="Times New Roman" w:hAnsi="Times New Roman"/>
        <w:sz w:val="20"/>
        <w:szCs w:val="20"/>
        <w:vertAlign w:val="superscript"/>
      </w:rPr>
      <w:t>1</w:t>
    </w:r>
    <w:r w:rsidRPr="00990B77">
      <w:rPr>
        <w:rFonts w:ascii="Times New Roman" w:hAnsi="Times New Roman"/>
        <w:sz w:val="20"/>
        <w:szCs w:val="20"/>
      </w:rPr>
      <w:t xml:space="preserve"> The Parliament of the Republic of Latvia</w:t>
    </w:r>
  </w:p>
  <w:p w14:paraId="50D0005B" w14:textId="77777777" w:rsidR="00D11D33" w:rsidRPr="00990B77" w:rsidRDefault="00D11D33" w:rsidP="00D11D33">
    <w:pPr>
      <w:pStyle w:val="Kjene"/>
      <w:rPr>
        <w:rFonts w:ascii="Times New Roman" w:hAnsi="Times New Roman"/>
        <w:sz w:val="20"/>
        <w:szCs w:val="20"/>
      </w:rPr>
    </w:pPr>
  </w:p>
  <w:p w14:paraId="56AA8151" w14:textId="77777777" w:rsidR="00D11D33" w:rsidRPr="00990B77" w:rsidRDefault="00D11D33" w:rsidP="00D11D33">
    <w:pPr>
      <w:pStyle w:val="Kjene"/>
      <w:rPr>
        <w:rFonts w:ascii="Times New Roman" w:hAnsi="Times New Roman"/>
        <w:sz w:val="20"/>
        <w:szCs w:val="20"/>
      </w:rPr>
    </w:pPr>
    <w:r w:rsidRPr="00990B77">
      <w:rPr>
        <w:rFonts w:ascii="Times New Roman" w:hAnsi="Times New Roman"/>
        <w:sz w:val="20"/>
        <w:szCs w:val="20"/>
      </w:rPr>
      <w:t xml:space="preserve">Translation </w:t>
    </w:r>
    <w:r w:rsidRPr="00990B77">
      <w:rPr>
        <w:rFonts w:ascii="Times New Roman" w:hAnsi="Times New Roman"/>
        <w:sz w:val="20"/>
        <w:szCs w:val="20"/>
      </w:rPr>
      <w:fldChar w:fldCharType="begin"/>
    </w:r>
    <w:r w:rsidRPr="00990B77">
      <w:rPr>
        <w:rFonts w:ascii="Times New Roman" w:hAnsi="Times New Roman"/>
        <w:sz w:val="20"/>
        <w:szCs w:val="20"/>
      </w:rPr>
      <w:instrText>symbol 169 \f "UnivrstyRoman TL" \s 8</w:instrText>
    </w:r>
    <w:r w:rsidRPr="00990B77">
      <w:rPr>
        <w:rFonts w:ascii="Times New Roman" w:hAnsi="Times New Roman"/>
        <w:sz w:val="20"/>
        <w:szCs w:val="20"/>
      </w:rPr>
      <w:fldChar w:fldCharType="separate"/>
    </w:r>
    <w:r w:rsidRPr="00990B77">
      <w:rPr>
        <w:rFonts w:ascii="Times New Roman" w:hAnsi="Times New Roman"/>
        <w:sz w:val="20"/>
        <w:szCs w:val="20"/>
      </w:rPr>
      <w:t>©</w:t>
    </w:r>
    <w:r w:rsidRPr="00990B77">
      <w:rPr>
        <w:rFonts w:ascii="Times New Roman" w:hAnsi="Times New Roman"/>
        <w:sz w:val="20"/>
        <w:szCs w:val="20"/>
      </w:rPr>
      <w:fldChar w:fldCharType="end"/>
    </w:r>
    <w:r>
      <w:rPr>
        <w:rFonts w:ascii="Times New Roman" w:hAnsi="Times New Roman"/>
        <w:sz w:val="20"/>
        <w:szCs w:val="20"/>
      </w:rPr>
      <w:t xml:space="preserve"> 2022</w:t>
    </w:r>
    <w:r w:rsidRPr="00990B77">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D7206" w14:textId="77777777" w:rsidR="00923FFF" w:rsidRPr="00923FFF" w:rsidRDefault="00923FFF" w:rsidP="00923FFF">
      <w:pPr>
        <w:spacing w:after="0" w:line="240" w:lineRule="auto"/>
        <w:rPr>
          <w:noProof/>
          <w:lang w:val="en-US"/>
        </w:rPr>
      </w:pPr>
      <w:r w:rsidRPr="00923FFF">
        <w:rPr>
          <w:noProof/>
          <w:lang w:val="en-US"/>
        </w:rPr>
        <w:separator/>
      </w:r>
    </w:p>
  </w:footnote>
  <w:footnote w:type="continuationSeparator" w:id="0">
    <w:p w14:paraId="2A135F07" w14:textId="77777777" w:rsidR="00923FFF" w:rsidRPr="00923FFF" w:rsidRDefault="00923FFF" w:rsidP="00923FFF">
      <w:pPr>
        <w:spacing w:after="0" w:line="240" w:lineRule="auto"/>
        <w:rPr>
          <w:noProof/>
          <w:lang w:val="en-US"/>
        </w:rPr>
      </w:pPr>
      <w:r w:rsidRPr="00923FF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21"/>
    <w:rsid w:val="0018666E"/>
    <w:rsid w:val="004E4E9F"/>
    <w:rsid w:val="00612425"/>
    <w:rsid w:val="008B6921"/>
    <w:rsid w:val="00921840"/>
    <w:rsid w:val="00923FFF"/>
    <w:rsid w:val="00987DB6"/>
    <w:rsid w:val="009C51F8"/>
    <w:rsid w:val="00BB74B7"/>
    <w:rsid w:val="00CD7724"/>
    <w:rsid w:val="00D11D33"/>
    <w:rsid w:val="00EE1E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660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23F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23F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23FFF"/>
    <w:rPr>
      <w:color w:val="0000FF"/>
      <w:u w:val="single"/>
    </w:rPr>
  </w:style>
  <w:style w:type="character" w:customStyle="1" w:styleId="fontsize2">
    <w:name w:val="fontsize2"/>
    <w:basedOn w:val="Noklusjumarindkopasfonts"/>
    <w:rsid w:val="00923FFF"/>
  </w:style>
  <w:style w:type="paragraph" w:styleId="Galvene">
    <w:name w:val="header"/>
    <w:basedOn w:val="Parasts"/>
    <w:link w:val="GalveneRakstz"/>
    <w:uiPriority w:val="99"/>
    <w:unhideWhenUsed/>
    <w:rsid w:val="00923FF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23FFF"/>
  </w:style>
  <w:style w:type="paragraph" w:styleId="Kjene">
    <w:name w:val="footer"/>
    <w:basedOn w:val="Parasts"/>
    <w:link w:val="KjeneRakstz"/>
    <w:unhideWhenUsed/>
    <w:rsid w:val="00923FF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23FFF"/>
  </w:style>
  <w:style w:type="character" w:customStyle="1" w:styleId="tvdoctopindex">
    <w:name w:val="tv_doc_top_index"/>
    <w:rsid w:val="0018666E"/>
  </w:style>
  <w:style w:type="paragraph" w:styleId="Tekstabloks">
    <w:name w:val="Block Text"/>
    <w:basedOn w:val="Parasts"/>
    <w:rsid w:val="0018666E"/>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EE1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72276">
      <w:bodyDiv w:val="1"/>
      <w:marLeft w:val="0"/>
      <w:marRight w:val="0"/>
      <w:marTop w:val="0"/>
      <w:marBottom w:val="0"/>
      <w:divBdr>
        <w:top w:val="none" w:sz="0" w:space="0" w:color="auto"/>
        <w:left w:val="none" w:sz="0" w:space="0" w:color="auto"/>
        <w:bottom w:val="none" w:sz="0" w:space="0" w:color="auto"/>
        <w:right w:val="none" w:sz="0" w:space="0" w:color="auto"/>
      </w:divBdr>
      <w:divsChild>
        <w:div w:id="712510332">
          <w:marLeft w:val="0"/>
          <w:marRight w:val="0"/>
          <w:marTop w:val="0"/>
          <w:marBottom w:val="0"/>
          <w:divBdr>
            <w:top w:val="none" w:sz="0" w:space="0" w:color="auto"/>
            <w:left w:val="none" w:sz="0" w:space="0" w:color="auto"/>
            <w:bottom w:val="none" w:sz="0" w:space="0" w:color="auto"/>
            <w:right w:val="none" w:sz="0" w:space="0" w:color="auto"/>
          </w:divBdr>
        </w:div>
        <w:div w:id="493839912">
          <w:marLeft w:val="0"/>
          <w:marRight w:val="0"/>
          <w:marTop w:val="0"/>
          <w:marBottom w:val="0"/>
          <w:divBdr>
            <w:top w:val="none" w:sz="0" w:space="0" w:color="auto"/>
            <w:left w:val="none" w:sz="0" w:space="0" w:color="auto"/>
            <w:bottom w:val="none" w:sz="0" w:space="0" w:color="auto"/>
            <w:right w:val="none" w:sz="0" w:space="0" w:color="auto"/>
          </w:divBdr>
        </w:div>
        <w:div w:id="669720560">
          <w:marLeft w:val="0"/>
          <w:marRight w:val="0"/>
          <w:marTop w:val="0"/>
          <w:marBottom w:val="0"/>
          <w:divBdr>
            <w:top w:val="none" w:sz="0" w:space="0" w:color="auto"/>
            <w:left w:val="none" w:sz="0" w:space="0" w:color="auto"/>
            <w:bottom w:val="none" w:sz="0" w:space="0" w:color="auto"/>
            <w:right w:val="none" w:sz="0" w:space="0" w:color="auto"/>
          </w:divBdr>
        </w:div>
        <w:div w:id="1590501719">
          <w:marLeft w:val="0"/>
          <w:marRight w:val="0"/>
          <w:marTop w:val="0"/>
          <w:marBottom w:val="0"/>
          <w:divBdr>
            <w:top w:val="none" w:sz="0" w:space="0" w:color="auto"/>
            <w:left w:val="none" w:sz="0" w:space="0" w:color="auto"/>
            <w:bottom w:val="none" w:sz="0" w:space="0" w:color="auto"/>
            <w:right w:val="none" w:sz="0" w:space="0" w:color="auto"/>
          </w:divBdr>
        </w:div>
        <w:div w:id="538862745">
          <w:marLeft w:val="0"/>
          <w:marRight w:val="0"/>
          <w:marTop w:val="0"/>
          <w:marBottom w:val="0"/>
          <w:divBdr>
            <w:top w:val="none" w:sz="0" w:space="0" w:color="auto"/>
            <w:left w:val="none" w:sz="0" w:space="0" w:color="auto"/>
            <w:bottom w:val="none" w:sz="0" w:space="0" w:color="auto"/>
            <w:right w:val="none" w:sz="0" w:space="0" w:color="auto"/>
          </w:divBdr>
        </w:div>
        <w:div w:id="1464805132">
          <w:marLeft w:val="0"/>
          <w:marRight w:val="0"/>
          <w:marTop w:val="0"/>
          <w:marBottom w:val="0"/>
          <w:divBdr>
            <w:top w:val="none" w:sz="0" w:space="0" w:color="auto"/>
            <w:left w:val="none" w:sz="0" w:space="0" w:color="auto"/>
            <w:bottom w:val="none" w:sz="0" w:space="0" w:color="auto"/>
            <w:right w:val="none" w:sz="0" w:space="0" w:color="auto"/>
          </w:divBdr>
        </w:div>
        <w:div w:id="203563618">
          <w:marLeft w:val="0"/>
          <w:marRight w:val="0"/>
          <w:marTop w:val="0"/>
          <w:marBottom w:val="0"/>
          <w:divBdr>
            <w:top w:val="none" w:sz="0" w:space="0" w:color="auto"/>
            <w:left w:val="none" w:sz="0" w:space="0" w:color="auto"/>
            <w:bottom w:val="none" w:sz="0" w:space="0" w:color="auto"/>
            <w:right w:val="none" w:sz="0" w:space="0" w:color="auto"/>
          </w:divBdr>
        </w:div>
        <w:div w:id="652487897">
          <w:marLeft w:val="0"/>
          <w:marRight w:val="0"/>
          <w:marTop w:val="0"/>
          <w:marBottom w:val="0"/>
          <w:divBdr>
            <w:top w:val="none" w:sz="0" w:space="0" w:color="auto"/>
            <w:left w:val="none" w:sz="0" w:space="0" w:color="auto"/>
            <w:bottom w:val="none" w:sz="0" w:space="0" w:color="auto"/>
            <w:right w:val="none" w:sz="0" w:space="0" w:color="auto"/>
          </w:divBdr>
        </w:div>
        <w:div w:id="383604000">
          <w:marLeft w:val="0"/>
          <w:marRight w:val="0"/>
          <w:marTop w:val="0"/>
          <w:marBottom w:val="0"/>
          <w:divBdr>
            <w:top w:val="none" w:sz="0" w:space="0" w:color="auto"/>
            <w:left w:val="none" w:sz="0" w:space="0" w:color="auto"/>
            <w:bottom w:val="none" w:sz="0" w:space="0" w:color="auto"/>
            <w:right w:val="none" w:sz="0" w:space="0" w:color="auto"/>
          </w:divBdr>
        </w:div>
        <w:div w:id="1396584238">
          <w:marLeft w:val="0"/>
          <w:marRight w:val="0"/>
          <w:marTop w:val="0"/>
          <w:marBottom w:val="0"/>
          <w:divBdr>
            <w:top w:val="none" w:sz="0" w:space="0" w:color="auto"/>
            <w:left w:val="none" w:sz="0" w:space="0" w:color="auto"/>
            <w:bottom w:val="none" w:sz="0" w:space="0" w:color="auto"/>
            <w:right w:val="none" w:sz="0" w:space="0" w:color="auto"/>
          </w:divBdr>
        </w:div>
        <w:div w:id="481312000">
          <w:marLeft w:val="0"/>
          <w:marRight w:val="0"/>
          <w:marTop w:val="0"/>
          <w:marBottom w:val="0"/>
          <w:divBdr>
            <w:top w:val="none" w:sz="0" w:space="0" w:color="auto"/>
            <w:left w:val="none" w:sz="0" w:space="0" w:color="auto"/>
            <w:bottom w:val="none" w:sz="0" w:space="0" w:color="auto"/>
            <w:right w:val="none" w:sz="0" w:space="0" w:color="auto"/>
          </w:divBdr>
        </w:div>
        <w:div w:id="815687816">
          <w:marLeft w:val="0"/>
          <w:marRight w:val="0"/>
          <w:marTop w:val="0"/>
          <w:marBottom w:val="0"/>
          <w:divBdr>
            <w:top w:val="none" w:sz="0" w:space="0" w:color="auto"/>
            <w:left w:val="none" w:sz="0" w:space="0" w:color="auto"/>
            <w:bottom w:val="none" w:sz="0" w:space="0" w:color="auto"/>
            <w:right w:val="none" w:sz="0" w:space="0" w:color="auto"/>
          </w:divBdr>
        </w:div>
        <w:div w:id="1567574035">
          <w:marLeft w:val="0"/>
          <w:marRight w:val="0"/>
          <w:marTop w:val="0"/>
          <w:marBottom w:val="0"/>
          <w:divBdr>
            <w:top w:val="none" w:sz="0" w:space="0" w:color="auto"/>
            <w:left w:val="none" w:sz="0" w:space="0" w:color="auto"/>
            <w:bottom w:val="none" w:sz="0" w:space="0" w:color="auto"/>
            <w:right w:val="none" w:sz="0" w:space="0" w:color="auto"/>
          </w:divBdr>
        </w:div>
        <w:div w:id="319623545">
          <w:marLeft w:val="0"/>
          <w:marRight w:val="0"/>
          <w:marTop w:val="0"/>
          <w:marBottom w:val="0"/>
          <w:divBdr>
            <w:top w:val="none" w:sz="0" w:space="0" w:color="auto"/>
            <w:left w:val="none" w:sz="0" w:space="0" w:color="auto"/>
            <w:bottom w:val="none" w:sz="0" w:space="0" w:color="auto"/>
            <w:right w:val="none" w:sz="0" w:space="0" w:color="auto"/>
          </w:divBdr>
        </w:div>
        <w:div w:id="1611160318">
          <w:marLeft w:val="0"/>
          <w:marRight w:val="0"/>
          <w:marTop w:val="0"/>
          <w:marBottom w:val="0"/>
          <w:divBdr>
            <w:top w:val="none" w:sz="0" w:space="0" w:color="auto"/>
            <w:left w:val="none" w:sz="0" w:space="0" w:color="auto"/>
            <w:bottom w:val="none" w:sz="0" w:space="0" w:color="auto"/>
            <w:right w:val="none" w:sz="0" w:space="0" w:color="auto"/>
          </w:divBdr>
        </w:div>
        <w:div w:id="1825469902">
          <w:marLeft w:val="0"/>
          <w:marRight w:val="0"/>
          <w:marTop w:val="0"/>
          <w:marBottom w:val="0"/>
          <w:divBdr>
            <w:top w:val="none" w:sz="0" w:space="0" w:color="auto"/>
            <w:left w:val="none" w:sz="0" w:space="0" w:color="auto"/>
            <w:bottom w:val="none" w:sz="0" w:space="0" w:color="auto"/>
            <w:right w:val="none" w:sz="0" w:space="0" w:color="auto"/>
          </w:divBdr>
        </w:div>
        <w:div w:id="2056929497">
          <w:marLeft w:val="0"/>
          <w:marRight w:val="0"/>
          <w:marTop w:val="0"/>
          <w:marBottom w:val="0"/>
          <w:divBdr>
            <w:top w:val="none" w:sz="0" w:space="0" w:color="auto"/>
            <w:left w:val="none" w:sz="0" w:space="0" w:color="auto"/>
            <w:bottom w:val="none" w:sz="0" w:space="0" w:color="auto"/>
            <w:right w:val="none" w:sz="0" w:space="0" w:color="auto"/>
          </w:divBdr>
        </w:div>
        <w:div w:id="1440030436">
          <w:marLeft w:val="0"/>
          <w:marRight w:val="0"/>
          <w:marTop w:val="0"/>
          <w:marBottom w:val="0"/>
          <w:divBdr>
            <w:top w:val="none" w:sz="0" w:space="0" w:color="auto"/>
            <w:left w:val="none" w:sz="0" w:space="0" w:color="auto"/>
            <w:bottom w:val="none" w:sz="0" w:space="0" w:color="auto"/>
            <w:right w:val="none" w:sz="0" w:space="0" w:color="auto"/>
          </w:divBdr>
        </w:div>
        <w:div w:id="802842555">
          <w:marLeft w:val="0"/>
          <w:marRight w:val="0"/>
          <w:marTop w:val="0"/>
          <w:marBottom w:val="0"/>
          <w:divBdr>
            <w:top w:val="none" w:sz="0" w:space="0" w:color="auto"/>
            <w:left w:val="none" w:sz="0" w:space="0" w:color="auto"/>
            <w:bottom w:val="none" w:sz="0" w:space="0" w:color="auto"/>
            <w:right w:val="none" w:sz="0" w:space="0" w:color="auto"/>
          </w:divBdr>
        </w:div>
        <w:div w:id="441725201">
          <w:marLeft w:val="0"/>
          <w:marRight w:val="0"/>
          <w:marTop w:val="0"/>
          <w:marBottom w:val="0"/>
          <w:divBdr>
            <w:top w:val="none" w:sz="0" w:space="0" w:color="auto"/>
            <w:left w:val="none" w:sz="0" w:space="0" w:color="auto"/>
            <w:bottom w:val="none" w:sz="0" w:space="0" w:color="auto"/>
            <w:right w:val="none" w:sz="0" w:space="0" w:color="auto"/>
          </w:divBdr>
        </w:div>
        <w:div w:id="1725135259">
          <w:marLeft w:val="0"/>
          <w:marRight w:val="0"/>
          <w:marTop w:val="0"/>
          <w:marBottom w:val="0"/>
          <w:divBdr>
            <w:top w:val="none" w:sz="0" w:space="0" w:color="auto"/>
            <w:left w:val="none" w:sz="0" w:space="0" w:color="auto"/>
            <w:bottom w:val="none" w:sz="0" w:space="0" w:color="auto"/>
            <w:right w:val="none" w:sz="0" w:space="0" w:color="auto"/>
          </w:divBdr>
        </w:div>
        <w:div w:id="1574195266">
          <w:marLeft w:val="0"/>
          <w:marRight w:val="0"/>
          <w:marTop w:val="0"/>
          <w:marBottom w:val="0"/>
          <w:divBdr>
            <w:top w:val="none" w:sz="0" w:space="0" w:color="auto"/>
            <w:left w:val="none" w:sz="0" w:space="0" w:color="auto"/>
            <w:bottom w:val="none" w:sz="0" w:space="0" w:color="auto"/>
            <w:right w:val="none" w:sz="0" w:space="0" w:color="auto"/>
          </w:divBdr>
        </w:div>
        <w:div w:id="566956420">
          <w:marLeft w:val="0"/>
          <w:marRight w:val="0"/>
          <w:marTop w:val="0"/>
          <w:marBottom w:val="0"/>
          <w:divBdr>
            <w:top w:val="none" w:sz="0" w:space="0" w:color="auto"/>
            <w:left w:val="none" w:sz="0" w:space="0" w:color="auto"/>
            <w:bottom w:val="none" w:sz="0" w:space="0" w:color="auto"/>
            <w:right w:val="none" w:sz="0" w:space="0" w:color="auto"/>
          </w:divBdr>
        </w:div>
        <w:div w:id="2055033858">
          <w:marLeft w:val="0"/>
          <w:marRight w:val="0"/>
          <w:marTop w:val="0"/>
          <w:marBottom w:val="0"/>
          <w:divBdr>
            <w:top w:val="none" w:sz="0" w:space="0" w:color="auto"/>
            <w:left w:val="none" w:sz="0" w:space="0" w:color="auto"/>
            <w:bottom w:val="none" w:sz="0" w:space="0" w:color="auto"/>
            <w:right w:val="none" w:sz="0" w:space="0" w:color="auto"/>
          </w:divBdr>
        </w:div>
        <w:div w:id="2008171315">
          <w:marLeft w:val="0"/>
          <w:marRight w:val="0"/>
          <w:marTop w:val="0"/>
          <w:marBottom w:val="0"/>
          <w:divBdr>
            <w:top w:val="none" w:sz="0" w:space="0" w:color="auto"/>
            <w:left w:val="none" w:sz="0" w:space="0" w:color="auto"/>
            <w:bottom w:val="none" w:sz="0" w:space="0" w:color="auto"/>
            <w:right w:val="none" w:sz="0" w:space="0" w:color="auto"/>
          </w:divBdr>
        </w:div>
        <w:div w:id="507448157">
          <w:marLeft w:val="0"/>
          <w:marRight w:val="0"/>
          <w:marTop w:val="0"/>
          <w:marBottom w:val="0"/>
          <w:divBdr>
            <w:top w:val="none" w:sz="0" w:space="0" w:color="auto"/>
            <w:left w:val="none" w:sz="0" w:space="0" w:color="auto"/>
            <w:bottom w:val="none" w:sz="0" w:space="0" w:color="auto"/>
            <w:right w:val="none" w:sz="0" w:space="0" w:color="auto"/>
          </w:divBdr>
        </w:div>
        <w:div w:id="1887764794">
          <w:marLeft w:val="0"/>
          <w:marRight w:val="0"/>
          <w:marTop w:val="0"/>
          <w:marBottom w:val="0"/>
          <w:divBdr>
            <w:top w:val="none" w:sz="0" w:space="0" w:color="auto"/>
            <w:left w:val="none" w:sz="0" w:space="0" w:color="auto"/>
            <w:bottom w:val="none" w:sz="0" w:space="0" w:color="auto"/>
            <w:right w:val="none" w:sz="0" w:space="0" w:color="auto"/>
          </w:divBdr>
        </w:div>
        <w:div w:id="242957702">
          <w:marLeft w:val="0"/>
          <w:marRight w:val="0"/>
          <w:marTop w:val="0"/>
          <w:marBottom w:val="0"/>
          <w:divBdr>
            <w:top w:val="none" w:sz="0" w:space="0" w:color="auto"/>
            <w:left w:val="none" w:sz="0" w:space="0" w:color="auto"/>
            <w:bottom w:val="none" w:sz="0" w:space="0" w:color="auto"/>
            <w:right w:val="none" w:sz="0" w:space="0" w:color="auto"/>
          </w:divBdr>
        </w:div>
        <w:div w:id="1527673503">
          <w:marLeft w:val="0"/>
          <w:marRight w:val="0"/>
          <w:marTop w:val="0"/>
          <w:marBottom w:val="0"/>
          <w:divBdr>
            <w:top w:val="none" w:sz="0" w:space="0" w:color="auto"/>
            <w:left w:val="none" w:sz="0" w:space="0" w:color="auto"/>
            <w:bottom w:val="none" w:sz="0" w:space="0" w:color="auto"/>
            <w:right w:val="none" w:sz="0" w:space="0" w:color="auto"/>
          </w:divBdr>
        </w:div>
        <w:div w:id="1536238743">
          <w:marLeft w:val="0"/>
          <w:marRight w:val="0"/>
          <w:marTop w:val="0"/>
          <w:marBottom w:val="0"/>
          <w:divBdr>
            <w:top w:val="none" w:sz="0" w:space="0" w:color="auto"/>
            <w:left w:val="none" w:sz="0" w:space="0" w:color="auto"/>
            <w:bottom w:val="none" w:sz="0" w:space="0" w:color="auto"/>
            <w:right w:val="none" w:sz="0" w:space="0" w:color="auto"/>
          </w:divBdr>
        </w:div>
        <w:div w:id="962930097">
          <w:marLeft w:val="0"/>
          <w:marRight w:val="0"/>
          <w:marTop w:val="0"/>
          <w:marBottom w:val="0"/>
          <w:divBdr>
            <w:top w:val="none" w:sz="0" w:space="0" w:color="auto"/>
            <w:left w:val="none" w:sz="0" w:space="0" w:color="auto"/>
            <w:bottom w:val="none" w:sz="0" w:space="0" w:color="auto"/>
            <w:right w:val="none" w:sz="0" w:space="0" w:color="auto"/>
          </w:divBdr>
        </w:div>
        <w:div w:id="215626660">
          <w:marLeft w:val="0"/>
          <w:marRight w:val="0"/>
          <w:marTop w:val="0"/>
          <w:marBottom w:val="0"/>
          <w:divBdr>
            <w:top w:val="none" w:sz="0" w:space="0" w:color="auto"/>
            <w:left w:val="none" w:sz="0" w:space="0" w:color="auto"/>
            <w:bottom w:val="none" w:sz="0" w:space="0" w:color="auto"/>
            <w:right w:val="none" w:sz="0" w:space="0" w:color="auto"/>
          </w:divBdr>
        </w:div>
        <w:div w:id="517961417">
          <w:marLeft w:val="0"/>
          <w:marRight w:val="0"/>
          <w:marTop w:val="0"/>
          <w:marBottom w:val="0"/>
          <w:divBdr>
            <w:top w:val="none" w:sz="0" w:space="0" w:color="auto"/>
            <w:left w:val="none" w:sz="0" w:space="0" w:color="auto"/>
            <w:bottom w:val="none" w:sz="0" w:space="0" w:color="auto"/>
            <w:right w:val="none" w:sz="0" w:space="0" w:color="auto"/>
          </w:divBdr>
        </w:div>
        <w:div w:id="985596900">
          <w:marLeft w:val="0"/>
          <w:marRight w:val="0"/>
          <w:marTop w:val="0"/>
          <w:marBottom w:val="0"/>
          <w:divBdr>
            <w:top w:val="none" w:sz="0" w:space="0" w:color="auto"/>
            <w:left w:val="none" w:sz="0" w:space="0" w:color="auto"/>
            <w:bottom w:val="none" w:sz="0" w:space="0" w:color="auto"/>
            <w:right w:val="none" w:sz="0" w:space="0" w:color="auto"/>
          </w:divBdr>
        </w:div>
        <w:div w:id="1128737376">
          <w:marLeft w:val="0"/>
          <w:marRight w:val="0"/>
          <w:marTop w:val="0"/>
          <w:marBottom w:val="0"/>
          <w:divBdr>
            <w:top w:val="none" w:sz="0" w:space="0" w:color="auto"/>
            <w:left w:val="none" w:sz="0" w:space="0" w:color="auto"/>
            <w:bottom w:val="none" w:sz="0" w:space="0" w:color="auto"/>
            <w:right w:val="none" w:sz="0" w:space="0" w:color="auto"/>
          </w:divBdr>
        </w:div>
        <w:div w:id="742676406">
          <w:marLeft w:val="0"/>
          <w:marRight w:val="0"/>
          <w:marTop w:val="0"/>
          <w:marBottom w:val="0"/>
          <w:divBdr>
            <w:top w:val="none" w:sz="0" w:space="0" w:color="auto"/>
            <w:left w:val="none" w:sz="0" w:space="0" w:color="auto"/>
            <w:bottom w:val="none" w:sz="0" w:space="0" w:color="auto"/>
            <w:right w:val="none" w:sz="0" w:space="0" w:color="auto"/>
          </w:divBdr>
        </w:div>
        <w:div w:id="67264111">
          <w:marLeft w:val="0"/>
          <w:marRight w:val="0"/>
          <w:marTop w:val="0"/>
          <w:marBottom w:val="0"/>
          <w:divBdr>
            <w:top w:val="none" w:sz="0" w:space="0" w:color="auto"/>
            <w:left w:val="none" w:sz="0" w:space="0" w:color="auto"/>
            <w:bottom w:val="none" w:sz="0" w:space="0" w:color="auto"/>
            <w:right w:val="none" w:sz="0" w:space="0" w:color="auto"/>
          </w:divBdr>
        </w:div>
        <w:div w:id="2018382623">
          <w:marLeft w:val="0"/>
          <w:marRight w:val="0"/>
          <w:marTop w:val="0"/>
          <w:marBottom w:val="0"/>
          <w:divBdr>
            <w:top w:val="none" w:sz="0" w:space="0" w:color="auto"/>
            <w:left w:val="none" w:sz="0" w:space="0" w:color="auto"/>
            <w:bottom w:val="none" w:sz="0" w:space="0" w:color="auto"/>
            <w:right w:val="none" w:sz="0" w:space="0" w:color="auto"/>
          </w:divBdr>
        </w:div>
        <w:div w:id="310333237">
          <w:marLeft w:val="0"/>
          <w:marRight w:val="0"/>
          <w:marTop w:val="0"/>
          <w:marBottom w:val="0"/>
          <w:divBdr>
            <w:top w:val="none" w:sz="0" w:space="0" w:color="auto"/>
            <w:left w:val="none" w:sz="0" w:space="0" w:color="auto"/>
            <w:bottom w:val="none" w:sz="0" w:space="0" w:color="auto"/>
            <w:right w:val="none" w:sz="0" w:space="0" w:color="auto"/>
          </w:divBdr>
        </w:div>
        <w:div w:id="1326710918">
          <w:marLeft w:val="0"/>
          <w:marRight w:val="0"/>
          <w:marTop w:val="0"/>
          <w:marBottom w:val="0"/>
          <w:divBdr>
            <w:top w:val="none" w:sz="0" w:space="0" w:color="auto"/>
            <w:left w:val="none" w:sz="0" w:space="0" w:color="auto"/>
            <w:bottom w:val="none" w:sz="0" w:space="0" w:color="auto"/>
            <w:right w:val="none" w:sz="0" w:space="0" w:color="auto"/>
          </w:divBdr>
        </w:div>
        <w:div w:id="794324637">
          <w:marLeft w:val="0"/>
          <w:marRight w:val="0"/>
          <w:marTop w:val="0"/>
          <w:marBottom w:val="0"/>
          <w:divBdr>
            <w:top w:val="none" w:sz="0" w:space="0" w:color="auto"/>
            <w:left w:val="none" w:sz="0" w:space="0" w:color="auto"/>
            <w:bottom w:val="none" w:sz="0" w:space="0" w:color="auto"/>
            <w:right w:val="none" w:sz="0" w:space="0" w:color="auto"/>
          </w:divBdr>
        </w:div>
        <w:div w:id="880169839">
          <w:marLeft w:val="0"/>
          <w:marRight w:val="0"/>
          <w:marTop w:val="0"/>
          <w:marBottom w:val="0"/>
          <w:divBdr>
            <w:top w:val="none" w:sz="0" w:space="0" w:color="auto"/>
            <w:left w:val="none" w:sz="0" w:space="0" w:color="auto"/>
            <w:bottom w:val="none" w:sz="0" w:space="0" w:color="auto"/>
            <w:right w:val="none" w:sz="0" w:space="0" w:color="auto"/>
          </w:divBdr>
        </w:div>
        <w:div w:id="1914313686">
          <w:marLeft w:val="0"/>
          <w:marRight w:val="0"/>
          <w:marTop w:val="0"/>
          <w:marBottom w:val="0"/>
          <w:divBdr>
            <w:top w:val="none" w:sz="0" w:space="0" w:color="auto"/>
            <w:left w:val="none" w:sz="0" w:space="0" w:color="auto"/>
            <w:bottom w:val="none" w:sz="0" w:space="0" w:color="auto"/>
            <w:right w:val="none" w:sz="0" w:space="0" w:color="auto"/>
          </w:divBdr>
        </w:div>
        <w:div w:id="1832603012">
          <w:marLeft w:val="0"/>
          <w:marRight w:val="0"/>
          <w:marTop w:val="0"/>
          <w:marBottom w:val="0"/>
          <w:divBdr>
            <w:top w:val="none" w:sz="0" w:space="0" w:color="auto"/>
            <w:left w:val="none" w:sz="0" w:space="0" w:color="auto"/>
            <w:bottom w:val="none" w:sz="0" w:space="0" w:color="auto"/>
            <w:right w:val="none" w:sz="0" w:space="0" w:color="auto"/>
          </w:divBdr>
        </w:div>
        <w:div w:id="1641694820">
          <w:marLeft w:val="0"/>
          <w:marRight w:val="0"/>
          <w:marTop w:val="0"/>
          <w:marBottom w:val="0"/>
          <w:divBdr>
            <w:top w:val="none" w:sz="0" w:space="0" w:color="auto"/>
            <w:left w:val="none" w:sz="0" w:space="0" w:color="auto"/>
            <w:bottom w:val="none" w:sz="0" w:space="0" w:color="auto"/>
            <w:right w:val="none" w:sz="0" w:space="0" w:color="auto"/>
          </w:divBdr>
        </w:div>
        <w:div w:id="268506691">
          <w:marLeft w:val="0"/>
          <w:marRight w:val="0"/>
          <w:marTop w:val="0"/>
          <w:marBottom w:val="0"/>
          <w:divBdr>
            <w:top w:val="none" w:sz="0" w:space="0" w:color="auto"/>
            <w:left w:val="none" w:sz="0" w:space="0" w:color="auto"/>
            <w:bottom w:val="none" w:sz="0" w:space="0" w:color="auto"/>
            <w:right w:val="none" w:sz="0" w:space="0" w:color="auto"/>
          </w:divBdr>
        </w:div>
        <w:div w:id="553542580">
          <w:marLeft w:val="0"/>
          <w:marRight w:val="0"/>
          <w:marTop w:val="0"/>
          <w:marBottom w:val="0"/>
          <w:divBdr>
            <w:top w:val="none" w:sz="0" w:space="0" w:color="auto"/>
            <w:left w:val="none" w:sz="0" w:space="0" w:color="auto"/>
            <w:bottom w:val="none" w:sz="0" w:space="0" w:color="auto"/>
            <w:right w:val="none" w:sz="0" w:space="0" w:color="auto"/>
          </w:divBdr>
        </w:div>
        <w:div w:id="370305831">
          <w:marLeft w:val="0"/>
          <w:marRight w:val="0"/>
          <w:marTop w:val="0"/>
          <w:marBottom w:val="0"/>
          <w:divBdr>
            <w:top w:val="none" w:sz="0" w:space="0" w:color="auto"/>
            <w:left w:val="none" w:sz="0" w:space="0" w:color="auto"/>
            <w:bottom w:val="none" w:sz="0" w:space="0" w:color="auto"/>
            <w:right w:val="none" w:sz="0" w:space="0" w:color="auto"/>
          </w:divBdr>
        </w:div>
        <w:div w:id="1707290060">
          <w:marLeft w:val="0"/>
          <w:marRight w:val="0"/>
          <w:marTop w:val="0"/>
          <w:marBottom w:val="0"/>
          <w:divBdr>
            <w:top w:val="none" w:sz="0" w:space="0" w:color="auto"/>
            <w:left w:val="none" w:sz="0" w:space="0" w:color="auto"/>
            <w:bottom w:val="none" w:sz="0" w:space="0" w:color="auto"/>
            <w:right w:val="none" w:sz="0" w:space="0" w:color="auto"/>
          </w:divBdr>
        </w:div>
        <w:div w:id="179396992">
          <w:marLeft w:val="0"/>
          <w:marRight w:val="0"/>
          <w:marTop w:val="0"/>
          <w:marBottom w:val="0"/>
          <w:divBdr>
            <w:top w:val="none" w:sz="0" w:space="0" w:color="auto"/>
            <w:left w:val="none" w:sz="0" w:space="0" w:color="auto"/>
            <w:bottom w:val="none" w:sz="0" w:space="0" w:color="auto"/>
            <w:right w:val="none" w:sz="0" w:space="0" w:color="auto"/>
          </w:divBdr>
        </w:div>
        <w:div w:id="577639076">
          <w:marLeft w:val="0"/>
          <w:marRight w:val="0"/>
          <w:marTop w:val="0"/>
          <w:marBottom w:val="0"/>
          <w:divBdr>
            <w:top w:val="none" w:sz="0" w:space="0" w:color="auto"/>
            <w:left w:val="none" w:sz="0" w:space="0" w:color="auto"/>
            <w:bottom w:val="none" w:sz="0" w:space="0" w:color="auto"/>
            <w:right w:val="none" w:sz="0" w:space="0" w:color="auto"/>
          </w:divBdr>
        </w:div>
        <w:div w:id="979845249">
          <w:marLeft w:val="0"/>
          <w:marRight w:val="0"/>
          <w:marTop w:val="0"/>
          <w:marBottom w:val="0"/>
          <w:divBdr>
            <w:top w:val="none" w:sz="0" w:space="0" w:color="auto"/>
            <w:left w:val="none" w:sz="0" w:space="0" w:color="auto"/>
            <w:bottom w:val="none" w:sz="0" w:space="0" w:color="auto"/>
            <w:right w:val="none" w:sz="0" w:space="0" w:color="auto"/>
          </w:divBdr>
        </w:div>
        <w:div w:id="491601182">
          <w:marLeft w:val="0"/>
          <w:marRight w:val="0"/>
          <w:marTop w:val="0"/>
          <w:marBottom w:val="0"/>
          <w:divBdr>
            <w:top w:val="none" w:sz="0" w:space="0" w:color="auto"/>
            <w:left w:val="none" w:sz="0" w:space="0" w:color="auto"/>
            <w:bottom w:val="none" w:sz="0" w:space="0" w:color="auto"/>
            <w:right w:val="none" w:sz="0" w:space="0" w:color="auto"/>
          </w:divBdr>
        </w:div>
        <w:div w:id="1236743498">
          <w:marLeft w:val="0"/>
          <w:marRight w:val="0"/>
          <w:marTop w:val="0"/>
          <w:marBottom w:val="0"/>
          <w:divBdr>
            <w:top w:val="none" w:sz="0" w:space="0" w:color="auto"/>
            <w:left w:val="none" w:sz="0" w:space="0" w:color="auto"/>
            <w:bottom w:val="none" w:sz="0" w:space="0" w:color="auto"/>
            <w:right w:val="none" w:sz="0" w:space="0" w:color="auto"/>
          </w:divBdr>
        </w:div>
        <w:div w:id="1915507015">
          <w:marLeft w:val="0"/>
          <w:marRight w:val="0"/>
          <w:marTop w:val="0"/>
          <w:marBottom w:val="0"/>
          <w:divBdr>
            <w:top w:val="none" w:sz="0" w:space="0" w:color="auto"/>
            <w:left w:val="none" w:sz="0" w:space="0" w:color="auto"/>
            <w:bottom w:val="none" w:sz="0" w:space="0" w:color="auto"/>
            <w:right w:val="none" w:sz="0" w:space="0" w:color="auto"/>
          </w:divBdr>
        </w:div>
        <w:div w:id="868420758">
          <w:marLeft w:val="0"/>
          <w:marRight w:val="0"/>
          <w:marTop w:val="0"/>
          <w:marBottom w:val="0"/>
          <w:divBdr>
            <w:top w:val="none" w:sz="0" w:space="0" w:color="auto"/>
            <w:left w:val="none" w:sz="0" w:space="0" w:color="auto"/>
            <w:bottom w:val="none" w:sz="0" w:space="0" w:color="auto"/>
            <w:right w:val="none" w:sz="0" w:space="0" w:color="auto"/>
          </w:divBdr>
        </w:div>
        <w:div w:id="1766225643">
          <w:marLeft w:val="0"/>
          <w:marRight w:val="0"/>
          <w:marTop w:val="0"/>
          <w:marBottom w:val="0"/>
          <w:divBdr>
            <w:top w:val="none" w:sz="0" w:space="0" w:color="auto"/>
            <w:left w:val="none" w:sz="0" w:space="0" w:color="auto"/>
            <w:bottom w:val="none" w:sz="0" w:space="0" w:color="auto"/>
            <w:right w:val="none" w:sz="0" w:space="0" w:color="auto"/>
          </w:divBdr>
        </w:div>
        <w:div w:id="1269772155">
          <w:marLeft w:val="0"/>
          <w:marRight w:val="0"/>
          <w:marTop w:val="0"/>
          <w:marBottom w:val="0"/>
          <w:divBdr>
            <w:top w:val="none" w:sz="0" w:space="0" w:color="auto"/>
            <w:left w:val="none" w:sz="0" w:space="0" w:color="auto"/>
            <w:bottom w:val="none" w:sz="0" w:space="0" w:color="auto"/>
            <w:right w:val="none" w:sz="0" w:space="0" w:color="auto"/>
          </w:divBdr>
        </w:div>
        <w:div w:id="571306834">
          <w:marLeft w:val="0"/>
          <w:marRight w:val="0"/>
          <w:marTop w:val="0"/>
          <w:marBottom w:val="0"/>
          <w:divBdr>
            <w:top w:val="none" w:sz="0" w:space="0" w:color="auto"/>
            <w:left w:val="none" w:sz="0" w:space="0" w:color="auto"/>
            <w:bottom w:val="none" w:sz="0" w:space="0" w:color="auto"/>
            <w:right w:val="none" w:sz="0" w:space="0" w:color="auto"/>
          </w:divBdr>
        </w:div>
        <w:div w:id="1146511625">
          <w:marLeft w:val="0"/>
          <w:marRight w:val="0"/>
          <w:marTop w:val="0"/>
          <w:marBottom w:val="0"/>
          <w:divBdr>
            <w:top w:val="none" w:sz="0" w:space="0" w:color="auto"/>
            <w:left w:val="none" w:sz="0" w:space="0" w:color="auto"/>
            <w:bottom w:val="none" w:sz="0" w:space="0" w:color="auto"/>
            <w:right w:val="none" w:sz="0" w:space="0" w:color="auto"/>
          </w:divBdr>
        </w:div>
        <w:div w:id="935745423">
          <w:marLeft w:val="0"/>
          <w:marRight w:val="0"/>
          <w:marTop w:val="0"/>
          <w:marBottom w:val="0"/>
          <w:divBdr>
            <w:top w:val="none" w:sz="0" w:space="0" w:color="auto"/>
            <w:left w:val="none" w:sz="0" w:space="0" w:color="auto"/>
            <w:bottom w:val="none" w:sz="0" w:space="0" w:color="auto"/>
            <w:right w:val="none" w:sz="0" w:space="0" w:color="auto"/>
          </w:divBdr>
        </w:div>
        <w:div w:id="876042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BABE7-D6E8-41D9-98D1-EE39552974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D526DD-B7DF-40B2-B413-17F7A9CFBFAB}">
  <ds:schemaRefs>
    <ds:schemaRef ds:uri="http://schemas.microsoft.com/sharepoint/v3/contenttype/forms"/>
  </ds:schemaRefs>
</ds:datastoreItem>
</file>

<file path=customXml/itemProps3.xml><?xml version="1.0" encoding="utf-8"?>
<ds:datastoreItem xmlns:ds="http://schemas.openxmlformats.org/officeDocument/2006/customXml" ds:itemID="{5572AF55-153C-4F0C-8558-696834671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13691</Words>
  <Characters>7804</Characters>
  <Application>Microsoft Office Word</Application>
  <DocSecurity>0</DocSecurity>
  <Lines>65</Lines>
  <Paragraphs>42</Paragraphs>
  <ScaleCrop>false</ScaleCrop>
  <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2021-11-11T13:34:00Z</dcterms:created>
  <dcterms:modified xsi:type="dcterms:W3CDTF">2022-05-10T09:20:00Z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