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40FD0" w14:textId="77777777" w:rsidR="0084773D" w:rsidRPr="00476C24" w:rsidRDefault="0084773D" w:rsidP="00476C24">
      <w:pPr>
        <w:jc w:val="both"/>
        <w:rPr>
          <w:rFonts w:ascii="Times New Roman" w:eastAsia="Times New Roman" w:hAnsi="Times New Roman" w:cs="Times New Roman"/>
          <w:noProof/>
          <w:sz w:val="24"/>
          <w:szCs w:val="29"/>
        </w:rPr>
      </w:pPr>
    </w:p>
    <w:p w14:paraId="4F3F7A33" w14:textId="77777777" w:rsidR="0084773D" w:rsidRPr="00476C24" w:rsidRDefault="0084773D" w:rsidP="00A04A45">
      <w:pPr>
        <w:pStyle w:val="Heading1"/>
        <w:ind w:left="0"/>
        <w:jc w:val="center"/>
        <w:rPr>
          <w:noProof/>
        </w:rPr>
      </w:pPr>
      <w:r>
        <w:t>REZOLŪCIJA A.1004(25)</w:t>
      </w:r>
    </w:p>
    <w:p w14:paraId="513FD5FC" w14:textId="77777777" w:rsidR="0084773D" w:rsidRPr="00476C24" w:rsidRDefault="0084773D" w:rsidP="00A04A45">
      <w:pPr>
        <w:jc w:val="center"/>
        <w:rPr>
          <w:rFonts w:ascii="Times New Roman" w:eastAsia="Times New Roman" w:hAnsi="Times New Roman" w:cs="Times New Roman"/>
          <w:b/>
          <w:bCs/>
          <w:noProof/>
          <w:sz w:val="24"/>
          <w:szCs w:val="24"/>
        </w:rPr>
      </w:pPr>
    </w:p>
    <w:p w14:paraId="19010E20" w14:textId="77777777" w:rsidR="0084773D" w:rsidRPr="00476C24" w:rsidRDefault="0084773D" w:rsidP="00A04A45">
      <w:pPr>
        <w:jc w:val="center"/>
        <w:rPr>
          <w:rFonts w:ascii="Times New Roman" w:hAnsi="Times New Roman"/>
          <w:b/>
          <w:noProof/>
          <w:sz w:val="24"/>
        </w:rPr>
      </w:pPr>
      <w:r>
        <w:rPr>
          <w:rFonts w:ascii="Times New Roman" w:hAnsi="Times New Roman"/>
          <w:b/>
          <w:sz w:val="24"/>
        </w:rPr>
        <w:t>(pieņemta 2007. gada 29. novembrī)</w:t>
      </w:r>
    </w:p>
    <w:p w14:paraId="23F90FF7" w14:textId="77777777" w:rsidR="00A04A45" w:rsidRPr="00476C24" w:rsidRDefault="00A04A45" w:rsidP="00A04A45">
      <w:pPr>
        <w:jc w:val="center"/>
        <w:rPr>
          <w:rFonts w:ascii="Times New Roman" w:eastAsia="Times New Roman" w:hAnsi="Times New Roman" w:cs="Times New Roman"/>
          <w:b/>
          <w:bCs/>
          <w:noProof/>
          <w:sz w:val="24"/>
          <w:szCs w:val="24"/>
        </w:rPr>
      </w:pPr>
    </w:p>
    <w:p w14:paraId="1E22561E" w14:textId="77777777" w:rsidR="0084773D" w:rsidRPr="00476C24" w:rsidRDefault="0084773D" w:rsidP="00A04A45">
      <w:pPr>
        <w:jc w:val="center"/>
        <w:rPr>
          <w:rFonts w:ascii="Times New Roman" w:hAnsi="Times New Roman"/>
          <w:b/>
          <w:noProof/>
          <w:sz w:val="24"/>
        </w:rPr>
      </w:pPr>
      <w:r>
        <w:rPr>
          <w:rFonts w:ascii="Times New Roman" w:hAnsi="Times New Roman"/>
          <w:b/>
          <w:sz w:val="24"/>
        </w:rPr>
        <w:t>GROZĪJUMI 1972. GADA STARPTAUTISKAJOS KUĢU SADURSMJU NOVĒRŠANAS NOTEIKUMOS</w:t>
      </w:r>
    </w:p>
    <w:p w14:paraId="264E7E03" w14:textId="77777777" w:rsidR="0084773D" w:rsidRPr="00476C24" w:rsidRDefault="0084773D" w:rsidP="00476C24">
      <w:pPr>
        <w:jc w:val="both"/>
        <w:rPr>
          <w:rFonts w:ascii="Times New Roman" w:eastAsia="Times New Roman" w:hAnsi="Times New Roman" w:cs="Times New Roman"/>
          <w:b/>
          <w:bCs/>
          <w:noProof/>
          <w:sz w:val="24"/>
          <w:szCs w:val="24"/>
        </w:rPr>
      </w:pPr>
    </w:p>
    <w:p w14:paraId="2C450D03" w14:textId="77777777" w:rsidR="0084773D" w:rsidRPr="00476C24" w:rsidRDefault="0084773D" w:rsidP="00476C24">
      <w:pPr>
        <w:jc w:val="both"/>
        <w:rPr>
          <w:rFonts w:ascii="Times New Roman" w:eastAsia="Times New Roman" w:hAnsi="Times New Roman" w:cs="Times New Roman"/>
          <w:b/>
          <w:bCs/>
          <w:noProof/>
          <w:sz w:val="24"/>
          <w:szCs w:val="23"/>
        </w:rPr>
      </w:pPr>
    </w:p>
    <w:p w14:paraId="7010F059" w14:textId="77777777" w:rsidR="0084773D" w:rsidRPr="00476C24" w:rsidRDefault="0084773D" w:rsidP="00476C24">
      <w:pPr>
        <w:pStyle w:val="BodyText"/>
        <w:ind w:left="0" w:firstLine="0"/>
        <w:jc w:val="both"/>
        <w:rPr>
          <w:noProof/>
        </w:rPr>
      </w:pPr>
      <w:r>
        <w:t>ASAMBLEJA,</w:t>
      </w:r>
    </w:p>
    <w:p w14:paraId="54E17261" w14:textId="77777777" w:rsidR="0084773D" w:rsidRPr="00476C24" w:rsidRDefault="0084773D" w:rsidP="00476C24">
      <w:pPr>
        <w:jc w:val="both"/>
        <w:rPr>
          <w:rFonts w:ascii="Times New Roman" w:eastAsia="Times New Roman" w:hAnsi="Times New Roman" w:cs="Times New Roman"/>
          <w:noProof/>
          <w:sz w:val="24"/>
          <w:szCs w:val="24"/>
        </w:rPr>
      </w:pPr>
    </w:p>
    <w:p w14:paraId="67EDCA61" w14:textId="77777777" w:rsidR="0084773D" w:rsidRPr="00476C24" w:rsidRDefault="0084773D" w:rsidP="00A04A45">
      <w:pPr>
        <w:pStyle w:val="BodyText"/>
        <w:ind w:left="0" w:firstLine="540"/>
        <w:jc w:val="both"/>
        <w:rPr>
          <w:noProof/>
        </w:rPr>
      </w:pPr>
      <w:r>
        <w:t>ATSAUCOTIES uz 1972. gada Konvencijas par starptautiskajiem kuģu sadursmju novēršanas noteikumiem (turpmāk tekstā – “Konvencija”) VI pantu par noteikumu grozījumiem;</w:t>
      </w:r>
    </w:p>
    <w:p w14:paraId="2879CE98" w14:textId="77777777" w:rsidR="0084773D" w:rsidRPr="00476C24" w:rsidRDefault="0084773D" w:rsidP="00A04A45">
      <w:pPr>
        <w:ind w:firstLine="540"/>
        <w:jc w:val="both"/>
        <w:rPr>
          <w:rFonts w:ascii="Times New Roman" w:eastAsia="Times New Roman" w:hAnsi="Times New Roman" w:cs="Times New Roman"/>
          <w:noProof/>
          <w:sz w:val="24"/>
          <w:szCs w:val="24"/>
        </w:rPr>
      </w:pPr>
    </w:p>
    <w:p w14:paraId="63F77183" w14:textId="5BD5CD29" w:rsidR="0084773D" w:rsidRPr="00476C24" w:rsidRDefault="0084773D" w:rsidP="00A04A45">
      <w:pPr>
        <w:pStyle w:val="BodyText"/>
        <w:ind w:left="0" w:firstLine="540"/>
        <w:jc w:val="both"/>
        <w:rPr>
          <w:noProof/>
        </w:rPr>
      </w:pPr>
      <w:r>
        <w:t>IZSKATĪJUSI 1972. gada Starptautisko kuģu sadursmju novēršanas noteikumu grozījumus, ko Kuģošanas drošības komiteja pieņēmusi savā astoņdesmit otrajā sesijā un paziņojusi visām līgumslēdzējām pusēm saskaņā ar Konvencijas VI panta 2. punktu, un arī Kuģošanas drošības komitejas ieteikumus attiecībā uz šo grozījumu stāšanos spēkā,</w:t>
      </w:r>
    </w:p>
    <w:p w14:paraId="26CA95B1" w14:textId="77777777" w:rsidR="0084773D" w:rsidRPr="00476C24" w:rsidRDefault="0084773D" w:rsidP="00A04A45">
      <w:pPr>
        <w:ind w:firstLine="540"/>
        <w:jc w:val="both"/>
        <w:rPr>
          <w:rFonts w:ascii="Times New Roman" w:eastAsia="Times New Roman" w:hAnsi="Times New Roman" w:cs="Times New Roman"/>
          <w:noProof/>
          <w:sz w:val="24"/>
          <w:szCs w:val="23"/>
        </w:rPr>
      </w:pPr>
    </w:p>
    <w:p w14:paraId="44DD7EBE" w14:textId="17264FCC" w:rsidR="0084773D" w:rsidRPr="00476C24" w:rsidRDefault="007A595C" w:rsidP="00A04A45">
      <w:pPr>
        <w:pStyle w:val="BodyText"/>
        <w:tabs>
          <w:tab w:val="left" w:pos="841"/>
        </w:tabs>
        <w:ind w:left="0" w:firstLine="540"/>
        <w:jc w:val="both"/>
        <w:rPr>
          <w:noProof/>
        </w:rPr>
      </w:pPr>
      <w:r>
        <w:t>1. PIEŅEM saskaņā ar Konvencijas VI panta 3. punktu grozījumus, kas izklāstīti šīs rezolūcijas pielikumā;</w:t>
      </w:r>
    </w:p>
    <w:p w14:paraId="005417E5" w14:textId="77777777" w:rsidR="0084773D" w:rsidRPr="00476C24" w:rsidRDefault="0084773D" w:rsidP="00A04A45">
      <w:pPr>
        <w:ind w:firstLine="540"/>
        <w:jc w:val="both"/>
        <w:rPr>
          <w:rFonts w:ascii="Times New Roman" w:eastAsia="Times New Roman" w:hAnsi="Times New Roman" w:cs="Times New Roman"/>
          <w:noProof/>
          <w:sz w:val="24"/>
          <w:szCs w:val="24"/>
        </w:rPr>
      </w:pPr>
    </w:p>
    <w:p w14:paraId="352549A4" w14:textId="65545A97" w:rsidR="0084773D" w:rsidRPr="00476C24" w:rsidRDefault="007A595C" w:rsidP="00A04A45">
      <w:pPr>
        <w:pStyle w:val="BodyText"/>
        <w:tabs>
          <w:tab w:val="left" w:pos="841"/>
        </w:tabs>
        <w:ind w:left="0" w:firstLine="540"/>
        <w:jc w:val="both"/>
        <w:rPr>
          <w:noProof/>
        </w:rPr>
      </w:pPr>
      <w:r>
        <w:t>2. NOLEMJ saskaņā ar Konvencijas VI panta 4. punktu, ka grozījumi stāsies spēkā 2009. gada 1. decembrī, ja līdz 2008. gada 1. jūnijam vairāk nekā viena trešdaļa no visām Konvencijas līgumslēdzējām pusēm nebūs paziņojušas iebildumus pret šiem grozījumiem;</w:t>
      </w:r>
    </w:p>
    <w:p w14:paraId="7286DAD0" w14:textId="77777777" w:rsidR="0084773D" w:rsidRPr="00476C24" w:rsidRDefault="0084773D" w:rsidP="00A04A45">
      <w:pPr>
        <w:ind w:firstLine="540"/>
        <w:jc w:val="both"/>
        <w:rPr>
          <w:rFonts w:ascii="Times New Roman" w:eastAsia="Times New Roman" w:hAnsi="Times New Roman" w:cs="Times New Roman"/>
          <w:noProof/>
          <w:sz w:val="24"/>
          <w:szCs w:val="24"/>
        </w:rPr>
      </w:pPr>
    </w:p>
    <w:p w14:paraId="3A855BAB" w14:textId="335F8288" w:rsidR="0084773D" w:rsidRPr="00476C24" w:rsidRDefault="007A595C" w:rsidP="00A04A45">
      <w:pPr>
        <w:pStyle w:val="BodyText"/>
        <w:tabs>
          <w:tab w:val="left" w:pos="841"/>
        </w:tabs>
        <w:ind w:left="0" w:firstLine="540"/>
        <w:jc w:val="both"/>
        <w:rPr>
          <w:noProof/>
        </w:rPr>
      </w:pPr>
      <w:r>
        <w:t>3. LŪDZ ģenerālsekretāram saskaņā ar Konvencijas VI panta 3. punktu paziņot šos grozījumus visām Konvencijas līgumslēdzējām pusēm, lai saņemtu piekrišanu;</w:t>
      </w:r>
    </w:p>
    <w:p w14:paraId="291A7D93" w14:textId="77777777" w:rsidR="0084773D" w:rsidRPr="00476C24" w:rsidRDefault="0084773D" w:rsidP="00A04A45">
      <w:pPr>
        <w:ind w:firstLine="540"/>
        <w:jc w:val="both"/>
        <w:rPr>
          <w:rFonts w:ascii="Times New Roman" w:eastAsia="Times New Roman" w:hAnsi="Times New Roman" w:cs="Times New Roman"/>
          <w:noProof/>
          <w:sz w:val="24"/>
          <w:szCs w:val="24"/>
        </w:rPr>
      </w:pPr>
    </w:p>
    <w:p w14:paraId="78502AB2" w14:textId="69B64B71" w:rsidR="0084773D" w:rsidRPr="00476C24" w:rsidRDefault="007A595C" w:rsidP="00A04A45">
      <w:pPr>
        <w:pStyle w:val="BodyText"/>
        <w:tabs>
          <w:tab w:val="left" w:pos="841"/>
        </w:tabs>
        <w:ind w:left="0" w:firstLine="540"/>
        <w:jc w:val="both"/>
        <w:rPr>
          <w:noProof/>
        </w:rPr>
      </w:pPr>
      <w:r>
        <w:t>4. AICINA Konvencijas Līgumslēdzējas puses saskaņā ar Konvencijas VI panta 4. punkta noteikumiem iesniegt iebildumus ne vēlāk kā līdz 2008. gada 1. jūnijam, pēc kura saskaņā ar šo rezolūciju grozījumi tiks uzskatīti par spēkā esošiem.</w:t>
      </w:r>
    </w:p>
    <w:p w14:paraId="4B2C7B34" w14:textId="134C29DA" w:rsidR="00A04A45" w:rsidRDefault="00A04A45">
      <w:pPr>
        <w:rPr>
          <w:rFonts w:ascii="Times New Roman" w:hAnsi="Times New Roman"/>
          <w:noProof/>
          <w:sz w:val="24"/>
        </w:rPr>
      </w:pPr>
      <w:r>
        <w:br w:type="page"/>
      </w:r>
    </w:p>
    <w:p w14:paraId="664418DB" w14:textId="77777777" w:rsidR="0084773D" w:rsidRPr="00476C24" w:rsidRDefault="0084773D" w:rsidP="00A04A45">
      <w:pPr>
        <w:pStyle w:val="Heading1"/>
        <w:ind w:left="0"/>
        <w:jc w:val="center"/>
        <w:rPr>
          <w:noProof/>
        </w:rPr>
      </w:pPr>
      <w:r>
        <w:lastRenderedPageBreak/>
        <w:t>PIELIKUMS</w:t>
      </w:r>
    </w:p>
    <w:p w14:paraId="5D7A80FE" w14:textId="77777777" w:rsidR="0084773D" w:rsidRPr="00476C24" w:rsidRDefault="0084773D" w:rsidP="00A04A45">
      <w:pPr>
        <w:jc w:val="center"/>
        <w:rPr>
          <w:rFonts w:ascii="Times New Roman" w:eastAsia="Times New Roman" w:hAnsi="Times New Roman" w:cs="Times New Roman"/>
          <w:b/>
          <w:bCs/>
          <w:noProof/>
          <w:sz w:val="24"/>
          <w:szCs w:val="21"/>
        </w:rPr>
      </w:pPr>
    </w:p>
    <w:p w14:paraId="3FB37EA5" w14:textId="77777777" w:rsidR="0084773D" w:rsidRPr="00476C24" w:rsidRDefault="0084773D" w:rsidP="00A04A45">
      <w:pPr>
        <w:jc w:val="center"/>
        <w:rPr>
          <w:rFonts w:ascii="Times New Roman" w:hAnsi="Times New Roman"/>
          <w:b/>
          <w:noProof/>
          <w:sz w:val="24"/>
        </w:rPr>
      </w:pPr>
      <w:r>
        <w:rPr>
          <w:rFonts w:ascii="Times New Roman" w:hAnsi="Times New Roman"/>
          <w:b/>
          <w:sz w:val="24"/>
        </w:rPr>
        <w:t>GROZĪTO 1972. GADA STARPTAUTISKO KUĢU SADURSMJU NOVĒRŠANAS NOTEIKUMU GROZĪJUMI</w:t>
      </w:r>
    </w:p>
    <w:p w14:paraId="640E48C5" w14:textId="77777777" w:rsidR="0084773D" w:rsidRPr="00476C24" w:rsidRDefault="0084773D" w:rsidP="00A04A45">
      <w:pPr>
        <w:jc w:val="center"/>
        <w:rPr>
          <w:rFonts w:ascii="Times New Roman" w:eastAsia="Times New Roman" w:hAnsi="Times New Roman" w:cs="Times New Roman"/>
          <w:b/>
          <w:bCs/>
          <w:noProof/>
          <w:sz w:val="24"/>
          <w:szCs w:val="24"/>
        </w:rPr>
      </w:pPr>
    </w:p>
    <w:p w14:paraId="130A9CB0" w14:textId="77777777" w:rsidR="0084773D" w:rsidRPr="00476C24" w:rsidRDefault="0084773D" w:rsidP="00A04A45">
      <w:pPr>
        <w:jc w:val="center"/>
        <w:rPr>
          <w:rFonts w:ascii="Times New Roman" w:hAnsi="Times New Roman"/>
          <w:b/>
          <w:noProof/>
          <w:sz w:val="24"/>
        </w:rPr>
      </w:pPr>
      <w:r>
        <w:rPr>
          <w:rFonts w:ascii="Times New Roman" w:hAnsi="Times New Roman"/>
          <w:b/>
          <w:sz w:val="24"/>
        </w:rPr>
        <w:t>IV pielikums</w:t>
      </w:r>
    </w:p>
    <w:p w14:paraId="1929CDBA" w14:textId="77777777" w:rsidR="0084773D" w:rsidRPr="00476C24" w:rsidRDefault="0084773D" w:rsidP="00A04A45">
      <w:pPr>
        <w:jc w:val="center"/>
        <w:rPr>
          <w:rFonts w:ascii="Times New Roman" w:eastAsia="Times New Roman" w:hAnsi="Times New Roman" w:cs="Times New Roman"/>
          <w:b/>
          <w:bCs/>
          <w:noProof/>
          <w:sz w:val="24"/>
          <w:szCs w:val="19"/>
        </w:rPr>
      </w:pPr>
    </w:p>
    <w:p w14:paraId="73C61E7A" w14:textId="77777777" w:rsidR="0084773D" w:rsidRPr="00476C24" w:rsidRDefault="0084773D" w:rsidP="00A04A45">
      <w:pPr>
        <w:jc w:val="center"/>
        <w:rPr>
          <w:rFonts w:ascii="Times New Roman" w:hAnsi="Times New Roman"/>
          <w:i/>
          <w:noProof/>
          <w:sz w:val="24"/>
        </w:rPr>
      </w:pPr>
      <w:r>
        <w:rPr>
          <w:rFonts w:ascii="Times New Roman" w:hAnsi="Times New Roman"/>
          <w:i/>
          <w:sz w:val="24"/>
        </w:rPr>
        <w:t>Briesmu signāli</w:t>
      </w:r>
    </w:p>
    <w:p w14:paraId="128C1A38" w14:textId="313371CD" w:rsidR="0084773D" w:rsidRDefault="0084773D" w:rsidP="00476C24">
      <w:pPr>
        <w:jc w:val="both"/>
        <w:rPr>
          <w:rFonts w:ascii="Times New Roman" w:eastAsia="Times New Roman" w:hAnsi="Times New Roman" w:cs="Times New Roman"/>
          <w:i/>
          <w:noProof/>
          <w:sz w:val="24"/>
          <w:szCs w:val="24"/>
        </w:rPr>
      </w:pPr>
    </w:p>
    <w:p w14:paraId="1DA1902E" w14:textId="77777777" w:rsidR="00A04A45" w:rsidRPr="00476C24" w:rsidRDefault="00A04A45" w:rsidP="00476C24">
      <w:pPr>
        <w:jc w:val="both"/>
        <w:rPr>
          <w:rFonts w:ascii="Times New Roman" w:eastAsia="Times New Roman" w:hAnsi="Times New Roman" w:cs="Times New Roman"/>
          <w:i/>
          <w:noProof/>
          <w:sz w:val="24"/>
          <w:szCs w:val="24"/>
        </w:rPr>
      </w:pPr>
    </w:p>
    <w:p w14:paraId="23D69F67" w14:textId="1ED03DB4" w:rsidR="0084773D" w:rsidRPr="00476C24" w:rsidRDefault="00476C24" w:rsidP="00476C24">
      <w:pPr>
        <w:pStyle w:val="BodyText"/>
        <w:tabs>
          <w:tab w:val="left" w:pos="820"/>
        </w:tabs>
        <w:ind w:left="0" w:firstLine="0"/>
        <w:jc w:val="both"/>
        <w:rPr>
          <w:noProof/>
        </w:rPr>
      </w:pPr>
      <w:r>
        <w:t xml:space="preserve">1. Šie signāli, izmantoti vai parādīti kopā vai atsevišķi, norāda, </w:t>
      </w:r>
      <w:r w:rsidR="000C1A59">
        <w:t>uz briesmām un palīdzības nepieciešamību</w:t>
      </w:r>
      <w:r>
        <w:t>:</w:t>
      </w:r>
    </w:p>
    <w:p w14:paraId="7BADE9B6" w14:textId="77777777" w:rsidR="0084773D" w:rsidRPr="00476C24" w:rsidRDefault="0084773D" w:rsidP="00476C24">
      <w:pPr>
        <w:jc w:val="both"/>
        <w:rPr>
          <w:rFonts w:ascii="Times New Roman" w:eastAsia="Times New Roman" w:hAnsi="Times New Roman" w:cs="Times New Roman"/>
          <w:noProof/>
          <w:sz w:val="24"/>
          <w:szCs w:val="24"/>
        </w:rPr>
      </w:pPr>
    </w:p>
    <w:p w14:paraId="4AFA372C" w14:textId="3DFD6690" w:rsidR="0084773D" w:rsidRPr="00476C24" w:rsidRDefault="00476C24" w:rsidP="00A04A45">
      <w:pPr>
        <w:pStyle w:val="BodyText"/>
        <w:tabs>
          <w:tab w:val="left" w:pos="1540"/>
        </w:tabs>
        <w:ind w:left="540" w:firstLine="0"/>
        <w:jc w:val="both"/>
        <w:rPr>
          <w:noProof/>
        </w:rPr>
      </w:pPr>
      <w:r>
        <w:t xml:space="preserve">a) </w:t>
      </w:r>
      <w:r w:rsidR="000C1A59">
        <w:t>ieroča</w:t>
      </w:r>
      <w:r>
        <w:t xml:space="preserve"> šāvieni vai citi sprāgstoši signāli ar apmēram 1 minūtes starplaikiem;</w:t>
      </w:r>
    </w:p>
    <w:p w14:paraId="783D735C" w14:textId="313B5321" w:rsidR="0084773D" w:rsidRPr="00476C24" w:rsidRDefault="00476C24" w:rsidP="00A04A45">
      <w:pPr>
        <w:pStyle w:val="BodyText"/>
        <w:tabs>
          <w:tab w:val="left" w:pos="1540"/>
        </w:tabs>
        <w:ind w:left="540" w:firstLine="0"/>
        <w:jc w:val="both"/>
        <w:rPr>
          <w:noProof/>
        </w:rPr>
      </w:pPr>
      <w:r>
        <w:t>b) nepārtraukts skaņas signāls, ko rada, izmantojot jebkādu miglas signāla raidīšanas ierīci;</w:t>
      </w:r>
    </w:p>
    <w:p w14:paraId="02578ACE" w14:textId="6672934D" w:rsidR="0084773D" w:rsidRPr="00476C24" w:rsidRDefault="00476C24" w:rsidP="00A04A45">
      <w:pPr>
        <w:pStyle w:val="BodyText"/>
        <w:tabs>
          <w:tab w:val="left" w:pos="1540"/>
        </w:tabs>
        <w:ind w:left="540" w:firstLine="0"/>
        <w:jc w:val="both"/>
        <w:rPr>
          <w:noProof/>
        </w:rPr>
      </w:pPr>
      <w:r>
        <w:t>c) raķetes vai šāviņi, kas gaisā deg ar sarkanu liesmu un ko izšauj pa vienam ar nelieliem intervāliem;</w:t>
      </w:r>
    </w:p>
    <w:p w14:paraId="5F27D362" w14:textId="1BC8BB90" w:rsidR="0084773D" w:rsidRPr="00476C24" w:rsidRDefault="00476C24" w:rsidP="00A04A45">
      <w:pPr>
        <w:pStyle w:val="BodyText"/>
        <w:tabs>
          <w:tab w:val="left" w:pos="1540"/>
        </w:tabs>
        <w:ind w:left="540" w:firstLine="0"/>
        <w:jc w:val="both"/>
        <w:rPr>
          <w:rFonts w:cs="Times New Roman"/>
          <w:noProof/>
        </w:rPr>
      </w:pPr>
      <w:r>
        <w:t xml:space="preserve">d) signāls ··· </w:t>
      </w:r>
      <w:r>
        <w:rPr>
          <w:b/>
        </w:rPr>
        <w:t xml:space="preserve">− − − </w:t>
      </w:r>
      <w:r>
        <w:t>··· (SOS) pēc Morzes ābeces, kas pārraidīts, izmantojot jebkādu signalizēšanas metodi;</w:t>
      </w:r>
    </w:p>
    <w:p w14:paraId="15382873" w14:textId="51DCA0CF" w:rsidR="0084773D" w:rsidRPr="00476C24" w:rsidRDefault="00476C24" w:rsidP="00A04A45">
      <w:pPr>
        <w:pStyle w:val="BodyText"/>
        <w:tabs>
          <w:tab w:val="left" w:pos="1540"/>
        </w:tabs>
        <w:ind w:left="540" w:firstLine="0"/>
        <w:jc w:val="both"/>
        <w:rPr>
          <w:rFonts w:cs="Times New Roman"/>
          <w:noProof/>
        </w:rPr>
      </w:pPr>
      <w:r>
        <w:t>e) izmantojot radiotelefonu, pārraidīts izrunāts vārds “MAYDAY”;</w:t>
      </w:r>
    </w:p>
    <w:p w14:paraId="5DB682C8" w14:textId="2BBAB478" w:rsidR="0084773D" w:rsidRPr="00476C24" w:rsidRDefault="00476C24" w:rsidP="00A04A45">
      <w:pPr>
        <w:pStyle w:val="BodyText"/>
        <w:tabs>
          <w:tab w:val="left" w:pos="1540"/>
        </w:tabs>
        <w:ind w:left="540" w:firstLine="0"/>
        <w:jc w:val="both"/>
        <w:rPr>
          <w:noProof/>
        </w:rPr>
      </w:pPr>
      <w:r>
        <w:t>f) Starptautiskā signālu kodeksa briesmu signāls – NC;</w:t>
      </w:r>
    </w:p>
    <w:p w14:paraId="297B83A2" w14:textId="218EF3E8" w:rsidR="0084773D" w:rsidRPr="00476C24" w:rsidRDefault="00476C24" w:rsidP="00A04A45">
      <w:pPr>
        <w:pStyle w:val="BodyText"/>
        <w:tabs>
          <w:tab w:val="left" w:pos="1540"/>
        </w:tabs>
        <w:ind w:left="540" w:firstLine="0"/>
        <w:jc w:val="both"/>
        <w:rPr>
          <w:noProof/>
        </w:rPr>
      </w:pPr>
      <w:r>
        <w:t xml:space="preserve">g) </w:t>
      </w:r>
      <w:r w:rsidR="000C1A59">
        <w:t>signāls, kas sastāv no kvadrāta formas karoga</w:t>
      </w:r>
      <w:r>
        <w:t>, virs vai zem kura ir bumba vai bumbai līdzīgs priekšmets;</w:t>
      </w:r>
    </w:p>
    <w:p w14:paraId="751B40C0" w14:textId="32A4EA30" w:rsidR="0084773D" w:rsidRPr="00476C24" w:rsidRDefault="007A595C" w:rsidP="00A04A45">
      <w:pPr>
        <w:pStyle w:val="BodyText"/>
        <w:tabs>
          <w:tab w:val="left" w:pos="1540"/>
        </w:tabs>
        <w:ind w:left="540" w:firstLine="0"/>
        <w:jc w:val="both"/>
        <w:rPr>
          <w:noProof/>
        </w:rPr>
      </w:pPr>
      <w:r>
        <w:t>h) liesmas uz kuģošanas līdzekļa (no degošas darvas mucas, naftas mucas u. tml.);</w:t>
      </w:r>
    </w:p>
    <w:p w14:paraId="7D584947" w14:textId="16794B6D" w:rsidR="0084773D" w:rsidRPr="00476C24" w:rsidRDefault="007A595C" w:rsidP="00A04A45">
      <w:pPr>
        <w:pStyle w:val="BodyText"/>
        <w:tabs>
          <w:tab w:val="left" w:pos="1540"/>
        </w:tabs>
        <w:ind w:left="540" w:firstLine="0"/>
        <w:jc w:val="both"/>
        <w:rPr>
          <w:noProof/>
        </w:rPr>
      </w:pPr>
      <w:r>
        <w:t>i) sarkanā krāsā degoša raķete ar izpletni vai rokas signāllāpa;</w:t>
      </w:r>
    </w:p>
    <w:p w14:paraId="0393776D" w14:textId="57B54613" w:rsidR="0084773D" w:rsidRPr="00476C24" w:rsidRDefault="007A595C" w:rsidP="00A04A45">
      <w:pPr>
        <w:pStyle w:val="BodyText"/>
        <w:tabs>
          <w:tab w:val="left" w:pos="1540"/>
        </w:tabs>
        <w:ind w:left="540" w:firstLine="0"/>
        <w:jc w:val="both"/>
        <w:rPr>
          <w:noProof/>
        </w:rPr>
      </w:pPr>
      <w:r>
        <w:t>j) dūmu signāls – oranži dūmi;</w:t>
      </w:r>
    </w:p>
    <w:p w14:paraId="39FD056E" w14:textId="6413AAE8" w:rsidR="0084773D" w:rsidRPr="00476C24" w:rsidRDefault="007A595C" w:rsidP="00A04A45">
      <w:pPr>
        <w:pStyle w:val="BodyText"/>
        <w:tabs>
          <w:tab w:val="left" w:pos="1540"/>
        </w:tabs>
        <w:ind w:left="540" w:firstLine="0"/>
        <w:jc w:val="both"/>
        <w:rPr>
          <w:noProof/>
        </w:rPr>
      </w:pPr>
      <w:r>
        <w:t>k) lēna un atkārtota sāņus izstieptu roku pacelšana un nolaišana;</w:t>
      </w:r>
    </w:p>
    <w:p w14:paraId="5CF6CD39" w14:textId="5A24EBDB" w:rsidR="0084773D" w:rsidRDefault="007A595C" w:rsidP="00A04A45">
      <w:pPr>
        <w:pStyle w:val="BodyText"/>
        <w:tabs>
          <w:tab w:val="left" w:pos="1540"/>
        </w:tabs>
        <w:ind w:left="540" w:firstLine="0"/>
        <w:jc w:val="both"/>
        <w:rPr>
          <w:noProof/>
        </w:rPr>
      </w:pPr>
      <w:r>
        <w:t>l) briesmu signāls, ko pārraida, izmantojot ciparu selektīvo izsaukumu (</w:t>
      </w:r>
      <w:r>
        <w:rPr>
          <w:i/>
          <w:iCs/>
        </w:rPr>
        <w:t>DSC</w:t>
      </w:r>
      <w:r>
        <w:t>):</w:t>
      </w:r>
    </w:p>
    <w:p w14:paraId="557924C5" w14:textId="77777777" w:rsidR="00A04A45" w:rsidRPr="00476C24" w:rsidRDefault="00A04A45" w:rsidP="007A595C">
      <w:pPr>
        <w:pStyle w:val="BodyText"/>
        <w:tabs>
          <w:tab w:val="left" w:pos="1540"/>
        </w:tabs>
        <w:ind w:left="0" w:firstLine="0"/>
        <w:jc w:val="both"/>
        <w:rPr>
          <w:noProof/>
        </w:rPr>
      </w:pPr>
    </w:p>
    <w:p w14:paraId="47BC148E" w14:textId="0AE02579" w:rsidR="0084773D" w:rsidRPr="00476C24" w:rsidRDefault="007A595C" w:rsidP="00A04A45">
      <w:pPr>
        <w:pStyle w:val="BodyText"/>
        <w:tabs>
          <w:tab w:val="left" w:pos="2260"/>
        </w:tabs>
        <w:ind w:left="900" w:firstLine="0"/>
        <w:jc w:val="both"/>
        <w:rPr>
          <w:noProof/>
        </w:rPr>
      </w:pPr>
      <w:r>
        <w:t xml:space="preserve">i) </w:t>
      </w:r>
      <w:r w:rsidR="000C1A59">
        <w:t>UĪV (</w:t>
      </w:r>
      <w:r>
        <w:rPr>
          <w:i/>
          <w:iCs/>
        </w:rPr>
        <w:t>VHF</w:t>
      </w:r>
      <w:r w:rsidR="000C1A59">
        <w:t>)</w:t>
      </w:r>
      <w:r>
        <w:t xml:space="preserve"> 70. kanālā vai</w:t>
      </w:r>
    </w:p>
    <w:p w14:paraId="1E85EA0C" w14:textId="116AC791" w:rsidR="0084773D" w:rsidRPr="00476C24" w:rsidRDefault="007A595C" w:rsidP="00A04A45">
      <w:pPr>
        <w:pStyle w:val="BodyText"/>
        <w:tabs>
          <w:tab w:val="left" w:pos="2260"/>
        </w:tabs>
        <w:ind w:left="900" w:firstLine="0"/>
        <w:jc w:val="both"/>
        <w:rPr>
          <w:noProof/>
        </w:rPr>
      </w:pPr>
      <w:r>
        <w:t xml:space="preserve">ii) </w:t>
      </w:r>
      <w:r w:rsidR="000C1A59">
        <w:t>VV/ĪV (</w:t>
      </w:r>
      <w:r>
        <w:rPr>
          <w:i/>
          <w:iCs/>
        </w:rPr>
        <w:t>MF/HF</w:t>
      </w:r>
      <w:r w:rsidR="000C1A59">
        <w:t>)</w:t>
      </w:r>
      <w:r>
        <w:rPr>
          <w:i/>
          <w:iCs/>
        </w:rPr>
        <w:t xml:space="preserve"> </w:t>
      </w:r>
      <w:r>
        <w:t>2187,5 kHz, 8414,5 kHz, 4207,5 kHz, 6312 kHz, 12 577 kHz vai 16 804,5 kHz frekvencē;</w:t>
      </w:r>
    </w:p>
    <w:p w14:paraId="2F769E79" w14:textId="77777777" w:rsidR="00A04A45" w:rsidRDefault="00A04A45" w:rsidP="007A595C">
      <w:pPr>
        <w:pStyle w:val="BodyText"/>
        <w:tabs>
          <w:tab w:val="left" w:pos="1540"/>
        </w:tabs>
        <w:ind w:left="0" w:firstLine="0"/>
        <w:jc w:val="both"/>
        <w:rPr>
          <w:rFonts w:cs="Times New Roman"/>
          <w:noProof/>
        </w:rPr>
      </w:pPr>
    </w:p>
    <w:p w14:paraId="01208132" w14:textId="21F779FC" w:rsidR="0084773D" w:rsidRPr="00476C24" w:rsidRDefault="007A595C" w:rsidP="00A04A45">
      <w:pPr>
        <w:pStyle w:val="BodyText"/>
        <w:tabs>
          <w:tab w:val="left" w:pos="1540"/>
        </w:tabs>
        <w:ind w:left="540" w:firstLine="0"/>
        <w:jc w:val="both"/>
        <w:rPr>
          <w:rFonts w:cs="Times New Roman"/>
          <w:noProof/>
        </w:rPr>
      </w:pPr>
      <w:r>
        <w:t xml:space="preserve">m) trauksmes signāls no kuģa uz </w:t>
      </w:r>
      <w:r w:rsidR="000C1A59">
        <w:t>krastu</w:t>
      </w:r>
      <w:r>
        <w:t>, ko pārraida kuģa</w:t>
      </w:r>
      <w:r w:rsidR="000C1A59">
        <w:t>-zemes stacija ar kuģa</w:t>
      </w:r>
      <w:r>
        <w:t xml:space="preserve"> </w:t>
      </w:r>
      <w:r>
        <w:rPr>
          <w:i/>
          <w:iCs/>
        </w:rPr>
        <w:t>Inmarsat</w:t>
      </w:r>
      <w:r>
        <w:t xml:space="preserve"> vai </w:t>
      </w:r>
      <w:r w:rsidR="000C1A59">
        <w:t>citu</w:t>
      </w:r>
      <w:r>
        <w:t xml:space="preserve"> mobilo satelītu pakalpojumu</w:t>
      </w:r>
      <w:r w:rsidR="000C1A59">
        <w:t xml:space="preserve"> </w:t>
      </w:r>
      <w:r>
        <w:t>s</w:t>
      </w:r>
      <w:r w:rsidR="000C1A59">
        <w:t>niedzēju</w:t>
      </w:r>
      <w:r>
        <w:t>;</w:t>
      </w:r>
    </w:p>
    <w:p w14:paraId="0F671391" w14:textId="7C51B8B3" w:rsidR="0084773D" w:rsidRPr="00476C24" w:rsidRDefault="007A595C" w:rsidP="00A04A45">
      <w:pPr>
        <w:pStyle w:val="BodyText"/>
        <w:tabs>
          <w:tab w:val="left" w:pos="1541"/>
        </w:tabs>
        <w:ind w:left="540" w:firstLine="0"/>
        <w:jc w:val="both"/>
        <w:rPr>
          <w:noProof/>
        </w:rPr>
      </w:pPr>
      <w:r>
        <w:t>n) signāli, ko pārraida avārijas vietu norādošā radiobāka;</w:t>
      </w:r>
    </w:p>
    <w:p w14:paraId="006667AA" w14:textId="291FDCCC" w:rsidR="0084773D" w:rsidRPr="00476C24" w:rsidRDefault="007A595C" w:rsidP="00A04A45">
      <w:pPr>
        <w:pStyle w:val="BodyText"/>
        <w:tabs>
          <w:tab w:val="left" w:pos="1540"/>
        </w:tabs>
        <w:ind w:left="540" w:firstLine="0"/>
        <w:jc w:val="both"/>
        <w:rPr>
          <w:noProof/>
        </w:rPr>
      </w:pPr>
      <w:r>
        <w:t>o) noteikti signāli, ko pārraida radiosakaru sistēmas, ieskaitot glābšanas līdzekļa radiolokācijas atbildētāju.</w:t>
      </w:r>
    </w:p>
    <w:p w14:paraId="67DA37D9" w14:textId="77777777" w:rsidR="0084773D" w:rsidRPr="00476C24" w:rsidRDefault="0084773D" w:rsidP="00476C24">
      <w:pPr>
        <w:jc w:val="both"/>
        <w:rPr>
          <w:rFonts w:ascii="Times New Roman" w:eastAsia="Times New Roman" w:hAnsi="Times New Roman" w:cs="Times New Roman"/>
          <w:noProof/>
          <w:sz w:val="24"/>
          <w:szCs w:val="24"/>
        </w:rPr>
      </w:pPr>
    </w:p>
    <w:p w14:paraId="399D6729" w14:textId="091EBA19" w:rsidR="0084773D" w:rsidRPr="00476C24" w:rsidRDefault="00A04A45" w:rsidP="007A595C">
      <w:pPr>
        <w:pStyle w:val="BodyText"/>
        <w:tabs>
          <w:tab w:val="left" w:pos="840"/>
        </w:tabs>
        <w:ind w:left="0" w:firstLine="0"/>
        <w:jc w:val="both"/>
        <w:rPr>
          <w:noProof/>
        </w:rPr>
      </w:pPr>
      <w:r>
        <w:t>2. Jebkuru no iepriekš minētajiem signāliem drīkst izmantot vai parādīt tikai, lai paziņotu par briesmām un palīdzības nepieciešamību; aizliegts izmantot signālus, ko var sajaukt ar jebkuru no iepriekš minētajiem signāliem.</w:t>
      </w:r>
    </w:p>
    <w:p w14:paraId="668B55E0" w14:textId="77777777" w:rsidR="0084773D" w:rsidRPr="00476C24" w:rsidRDefault="0084773D" w:rsidP="00476C24">
      <w:pPr>
        <w:jc w:val="both"/>
        <w:rPr>
          <w:rFonts w:ascii="Times New Roman" w:eastAsia="Times New Roman" w:hAnsi="Times New Roman" w:cs="Times New Roman"/>
          <w:noProof/>
          <w:sz w:val="24"/>
          <w:szCs w:val="24"/>
        </w:rPr>
      </w:pPr>
    </w:p>
    <w:p w14:paraId="0A6A653E" w14:textId="09CB5BB2" w:rsidR="0084773D" w:rsidRPr="00476C24" w:rsidRDefault="00A04A45" w:rsidP="007A595C">
      <w:pPr>
        <w:pStyle w:val="BodyText"/>
        <w:tabs>
          <w:tab w:val="left" w:pos="840"/>
        </w:tabs>
        <w:ind w:left="0" w:firstLine="0"/>
        <w:jc w:val="both"/>
        <w:rPr>
          <w:noProof/>
        </w:rPr>
      </w:pPr>
      <w:r>
        <w:t>3. Jāpievērš uzmanība atbilstošajām nodaļām Starptautiskajā signālu kodeksā un Starptautiskās aeronavigācijas un jūras meklēšanas un glābšanas rokasgrāmatas III sējumā, kā arī šiem signāliem:</w:t>
      </w:r>
    </w:p>
    <w:p w14:paraId="2EBAC075" w14:textId="77777777" w:rsidR="0084773D" w:rsidRPr="00476C24" w:rsidRDefault="0084773D" w:rsidP="00476C24">
      <w:pPr>
        <w:jc w:val="both"/>
        <w:rPr>
          <w:rFonts w:ascii="Times New Roman" w:eastAsia="Times New Roman" w:hAnsi="Times New Roman" w:cs="Times New Roman"/>
          <w:noProof/>
          <w:sz w:val="24"/>
          <w:szCs w:val="24"/>
        </w:rPr>
      </w:pPr>
    </w:p>
    <w:p w14:paraId="48B15466" w14:textId="598962A0" w:rsidR="0084773D" w:rsidRPr="00A04A45" w:rsidRDefault="007A595C" w:rsidP="00A04A45">
      <w:pPr>
        <w:pStyle w:val="BodyText"/>
        <w:tabs>
          <w:tab w:val="left" w:pos="1560"/>
        </w:tabs>
        <w:ind w:left="540" w:firstLine="0"/>
        <w:jc w:val="both"/>
        <w:rPr>
          <w:noProof/>
        </w:rPr>
      </w:pPr>
      <w:r>
        <w:t>a) oranžam auduma gabalam ar melnu kvadrātu un riņķi vai citu atbilstošu simbolu (identificēšanai no gaisa);</w:t>
      </w:r>
    </w:p>
    <w:p w14:paraId="0FC6DD35" w14:textId="5EAEDC95" w:rsidR="0084773D" w:rsidRPr="0062796C" w:rsidRDefault="007A595C" w:rsidP="0062796C">
      <w:pPr>
        <w:pStyle w:val="BodyText"/>
        <w:tabs>
          <w:tab w:val="left" w:pos="1560"/>
        </w:tabs>
        <w:ind w:left="540" w:firstLine="0"/>
        <w:jc w:val="both"/>
        <w:rPr>
          <w:noProof/>
        </w:rPr>
      </w:pPr>
      <w:r>
        <w:t>b) krāsainajam marķierim.</w:t>
      </w:r>
      <w:bookmarkStart w:id="0" w:name="Blank_Page"/>
      <w:bookmarkEnd w:id="0"/>
    </w:p>
    <w:sectPr w:rsidR="0084773D" w:rsidRPr="0062796C" w:rsidSect="00476C24">
      <w:headerReference w:type="default" r:id="rId7"/>
      <w:footerReference w:type="default" r:id="rId8"/>
      <w:headerReference w:type="first" r:id="rId9"/>
      <w:footerReference w:type="first" r:id="rId10"/>
      <w:pgSz w:w="11909" w:h="16834" w:code="9"/>
      <w:pgMar w:top="1138" w:right="1138" w:bottom="1138" w:left="169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F17EA" w14:textId="77777777" w:rsidR="00E82E9C" w:rsidRPr="0084773D" w:rsidRDefault="0084773D">
      <w:pPr>
        <w:rPr>
          <w:noProof/>
        </w:rPr>
      </w:pPr>
      <w:r w:rsidRPr="0084773D">
        <w:rPr>
          <w:noProof/>
        </w:rPr>
        <w:separator/>
      </w:r>
    </w:p>
  </w:endnote>
  <w:endnote w:type="continuationSeparator" w:id="0">
    <w:p w14:paraId="24BF2B63" w14:textId="77777777" w:rsidR="00E82E9C" w:rsidRPr="0084773D" w:rsidRDefault="0084773D">
      <w:pPr>
        <w:rPr>
          <w:noProof/>
        </w:rPr>
      </w:pPr>
      <w:r w:rsidRPr="0084773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CE958" w14:textId="77777777" w:rsidR="0062796C" w:rsidRPr="0062796C" w:rsidRDefault="0062796C" w:rsidP="0062796C">
    <w:pPr>
      <w:pStyle w:val="Header"/>
      <w:tabs>
        <w:tab w:val="left" w:pos="9072"/>
      </w:tabs>
      <w:rPr>
        <w:rStyle w:val="PageNumber"/>
        <w:rFonts w:ascii="Times New Roman" w:hAnsi="Times New Roman" w:cs="Times New Roman"/>
        <w:sz w:val="20"/>
        <w:szCs w:val="18"/>
      </w:rPr>
    </w:pPr>
  </w:p>
  <w:p w14:paraId="3AF0A91D" w14:textId="407F2ABA" w:rsidR="0062796C" w:rsidRPr="0062796C" w:rsidRDefault="0062796C" w:rsidP="0062796C">
    <w:pPr>
      <w:pStyle w:val="Header"/>
      <w:tabs>
        <w:tab w:val="clear" w:pos="4513"/>
        <w:tab w:val="clear" w:pos="9026"/>
        <w:tab w:val="right" w:leader="underscore" w:pos="9072"/>
      </w:tabs>
      <w:rPr>
        <w:rStyle w:val="PageNumber"/>
        <w:rFonts w:ascii="Times New Roman" w:hAnsi="Times New Roman" w:cs="Times New Roman"/>
        <w:sz w:val="20"/>
        <w:szCs w:val="18"/>
      </w:rPr>
    </w:pPr>
    <w:r w:rsidRPr="0062796C">
      <w:rPr>
        <w:rStyle w:val="PageNumber"/>
        <w:rFonts w:ascii="Times New Roman" w:hAnsi="Times New Roman" w:cs="Times New Roman"/>
        <w:sz w:val="20"/>
        <w:szCs w:val="18"/>
      </w:rPr>
      <w:tab/>
    </w:r>
  </w:p>
  <w:p w14:paraId="3D9496B3" w14:textId="77777777" w:rsidR="0062796C" w:rsidRPr="0062796C" w:rsidRDefault="0062796C" w:rsidP="0062796C">
    <w:pPr>
      <w:pStyle w:val="Header"/>
      <w:tabs>
        <w:tab w:val="right" w:pos="9072"/>
      </w:tabs>
      <w:rPr>
        <w:rStyle w:val="PageNumber"/>
        <w:rFonts w:ascii="Times New Roman" w:hAnsi="Times New Roman" w:cs="Times New Roman"/>
        <w:sz w:val="20"/>
        <w:szCs w:val="18"/>
      </w:rPr>
    </w:pPr>
  </w:p>
  <w:p w14:paraId="086630B7" w14:textId="77777777" w:rsidR="0062796C" w:rsidRPr="0062796C" w:rsidRDefault="0062796C" w:rsidP="0062796C">
    <w:pPr>
      <w:pStyle w:val="Footer"/>
      <w:tabs>
        <w:tab w:val="clear" w:pos="4513"/>
        <w:tab w:val="clear" w:pos="9026"/>
        <w:tab w:val="center" w:pos="9072"/>
      </w:tabs>
      <w:rPr>
        <w:rFonts w:ascii="Times New Roman" w:hAnsi="Times New Roman" w:cs="Times New Roman"/>
        <w:sz w:val="20"/>
        <w:szCs w:val="18"/>
      </w:rPr>
    </w:pPr>
    <w:r w:rsidRPr="0062796C">
      <w:rPr>
        <w:rFonts w:ascii="Times New Roman" w:hAnsi="Times New Roman" w:cs="Times New Roman"/>
        <w:noProof/>
        <w:sz w:val="20"/>
        <w:szCs w:val="18"/>
      </w:rPr>
      <w:t xml:space="preserve">Tulkojums </w:t>
    </w:r>
    <w:r w:rsidRPr="0062796C">
      <w:rPr>
        <w:rFonts w:ascii="Times New Roman" w:hAnsi="Times New Roman" w:cs="Times New Roman"/>
        <w:noProof/>
        <w:sz w:val="20"/>
        <w:szCs w:val="18"/>
      </w:rPr>
      <w:fldChar w:fldCharType="begin"/>
    </w:r>
    <w:r w:rsidRPr="0062796C">
      <w:rPr>
        <w:rFonts w:ascii="Times New Roman" w:hAnsi="Times New Roman" w:cs="Times New Roman"/>
        <w:noProof/>
        <w:sz w:val="20"/>
        <w:szCs w:val="18"/>
      </w:rPr>
      <w:instrText>symbol 211 \f "Symbol" \s 9</w:instrText>
    </w:r>
    <w:r w:rsidRPr="0062796C">
      <w:rPr>
        <w:rFonts w:ascii="Times New Roman" w:hAnsi="Times New Roman" w:cs="Times New Roman"/>
        <w:noProof/>
        <w:sz w:val="20"/>
        <w:szCs w:val="18"/>
      </w:rPr>
      <w:fldChar w:fldCharType="separate"/>
    </w:r>
    <w:r w:rsidRPr="0062796C">
      <w:rPr>
        <w:rFonts w:ascii="Times New Roman" w:hAnsi="Times New Roman" w:cs="Times New Roman"/>
        <w:noProof/>
        <w:sz w:val="20"/>
        <w:szCs w:val="18"/>
      </w:rPr>
      <w:t>Ó</w:t>
    </w:r>
    <w:r w:rsidRPr="0062796C">
      <w:rPr>
        <w:rFonts w:ascii="Times New Roman" w:hAnsi="Times New Roman" w:cs="Times New Roman"/>
        <w:noProof/>
        <w:sz w:val="20"/>
        <w:szCs w:val="18"/>
      </w:rPr>
      <w:fldChar w:fldCharType="end"/>
    </w:r>
    <w:r w:rsidRPr="0062796C">
      <w:rPr>
        <w:rFonts w:ascii="Times New Roman" w:hAnsi="Times New Roman" w:cs="Times New Roman"/>
        <w:noProof/>
        <w:sz w:val="20"/>
        <w:szCs w:val="18"/>
      </w:rPr>
      <w:t xml:space="preserve"> Valsts valodas centrs, 2020</w:t>
    </w:r>
    <w:r w:rsidRPr="0062796C">
      <w:rPr>
        <w:rFonts w:ascii="Times New Roman" w:hAnsi="Times New Roman" w:cs="Times New Roman"/>
        <w:sz w:val="20"/>
        <w:szCs w:val="18"/>
      </w:rPr>
      <w:tab/>
    </w:r>
    <w:r w:rsidRPr="0062796C">
      <w:rPr>
        <w:rStyle w:val="PageNumber"/>
        <w:rFonts w:ascii="Times New Roman" w:hAnsi="Times New Roman" w:cs="Times New Roman"/>
        <w:sz w:val="20"/>
        <w:szCs w:val="18"/>
      </w:rPr>
      <w:fldChar w:fldCharType="begin"/>
    </w:r>
    <w:r w:rsidRPr="0062796C">
      <w:rPr>
        <w:rStyle w:val="PageNumber"/>
        <w:rFonts w:ascii="Times New Roman" w:hAnsi="Times New Roman" w:cs="Times New Roman"/>
        <w:sz w:val="20"/>
        <w:szCs w:val="18"/>
      </w:rPr>
      <w:instrText xml:space="preserve">page </w:instrText>
    </w:r>
    <w:r w:rsidRPr="0062796C">
      <w:rPr>
        <w:rStyle w:val="PageNumber"/>
        <w:rFonts w:ascii="Times New Roman" w:hAnsi="Times New Roman" w:cs="Times New Roman"/>
        <w:sz w:val="20"/>
        <w:szCs w:val="18"/>
      </w:rPr>
      <w:fldChar w:fldCharType="separate"/>
    </w:r>
    <w:r w:rsidRPr="0062796C">
      <w:rPr>
        <w:rStyle w:val="PageNumber"/>
        <w:rFonts w:ascii="Times New Roman" w:hAnsi="Times New Roman" w:cs="Times New Roman"/>
        <w:sz w:val="20"/>
        <w:szCs w:val="18"/>
      </w:rPr>
      <w:t>2</w:t>
    </w:r>
    <w:r w:rsidRPr="0062796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04061" w14:textId="77777777" w:rsidR="0062796C" w:rsidRPr="0062796C" w:rsidRDefault="0062796C" w:rsidP="0062796C">
    <w:pPr>
      <w:pStyle w:val="Header"/>
      <w:tabs>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6B129D01" w14:textId="4911E657" w:rsidR="0062796C" w:rsidRPr="0062796C" w:rsidRDefault="0062796C" w:rsidP="0062796C">
    <w:pPr>
      <w:pStyle w:val="Header"/>
      <w:tabs>
        <w:tab w:val="clear" w:pos="4513"/>
        <w:tab w:val="clear" w:pos="9026"/>
        <w:tab w:val="left" w:leader="underscore" w:pos="9072"/>
      </w:tabs>
      <w:rPr>
        <w:rStyle w:val="PageNumber"/>
        <w:rFonts w:ascii="Times New Roman" w:hAnsi="Times New Roman" w:cs="Times New Roman"/>
        <w:sz w:val="20"/>
        <w:szCs w:val="18"/>
      </w:rPr>
    </w:pPr>
    <w:r w:rsidRPr="0062796C">
      <w:rPr>
        <w:rStyle w:val="PageNumber"/>
        <w:rFonts w:ascii="Times New Roman" w:hAnsi="Times New Roman" w:cs="Times New Roman"/>
        <w:sz w:val="20"/>
        <w:szCs w:val="18"/>
      </w:rPr>
      <w:tab/>
    </w:r>
  </w:p>
  <w:p w14:paraId="441E326A" w14:textId="77777777" w:rsidR="0062796C" w:rsidRPr="0062796C" w:rsidRDefault="0062796C" w:rsidP="0062796C">
    <w:pPr>
      <w:pStyle w:val="Header"/>
      <w:tabs>
        <w:tab w:val="left" w:pos="9072"/>
      </w:tabs>
      <w:rPr>
        <w:rStyle w:val="PageNumber"/>
        <w:rFonts w:ascii="Times New Roman" w:hAnsi="Times New Roman" w:cs="Times New Roman"/>
        <w:sz w:val="20"/>
        <w:szCs w:val="18"/>
      </w:rPr>
    </w:pPr>
  </w:p>
  <w:p w14:paraId="5580DA82" w14:textId="77777777" w:rsidR="0062796C" w:rsidRPr="0062796C" w:rsidRDefault="0062796C" w:rsidP="0062796C">
    <w:pPr>
      <w:pStyle w:val="Footer"/>
      <w:rPr>
        <w:rFonts w:ascii="Times New Roman" w:hAnsi="Times New Roman" w:cs="Times New Roman"/>
        <w:sz w:val="20"/>
        <w:szCs w:val="18"/>
      </w:rPr>
    </w:pPr>
    <w:r w:rsidRPr="0062796C">
      <w:rPr>
        <w:rFonts w:ascii="Times New Roman" w:hAnsi="Times New Roman" w:cs="Times New Roman"/>
        <w:noProof/>
        <w:sz w:val="20"/>
        <w:szCs w:val="18"/>
      </w:rPr>
      <w:t xml:space="preserve">Tulkojums </w:t>
    </w:r>
    <w:r w:rsidRPr="0062796C">
      <w:rPr>
        <w:rFonts w:ascii="Times New Roman" w:hAnsi="Times New Roman" w:cs="Times New Roman"/>
        <w:noProof/>
        <w:sz w:val="20"/>
        <w:szCs w:val="18"/>
      </w:rPr>
      <w:fldChar w:fldCharType="begin"/>
    </w:r>
    <w:r w:rsidRPr="0062796C">
      <w:rPr>
        <w:rFonts w:ascii="Times New Roman" w:hAnsi="Times New Roman" w:cs="Times New Roman"/>
        <w:noProof/>
        <w:sz w:val="20"/>
        <w:szCs w:val="18"/>
      </w:rPr>
      <w:instrText>symbol 211 \f "Symbol" \s 9</w:instrText>
    </w:r>
    <w:r w:rsidRPr="0062796C">
      <w:rPr>
        <w:rFonts w:ascii="Times New Roman" w:hAnsi="Times New Roman" w:cs="Times New Roman"/>
        <w:noProof/>
        <w:sz w:val="20"/>
        <w:szCs w:val="18"/>
      </w:rPr>
      <w:fldChar w:fldCharType="separate"/>
    </w:r>
    <w:r w:rsidRPr="0062796C">
      <w:rPr>
        <w:rFonts w:ascii="Times New Roman" w:hAnsi="Times New Roman" w:cs="Times New Roman"/>
        <w:noProof/>
        <w:sz w:val="20"/>
        <w:szCs w:val="18"/>
      </w:rPr>
      <w:t>Ó</w:t>
    </w:r>
    <w:r w:rsidRPr="0062796C">
      <w:rPr>
        <w:rFonts w:ascii="Times New Roman" w:hAnsi="Times New Roman" w:cs="Times New Roman"/>
        <w:noProof/>
        <w:sz w:val="20"/>
        <w:szCs w:val="18"/>
      </w:rPr>
      <w:fldChar w:fldCharType="end"/>
    </w:r>
    <w:r w:rsidRPr="0062796C">
      <w:rPr>
        <w:rFonts w:ascii="Times New Roman" w:hAnsi="Times New Roman" w:cs="Times New Roman"/>
        <w:noProof/>
        <w:sz w:val="20"/>
        <w:szCs w:val="18"/>
      </w:rPr>
      <w:t xml:space="preserve"> Valsts valodas centrs, 20</w:t>
    </w:r>
    <w:bookmarkEnd w:id="15"/>
    <w:bookmarkEnd w:id="16"/>
    <w:bookmarkEnd w:id="17"/>
    <w:r w:rsidRPr="0062796C">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C6D2" w14:textId="77777777" w:rsidR="00E82E9C" w:rsidRPr="0084773D" w:rsidRDefault="0084773D">
      <w:pPr>
        <w:rPr>
          <w:noProof/>
        </w:rPr>
      </w:pPr>
      <w:r w:rsidRPr="0084773D">
        <w:rPr>
          <w:noProof/>
        </w:rPr>
        <w:separator/>
      </w:r>
    </w:p>
  </w:footnote>
  <w:footnote w:type="continuationSeparator" w:id="0">
    <w:p w14:paraId="1C690276" w14:textId="77777777" w:rsidR="00E82E9C" w:rsidRPr="0084773D" w:rsidRDefault="0084773D">
      <w:pPr>
        <w:rPr>
          <w:noProof/>
        </w:rPr>
      </w:pPr>
      <w:r w:rsidRPr="0084773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C87E1" w14:textId="77777777" w:rsidR="0062796C" w:rsidRPr="0062796C" w:rsidRDefault="0062796C" w:rsidP="0062796C">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7295ACB0" w14:textId="0ADF3C34" w:rsidR="0062796C" w:rsidRPr="0062796C" w:rsidRDefault="0062796C" w:rsidP="0062796C">
    <w:pPr>
      <w:pStyle w:val="Header"/>
      <w:tabs>
        <w:tab w:val="clear" w:pos="4513"/>
        <w:tab w:val="clear" w:pos="9026"/>
        <w:tab w:val="right" w:leader="underscore" w:pos="9072"/>
      </w:tabs>
      <w:rPr>
        <w:rStyle w:val="PageNumber"/>
        <w:rFonts w:ascii="Times New Roman" w:hAnsi="Times New Roman" w:cs="Times New Roman"/>
        <w:sz w:val="20"/>
        <w:szCs w:val="20"/>
      </w:rPr>
    </w:pPr>
    <w:r w:rsidRPr="0062796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730EBE04" w14:textId="77777777" w:rsidR="0062796C" w:rsidRPr="0062796C" w:rsidRDefault="0062796C" w:rsidP="0062796C">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D81D" w14:textId="77777777" w:rsidR="0062796C" w:rsidRPr="0062796C" w:rsidRDefault="0062796C" w:rsidP="0062796C">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08AAAC67" w14:textId="77777777" w:rsidR="0062796C" w:rsidRPr="0062796C" w:rsidRDefault="0062796C" w:rsidP="0062796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D6083"/>
    <w:multiLevelType w:val="hybridMultilevel"/>
    <w:tmpl w:val="9142F6AE"/>
    <w:lvl w:ilvl="0" w:tplc="0F8CD618">
      <w:start w:val="1"/>
      <w:numFmt w:val="decimal"/>
      <w:lvlText w:val="%1."/>
      <w:lvlJc w:val="left"/>
      <w:pPr>
        <w:ind w:left="120" w:hanging="721"/>
      </w:pPr>
      <w:rPr>
        <w:rFonts w:ascii="Times New Roman" w:eastAsia="Times New Roman" w:hAnsi="Times New Roman" w:hint="default"/>
        <w:sz w:val="24"/>
        <w:szCs w:val="24"/>
      </w:rPr>
    </w:lvl>
    <w:lvl w:ilvl="1" w:tplc="ED28AC46">
      <w:start w:val="1"/>
      <w:numFmt w:val="bullet"/>
      <w:lvlText w:val="•"/>
      <w:lvlJc w:val="left"/>
      <w:pPr>
        <w:ind w:left="1070" w:hanging="721"/>
      </w:pPr>
      <w:rPr>
        <w:rFonts w:hint="default"/>
      </w:rPr>
    </w:lvl>
    <w:lvl w:ilvl="2" w:tplc="97F2CC74">
      <w:start w:val="1"/>
      <w:numFmt w:val="bullet"/>
      <w:lvlText w:val="•"/>
      <w:lvlJc w:val="left"/>
      <w:pPr>
        <w:ind w:left="2020" w:hanging="721"/>
      </w:pPr>
      <w:rPr>
        <w:rFonts w:hint="default"/>
      </w:rPr>
    </w:lvl>
    <w:lvl w:ilvl="3" w:tplc="27348316">
      <w:start w:val="1"/>
      <w:numFmt w:val="bullet"/>
      <w:lvlText w:val="•"/>
      <w:lvlJc w:val="left"/>
      <w:pPr>
        <w:ind w:left="2970" w:hanging="721"/>
      </w:pPr>
      <w:rPr>
        <w:rFonts w:hint="default"/>
      </w:rPr>
    </w:lvl>
    <w:lvl w:ilvl="4" w:tplc="5CCC5FDC">
      <w:start w:val="1"/>
      <w:numFmt w:val="bullet"/>
      <w:lvlText w:val="•"/>
      <w:lvlJc w:val="left"/>
      <w:pPr>
        <w:ind w:left="3920" w:hanging="721"/>
      </w:pPr>
      <w:rPr>
        <w:rFonts w:hint="default"/>
      </w:rPr>
    </w:lvl>
    <w:lvl w:ilvl="5" w:tplc="09AC49DC">
      <w:start w:val="1"/>
      <w:numFmt w:val="bullet"/>
      <w:lvlText w:val="•"/>
      <w:lvlJc w:val="left"/>
      <w:pPr>
        <w:ind w:left="4870" w:hanging="721"/>
      </w:pPr>
      <w:rPr>
        <w:rFonts w:hint="default"/>
      </w:rPr>
    </w:lvl>
    <w:lvl w:ilvl="6" w:tplc="CAA25BD0">
      <w:start w:val="1"/>
      <w:numFmt w:val="bullet"/>
      <w:lvlText w:val="•"/>
      <w:lvlJc w:val="left"/>
      <w:pPr>
        <w:ind w:left="5820" w:hanging="721"/>
      </w:pPr>
      <w:rPr>
        <w:rFonts w:hint="default"/>
      </w:rPr>
    </w:lvl>
    <w:lvl w:ilvl="7" w:tplc="D7EE730E">
      <w:start w:val="1"/>
      <w:numFmt w:val="bullet"/>
      <w:lvlText w:val="•"/>
      <w:lvlJc w:val="left"/>
      <w:pPr>
        <w:ind w:left="6770" w:hanging="721"/>
      </w:pPr>
      <w:rPr>
        <w:rFonts w:hint="default"/>
      </w:rPr>
    </w:lvl>
    <w:lvl w:ilvl="8" w:tplc="60807BAA">
      <w:start w:val="1"/>
      <w:numFmt w:val="bullet"/>
      <w:lvlText w:val="•"/>
      <w:lvlJc w:val="left"/>
      <w:pPr>
        <w:ind w:left="7720" w:hanging="721"/>
      </w:pPr>
      <w:rPr>
        <w:rFonts w:hint="default"/>
      </w:rPr>
    </w:lvl>
  </w:abstractNum>
  <w:abstractNum w:abstractNumId="1" w15:restartNumberingAfterBreak="0">
    <w:nsid w:val="40332209"/>
    <w:multiLevelType w:val="hybridMultilevel"/>
    <w:tmpl w:val="E16A4D5C"/>
    <w:lvl w:ilvl="0" w:tplc="4D7622B8">
      <w:start w:val="1"/>
      <w:numFmt w:val="decimal"/>
      <w:lvlText w:val="%1"/>
      <w:lvlJc w:val="left"/>
      <w:pPr>
        <w:ind w:left="100" w:hanging="720"/>
      </w:pPr>
      <w:rPr>
        <w:rFonts w:ascii="Times New Roman" w:eastAsia="Times New Roman" w:hAnsi="Times New Roman" w:hint="default"/>
        <w:sz w:val="24"/>
        <w:szCs w:val="24"/>
      </w:rPr>
    </w:lvl>
    <w:lvl w:ilvl="1" w:tplc="5FF23EBE">
      <w:start w:val="1"/>
      <w:numFmt w:val="lowerLetter"/>
      <w:lvlText w:val="(%2)"/>
      <w:lvlJc w:val="left"/>
      <w:pPr>
        <w:ind w:left="1540" w:hanging="720"/>
      </w:pPr>
      <w:rPr>
        <w:rFonts w:ascii="Times New Roman" w:eastAsia="Times New Roman" w:hAnsi="Times New Roman" w:hint="default"/>
        <w:w w:val="99"/>
        <w:sz w:val="24"/>
        <w:szCs w:val="24"/>
      </w:rPr>
    </w:lvl>
    <w:lvl w:ilvl="2" w:tplc="86A865EA">
      <w:start w:val="1"/>
      <w:numFmt w:val="lowerRoman"/>
      <w:lvlText w:val="(%3)"/>
      <w:lvlJc w:val="left"/>
      <w:pPr>
        <w:ind w:left="2260" w:hanging="720"/>
      </w:pPr>
      <w:rPr>
        <w:rFonts w:ascii="Times New Roman" w:eastAsia="Times New Roman" w:hAnsi="Times New Roman" w:hint="default"/>
        <w:w w:val="99"/>
        <w:sz w:val="24"/>
        <w:szCs w:val="24"/>
      </w:rPr>
    </w:lvl>
    <w:lvl w:ilvl="3" w:tplc="1C0E88D8">
      <w:start w:val="1"/>
      <w:numFmt w:val="bullet"/>
      <w:lvlText w:val="•"/>
      <w:lvlJc w:val="left"/>
      <w:pPr>
        <w:ind w:left="2260" w:hanging="720"/>
      </w:pPr>
      <w:rPr>
        <w:rFonts w:hint="default"/>
      </w:rPr>
    </w:lvl>
    <w:lvl w:ilvl="4" w:tplc="4960420E">
      <w:start w:val="1"/>
      <w:numFmt w:val="bullet"/>
      <w:lvlText w:val="•"/>
      <w:lvlJc w:val="left"/>
      <w:pPr>
        <w:ind w:left="3308" w:hanging="720"/>
      </w:pPr>
      <w:rPr>
        <w:rFonts w:hint="default"/>
      </w:rPr>
    </w:lvl>
    <w:lvl w:ilvl="5" w:tplc="5F885ADA">
      <w:start w:val="1"/>
      <w:numFmt w:val="bullet"/>
      <w:lvlText w:val="•"/>
      <w:lvlJc w:val="left"/>
      <w:pPr>
        <w:ind w:left="4357" w:hanging="720"/>
      </w:pPr>
      <w:rPr>
        <w:rFonts w:hint="default"/>
      </w:rPr>
    </w:lvl>
    <w:lvl w:ilvl="6" w:tplc="F8765650">
      <w:start w:val="1"/>
      <w:numFmt w:val="bullet"/>
      <w:lvlText w:val="•"/>
      <w:lvlJc w:val="left"/>
      <w:pPr>
        <w:ind w:left="5405" w:hanging="720"/>
      </w:pPr>
      <w:rPr>
        <w:rFonts w:hint="default"/>
      </w:rPr>
    </w:lvl>
    <w:lvl w:ilvl="7" w:tplc="B93E1FCC">
      <w:start w:val="1"/>
      <w:numFmt w:val="bullet"/>
      <w:lvlText w:val="•"/>
      <w:lvlJc w:val="left"/>
      <w:pPr>
        <w:ind w:left="6454" w:hanging="720"/>
      </w:pPr>
      <w:rPr>
        <w:rFonts w:hint="default"/>
      </w:rPr>
    </w:lvl>
    <w:lvl w:ilvl="8" w:tplc="19EA8C7E">
      <w:start w:val="1"/>
      <w:numFmt w:val="bullet"/>
      <w:lvlText w:val="•"/>
      <w:lvlJc w:val="left"/>
      <w:pPr>
        <w:ind w:left="7502"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932FA"/>
    <w:rsid w:val="000C1A59"/>
    <w:rsid w:val="00476C24"/>
    <w:rsid w:val="0062796C"/>
    <w:rsid w:val="007A595C"/>
    <w:rsid w:val="0084773D"/>
    <w:rsid w:val="008932FA"/>
    <w:rsid w:val="00A04A45"/>
    <w:rsid w:val="00E82E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4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4773D"/>
    <w:pPr>
      <w:tabs>
        <w:tab w:val="center" w:pos="4513"/>
        <w:tab w:val="right" w:pos="9026"/>
      </w:tabs>
    </w:pPr>
  </w:style>
  <w:style w:type="character" w:customStyle="1" w:styleId="HeaderChar">
    <w:name w:val="Header Char"/>
    <w:basedOn w:val="DefaultParagraphFont"/>
    <w:link w:val="Header"/>
    <w:uiPriority w:val="99"/>
    <w:rsid w:val="0084773D"/>
  </w:style>
  <w:style w:type="paragraph" w:styleId="Footer">
    <w:name w:val="footer"/>
    <w:basedOn w:val="Normal"/>
    <w:link w:val="FooterChar"/>
    <w:unhideWhenUsed/>
    <w:rsid w:val="0084773D"/>
    <w:pPr>
      <w:tabs>
        <w:tab w:val="center" w:pos="4513"/>
        <w:tab w:val="right" w:pos="9026"/>
      </w:tabs>
    </w:pPr>
  </w:style>
  <w:style w:type="character" w:customStyle="1" w:styleId="FooterChar">
    <w:name w:val="Footer Char"/>
    <w:basedOn w:val="DefaultParagraphFont"/>
    <w:link w:val="Footer"/>
    <w:uiPriority w:val="99"/>
    <w:rsid w:val="0084773D"/>
  </w:style>
  <w:style w:type="character" w:styleId="PageNumber">
    <w:name w:val="page number"/>
    <w:basedOn w:val="DefaultParagraphFont"/>
    <w:semiHidden/>
    <w:rsid w:val="0062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2271</Words>
  <Characters>1296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2020-08-03T10:46:00Z</dcterms:created>
  <dcterms:modified xsi:type="dcterms:W3CDTF">2020-12-10T08:25:00Z</dcterms:modified>
</cp:coreProperties>
</file>