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CA0" w:rsidRPr="00E946CA" w:rsidRDefault="00833CA0" w:rsidP="00E946CA">
      <w:pPr>
        <w:jc w:val="both"/>
        <w:rPr>
          <w:rFonts w:ascii="Times New Roman" w:eastAsia="Times New Roman" w:hAnsi="Times New Roman" w:cs="Times New Roman"/>
          <w:noProof/>
          <w:sz w:val="24"/>
          <w:szCs w:val="15"/>
        </w:rPr>
      </w:pPr>
    </w:p>
    <w:p w:rsidR="00E946CA" w:rsidRPr="00E946CA" w:rsidRDefault="00E946CA" w:rsidP="00E946CA">
      <w:pPr>
        <w:pStyle w:val="Heading1"/>
        <w:ind w:left="0" w:firstLine="0"/>
        <w:jc w:val="center"/>
        <w:rPr>
          <w:rFonts w:ascii="Times New Roman" w:hAnsi="Times New Roman" w:cs="Times New Roman"/>
          <w:noProof/>
          <w:sz w:val="24"/>
        </w:rPr>
      </w:pPr>
      <w:r w:rsidRPr="00E946CA">
        <w:rPr>
          <w:rFonts w:ascii="Times New Roman" w:hAnsi="Times New Roman"/>
          <w:noProof/>
          <w:sz w:val="24"/>
        </w:rPr>
        <w:t>22. PIELIKUMS</w:t>
      </w:r>
    </w:p>
    <w:p w:rsidR="00E946CA" w:rsidRPr="00E946CA" w:rsidRDefault="00E946CA" w:rsidP="00E946CA">
      <w:pPr>
        <w:pStyle w:val="Heading1"/>
        <w:ind w:left="0" w:firstLine="0"/>
        <w:jc w:val="center"/>
        <w:rPr>
          <w:rFonts w:ascii="Times New Roman" w:hAnsi="Times New Roman"/>
          <w:noProof/>
          <w:sz w:val="24"/>
        </w:rPr>
      </w:pPr>
    </w:p>
    <w:p w:rsidR="00E946CA" w:rsidRPr="00E946CA" w:rsidRDefault="00E946CA" w:rsidP="00E946CA">
      <w:pPr>
        <w:pStyle w:val="Heading1"/>
        <w:ind w:left="0" w:firstLine="0"/>
        <w:jc w:val="center"/>
        <w:rPr>
          <w:rFonts w:ascii="Times New Roman" w:hAnsi="Times New Roman"/>
          <w:noProof/>
          <w:sz w:val="24"/>
        </w:rPr>
      </w:pPr>
      <w:r w:rsidRPr="00E946CA">
        <w:rPr>
          <w:rFonts w:ascii="Times New Roman" w:hAnsi="Times New Roman"/>
          <w:noProof/>
          <w:sz w:val="24"/>
        </w:rPr>
        <w:t>REZOLŪCIJA MEPC.227(64)</w:t>
      </w:r>
    </w:p>
    <w:p w:rsidR="00E946CA" w:rsidRPr="00E946CA" w:rsidRDefault="00E946CA" w:rsidP="00E946CA">
      <w:pPr>
        <w:jc w:val="center"/>
        <w:rPr>
          <w:rFonts w:ascii="Times New Roman" w:hAnsi="Times New Roman"/>
          <w:b/>
          <w:noProof/>
          <w:sz w:val="24"/>
        </w:rPr>
      </w:pPr>
    </w:p>
    <w:p w:rsidR="00833CA0" w:rsidRPr="00E946CA" w:rsidRDefault="00833CA0" w:rsidP="00E946CA">
      <w:pPr>
        <w:jc w:val="center"/>
        <w:rPr>
          <w:rFonts w:ascii="Times New Roman" w:hAnsi="Times New Roman" w:cs="Times New Roman"/>
          <w:b/>
          <w:noProof/>
          <w:sz w:val="24"/>
        </w:rPr>
      </w:pPr>
      <w:r w:rsidRPr="00E946CA">
        <w:rPr>
          <w:rFonts w:ascii="Times New Roman" w:hAnsi="Times New Roman"/>
          <w:b/>
          <w:noProof/>
          <w:sz w:val="24"/>
        </w:rPr>
        <w:t>Pieņemta 2012. gada 5. oktobrī.</w:t>
      </w:r>
    </w:p>
    <w:p w:rsidR="00833CA0" w:rsidRPr="00E946CA" w:rsidRDefault="00833CA0" w:rsidP="00E946CA">
      <w:pPr>
        <w:jc w:val="center"/>
        <w:rPr>
          <w:rFonts w:ascii="Times New Roman" w:eastAsia="Arial" w:hAnsi="Times New Roman" w:cs="Times New Roman"/>
          <w:b/>
          <w:bCs/>
          <w:noProof/>
          <w:sz w:val="24"/>
          <w:szCs w:val="21"/>
        </w:rPr>
      </w:pPr>
    </w:p>
    <w:p w:rsidR="00833CA0" w:rsidRPr="00E946CA" w:rsidRDefault="00833CA0" w:rsidP="00E946CA">
      <w:pPr>
        <w:jc w:val="center"/>
        <w:rPr>
          <w:rFonts w:ascii="Times New Roman" w:hAnsi="Times New Roman" w:cs="Times New Roman"/>
          <w:b/>
          <w:noProof/>
          <w:sz w:val="24"/>
        </w:rPr>
      </w:pPr>
      <w:r w:rsidRPr="00E946CA">
        <w:rPr>
          <w:rFonts w:ascii="Times New Roman" w:hAnsi="Times New Roman"/>
          <w:b/>
          <w:noProof/>
          <w:sz w:val="24"/>
        </w:rPr>
        <w:t>2012. gada VADLĪNIJAS PAR NOTEKŪDEŅU ATTĪRĪŠANAS IEKĀRTU IZPLŪDES STANDARTU UN VEIKTSPĒJAS PĀRBAUŽU ĪSTENOŠANU</w:t>
      </w:r>
    </w:p>
    <w:p w:rsidR="00833CA0" w:rsidRPr="00E946CA" w:rsidRDefault="00833CA0" w:rsidP="00E946CA">
      <w:pPr>
        <w:jc w:val="both"/>
        <w:rPr>
          <w:rFonts w:ascii="Times New Roman" w:eastAsia="Arial" w:hAnsi="Times New Roman" w:cs="Times New Roman"/>
          <w:b/>
          <w:bCs/>
          <w:noProof/>
          <w:sz w:val="24"/>
        </w:rPr>
      </w:pP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JŪRAS VIDES AIZSARDZĪBAS KOMITEJA,</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ATSAUCOTIES uz Konvencijas par Starptautisko Jūrniecības organizāciju 38. panta a) punktu, kas attiecas uz Jūras vides aizsardzības komitejas (turpmāk tekstā – “Komiteja”) funkcijām, kuras tai piešķirtas ar starptautiskajām konvencijām par jūras piesārņojuma novēršanu un kontroli,</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E946CA">
      <w:pPr>
        <w:jc w:val="both"/>
        <w:rPr>
          <w:rFonts w:ascii="Times New Roman" w:eastAsia="Arial" w:hAnsi="Times New Roman" w:cs="Times New Roman"/>
          <w:noProof/>
          <w:sz w:val="24"/>
        </w:rPr>
      </w:pPr>
      <w:r w:rsidRPr="00E946CA">
        <w:rPr>
          <w:rFonts w:ascii="Times New Roman" w:hAnsi="Times New Roman"/>
          <w:noProof/>
          <w:sz w:val="24"/>
        </w:rPr>
        <w:t xml:space="preserve">ŅEMOT VĒRĀ Rezolūciju MEPC.159(55), saskaņā ar ko Komiteja savā piecdesmit piektajā sesijā pieņēma </w:t>
      </w:r>
      <w:r w:rsidRPr="00E946CA">
        <w:rPr>
          <w:rFonts w:ascii="Times New Roman" w:hAnsi="Times New Roman"/>
          <w:i/>
          <w:noProof/>
          <w:sz w:val="24"/>
        </w:rPr>
        <w:t>Pārskatītās vadlīnijas par notekūdeņu attīrīšanas iekārtu izplūdes standartu un veiktspējas pārbaužu īstenošanu</w:t>
      </w:r>
      <w:r w:rsidRPr="00E946CA">
        <w:rPr>
          <w:rFonts w:ascii="Times New Roman" w:hAnsi="Times New Roman"/>
          <w:noProof/>
          <w:sz w:val="24"/>
        </w:rPr>
        <w:t xml:space="preserve"> ("Pārskatītās vadlīnijas") un aicināja valdības piemērot šīs Pārskatītās vadlīnijas, apstiprinot notekūdeņu attīrīšanas iekārtas, un sniegt organizācijai informāciju par to piemērošanā gūto pieredzi, it īpaši par veiksmīgi īstenotajām iekārtu pārbaudēm saskaņā ar Pārskatītajās vadlīnijās noteiktajiem standartiem,</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ŅEMOT VĒRĀ ARĪ Rezolūciju MEPC.200(62), saskaņā ar kuru Komiteja savā sešdesmit otrajā sesijā pieņēma MARPOL IV pielikuma grozījumus par īpašā rajona noteikumiem un īpašā rajona statusa piešķiršanu Baltijas jūrai, kuri stājās stājas spēkā 2013. gada 1. janvārī,</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ŅEMOT VĒRĀ ARĪ MARPOL IV pielikuma 9.1.1. un 9.2.1. noteikuma prasības, kurā ir iekļauta atsauce uz iepriekš minētajām Pārskatītajām vadlīnijām,</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ATZĪSTOT, ka Pārskatītās vadlīnijas ir jāgroza, lai tajās atspoguļotu aktuālo tendenci aizsargāt jūras vidi, nepieciešamību risināt noteikto okeanogrāfisko un ekoloģisko stāvokli noteiktajā īpašajā rajonā un atspoguļotu komerciāli pieejamo notekūdeņu attīrīšanas iekārtu dizaina un efektivitātes attīstību, un lai izvairītos no atšķirīgiem, vienpusēji pieņemtiem stingrākiem standartiem, kas var tikt piemēroti globāli,</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IZVĒRTĒJOT Kuģa konstrukcijas un aprīkojuma apakškomitejas piecdesmit sestajā sesijā sniegto ieteikumu,</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numPr>
          <w:ilvl w:val="0"/>
          <w:numId w:val="12"/>
        </w:numPr>
        <w:ind w:left="0" w:firstLine="0"/>
        <w:jc w:val="both"/>
        <w:rPr>
          <w:rFonts w:ascii="Times New Roman" w:eastAsia="Arial" w:hAnsi="Times New Roman" w:cs="Times New Roman"/>
          <w:noProof/>
          <w:sz w:val="24"/>
        </w:rPr>
      </w:pPr>
      <w:r w:rsidRPr="00E946CA">
        <w:rPr>
          <w:rFonts w:ascii="Times New Roman" w:hAnsi="Times New Roman"/>
          <w:noProof/>
          <w:sz w:val="24"/>
        </w:rPr>
        <w:t xml:space="preserve">PIEŅEM 2012. gada </w:t>
      </w:r>
      <w:r w:rsidRPr="00E946CA">
        <w:rPr>
          <w:rFonts w:ascii="Times New Roman" w:hAnsi="Times New Roman"/>
          <w:i/>
          <w:noProof/>
          <w:sz w:val="24"/>
        </w:rPr>
        <w:t>Vadlīnijas par notekūdeņu attīrīšanas iekārtu izplūdes standartu un veiktspējas pārbaužu īstenošanu</w:t>
      </w:r>
      <w:r w:rsidRPr="00E946CA">
        <w:rPr>
          <w:rFonts w:ascii="Times New Roman" w:hAnsi="Times New Roman"/>
          <w:noProof/>
          <w:sz w:val="24"/>
        </w:rPr>
        <w:t>, kuru teksts ir iekļauts šīs rezolūcijas pielikumā;</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numPr>
          <w:ilvl w:val="0"/>
          <w:numId w:val="12"/>
        </w:numPr>
        <w:ind w:left="0" w:firstLine="0"/>
        <w:jc w:val="both"/>
        <w:rPr>
          <w:rFonts w:ascii="Times New Roman" w:hAnsi="Times New Roman" w:cs="Times New Roman"/>
          <w:noProof/>
          <w:sz w:val="24"/>
        </w:rPr>
      </w:pPr>
      <w:r w:rsidRPr="00E946CA">
        <w:rPr>
          <w:rFonts w:ascii="Times New Roman" w:hAnsi="Times New Roman"/>
          <w:noProof/>
          <w:sz w:val="24"/>
        </w:rPr>
        <w:t>AICINA valdības: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1"/>
          <w:numId w:val="13"/>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īstenot 2012. gada Vadlīnijas un piemērot tās, sākot ar 2016. gada 1. janvāri, un</w:t>
      </w:r>
    </w:p>
    <w:p w:rsidR="00833CA0" w:rsidRPr="00E946CA" w:rsidRDefault="00833CA0" w:rsidP="004C7D43">
      <w:pPr>
        <w:ind w:left="1276" w:hanging="567"/>
        <w:jc w:val="both"/>
        <w:rPr>
          <w:rFonts w:ascii="Times New Roman" w:eastAsia="Arial" w:hAnsi="Times New Roman" w:cs="Times New Roman"/>
          <w:noProof/>
          <w:sz w:val="24"/>
        </w:rPr>
      </w:pPr>
    </w:p>
    <w:p w:rsidR="00833CA0" w:rsidRPr="00E946CA" w:rsidRDefault="00833CA0" w:rsidP="004C7D43">
      <w:pPr>
        <w:pStyle w:val="BodyText"/>
        <w:numPr>
          <w:ilvl w:val="1"/>
          <w:numId w:val="13"/>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sniegt Organizācijai informāciju par pieredzi, kas tiks iegūta, piemērojot 2012. gada Vadlīnijas</w:t>
      </w:r>
    </w:p>
    <w:p w:rsidR="00833CA0" w:rsidRPr="00E946CA" w:rsidRDefault="00833CA0" w:rsidP="00E946CA">
      <w:pPr>
        <w:jc w:val="both"/>
        <w:rPr>
          <w:rFonts w:ascii="Times New Roman" w:hAnsi="Times New Roman" w:cs="Times New Roman"/>
          <w:noProof/>
          <w:sz w:val="24"/>
        </w:rPr>
      </w:pPr>
    </w:p>
    <w:p w:rsidR="00833CA0" w:rsidRPr="00E946CA" w:rsidRDefault="00833CA0" w:rsidP="00E946CA">
      <w:pPr>
        <w:numPr>
          <w:ilvl w:val="0"/>
          <w:numId w:val="12"/>
        </w:numPr>
        <w:ind w:left="0" w:firstLine="0"/>
        <w:jc w:val="both"/>
        <w:rPr>
          <w:rFonts w:ascii="Times New Roman" w:hAnsi="Times New Roman" w:cs="Times New Roman"/>
          <w:noProof/>
          <w:sz w:val="24"/>
        </w:rPr>
      </w:pPr>
      <w:r w:rsidRPr="00E946CA">
        <w:rPr>
          <w:rFonts w:ascii="Times New Roman" w:hAnsi="Times New Roman"/>
          <w:noProof/>
          <w:sz w:val="24"/>
        </w:rPr>
        <w:t>AICINA ARĪ valdības izdot atbilstošu "Notekūdeņu attīrīšanas iekārtu tipa apstiprinājuma apliecību" saskaņā ar 2012. gada Vadlīniju pielikumu un 5.4.2. punktu un atzīt, ka apliecības, kas izdotas ar citu valdību pilnvarojumu, ir tikpat likumīgas kā pašu izdotās apliecības;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numPr>
          <w:ilvl w:val="0"/>
          <w:numId w:val="12"/>
        </w:numPr>
        <w:ind w:left="0" w:firstLine="0"/>
        <w:jc w:val="both"/>
        <w:rPr>
          <w:rFonts w:ascii="Times New Roman" w:eastAsia="Arial" w:hAnsi="Times New Roman" w:cs="Times New Roman"/>
          <w:noProof/>
          <w:sz w:val="24"/>
        </w:rPr>
      </w:pPr>
      <w:r w:rsidRPr="00E946CA">
        <w:rPr>
          <w:rFonts w:ascii="Times New Roman" w:hAnsi="Times New Roman"/>
          <w:noProof/>
          <w:sz w:val="24"/>
        </w:rPr>
        <w:lastRenderedPageBreak/>
        <w:t xml:space="preserve">AIZSTĀJ </w:t>
      </w:r>
      <w:r w:rsidRPr="00E946CA">
        <w:rPr>
          <w:rFonts w:ascii="Times New Roman" w:hAnsi="Times New Roman"/>
          <w:i/>
          <w:noProof/>
          <w:sz w:val="24"/>
        </w:rPr>
        <w:t>Pārskatītās vadlīnijas par notekūdeņu attīrīšanas iekārtu izplūdes standartu un veiktspējas pārbaužu īstenošanu,</w:t>
      </w:r>
      <w:r w:rsidRPr="00E946CA">
        <w:rPr>
          <w:rFonts w:ascii="Times New Roman" w:hAnsi="Times New Roman"/>
          <w:noProof/>
          <w:sz w:val="24"/>
        </w:rPr>
        <w:t xml:space="preserve"> kas pieņemtas ar Rezolūciju MEPC.159(55).</w:t>
      </w:r>
    </w:p>
    <w:p w:rsidR="00833CA0" w:rsidRPr="00E946CA" w:rsidRDefault="00833CA0" w:rsidP="00E946CA">
      <w:pPr>
        <w:jc w:val="both"/>
        <w:rPr>
          <w:rFonts w:ascii="Times New Roman" w:eastAsia="Arial" w:hAnsi="Times New Roman" w:cs="Times New Roman"/>
          <w:noProof/>
          <w:sz w:val="24"/>
        </w:rPr>
      </w:pPr>
      <w:r w:rsidRPr="00E946CA">
        <w:rPr>
          <w:rFonts w:ascii="Times New Roman" w:hAnsi="Times New Roman"/>
          <w:sz w:val="24"/>
        </w:rPr>
        <w:br w:type="page"/>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BodyText"/>
        <w:ind w:left="0"/>
        <w:jc w:val="center"/>
        <w:rPr>
          <w:rFonts w:ascii="Times New Roman" w:hAnsi="Times New Roman" w:cs="Times New Roman"/>
          <w:noProof/>
          <w:sz w:val="24"/>
        </w:rPr>
      </w:pPr>
      <w:r w:rsidRPr="00E946CA">
        <w:rPr>
          <w:rFonts w:ascii="Times New Roman" w:hAnsi="Times New Roman"/>
          <w:noProof/>
          <w:sz w:val="24"/>
        </w:rPr>
        <w:t>PIELIKUMS</w:t>
      </w:r>
    </w:p>
    <w:p w:rsidR="00833CA0" w:rsidRPr="00E946CA" w:rsidRDefault="00833CA0" w:rsidP="00E946CA">
      <w:pPr>
        <w:jc w:val="center"/>
        <w:rPr>
          <w:rFonts w:ascii="Times New Roman" w:eastAsia="Arial" w:hAnsi="Times New Roman" w:cs="Times New Roman"/>
          <w:noProof/>
          <w:sz w:val="24"/>
        </w:rPr>
      </w:pPr>
    </w:p>
    <w:p w:rsidR="00833CA0" w:rsidRPr="00E946CA" w:rsidRDefault="00833CA0" w:rsidP="00E946CA">
      <w:pPr>
        <w:pStyle w:val="Heading1"/>
        <w:ind w:left="0" w:firstLine="0"/>
        <w:jc w:val="center"/>
        <w:rPr>
          <w:rFonts w:ascii="Times New Roman" w:hAnsi="Times New Roman" w:cs="Times New Roman"/>
          <w:noProof/>
          <w:sz w:val="24"/>
        </w:rPr>
      </w:pPr>
      <w:r w:rsidRPr="00E946CA">
        <w:rPr>
          <w:rFonts w:ascii="Times New Roman" w:hAnsi="Times New Roman"/>
          <w:noProof/>
          <w:sz w:val="24"/>
        </w:rPr>
        <w:t>2012. gada VADLĪNIJAS PAR NOTEKŪDEŅU ATTĪRĪŠANAS IEKĀRTU IZPLŪDES STANDARTU UN VEIKTSPĒJAS PĀRBAUŽU ĪSTENOŠANU</w:t>
      </w:r>
    </w:p>
    <w:p w:rsidR="00833CA0" w:rsidRPr="00E946CA" w:rsidRDefault="00833CA0" w:rsidP="00E946CA">
      <w:pPr>
        <w:jc w:val="center"/>
        <w:rPr>
          <w:rFonts w:ascii="Times New Roman" w:eastAsia="Arial" w:hAnsi="Times New Roman" w:cs="Times New Roman"/>
          <w:b/>
          <w:bCs/>
          <w:noProof/>
          <w:sz w:val="24"/>
        </w:rPr>
      </w:pPr>
    </w:p>
    <w:p w:rsidR="00833CA0" w:rsidRPr="00E946CA" w:rsidRDefault="00833CA0" w:rsidP="00E946CA">
      <w:pPr>
        <w:jc w:val="center"/>
        <w:rPr>
          <w:rFonts w:ascii="Times New Roman" w:hAnsi="Times New Roman" w:cs="Times New Roman"/>
          <w:b/>
          <w:noProof/>
          <w:sz w:val="24"/>
        </w:rPr>
      </w:pPr>
      <w:r w:rsidRPr="00E946CA">
        <w:rPr>
          <w:rFonts w:ascii="Times New Roman" w:hAnsi="Times New Roman"/>
          <w:b/>
          <w:noProof/>
          <w:sz w:val="24"/>
        </w:rPr>
        <w:t>SATURA RĀDĪTĀJS</w:t>
      </w:r>
    </w:p>
    <w:p w:rsidR="00833CA0" w:rsidRPr="00E946CA" w:rsidRDefault="00833CA0" w:rsidP="00E946CA">
      <w:pPr>
        <w:jc w:val="both"/>
        <w:rPr>
          <w:rFonts w:ascii="Times New Roman" w:eastAsia="Arial" w:hAnsi="Times New Roman" w:cs="Times New Roman"/>
          <w:b/>
          <w:bCs/>
          <w:noProof/>
          <w:sz w:val="24"/>
        </w:rPr>
      </w:pP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Ievads</w:t>
      </w:r>
    </w:p>
    <w:p w:rsidR="00833CA0" w:rsidRPr="00E946CA" w:rsidRDefault="00833CA0" w:rsidP="00E946CA">
      <w:pPr>
        <w:tabs>
          <w:tab w:val="left" w:pos="709"/>
        </w:tabs>
        <w:jc w:val="both"/>
        <w:rPr>
          <w:rFonts w:ascii="Times New Roman" w:eastAsia="Arial" w:hAnsi="Times New Roman" w:cs="Times New Roman"/>
          <w:noProof/>
          <w:sz w:val="24"/>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Definīcijas</w:t>
      </w:r>
    </w:p>
    <w:p w:rsidR="00833CA0" w:rsidRPr="00E946CA" w:rsidRDefault="00833CA0" w:rsidP="00E946CA">
      <w:pPr>
        <w:tabs>
          <w:tab w:val="left" w:pos="709"/>
        </w:tabs>
        <w:jc w:val="both"/>
        <w:rPr>
          <w:rFonts w:ascii="Times New Roman" w:eastAsia="Arial" w:hAnsi="Times New Roman" w:cs="Times New Roman"/>
          <w:noProof/>
          <w:sz w:val="24"/>
          <w:szCs w:val="21"/>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Vispārīga informācija</w:t>
      </w:r>
    </w:p>
    <w:p w:rsidR="00833CA0" w:rsidRPr="00E946CA" w:rsidRDefault="00833CA0" w:rsidP="00E946CA">
      <w:pPr>
        <w:tabs>
          <w:tab w:val="left" w:pos="709"/>
        </w:tabs>
        <w:jc w:val="both"/>
        <w:rPr>
          <w:rFonts w:ascii="Times New Roman" w:eastAsia="Arial" w:hAnsi="Times New Roman" w:cs="Times New Roman"/>
          <w:noProof/>
          <w:sz w:val="24"/>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Tehniskā specifikācija</w:t>
      </w:r>
    </w:p>
    <w:p w:rsidR="00833CA0" w:rsidRPr="00E946CA" w:rsidRDefault="00833CA0" w:rsidP="00E946CA">
      <w:pPr>
        <w:tabs>
          <w:tab w:val="left" w:pos="709"/>
        </w:tabs>
        <w:jc w:val="both"/>
        <w:rPr>
          <w:rFonts w:ascii="Times New Roman" w:eastAsia="Arial" w:hAnsi="Times New Roman" w:cs="Times New Roman"/>
          <w:noProof/>
          <w:sz w:val="24"/>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Apsvērumi pārbaužu veikšanai</w:t>
      </w:r>
    </w:p>
    <w:p w:rsidR="00833CA0" w:rsidRPr="00E946CA" w:rsidRDefault="00833CA0" w:rsidP="00E946CA">
      <w:pPr>
        <w:tabs>
          <w:tab w:val="left" w:pos="709"/>
        </w:tabs>
        <w:jc w:val="both"/>
        <w:rPr>
          <w:rFonts w:ascii="Times New Roman" w:eastAsia="Arial" w:hAnsi="Times New Roman" w:cs="Times New Roman"/>
          <w:noProof/>
          <w:sz w:val="24"/>
          <w:szCs w:val="21"/>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Kārtējās un ārpuskārtas apskates</w:t>
      </w:r>
    </w:p>
    <w:p w:rsidR="00833CA0" w:rsidRPr="00E946CA" w:rsidRDefault="00833CA0" w:rsidP="00E946CA">
      <w:pPr>
        <w:tabs>
          <w:tab w:val="left" w:pos="709"/>
        </w:tabs>
        <w:jc w:val="both"/>
        <w:rPr>
          <w:rFonts w:ascii="Times New Roman" w:eastAsia="Arial" w:hAnsi="Times New Roman" w:cs="Times New Roman"/>
          <w:noProof/>
          <w:sz w:val="24"/>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Kuģa apkalpes iepazīstināšana ar notekūdeņu attīrīšanas iekārtas ekspluatāciju</w:t>
      </w:r>
    </w:p>
    <w:p w:rsidR="00833CA0" w:rsidRPr="00E946CA" w:rsidRDefault="00833CA0" w:rsidP="00E946CA">
      <w:pPr>
        <w:tabs>
          <w:tab w:val="left" w:pos="709"/>
        </w:tabs>
        <w:jc w:val="both"/>
        <w:rPr>
          <w:rFonts w:ascii="Times New Roman" w:eastAsia="Arial" w:hAnsi="Times New Roman" w:cs="Times New Roman"/>
          <w:noProof/>
          <w:sz w:val="24"/>
        </w:rPr>
      </w:pPr>
    </w:p>
    <w:p w:rsidR="00833CA0" w:rsidRPr="00E946CA" w:rsidRDefault="00833CA0" w:rsidP="00E946CA">
      <w:pPr>
        <w:pStyle w:val="BodyText"/>
        <w:numPr>
          <w:ilvl w:val="0"/>
          <w:numId w:val="11"/>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Tehniskā apkope</w:t>
      </w:r>
    </w:p>
    <w:p w:rsidR="00833CA0" w:rsidRPr="00E946CA" w:rsidRDefault="00833CA0" w:rsidP="00E946CA">
      <w:pPr>
        <w:tabs>
          <w:tab w:val="left" w:pos="709"/>
        </w:tabs>
        <w:jc w:val="both"/>
        <w:rPr>
          <w:rFonts w:ascii="Times New Roman" w:eastAsia="Arial" w:hAnsi="Times New Roman" w:cs="Times New Roman"/>
          <w:noProof/>
          <w:sz w:val="24"/>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PIELIKUMS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Notekūdeņu attīrīšanas iekārtu tipa apstiprinājuma apliecības veidlapa un papildinājums</w:t>
      </w:r>
    </w:p>
    <w:p w:rsidR="00E946CA" w:rsidRDefault="00E946CA">
      <w:pPr>
        <w:rPr>
          <w:rFonts w:ascii="Times New Roman" w:hAnsi="Times New Roman" w:cs="Times New Roman"/>
          <w:noProof/>
          <w:sz w:val="24"/>
        </w:rPr>
      </w:pPr>
      <w:r>
        <w:rPr>
          <w:rFonts w:ascii="Times New Roman" w:hAnsi="Times New Roman" w:cs="Times New Roman"/>
          <w:noProof/>
          <w:sz w:val="24"/>
        </w:rPr>
        <w:br w:type="page"/>
      </w:r>
    </w:p>
    <w:p w:rsidR="00833CA0" w:rsidRPr="00E946CA" w:rsidRDefault="00833CA0" w:rsidP="00E946CA">
      <w:pPr>
        <w:jc w:val="both"/>
        <w:rPr>
          <w:rFonts w:ascii="Times New Roman" w:hAnsi="Times New Roman" w:cs="Times New Roman"/>
          <w:noProof/>
          <w:sz w:val="24"/>
        </w:rPr>
      </w:pPr>
    </w:p>
    <w:p w:rsidR="00833CA0" w:rsidRPr="00E946CA" w:rsidRDefault="00833CA0" w:rsidP="00E946CA">
      <w:pPr>
        <w:pStyle w:val="Heading1"/>
        <w:ind w:left="0" w:firstLine="0"/>
        <w:jc w:val="center"/>
        <w:rPr>
          <w:rFonts w:ascii="Times New Roman" w:hAnsi="Times New Roman" w:cs="Times New Roman"/>
          <w:noProof/>
          <w:sz w:val="24"/>
        </w:rPr>
      </w:pPr>
      <w:r w:rsidRPr="00E946CA">
        <w:rPr>
          <w:rFonts w:ascii="Times New Roman" w:hAnsi="Times New Roman"/>
          <w:noProof/>
          <w:sz w:val="24"/>
        </w:rPr>
        <w:t>2012. gada VADLĪNIJAS PAR NOTEKŪDEŅU ATTĪRĪŠANAS IEKĀRTU IZPLŪDES STANDARTU UN VEIKTSPĒJAS PĀRBAUŽU ĪSTENOŠANU</w:t>
      </w:r>
    </w:p>
    <w:p w:rsidR="00833CA0" w:rsidRPr="00E946CA" w:rsidRDefault="00833CA0" w:rsidP="00E946CA">
      <w:pPr>
        <w:jc w:val="both"/>
        <w:rPr>
          <w:rFonts w:ascii="Times New Roman" w:eastAsia="Arial" w:hAnsi="Times New Roman" w:cs="Times New Roman"/>
          <w:b/>
          <w:bCs/>
          <w:noProof/>
          <w:sz w:val="24"/>
        </w:rPr>
      </w:pPr>
    </w:p>
    <w:p w:rsidR="00833CA0" w:rsidRPr="00E946CA" w:rsidRDefault="00833CA0" w:rsidP="00E946CA">
      <w:pPr>
        <w:jc w:val="both"/>
        <w:rPr>
          <w:rFonts w:ascii="Times New Roman" w:eastAsia="Arial" w:hAnsi="Times New Roman" w:cs="Times New Roman"/>
          <w:b/>
          <w:bCs/>
          <w:noProof/>
          <w:sz w:val="24"/>
        </w:rPr>
      </w:pPr>
    </w:p>
    <w:p w:rsidR="00833CA0" w:rsidRPr="00E946CA" w:rsidRDefault="00833CA0" w:rsidP="00E946CA">
      <w:pPr>
        <w:pStyle w:val="ListParagraph"/>
        <w:numPr>
          <w:ilvl w:val="0"/>
          <w:numId w:val="14"/>
        </w:numPr>
        <w:tabs>
          <w:tab w:val="left" w:pos="709"/>
        </w:tabs>
        <w:ind w:left="0" w:firstLine="0"/>
        <w:jc w:val="both"/>
        <w:rPr>
          <w:rFonts w:ascii="Times New Roman" w:hAnsi="Times New Roman" w:cs="Times New Roman"/>
          <w:b/>
          <w:noProof/>
          <w:sz w:val="24"/>
        </w:rPr>
      </w:pPr>
      <w:r w:rsidRPr="00E946CA">
        <w:rPr>
          <w:rFonts w:ascii="Times New Roman" w:hAnsi="Times New Roman"/>
          <w:b/>
          <w:noProof/>
          <w:sz w:val="24"/>
        </w:rPr>
        <w:t>IEVADS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ListParagraph"/>
        <w:numPr>
          <w:ilvl w:val="1"/>
          <w:numId w:val="14"/>
        </w:numPr>
        <w:tabs>
          <w:tab w:val="left" w:pos="709"/>
        </w:tabs>
        <w:ind w:left="0" w:firstLine="0"/>
        <w:jc w:val="both"/>
        <w:rPr>
          <w:rFonts w:ascii="Times New Roman" w:hAnsi="Times New Roman" w:cs="Times New Roman"/>
          <w:b/>
          <w:noProof/>
          <w:sz w:val="24"/>
        </w:rPr>
      </w:pPr>
      <w:r w:rsidRPr="00E946CA">
        <w:rPr>
          <w:rFonts w:ascii="Times New Roman" w:hAnsi="Times New Roman"/>
          <w:b/>
          <w:noProof/>
          <w:sz w:val="24"/>
        </w:rPr>
        <w:t>Priekšvēsture</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ListParagraph"/>
        <w:numPr>
          <w:ilvl w:val="2"/>
          <w:numId w:val="14"/>
        </w:numPr>
        <w:tabs>
          <w:tab w:val="left" w:pos="709"/>
        </w:tabs>
        <w:ind w:left="0" w:firstLine="0"/>
        <w:jc w:val="both"/>
        <w:rPr>
          <w:rFonts w:ascii="Times New Roman" w:eastAsia="Arial" w:hAnsi="Times New Roman" w:cs="Times New Roman"/>
          <w:noProof/>
          <w:sz w:val="24"/>
        </w:rPr>
      </w:pPr>
      <w:r w:rsidRPr="00E946CA">
        <w:rPr>
          <w:rFonts w:ascii="Times New Roman" w:hAnsi="Times New Roman"/>
          <w:noProof/>
          <w:sz w:val="24"/>
        </w:rPr>
        <w:t>Jūras vides aizsardzības komiteja (</w:t>
      </w:r>
      <w:r w:rsidRPr="00E946CA">
        <w:rPr>
          <w:rFonts w:ascii="Times New Roman" w:hAnsi="Times New Roman"/>
          <w:i/>
          <w:noProof/>
          <w:sz w:val="24"/>
        </w:rPr>
        <w:t>MEPC</w:t>
      </w:r>
      <w:r w:rsidRPr="00E946CA">
        <w:rPr>
          <w:rFonts w:ascii="Times New Roman" w:hAnsi="Times New Roman"/>
          <w:noProof/>
          <w:sz w:val="24"/>
        </w:rPr>
        <w:t xml:space="preserve">) pieņēma Rezolūciju MEPC.2(VI) 1976. gada </w:t>
      </w:r>
      <w:r w:rsidRPr="00E946CA">
        <w:rPr>
          <w:rFonts w:ascii="Times New Roman" w:hAnsi="Times New Roman"/>
          <w:i/>
          <w:noProof/>
          <w:sz w:val="24"/>
        </w:rPr>
        <w:t>Ieteikumi par starptautiskajiem izplūdes standartiem un vadlīnijas notekūdeņu attīrīšanas iekārtu veiktspējas pārbaudēm</w:t>
      </w:r>
      <w:r w:rsidRPr="00E946CA">
        <w:rPr>
          <w:rFonts w:ascii="Times New Roman" w:hAnsi="Times New Roman"/>
          <w:noProof/>
          <w:sz w:val="24"/>
        </w:rPr>
        <w:t xml:space="preserve">. </w:t>
      </w:r>
      <w:r w:rsidRPr="00E946CA">
        <w:rPr>
          <w:rFonts w:ascii="Times New Roman" w:hAnsi="Times New Roman"/>
          <w:i/>
          <w:noProof/>
          <w:sz w:val="24"/>
        </w:rPr>
        <w:t>MEPC</w:t>
      </w:r>
      <w:r w:rsidRPr="00E946CA">
        <w:rPr>
          <w:rFonts w:ascii="Times New Roman" w:hAnsi="Times New Roman"/>
          <w:noProof/>
          <w:sz w:val="24"/>
        </w:rPr>
        <w:t xml:space="preserve"> 55 2006. gada oktobrī ar Rezolūciju MEPC.159(55) pieņēma </w:t>
      </w:r>
      <w:r w:rsidRPr="00E946CA">
        <w:rPr>
          <w:rFonts w:ascii="Times New Roman" w:hAnsi="Times New Roman"/>
          <w:i/>
          <w:noProof/>
          <w:sz w:val="24"/>
        </w:rPr>
        <w:t>Pārskatītās vadlīnijas par notekūdeņu attīrīšanas iekārtu izplūdes standartu un veiktspējas pārbaužu īstenošanu</w:t>
      </w:r>
      <w:r w:rsidRPr="00E946CA">
        <w:rPr>
          <w:rFonts w:ascii="Times New Roman" w:hAnsi="Times New Roman"/>
          <w:noProof/>
          <w:sz w:val="24"/>
        </w:rPr>
        <w:t>, kas aizstāja Rezolūciju MEPC.2(VI).</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ListParagraph"/>
        <w:numPr>
          <w:ilvl w:val="2"/>
          <w:numId w:val="14"/>
        </w:numPr>
        <w:tabs>
          <w:tab w:val="left" w:pos="709"/>
        </w:tabs>
        <w:ind w:left="0" w:firstLine="0"/>
        <w:jc w:val="both"/>
        <w:rPr>
          <w:rFonts w:ascii="Times New Roman" w:eastAsia="Arial" w:hAnsi="Times New Roman" w:cs="Times New Roman"/>
          <w:noProof/>
          <w:sz w:val="24"/>
        </w:rPr>
      </w:pPr>
      <w:r w:rsidRPr="00E946CA">
        <w:rPr>
          <w:rFonts w:ascii="Times New Roman" w:hAnsi="Times New Roman"/>
          <w:i/>
          <w:noProof/>
          <w:sz w:val="24"/>
        </w:rPr>
        <w:t>MEPC</w:t>
      </w:r>
      <w:r w:rsidRPr="00E946CA">
        <w:rPr>
          <w:rFonts w:ascii="Times New Roman" w:hAnsi="Times New Roman"/>
          <w:noProof/>
          <w:sz w:val="24"/>
        </w:rPr>
        <w:t xml:space="preserve"> 62 pieņēma Rezolūciju MEPC.200(62), ar ko grozīja MARPOL, saskaņā ar IV pielikumu piešķirot Baltijas jūrai īpašā rajona statusu un aizliedzot novadīt notekūdeņus no pasažieru kuģiem, kas kuģo īpašajos rajonos, ja vien uz pasažieru kuģa nedarbojas apstiprināta notekūdeņu attīrīšanas iekārta, kas atbilst izplūdes standartiem un veiktspējas pārbaudēm, kuras noteiktas 2012. gada </w:t>
      </w:r>
      <w:r w:rsidRPr="00E946CA">
        <w:rPr>
          <w:rFonts w:ascii="Times New Roman" w:hAnsi="Times New Roman"/>
          <w:i/>
          <w:noProof/>
          <w:sz w:val="24"/>
        </w:rPr>
        <w:t>Pārskatītajās vadlīnijās par notekūdeņu attīrīšanas iekārtu izplūdes standartu un veiktspējas pārbaužu īstenošanu</w:t>
      </w:r>
      <w:r w:rsidRPr="00E946CA">
        <w:rPr>
          <w:rFonts w:ascii="Times New Roman" w:hAnsi="Times New Roman"/>
          <w:noProof/>
          <w:sz w:val="24"/>
        </w:rPr>
        <w:t xml:space="preserve"> ("Vadlīnijas").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ListParagraph"/>
        <w:numPr>
          <w:ilvl w:val="1"/>
          <w:numId w:val="14"/>
        </w:numPr>
        <w:tabs>
          <w:tab w:val="left" w:pos="709"/>
        </w:tabs>
        <w:ind w:left="0" w:firstLine="0"/>
        <w:jc w:val="both"/>
        <w:rPr>
          <w:rFonts w:ascii="Times New Roman" w:hAnsi="Times New Roman" w:cs="Times New Roman"/>
          <w:b/>
          <w:noProof/>
          <w:sz w:val="24"/>
        </w:rPr>
      </w:pPr>
      <w:r w:rsidRPr="00E946CA">
        <w:rPr>
          <w:rFonts w:ascii="Times New Roman" w:hAnsi="Times New Roman"/>
          <w:b/>
          <w:noProof/>
          <w:sz w:val="24"/>
        </w:rPr>
        <w:t>Piemērošana</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numPr>
          <w:ilvl w:val="2"/>
          <w:numId w:val="14"/>
        </w:numPr>
        <w:tabs>
          <w:tab w:val="left" w:pos="709"/>
        </w:tabs>
        <w:ind w:left="0" w:firstLine="0"/>
        <w:jc w:val="both"/>
        <w:rPr>
          <w:rFonts w:ascii="Times New Roman" w:eastAsia="Arial" w:hAnsi="Times New Roman" w:cs="Times New Roman"/>
          <w:noProof/>
          <w:sz w:val="24"/>
        </w:rPr>
      </w:pPr>
      <w:r w:rsidRPr="00E946CA">
        <w:rPr>
          <w:rFonts w:ascii="Times New Roman" w:hAnsi="Times New Roman"/>
          <w:noProof/>
          <w:sz w:val="24"/>
        </w:rPr>
        <w:t xml:space="preserve">Ar šīm Vadlīnijām tiek grozītas </w:t>
      </w:r>
      <w:r w:rsidRPr="00E946CA">
        <w:rPr>
          <w:rFonts w:ascii="Times New Roman" w:hAnsi="Times New Roman"/>
          <w:i/>
          <w:noProof/>
          <w:sz w:val="24"/>
        </w:rPr>
        <w:t>Pārskatītās vadlīnijas par notekūdeņu attīrīšanas iekārtu izplūdes standartu un veiktspējas pārbaužu īstenošanu</w:t>
      </w:r>
      <w:r w:rsidRPr="00E946CA">
        <w:rPr>
          <w:rFonts w:ascii="Times New Roman" w:hAnsi="Times New Roman"/>
          <w:noProof/>
          <w:sz w:val="24"/>
        </w:rPr>
        <w:t>, kas tika pieņemtas ar Rezolūciju MEPC.159(55), tajās iekļaujot 4.2. punkta standartus, kuri attiecas tikai uz tiem pasažieru kuģiem, kas kuģo MARPOL IV pielikumā noteiktajos īpašajos rajonos un plāno novadīt jūrā attīrītus notekūdeņus.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BodyText"/>
        <w:numPr>
          <w:ilvl w:val="2"/>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Šo Vadlīniju prasības, izņemot 4.2. punkta prasības, attieksies uz tām notekūdeņu attīrīšanas iekārtām, kas uzstādītas 2016. gada 1. janvārī vai vēlāk:</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0"/>
          <w:numId w:val="15"/>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uz kuģiem, kas nav pasažieru kuģi un kas kuģo visos rajonos, un</w:t>
      </w:r>
    </w:p>
    <w:p w:rsidR="00833CA0" w:rsidRPr="00E946CA" w:rsidRDefault="00833CA0" w:rsidP="004C7D43">
      <w:pPr>
        <w:ind w:left="1276" w:hanging="567"/>
        <w:jc w:val="both"/>
        <w:rPr>
          <w:rFonts w:ascii="Times New Roman" w:eastAsia="Arial" w:hAnsi="Times New Roman" w:cs="Times New Roman"/>
          <w:noProof/>
          <w:sz w:val="24"/>
          <w:szCs w:val="21"/>
        </w:rPr>
      </w:pPr>
    </w:p>
    <w:p w:rsidR="00833CA0" w:rsidRPr="00E946CA" w:rsidRDefault="00833CA0" w:rsidP="004C7D43">
      <w:pPr>
        <w:pStyle w:val="BodyText"/>
        <w:numPr>
          <w:ilvl w:val="0"/>
          <w:numId w:val="15"/>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 xml:space="preserve">uz pasažieru kuģiem, kas kuģo ārpus </w:t>
      </w:r>
      <w:r w:rsidRPr="00E946CA">
        <w:rPr>
          <w:rFonts w:ascii="Times New Roman" w:hAnsi="Times New Roman"/>
          <w:i/>
          <w:noProof/>
          <w:sz w:val="24"/>
        </w:rPr>
        <w:t>MARPOL</w:t>
      </w:r>
      <w:r w:rsidRPr="00E946CA">
        <w:rPr>
          <w:rFonts w:ascii="Times New Roman" w:hAnsi="Times New Roman"/>
          <w:noProof/>
          <w:sz w:val="24"/>
        </w:rPr>
        <w:t> IV pielikumā noteiktajiem īpašajiem rajoniem.</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2"/>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Šo Vadlīniju prasības, tostarp 4.2. punkta prasības, attieksies uz notekūdeņu attīrīšanas iekārtām, kas uzstādītas:</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4C7D43">
      <w:pPr>
        <w:pStyle w:val="BodyText"/>
        <w:numPr>
          <w:ilvl w:val="0"/>
          <w:numId w:val="16"/>
        </w:numPr>
        <w:tabs>
          <w:tab w:val="left" w:pos="1872"/>
        </w:tabs>
        <w:ind w:left="1276" w:hanging="567"/>
        <w:jc w:val="both"/>
        <w:rPr>
          <w:rFonts w:ascii="Times New Roman" w:hAnsi="Times New Roman" w:cs="Times New Roman"/>
          <w:noProof/>
          <w:sz w:val="24"/>
        </w:rPr>
      </w:pPr>
      <w:r w:rsidRPr="00E946CA">
        <w:rPr>
          <w:rFonts w:ascii="Times New Roman" w:hAnsi="Times New Roman"/>
          <w:noProof/>
          <w:sz w:val="24"/>
        </w:rPr>
        <w:t>uz jauniem pasažieru kuģiem, kas kuģo MARPOL IV pielikumā noteiktajos īpašajos rajonos un kas plāno novadīt jūrā attīrītus notekūdeņus 2016. gada 1. janvārī vai vēlāk, un</w:t>
      </w:r>
    </w:p>
    <w:p w:rsidR="00833CA0" w:rsidRPr="00E946CA" w:rsidRDefault="00833CA0" w:rsidP="004C7D43">
      <w:pPr>
        <w:ind w:left="1276" w:hanging="567"/>
        <w:jc w:val="both"/>
        <w:rPr>
          <w:rFonts w:ascii="Times New Roman" w:eastAsia="Arial" w:hAnsi="Times New Roman" w:cs="Times New Roman"/>
          <w:noProof/>
          <w:sz w:val="24"/>
          <w:szCs w:val="21"/>
        </w:rPr>
      </w:pPr>
    </w:p>
    <w:p w:rsidR="00833CA0" w:rsidRPr="00E946CA" w:rsidRDefault="00833CA0" w:rsidP="004C7D43">
      <w:pPr>
        <w:pStyle w:val="BodyText"/>
        <w:numPr>
          <w:ilvl w:val="0"/>
          <w:numId w:val="16"/>
        </w:numPr>
        <w:tabs>
          <w:tab w:val="left" w:pos="1872"/>
        </w:tabs>
        <w:ind w:left="1276" w:hanging="567"/>
        <w:jc w:val="both"/>
        <w:rPr>
          <w:rFonts w:ascii="Times New Roman" w:hAnsi="Times New Roman" w:cs="Times New Roman"/>
          <w:noProof/>
          <w:sz w:val="24"/>
        </w:rPr>
      </w:pPr>
      <w:r w:rsidRPr="00E946CA">
        <w:rPr>
          <w:rFonts w:ascii="Times New Roman" w:hAnsi="Times New Roman"/>
          <w:noProof/>
          <w:sz w:val="24"/>
        </w:rPr>
        <w:t>uz esošajiem pasažieru kuģiem, kas kuģo MARPOL IV pielikumā noteiktajos īpašajos rajonos un kas plāno novadīt jūrā attīrītus notekūdeņus 2018. gada 1. janvārī vai vēlāk.</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2"/>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Notekūdeņu attīrīšanas iekārtām, kas laikā no 2010. gada 1. janvāra ieskaitot līdz 2016. gada 1. janvārim uzstādītas uz kuģiem, kas nav pasažieru kuģi un kas kuģo MARPOL IV pielikumā noteiktajos īpašajos rajonos un plāno novadīt jūrā attīrītus notekūdeņus, būtu jāatbilst Rezolūcijai MEPC.159(55).</w:t>
      </w:r>
    </w:p>
    <w:p w:rsidR="00833CA0" w:rsidRPr="00E946CA" w:rsidRDefault="00833CA0" w:rsidP="00E946CA">
      <w:pPr>
        <w:jc w:val="both"/>
        <w:rPr>
          <w:rFonts w:ascii="Times New Roman" w:hAnsi="Times New Roman" w:cs="Times New Roman"/>
          <w:noProof/>
          <w:sz w:val="24"/>
        </w:rPr>
      </w:pPr>
    </w:p>
    <w:p w:rsidR="00833CA0" w:rsidRPr="00E946CA" w:rsidRDefault="00833CA0" w:rsidP="00CE3831">
      <w:pPr>
        <w:pStyle w:val="BodyText"/>
        <w:numPr>
          <w:ilvl w:val="2"/>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Notekūdeņu attīrīšanas iekārtām, kas līdz 2010. gada 1. janvārim uzstādītas uz kuģiem, kas nav pasažieru kuģi un kas kuģo MARPOL IV pielikumā noteiktajos īpašajos rajonos un kas plāno novadīt jūrā attīrītus notekūdeņus, būtu jāatbilst Rezolūcijai MEPC.2(VI).</w:t>
      </w:r>
    </w:p>
    <w:p w:rsidR="00833CA0" w:rsidRPr="00E946CA" w:rsidRDefault="00833CA0" w:rsidP="00E946CA">
      <w:pPr>
        <w:jc w:val="both"/>
        <w:rPr>
          <w:rFonts w:ascii="Times New Roman" w:eastAsia="Arial" w:hAnsi="Times New Roman" w:cs="Times New Roman"/>
          <w:noProof/>
          <w:sz w:val="24"/>
        </w:rPr>
      </w:pPr>
    </w:p>
    <w:p w:rsidR="00833CA0" w:rsidRPr="00CE3831" w:rsidRDefault="00833CA0" w:rsidP="00CE3831">
      <w:pPr>
        <w:pStyle w:val="ListParagraph"/>
        <w:numPr>
          <w:ilvl w:val="1"/>
          <w:numId w:val="14"/>
        </w:numPr>
        <w:tabs>
          <w:tab w:val="left" w:pos="709"/>
        </w:tabs>
        <w:ind w:left="0" w:firstLine="0"/>
        <w:jc w:val="both"/>
        <w:rPr>
          <w:rFonts w:ascii="Times New Roman" w:hAnsi="Times New Roman" w:cs="Times New Roman"/>
          <w:b/>
          <w:noProof/>
          <w:sz w:val="24"/>
        </w:rPr>
      </w:pPr>
      <w:r w:rsidRPr="00CE3831">
        <w:rPr>
          <w:rFonts w:ascii="Times New Roman" w:hAnsi="Times New Roman"/>
          <w:b/>
          <w:noProof/>
          <w:sz w:val="24"/>
        </w:rPr>
        <w:t>Mērķis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CE3831">
      <w:pPr>
        <w:pStyle w:val="BodyText"/>
        <w:numPr>
          <w:ilvl w:val="2"/>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Šajās Vadlīnijās un specifikācijās ir aplūkota notekūdeņu attīrīšanas iekārtu projektēšana, uzstādīšana, veiktspēja un pārbaudes saskaņā ar MARPOL IV pielikuma 9.1.1. un 9.2.1. noteikumu.</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2"/>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Šo Vadlīniju un specifikāciju mērķis ir:</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4C7D43">
      <w:pPr>
        <w:pStyle w:val="BodyText"/>
        <w:numPr>
          <w:ilvl w:val="0"/>
          <w:numId w:val="17"/>
        </w:numPr>
        <w:tabs>
          <w:tab w:val="left" w:pos="1836"/>
        </w:tabs>
        <w:ind w:left="1276" w:hanging="567"/>
        <w:jc w:val="both"/>
        <w:rPr>
          <w:rFonts w:ascii="Times New Roman" w:hAnsi="Times New Roman" w:cs="Times New Roman"/>
          <w:noProof/>
          <w:sz w:val="24"/>
        </w:rPr>
      </w:pPr>
      <w:r w:rsidRPr="00E946CA">
        <w:rPr>
          <w:rFonts w:ascii="Times New Roman" w:hAnsi="Times New Roman"/>
          <w:noProof/>
          <w:sz w:val="24"/>
        </w:rPr>
        <w:t>sniegt vienotu skaidrojumu par MARPOL IV pielikuma 9.1.1. un 9.2.1. noteikuma prasībām,</w:t>
      </w:r>
    </w:p>
    <w:p w:rsidR="00833CA0" w:rsidRPr="00E946CA" w:rsidRDefault="00833CA0" w:rsidP="004C7D43">
      <w:pPr>
        <w:ind w:left="1276" w:hanging="567"/>
        <w:jc w:val="both"/>
        <w:rPr>
          <w:rFonts w:ascii="Times New Roman" w:eastAsia="Arial" w:hAnsi="Times New Roman" w:cs="Times New Roman"/>
          <w:noProof/>
          <w:sz w:val="24"/>
        </w:rPr>
      </w:pPr>
    </w:p>
    <w:p w:rsidR="00833CA0" w:rsidRPr="00E946CA" w:rsidRDefault="00833CA0" w:rsidP="004C7D43">
      <w:pPr>
        <w:pStyle w:val="BodyText"/>
        <w:numPr>
          <w:ilvl w:val="0"/>
          <w:numId w:val="17"/>
        </w:numPr>
        <w:tabs>
          <w:tab w:val="left" w:pos="1836"/>
        </w:tabs>
        <w:ind w:left="1276" w:hanging="567"/>
        <w:jc w:val="both"/>
        <w:rPr>
          <w:rFonts w:ascii="Times New Roman" w:hAnsi="Times New Roman" w:cs="Times New Roman"/>
          <w:noProof/>
          <w:sz w:val="24"/>
        </w:rPr>
      </w:pPr>
      <w:r w:rsidRPr="00E946CA">
        <w:rPr>
          <w:rFonts w:ascii="Times New Roman" w:hAnsi="Times New Roman"/>
          <w:noProof/>
          <w:sz w:val="24"/>
        </w:rPr>
        <w:t>palīdzēt Administrācijām noteikt atbilstošu notekūdeņu attīrīšanas iekārtu veidu, konstrukciju, atbilstošas ekspluatācijas pārbaudes un atbilstošus veiktspējas parametrus, ja šīs iekārtas ir uzstādītas uz kuģiem, kas kuģo zem attiecīgās valsts karoga, un</w:t>
      </w:r>
    </w:p>
    <w:p w:rsidR="00833CA0" w:rsidRPr="00E946CA" w:rsidRDefault="00833CA0" w:rsidP="004C7D43">
      <w:pPr>
        <w:ind w:left="1276" w:hanging="567"/>
        <w:jc w:val="both"/>
        <w:rPr>
          <w:rFonts w:ascii="Times New Roman" w:eastAsia="Arial" w:hAnsi="Times New Roman" w:cs="Times New Roman"/>
          <w:noProof/>
          <w:sz w:val="24"/>
        </w:rPr>
      </w:pPr>
    </w:p>
    <w:p w:rsidR="00833CA0" w:rsidRPr="00E946CA" w:rsidRDefault="00833CA0" w:rsidP="004C7D43">
      <w:pPr>
        <w:pStyle w:val="BodyText"/>
        <w:numPr>
          <w:ilvl w:val="0"/>
          <w:numId w:val="17"/>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sniegt norādījumus par uzstādīšanas prasībām.</w:t>
      </w:r>
    </w:p>
    <w:p w:rsidR="00833CA0" w:rsidRPr="00E946CA" w:rsidRDefault="00833CA0" w:rsidP="00E946CA">
      <w:pPr>
        <w:jc w:val="both"/>
        <w:rPr>
          <w:rFonts w:ascii="Times New Roman" w:eastAsia="Arial" w:hAnsi="Times New Roman" w:cs="Times New Roman"/>
          <w:noProof/>
          <w:sz w:val="24"/>
        </w:rPr>
      </w:pPr>
    </w:p>
    <w:p w:rsidR="00833CA0" w:rsidRPr="00CE3831" w:rsidRDefault="00833CA0" w:rsidP="00CE3831">
      <w:pPr>
        <w:pStyle w:val="ListParagraph"/>
        <w:numPr>
          <w:ilvl w:val="0"/>
          <w:numId w:val="14"/>
        </w:numPr>
        <w:tabs>
          <w:tab w:val="left" w:pos="709"/>
        </w:tabs>
        <w:ind w:left="0" w:firstLine="0"/>
        <w:jc w:val="both"/>
        <w:rPr>
          <w:rFonts w:ascii="Times New Roman" w:hAnsi="Times New Roman" w:cs="Times New Roman"/>
          <w:b/>
          <w:noProof/>
          <w:sz w:val="24"/>
        </w:rPr>
      </w:pPr>
      <w:r w:rsidRPr="00CE3831">
        <w:rPr>
          <w:rFonts w:ascii="Times New Roman" w:hAnsi="Times New Roman"/>
          <w:b/>
          <w:noProof/>
          <w:sz w:val="24"/>
        </w:rPr>
        <w:t>DEFINĪCIJAS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IV pielikums</w:t>
      </w:r>
      <w:r w:rsidRPr="00E946CA">
        <w:rPr>
          <w:rFonts w:ascii="Times New Roman" w:hAnsi="Times New Roman"/>
          <w:sz w:val="24"/>
        </w:rPr>
        <w:t xml:space="preserve"> – pārskatītais IV pielikums 1973. gada Starptautiskajai konvencijai par piesārņojuma novēršanu no kuģiem, kas grozīta ar 1978. un 1997. gada protokoliem (MARPOL), kurš grozīts ar rezolūcijām MEPC.115(51) un MEPC.200(62).</w:t>
      </w:r>
    </w:p>
    <w:p w:rsidR="00833CA0" w:rsidRPr="00E946CA" w:rsidRDefault="00833CA0" w:rsidP="00CE3831">
      <w:pPr>
        <w:tabs>
          <w:tab w:val="left" w:pos="709"/>
        </w:tabs>
        <w:jc w:val="both"/>
        <w:rPr>
          <w:rFonts w:ascii="Times New Roman" w:eastAsia="Arial" w:hAnsi="Times New Roman" w:cs="Times New Roman"/>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Konvencija</w:t>
      </w:r>
      <w:r w:rsidRPr="00E946CA">
        <w:rPr>
          <w:rFonts w:ascii="Times New Roman" w:hAnsi="Times New Roman"/>
          <w:sz w:val="24"/>
        </w:rPr>
        <w:t xml:space="preserve"> – 1973. gada Starptautiskā konvencija par piesārņojuma novēršanu no kuģiem, kura grozīta ar 1978. un 1997. gada protokoliem (</w:t>
      </w:r>
      <w:r w:rsidRPr="00E946CA">
        <w:rPr>
          <w:rFonts w:ascii="Times New Roman" w:hAnsi="Times New Roman"/>
          <w:i/>
          <w:sz w:val="24"/>
        </w:rPr>
        <w:t>MARPOL</w:t>
      </w:r>
      <w:r w:rsidRPr="00E946CA">
        <w:rPr>
          <w:rFonts w:ascii="Times New Roman" w:hAnsi="Times New Roman"/>
          <w:sz w:val="24"/>
        </w:rPr>
        <w:t>).</w:t>
      </w:r>
    </w:p>
    <w:p w:rsidR="00833CA0" w:rsidRPr="00E946CA" w:rsidRDefault="00833CA0" w:rsidP="00CE3831">
      <w:pPr>
        <w:tabs>
          <w:tab w:val="left" w:pos="709"/>
        </w:tabs>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noProof/>
          <w:sz w:val="24"/>
        </w:rPr>
        <w:t>Šķīdums</w:t>
      </w:r>
      <w:r w:rsidRPr="00E946CA">
        <w:rPr>
          <w:rFonts w:ascii="Times New Roman" w:hAnsi="Times New Roman"/>
          <w:noProof/>
          <w:sz w:val="24"/>
        </w:rPr>
        <w:t xml:space="preserve"> (Qd) – ir ūdens atšķaidīšanai, pelēkie ūdeņi, pārstrādes ūdens un/vai jūras ūdens, kas ievadīts notekūdeņu attīrīšanas iekārtā aiz ieplūdes paraugu ņemšanas vietas un aiz ieplūdes plūsmas mērierīces (sk. 1. attēlu).</w:t>
      </w:r>
    </w:p>
    <w:p w:rsidR="00833CA0" w:rsidRPr="00E946CA" w:rsidRDefault="00833CA0" w:rsidP="00CE3831">
      <w:pPr>
        <w:tabs>
          <w:tab w:val="left" w:pos="709"/>
        </w:tabs>
        <w:jc w:val="both"/>
        <w:rPr>
          <w:rFonts w:ascii="Times New Roman" w:eastAsia="Arial" w:hAnsi="Times New Roman" w:cs="Times New Roman"/>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Izplūde</w:t>
      </w:r>
      <w:r w:rsidRPr="00E946CA">
        <w:rPr>
          <w:rFonts w:ascii="Times New Roman" w:hAnsi="Times New Roman"/>
          <w:sz w:val="24"/>
        </w:rPr>
        <w:t xml:space="preserve"> (Qe) – notekūdeņu attīrīšanas iekārtā attīrītie notekūdeņi (sk. 1. attēlu).</w:t>
      </w:r>
    </w:p>
    <w:p w:rsidR="00833CA0" w:rsidRPr="00E946CA" w:rsidRDefault="00833CA0" w:rsidP="00CE3831">
      <w:pPr>
        <w:tabs>
          <w:tab w:val="left" w:pos="709"/>
        </w:tabs>
        <w:jc w:val="both"/>
        <w:rPr>
          <w:rFonts w:ascii="Times New Roman" w:eastAsia="Arial" w:hAnsi="Times New Roman" w:cs="Times New Roman"/>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noProof/>
          <w:sz w:val="24"/>
        </w:rPr>
        <w:t xml:space="preserve">Noskalošanas ūdens </w:t>
      </w:r>
      <w:r w:rsidRPr="00E946CA">
        <w:rPr>
          <w:rFonts w:ascii="Times New Roman" w:hAnsi="Times New Roman"/>
          <w:noProof/>
          <w:sz w:val="24"/>
        </w:rPr>
        <w:t>– ūdens, ko izmanto notekūdeņu un citu atkritumu novadīšanai no tualetes podiem vai pisuāriem uz attīrīšanas sistēmu.</w:t>
      </w:r>
    </w:p>
    <w:p w:rsidR="00833CA0" w:rsidRPr="00E946CA" w:rsidRDefault="00833CA0" w:rsidP="00CE3831">
      <w:pPr>
        <w:tabs>
          <w:tab w:val="left" w:pos="709"/>
        </w:tabs>
        <w:jc w:val="both"/>
        <w:rPr>
          <w:rFonts w:ascii="Times New Roman" w:eastAsia="Arial" w:hAnsi="Times New Roman" w:cs="Times New Roman"/>
          <w:noProof/>
          <w:sz w:val="24"/>
          <w:szCs w:val="21"/>
        </w:rPr>
      </w:pPr>
    </w:p>
    <w:p w:rsidR="00833CA0" w:rsidRPr="00E946CA" w:rsidRDefault="00833CA0" w:rsidP="00CE3831">
      <w:pPr>
        <w:numPr>
          <w:ilvl w:val="1"/>
          <w:numId w:val="14"/>
        </w:numPr>
        <w:tabs>
          <w:tab w:val="left" w:pos="709"/>
        </w:tabs>
        <w:ind w:left="0" w:firstLine="0"/>
        <w:jc w:val="both"/>
        <w:rPr>
          <w:rFonts w:ascii="Times New Roman" w:eastAsia="Arial" w:hAnsi="Times New Roman" w:cs="Times New Roman"/>
          <w:noProof/>
          <w:sz w:val="24"/>
        </w:rPr>
      </w:pPr>
      <w:r w:rsidRPr="00E946CA">
        <w:rPr>
          <w:rFonts w:ascii="Times New Roman" w:hAnsi="Times New Roman"/>
          <w:i/>
          <w:sz w:val="24"/>
        </w:rPr>
        <w:t>Vidējā ģeometriskā</w:t>
      </w:r>
      <w:r w:rsidRPr="00E946CA">
        <w:rPr>
          <w:rFonts w:ascii="Times New Roman" w:hAnsi="Times New Roman"/>
          <w:sz w:val="24"/>
        </w:rPr>
        <w:t xml:space="preserve"> </w:t>
      </w:r>
      <w:r w:rsidRPr="00E946CA">
        <w:rPr>
          <w:rFonts w:ascii="Times New Roman" w:hAnsi="Times New Roman"/>
          <w:i/>
          <w:sz w:val="24"/>
        </w:rPr>
        <w:t>vērtība</w:t>
      </w:r>
      <w:r w:rsidRPr="00E946CA">
        <w:rPr>
          <w:rFonts w:ascii="Times New Roman" w:hAnsi="Times New Roman"/>
          <w:sz w:val="24"/>
        </w:rPr>
        <w:t xml:space="preserve"> – n-tā sakne no n skaitļu reizinājuma.</w:t>
      </w:r>
    </w:p>
    <w:p w:rsidR="00833CA0" w:rsidRPr="00E946CA" w:rsidRDefault="00833CA0" w:rsidP="00CE3831">
      <w:pPr>
        <w:tabs>
          <w:tab w:val="left" w:pos="709"/>
        </w:tabs>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Pelēkie</w:t>
      </w:r>
      <w:r w:rsidRPr="00E946CA">
        <w:rPr>
          <w:rFonts w:ascii="Times New Roman" w:hAnsi="Times New Roman"/>
          <w:sz w:val="24"/>
        </w:rPr>
        <w:t xml:space="preserve"> </w:t>
      </w:r>
      <w:r w:rsidRPr="00E946CA">
        <w:rPr>
          <w:rFonts w:ascii="Times New Roman" w:hAnsi="Times New Roman"/>
          <w:i/>
          <w:sz w:val="24"/>
        </w:rPr>
        <w:t>ūdeņi</w:t>
      </w:r>
      <w:r w:rsidRPr="00E946CA">
        <w:rPr>
          <w:rFonts w:ascii="Times New Roman" w:hAnsi="Times New Roman"/>
          <w:sz w:val="24"/>
        </w:rPr>
        <w:t xml:space="preserve"> – ir drenāža no samazgām, kambīzes izlietnēm, dušām, veļas mazgātavām, vannu un izlietņu notekām, bet neietver notekūdeņus no tualetes podiem, pisuāriem, lazaretēm un vietām, kur tiek turēti dzīvnieki, kā tas ir noteikts MARPOL IV pielikuma 1.3. noteikumā, un neietver arī drenāžu no kravas telpām.</w:t>
      </w:r>
    </w:p>
    <w:p w:rsidR="00833CA0" w:rsidRPr="00E946CA" w:rsidRDefault="00833CA0" w:rsidP="00CE3831">
      <w:pPr>
        <w:tabs>
          <w:tab w:val="left" w:pos="709"/>
        </w:tabs>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Hidrauliskā slodze</w:t>
      </w:r>
      <w:r w:rsidRPr="00E946CA">
        <w:rPr>
          <w:rFonts w:ascii="Times New Roman" w:hAnsi="Times New Roman"/>
          <w:sz w:val="24"/>
        </w:rPr>
        <w:t xml:space="preserve"> – sistēmas projektētais notekūdeņu plūsmas ātrums (Qi), kas tiek ievadīts notekūdeņu attīrīšanas iekārtā.</w:t>
      </w:r>
    </w:p>
    <w:p w:rsidR="00833CA0" w:rsidRPr="00E946CA" w:rsidRDefault="00833CA0" w:rsidP="00CE3831">
      <w:pPr>
        <w:tabs>
          <w:tab w:val="left" w:pos="709"/>
        </w:tabs>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Ieplūde (Qi)</w:t>
      </w:r>
      <w:r w:rsidRPr="00E946CA">
        <w:rPr>
          <w:rFonts w:ascii="Times New Roman" w:hAnsi="Times New Roman"/>
          <w:sz w:val="24"/>
        </w:rPr>
        <w:t xml:space="preserve"> </w:t>
      </w:r>
      <w:r w:rsidRPr="00E946CA">
        <w:rPr>
          <w:rFonts w:ascii="Times New Roman" w:hAnsi="Times New Roman"/>
          <w:noProof/>
          <w:sz w:val="24"/>
        </w:rPr>
        <w:t xml:space="preserve">– </w:t>
      </w:r>
      <w:r w:rsidRPr="00E946CA">
        <w:rPr>
          <w:rFonts w:ascii="Times New Roman" w:hAnsi="Times New Roman"/>
          <w:sz w:val="24"/>
        </w:rPr>
        <w:t>šķidrums, kas satur notekūdeņus, pelēkos ūdeņus vai citas šķidrumu plūsmas, ko ir paredzēts apstrādāt attīrīšanas iekārtā (sk. 1. attēlu).</w:t>
      </w:r>
    </w:p>
    <w:p w:rsidR="00833CA0" w:rsidRPr="00E946CA" w:rsidRDefault="00833CA0" w:rsidP="00CE3831">
      <w:pPr>
        <w:tabs>
          <w:tab w:val="left" w:pos="709"/>
        </w:tabs>
        <w:jc w:val="both"/>
        <w:rPr>
          <w:rFonts w:ascii="Times New Roman"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 xml:space="preserve">Paraugu ņemšanas vieta </w:t>
      </w:r>
      <w:r w:rsidRPr="00E946CA">
        <w:rPr>
          <w:rFonts w:ascii="Times New Roman" w:hAnsi="Times New Roman"/>
          <w:sz w:val="24"/>
        </w:rPr>
        <w:t>– vieta, kur, neatverot tilpnes, neaizpildītās tilpnes daļas vai ventilācijas atveres, tiek manuāli paņemti reprezentatīvi ieplūdes un izplūdes paraugi.</w:t>
      </w:r>
    </w:p>
    <w:p w:rsidR="00833CA0" w:rsidRPr="00E946CA" w:rsidRDefault="00833CA0" w:rsidP="00CE3831">
      <w:pPr>
        <w:tabs>
          <w:tab w:val="left" w:pos="709"/>
        </w:tabs>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 xml:space="preserve">Pārbaude uz kuģa </w:t>
      </w:r>
      <w:r w:rsidRPr="00E946CA">
        <w:rPr>
          <w:rFonts w:ascii="Times New Roman" w:hAnsi="Times New Roman"/>
          <w:sz w:val="24"/>
        </w:rPr>
        <w:t>– pārbaude tipa apstiprināšanas nolūkos, kas tiek veikta uz kuģa uzstādītai notekūdeņu attīrīšanas iekārtai.</w:t>
      </w:r>
    </w:p>
    <w:p w:rsidR="00833CA0" w:rsidRPr="00E946CA" w:rsidRDefault="00833CA0" w:rsidP="00CE3831">
      <w:pPr>
        <w:tabs>
          <w:tab w:val="left" w:pos="709"/>
        </w:tabs>
        <w:jc w:val="both"/>
        <w:rPr>
          <w:rFonts w:ascii="Times New Roman" w:eastAsia="Arial" w:hAnsi="Times New Roman" w:cs="Times New Roman"/>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 xml:space="preserve">Pārbaude krastā </w:t>
      </w:r>
      <w:r w:rsidRPr="00E946CA">
        <w:rPr>
          <w:rFonts w:ascii="Times New Roman" w:hAnsi="Times New Roman"/>
          <w:sz w:val="24"/>
        </w:rPr>
        <w:t>– pārbaude krastā tipa apstiprināšanas nolūkos, kas tiek veikta notekūdeņu attīrīšanas iekārtai.</w:t>
      </w:r>
    </w:p>
    <w:p w:rsidR="00833CA0" w:rsidRPr="00E946CA" w:rsidRDefault="00833CA0" w:rsidP="00CE3831">
      <w:pPr>
        <w:tabs>
          <w:tab w:val="left" w:pos="709"/>
        </w:tabs>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i/>
          <w:sz w:val="24"/>
        </w:rPr>
        <w:t>Termoizturīgas zarnu nūjiņas</w:t>
      </w:r>
      <w:r w:rsidRPr="00E946CA">
        <w:rPr>
          <w:rFonts w:ascii="Times New Roman" w:hAnsi="Times New Roman"/>
          <w:sz w:val="24"/>
        </w:rPr>
        <w:t xml:space="preserve"> – zarnu nūjiņu baktēriju grupa, kas 44,5°C temperatūrā no laktozes rada gāzi 48 stundu laikā. Dažreiz šos organismus dēvē par "fekālajām zarnu nūjiņām", tomēr tagad par atbilstošu tiek atzīts termins "termoizturīgas zarnu nūjiņas", jo ne visiem šiem organismiem ir fekāliju izcelsme.</w:t>
      </w:r>
    </w:p>
    <w:p w:rsidR="00833CA0" w:rsidRPr="00E946CA" w:rsidRDefault="00833CA0" w:rsidP="00E946CA">
      <w:pPr>
        <w:jc w:val="both"/>
        <w:rPr>
          <w:rFonts w:ascii="Times New Roman" w:hAnsi="Times New Roman" w:cs="Times New Roman"/>
          <w:noProof/>
          <w:sz w:val="24"/>
        </w:rPr>
      </w:pPr>
    </w:p>
    <w:p w:rsidR="00833CA0" w:rsidRPr="00E946CA" w:rsidRDefault="00CE3831" w:rsidP="00E946CA">
      <w:pPr>
        <w:jc w:val="both"/>
        <w:rPr>
          <w:rFonts w:ascii="Times New Roman" w:eastAsia="Arial" w:hAnsi="Times New Roman" w:cs="Times New Roman"/>
          <w:noProof/>
          <w:sz w:val="24"/>
          <w:szCs w:val="20"/>
        </w:rPr>
      </w:pPr>
      <w:r w:rsidRPr="00A83DD6">
        <w:rPr>
          <w:rFonts w:ascii="Times New Roman" w:eastAsia="Arial" w:hAnsi="Times New Roman" w:cs="Times New Roman"/>
          <w:noProof/>
          <w:sz w:val="24"/>
          <w:szCs w:val="20"/>
          <w:lang w:bidi="ar-SA"/>
        </w:rPr>
        <w:drawing>
          <wp:inline distT="0" distB="0" distL="0" distR="0" wp14:anchorId="49108D0B" wp14:editId="1AFFACB3">
            <wp:extent cx="5756275" cy="2846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2846070"/>
                    </a:xfrm>
                    <a:prstGeom prst="rect">
                      <a:avLst/>
                    </a:prstGeom>
                    <a:noFill/>
                    <a:ln>
                      <a:noFill/>
                    </a:ln>
                  </pic:spPr>
                </pic:pic>
              </a:graphicData>
            </a:graphic>
          </wp:inline>
        </w:drawing>
      </w:r>
    </w:p>
    <w:p w:rsidR="00833CA0" w:rsidRPr="00E946CA" w:rsidRDefault="00833CA0" w:rsidP="00E946CA">
      <w:pPr>
        <w:jc w:val="both"/>
        <w:rPr>
          <w:rFonts w:ascii="Times New Roman" w:eastAsia="Arial" w:hAnsi="Times New Roman" w:cs="Times New Roman"/>
          <w:noProof/>
          <w:sz w:val="24"/>
          <w:szCs w:val="20"/>
        </w:rPr>
      </w:pPr>
    </w:p>
    <w:p w:rsidR="00833CA0" w:rsidRPr="00E946CA" w:rsidRDefault="00CE3831" w:rsidP="00CE3831">
      <w:pPr>
        <w:pStyle w:val="Heading1"/>
        <w:ind w:left="0" w:firstLine="0"/>
        <w:jc w:val="center"/>
        <w:rPr>
          <w:rFonts w:ascii="Times New Roman" w:hAnsi="Times New Roman" w:cs="Times New Roman"/>
          <w:b w:val="0"/>
          <w:bCs w:val="0"/>
          <w:noProof/>
          <w:sz w:val="24"/>
          <w:szCs w:val="19"/>
        </w:rPr>
      </w:pPr>
      <w:r>
        <w:rPr>
          <w:rFonts w:ascii="Times New Roman" w:hAnsi="Times New Roman"/>
          <w:noProof/>
          <w:sz w:val="24"/>
        </w:rPr>
        <w:t xml:space="preserve">1.attēls. </w:t>
      </w:r>
      <w:r w:rsidR="00833CA0" w:rsidRPr="00E946CA">
        <w:rPr>
          <w:rFonts w:ascii="Times New Roman" w:hAnsi="Times New Roman"/>
          <w:noProof/>
          <w:sz w:val="24"/>
        </w:rPr>
        <w:t>Notekūdeņu attīrīšanas iekārtas sistēmas shēma</w:t>
      </w:r>
    </w:p>
    <w:p w:rsidR="00833CA0" w:rsidRPr="00E946CA" w:rsidRDefault="00833CA0" w:rsidP="00E946CA">
      <w:pPr>
        <w:jc w:val="both"/>
        <w:rPr>
          <w:rFonts w:ascii="Times New Roman" w:hAnsi="Times New Roman" w:cs="Times New Roman"/>
          <w:noProof/>
          <w:sz w:val="24"/>
          <w:szCs w:val="19"/>
        </w:rPr>
      </w:pPr>
    </w:p>
    <w:p w:rsidR="00833CA0" w:rsidRPr="00E946CA" w:rsidRDefault="00833CA0" w:rsidP="00CE3831">
      <w:pPr>
        <w:pStyle w:val="ListParagraph"/>
        <w:numPr>
          <w:ilvl w:val="0"/>
          <w:numId w:val="14"/>
        </w:numPr>
        <w:tabs>
          <w:tab w:val="left" w:pos="709"/>
        </w:tabs>
        <w:ind w:left="0" w:firstLine="0"/>
        <w:jc w:val="both"/>
        <w:rPr>
          <w:rFonts w:ascii="Times New Roman" w:hAnsi="Times New Roman" w:cs="Times New Roman"/>
          <w:b/>
          <w:noProof/>
          <w:sz w:val="24"/>
        </w:rPr>
      </w:pPr>
      <w:r w:rsidRPr="00E946CA">
        <w:rPr>
          <w:rFonts w:ascii="Times New Roman" w:hAnsi="Times New Roman"/>
          <w:b/>
          <w:noProof/>
          <w:sz w:val="24"/>
        </w:rPr>
        <w:t>VISPĀRĪGA INFORMĀCIJA</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Apstiprinātai notekūdeņu attīrīšanas iekārtai ir jāatbilst 4. punktā noteiktajām tehniskajām specifikācijām un jāveic šajās Vadlīnijās izklāstītās pārbaudes.</w:t>
      </w:r>
      <w:r w:rsidR="004C7D43">
        <w:rPr>
          <w:rFonts w:ascii="Times New Roman" w:hAnsi="Times New Roman"/>
          <w:noProof/>
          <w:sz w:val="24"/>
        </w:rPr>
        <w:t xml:space="preserve"> </w:t>
      </w:r>
      <w:r w:rsidRPr="00E946CA">
        <w:rPr>
          <w:rFonts w:ascii="Times New Roman" w:hAnsi="Times New Roman"/>
          <w:noProof/>
          <w:sz w:val="24"/>
        </w:rPr>
        <w:t>Tomēr 4.2. punkts par slāpekļa un fosfora atdalīšanu attiecas uz pasažieru kuģiem, kas kuģo īpašajā rajonā un plāno novadīt attīrītus notekūdeņus jūrā.</w:t>
      </w:r>
      <w:r w:rsidR="004C7D43">
        <w:rPr>
          <w:rFonts w:ascii="Times New Roman" w:hAnsi="Times New Roman"/>
          <w:noProof/>
          <w:sz w:val="24"/>
        </w:rPr>
        <w:t xml:space="preserve"> </w:t>
      </w:r>
      <w:r w:rsidRPr="00E946CA">
        <w:rPr>
          <w:rFonts w:ascii="Times New Roman" w:hAnsi="Times New Roman"/>
          <w:noProof/>
          <w:sz w:val="24"/>
        </w:rPr>
        <w:t>Jāpiebilst arī, ka gadījumā, ja uz kuģiem tiek izmantotas apstiprinātas notekūdeņu attīrīšanas iekārtas, MARPOL konvencijas IV pielikumā ir noteikts arī tas, ka izplūde nedrīkst radīt redzamas peldošas cietās vielas vai izmainīt apkārtējā ūdens krāsu.</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Apstiprinātas notekūdeņu attīrīšanas iekārtas darbībai, kas atbilst 4. punktā minētajiem izplūdes standartiem, nevajadzētu būt balstītai tikai uz notekūdeņu atšķaidīšanu. Ja tiek uzskatīts, ka attīrīšanas procesam ir nepieciešams noteikts šķīduma daudzums, 4. punktā noteiktie izplūdes standarti ar koncentrācijas robežvērtībām (mg/l) ir jākoriģē proporcionāli, izmantojot šķīduma kompensācijas koeficientu Qi/Qe , lai ņemtu vērā šķīduma Qd daudzumu.</w:t>
      </w:r>
      <w:r w:rsidR="004C7D43">
        <w:rPr>
          <w:rFonts w:ascii="Times New Roman" w:hAnsi="Times New Roman"/>
          <w:noProof/>
          <w:sz w:val="24"/>
        </w:rPr>
        <w:t xml:space="preserve"> </w:t>
      </w:r>
      <w:r w:rsidRPr="00E946CA">
        <w:rPr>
          <w:rFonts w:ascii="Times New Roman" w:hAnsi="Times New Roman"/>
          <w:noProof/>
          <w:sz w:val="24"/>
        </w:rPr>
        <w:t>Turklāt, ja tiek procentuāli samazinātas 4. punkta izplūdes standartos noteiktās koncentrācijas vērtības, ir jāaprēķina diennakts samazinājuma vidējā ģeometriskā vērtība, izmantojot kopējo Qi un Qe plūsmu katrā pārbaudes dienas 24 stundu laikposmā, ko izsaka litros diennaktī (l/diennakts), un reizinot to ar atbilstošo koncentrāciju Ci un Ce vidējo ģeometrisko vērtību tajā pašā pārbaudes dienas 24 stundu laikposmā, ko izsaka miligramos uz litru.</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 xml:space="preserve">Kopējais procentuālais samazinājums visa pārbaudes periodā </w:t>
      </w:r>
      <w:r w:rsidRPr="00E946CA">
        <w:rPr>
          <w:rFonts w:ascii="Times New Roman" w:hAnsi="Times New Roman"/>
          <w:i/>
          <w:noProof/>
          <w:sz w:val="24"/>
        </w:rPr>
        <w:t xml:space="preserve">n </w:t>
      </w:r>
      <w:r w:rsidRPr="00E946CA">
        <w:rPr>
          <w:rFonts w:ascii="Times New Roman" w:hAnsi="Times New Roman"/>
          <w:noProof/>
          <w:sz w:val="24"/>
        </w:rPr>
        <w:t>ir:</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E946CA">
      <w:pPr>
        <w:jc w:val="both"/>
        <w:rPr>
          <w:rFonts w:ascii="Times New Roman" w:eastAsia="Arial" w:hAnsi="Times New Roman" w:cs="Times New Roman"/>
          <w:noProof/>
          <w:sz w:val="24"/>
        </w:rPr>
      </w:pPr>
      <w:r w:rsidRPr="00E946CA">
        <w:rPr>
          <w:rFonts w:ascii="Times New Roman" w:eastAsia="Arial" w:hAnsi="Times New Roman" w:cs="Times New Roman"/>
          <w:noProof/>
          <w:sz w:val="24"/>
          <w:lang w:bidi="ar-SA"/>
        </w:rPr>
        <w:drawing>
          <wp:inline distT="0" distB="0" distL="0" distR="0" wp14:anchorId="4E5D9174" wp14:editId="76A1F078">
            <wp:extent cx="1934845" cy="372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4845" cy="372110"/>
                    </a:xfrm>
                    <a:prstGeom prst="rect">
                      <a:avLst/>
                    </a:prstGeom>
                    <a:noFill/>
                    <a:ln>
                      <a:noFill/>
                    </a:ln>
                  </pic:spPr>
                </pic:pic>
              </a:graphicData>
            </a:graphic>
          </wp:inline>
        </w:drawing>
      </w: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kur PRn ir diennakts laikā atdalītā vērtība:</w:t>
      </w:r>
    </w:p>
    <w:p w:rsidR="00833CA0" w:rsidRPr="00E946CA" w:rsidRDefault="00833CA0" w:rsidP="00E946CA">
      <w:pPr>
        <w:jc w:val="both"/>
        <w:rPr>
          <w:rFonts w:ascii="Times New Roman" w:eastAsia="Arial" w:hAnsi="Times New Roman" w:cs="Times New Roman"/>
          <w:noProof/>
          <w:sz w:val="24"/>
          <w:szCs w:val="20"/>
        </w:rPr>
      </w:pPr>
    </w:p>
    <w:p w:rsidR="00833CA0" w:rsidRPr="00E946CA" w:rsidRDefault="00833CA0" w:rsidP="00E946CA">
      <w:pPr>
        <w:jc w:val="both"/>
        <w:rPr>
          <w:rFonts w:ascii="Times New Roman" w:eastAsia="Arial" w:hAnsi="Times New Roman" w:cs="Times New Roman"/>
          <w:noProof/>
          <w:sz w:val="24"/>
          <w:szCs w:val="13"/>
        </w:rPr>
      </w:pPr>
    </w:p>
    <w:p w:rsidR="00833CA0" w:rsidRPr="00E946CA" w:rsidRDefault="00833CA0" w:rsidP="00E946CA">
      <w:pPr>
        <w:jc w:val="both"/>
        <w:rPr>
          <w:rFonts w:ascii="Times New Roman" w:eastAsia="Arial" w:hAnsi="Times New Roman" w:cs="Times New Roman"/>
          <w:noProof/>
          <w:sz w:val="24"/>
          <w:szCs w:val="20"/>
        </w:rPr>
      </w:pPr>
      <w:r w:rsidRPr="00E946CA">
        <w:rPr>
          <w:rFonts w:ascii="Times New Roman" w:eastAsia="Arial" w:hAnsi="Times New Roman" w:cs="Times New Roman"/>
          <w:noProof/>
          <w:sz w:val="24"/>
          <w:szCs w:val="20"/>
          <w:lang w:bidi="ar-SA"/>
        </w:rPr>
        <w:drawing>
          <wp:inline distT="0" distB="0" distL="0" distR="0" wp14:anchorId="3D9329EC" wp14:editId="51BC262A">
            <wp:extent cx="5756649" cy="10935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756649" cy="1093565"/>
                    </a:xfrm>
                    <a:prstGeom prst="rect">
                      <a:avLst/>
                    </a:prstGeom>
                  </pic:spPr>
                </pic:pic>
              </a:graphicData>
            </a:graphic>
          </wp:inline>
        </w:drawing>
      </w:r>
    </w:p>
    <w:p w:rsidR="00833CA0" w:rsidRPr="00E946CA" w:rsidRDefault="00833CA0" w:rsidP="00E946CA">
      <w:pPr>
        <w:jc w:val="both"/>
        <w:rPr>
          <w:rFonts w:ascii="Times New Roman" w:eastAsia="Arial" w:hAnsi="Times New Roman" w:cs="Times New Roman"/>
          <w:noProof/>
          <w:sz w:val="24"/>
          <w:szCs w:val="15"/>
        </w:rPr>
      </w:pPr>
    </w:p>
    <w:p w:rsidR="00833CA0" w:rsidRPr="00E946CA" w:rsidRDefault="00833CA0" w:rsidP="00E946CA">
      <w:pPr>
        <w:jc w:val="both"/>
        <w:rPr>
          <w:rFonts w:ascii="Times New Roman" w:hAnsi="Times New Roman" w:cs="Times New Roman"/>
          <w:i/>
          <w:noProof/>
          <w:sz w:val="24"/>
        </w:rPr>
      </w:pPr>
      <w:r w:rsidRPr="00E946CA">
        <w:rPr>
          <w:rFonts w:ascii="Times New Roman" w:hAnsi="Times New Roman"/>
          <w:i/>
          <w:noProof/>
          <w:sz w:val="24"/>
        </w:rPr>
        <w:t>kur</w:t>
      </w:r>
    </w:p>
    <w:p w:rsidR="00833CA0" w:rsidRPr="00E946CA" w:rsidRDefault="00833CA0" w:rsidP="00E946CA">
      <w:pPr>
        <w:jc w:val="both"/>
        <w:rPr>
          <w:rFonts w:ascii="Times New Roman" w:hAnsi="Times New Roman" w:cs="Times New Roman"/>
          <w:i/>
          <w:noProof/>
          <w:sz w:val="24"/>
        </w:rPr>
      </w:pPr>
      <w:r w:rsidRPr="00E946CA">
        <w:rPr>
          <w:rFonts w:ascii="Times New Roman" w:hAnsi="Times New Roman"/>
          <w:i/>
          <w:noProof/>
          <w:sz w:val="24"/>
        </w:rPr>
        <w:t>n ir pārbaudes dienas kārtas skaitlis un</w:t>
      </w:r>
    </w:p>
    <w:p w:rsidR="00833CA0" w:rsidRPr="00E946CA" w:rsidRDefault="00833CA0" w:rsidP="00E946CA">
      <w:pPr>
        <w:jc w:val="both"/>
        <w:rPr>
          <w:rFonts w:ascii="Times New Roman" w:hAnsi="Times New Roman" w:cs="Times New Roman"/>
          <w:i/>
          <w:noProof/>
          <w:sz w:val="24"/>
        </w:rPr>
      </w:pPr>
      <w:r w:rsidRPr="00E946CA">
        <w:rPr>
          <w:rFonts w:ascii="Times New Roman" w:hAnsi="Times New Roman"/>
          <w:i/>
          <w:noProof/>
          <w:sz w:val="24"/>
        </w:rPr>
        <w:t>s ir pārbaudes dienā n paņemtā parauga kārtas skaitlis.</w:t>
      </w:r>
    </w:p>
    <w:p w:rsidR="00833CA0" w:rsidRPr="00E946CA" w:rsidRDefault="00833CA0" w:rsidP="00E946CA">
      <w:pPr>
        <w:jc w:val="both"/>
        <w:rPr>
          <w:rFonts w:ascii="Times New Roman" w:eastAsia="Arial" w:hAnsi="Times New Roman" w:cs="Times New Roman"/>
          <w:i/>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Tiek atzīts, ka notekūdeņu attīrīšanas iekārtu veiktspēja var būtiski atšķirties, ja sistēmu pārbauda krastā, simulējot kuģa apstākļus, vai ja to pārbauda uz kuģa.</w:t>
      </w:r>
      <w:r w:rsidR="004C7D43">
        <w:rPr>
          <w:rFonts w:ascii="Times New Roman" w:hAnsi="Times New Roman"/>
          <w:noProof/>
          <w:sz w:val="24"/>
        </w:rPr>
        <w:t xml:space="preserve"> </w:t>
      </w:r>
      <w:r w:rsidRPr="00E946CA">
        <w:rPr>
          <w:rFonts w:ascii="Times New Roman" w:hAnsi="Times New Roman"/>
          <w:noProof/>
          <w:sz w:val="24"/>
        </w:rPr>
        <w:t>Ja krastā veiktās pārbaudes liecina, ka sistēma atbilst standartiem, bet turpmākajās pārbaudēs uz kuģa konstatē tās neatbilstību standartiem, Administrācijai ir jānoskaidro to iemesls un jāņem vērā, lemjot par iekārtas tipa apstiprinājuma veikšanu.</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Jāatzīst, ka Administrācijas var vēlēties mainīt konkrētu informāciju, kas izklāstīta šajās Vadlīnijās, lai tās piemērotu ļoti lielām, ļoti mazām vai unikālām notekūdeņu attīrīšanas iekārtām.</w:t>
      </w:r>
    </w:p>
    <w:p w:rsidR="00833CA0" w:rsidRPr="00E946CA" w:rsidRDefault="00833CA0" w:rsidP="00E946CA">
      <w:pPr>
        <w:jc w:val="both"/>
        <w:rPr>
          <w:rFonts w:ascii="Times New Roman" w:eastAsia="Arial" w:hAnsi="Times New Roman" w:cs="Times New Roman"/>
          <w:noProof/>
          <w:sz w:val="24"/>
        </w:rPr>
      </w:pPr>
    </w:p>
    <w:p w:rsidR="00833CA0" w:rsidRPr="00CE3831" w:rsidRDefault="00833CA0" w:rsidP="00CE3831">
      <w:pPr>
        <w:pStyle w:val="ListParagraph"/>
        <w:numPr>
          <w:ilvl w:val="0"/>
          <w:numId w:val="14"/>
        </w:numPr>
        <w:tabs>
          <w:tab w:val="left" w:pos="709"/>
        </w:tabs>
        <w:ind w:left="0" w:firstLine="0"/>
        <w:jc w:val="both"/>
        <w:rPr>
          <w:rFonts w:ascii="Times New Roman" w:hAnsi="Times New Roman" w:cs="Times New Roman"/>
          <w:b/>
          <w:noProof/>
          <w:sz w:val="24"/>
        </w:rPr>
      </w:pPr>
      <w:r w:rsidRPr="00CE3831">
        <w:rPr>
          <w:rFonts w:ascii="Times New Roman" w:hAnsi="Times New Roman"/>
          <w:b/>
          <w:noProof/>
          <w:sz w:val="24"/>
        </w:rPr>
        <w:t>TEHNISKĀ SPECIFIKĀCIJA</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Ņemot vērā MARPOL Konvencijas IV pielikuma 9.1.1. un 9.2.1. noteikumu, kad Administrācija veic pārbaudi ar mērķi izsniegt tipa apstiprinājuma apliecību, notekūdeņu attīrīšanas iekārtai būtu jāatbilst turpmāk izklāstītajiem izplūdes standartiem.</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2"/>
          <w:numId w:val="1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Termoizturīgo zarnu nūjiņu standarts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ind w:left="1276"/>
        <w:jc w:val="both"/>
        <w:rPr>
          <w:rFonts w:ascii="Times New Roman" w:hAnsi="Times New Roman" w:cs="Times New Roman"/>
          <w:noProof/>
          <w:sz w:val="24"/>
        </w:rPr>
      </w:pPr>
      <w:r w:rsidRPr="00E946CA">
        <w:rPr>
          <w:rFonts w:ascii="Times New Roman" w:hAnsi="Times New Roman"/>
          <w:noProof/>
          <w:sz w:val="24"/>
        </w:rPr>
        <w:t>Pārbaudes periodā paņemtajos izplūdes paraugos konstatētā termoizturīgo zarnu nūjiņu skaita vidējā ģeometriskā vērtība nedrīkst pārsniegt 100 termoizturīgās zarnu nūjiņas uz 100 ml, pārbaudei izmantojot membrānfiltru, vairāku caurulīšu fermentācijas metodi vai līdzvērtīgu analītisko procedūru.</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2"/>
          <w:numId w:val="1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Kopējo suspendēto cieto vielu (TSS) standarts</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CE3831">
      <w:pPr>
        <w:pStyle w:val="BodyText"/>
        <w:numPr>
          <w:ilvl w:val="0"/>
          <w:numId w:val="18"/>
        </w:numPr>
        <w:tabs>
          <w:tab w:val="left" w:pos="2693"/>
        </w:tabs>
        <w:ind w:left="1701" w:hanging="425"/>
        <w:jc w:val="both"/>
        <w:rPr>
          <w:rFonts w:ascii="Times New Roman" w:hAnsi="Times New Roman" w:cs="Times New Roman"/>
          <w:noProof/>
          <w:sz w:val="24"/>
        </w:rPr>
      </w:pPr>
      <w:r w:rsidRPr="00E946CA">
        <w:rPr>
          <w:rFonts w:ascii="Times New Roman" w:hAnsi="Times New Roman"/>
          <w:noProof/>
          <w:sz w:val="24"/>
        </w:rPr>
        <w:t>Pārbaudes periodā paņemto izplūdes paraugu kopējo suspendēto cieto vielu koncentrācijas vidējā ģeometriskā vērtība nedrīkst pārsniegt 35 Qi/Qe mg/l.</w:t>
      </w:r>
    </w:p>
    <w:p w:rsidR="00833CA0" w:rsidRPr="00E946CA" w:rsidRDefault="00833CA0" w:rsidP="00E946CA">
      <w:pPr>
        <w:jc w:val="both"/>
        <w:rPr>
          <w:rFonts w:ascii="Times New Roman" w:hAnsi="Times New Roman" w:cs="Times New Roman"/>
          <w:noProof/>
          <w:sz w:val="24"/>
        </w:rPr>
      </w:pPr>
    </w:p>
    <w:p w:rsidR="00833CA0" w:rsidRPr="00E946CA" w:rsidRDefault="00833CA0" w:rsidP="00CE3831">
      <w:pPr>
        <w:pStyle w:val="BodyText"/>
        <w:numPr>
          <w:ilvl w:val="0"/>
          <w:numId w:val="18"/>
        </w:numPr>
        <w:tabs>
          <w:tab w:val="left" w:pos="2693"/>
        </w:tabs>
        <w:ind w:left="1701" w:hanging="425"/>
        <w:jc w:val="both"/>
        <w:rPr>
          <w:rFonts w:ascii="Times New Roman" w:hAnsi="Times New Roman" w:cs="Times New Roman"/>
          <w:noProof/>
          <w:sz w:val="24"/>
        </w:rPr>
      </w:pPr>
      <w:r w:rsidRPr="00E946CA">
        <w:rPr>
          <w:rFonts w:ascii="Times New Roman" w:hAnsi="Times New Roman"/>
          <w:noProof/>
          <w:sz w:val="24"/>
        </w:rPr>
        <w:t>Ja notekūdeņu attīrīšanas iekārta tiek pārbaudīta uz kuģa, pārbaudes periodā paņemto izplūdes paraugu maksimālā kopējo suspendēto cieto vielu koncentrācija var tikt koriģēta, ņemot vērā tualetes noskalošanas ūdens kopējo suspendēto cieto vielu koncentrāciju.</w:t>
      </w:r>
      <w:r w:rsidR="004C7D43">
        <w:rPr>
          <w:rFonts w:ascii="Times New Roman" w:hAnsi="Times New Roman"/>
          <w:noProof/>
          <w:sz w:val="24"/>
        </w:rPr>
        <w:t xml:space="preserve"> </w:t>
      </w:r>
      <w:r w:rsidRPr="00E946CA">
        <w:rPr>
          <w:rFonts w:ascii="Times New Roman" w:hAnsi="Times New Roman"/>
          <w:noProof/>
          <w:sz w:val="24"/>
        </w:rPr>
        <w:t>Atļaujot šo maksimālā TSS korekciju, Administrācijām jānodrošina pienācīgas TSS pārbaudes noskalošanas ūdenim visā pārbaudes periodā, lai noteiktu precīzu vidējo ģeometrisko vērtību, kas izmantojama kā korekcijas koeficients (apzīmē ar x).</w:t>
      </w:r>
      <w:r w:rsidR="004C7D43">
        <w:rPr>
          <w:rFonts w:ascii="Times New Roman" w:hAnsi="Times New Roman"/>
          <w:noProof/>
          <w:sz w:val="24"/>
        </w:rPr>
        <w:t xml:space="preserve"> </w:t>
      </w:r>
      <w:r w:rsidRPr="00E946CA">
        <w:rPr>
          <w:rFonts w:ascii="Times New Roman" w:hAnsi="Times New Roman"/>
          <w:noProof/>
          <w:sz w:val="24"/>
        </w:rPr>
        <w:t>Nekādā gadījumā maksimālais pieļaujamais TSS nedrīkst pārsniegt (35+x) Qi/Qe mg/l.</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CE3831">
      <w:pPr>
        <w:pStyle w:val="BodyText"/>
        <w:ind w:left="1276"/>
        <w:jc w:val="both"/>
        <w:rPr>
          <w:rFonts w:ascii="Times New Roman" w:hAnsi="Times New Roman" w:cs="Times New Roman"/>
          <w:noProof/>
          <w:sz w:val="24"/>
        </w:rPr>
      </w:pPr>
      <w:r w:rsidRPr="00E946CA">
        <w:rPr>
          <w:rFonts w:ascii="Times New Roman" w:hAnsi="Times New Roman"/>
          <w:noProof/>
          <w:sz w:val="24"/>
        </w:rPr>
        <w:t>Jāizmanto šādas pārbaudes metodes: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0"/>
          <w:numId w:val="19"/>
        </w:numPr>
        <w:tabs>
          <w:tab w:val="left" w:pos="3543"/>
        </w:tabs>
        <w:ind w:left="1701" w:hanging="425"/>
        <w:jc w:val="both"/>
        <w:rPr>
          <w:rFonts w:ascii="Times New Roman" w:hAnsi="Times New Roman" w:cs="Times New Roman"/>
          <w:noProof/>
          <w:sz w:val="24"/>
        </w:rPr>
      </w:pPr>
      <w:r w:rsidRPr="00E946CA">
        <w:rPr>
          <w:rFonts w:ascii="Times New Roman" w:hAnsi="Times New Roman"/>
          <w:noProof/>
          <w:sz w:val="24"/>
        </w:rPr>
        <w:t>reprezentatīva parauga filtrācija caur 0,45 µm filtrmembrānu, žāvēšana 105°C temperatūrā un svēršana, vai</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0"/>
          <w:numId w:val="19"/>
        </w:numPr>
        <w:tabs>
          <w:tab w:val="left" w:pos="3542"/>
        </w:tabs>
        <w:ind w:left="1701" w:hanging="425"/>
        <w:jc w:val="both"/>
        <w:rPr>
          <w:rFonts w:ascii="Times New Roman" w:hAnsi="Times New Roman" w:cs="Times New Roman"/>
          <w:noProof/>
          <w:sz w:val="24"/>
        </w:rPr>
      </w:pPr>
      <w:r w:rsidRPr="00E946CA">
        <w:rPr>
          <w:rFonts w:ascii="Times New Roman" w:hAnsi="Times New Roman"/>
          <w:noProof/>
          <w:sz w:val="24"/>
        </w:rPr>
        <w:t>reprezentatīva parauga centrifugēšana (vismaz piecas minūtes ar vidējo paātrinājumu 2800-3200 g), žāvēšana vismaz 105°C temperatūrā un svēršana, vai</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CE3831">
      <w:pPr>
        <w:pStyle w:val="BodyText"/>
        <w:numPr>
          <w:ilvl w:val="0"/>
          <w:numId w:val="19"/>
        </w:numPr>
        <w:tabs>
          <w:tab w:val="left" w:pos="3543"/>
        </w:tabs>
        <w:ind w:left="1701" w:hanging="425"/>
        <w:jc w:val="both"/>
        <w:rPr>
          <w:rFonts w:ascii="Times New Roman" w:hAnsi="Times New Roman" w:cs="Times New Roman"/>
          <w:noProof/>
          <w:sz w:val="24"/>
        </w:rPr>
      </w:pPr>
      <w:r w:rsidRPr="00E946CA">
        <w:rPr>
          <w:rFonts w:ascii="Times New Roman" w:hAnsi="Times New Roman"/>
          <w:noProof/>
          <w:sz w:val="24"/>
        </w:rPr>
        <w:t>cits starptautiski atzīts, līdzvērtīgs testa standarts.</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CE3831">
      <w:pPr>
        <w:pStyle w:val="BodyText"/>
        <w:numPr>
          <w:ilvl w:val="2"/>
          <w:numId w:val="1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Bioķīmiskais skābekļa patēriņš bez nitrifikācijas un ķīmiskais skābekļa patēriņš</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ind w:left="1276"/>
        <w:jc w:val="both"/>
        <w:rPr>
          <w:rFonts w:ascii="Times New Roman" w:hAnsi="Times New Roman" w:cs="Times New Roman"/>
          <w:noProof/>
          <w:sz w:val="24"/>
        </w:rPr>
      </w:pPr>
      <w:r w:rsidRPr="00E946CA">
        <w:rPr>
          <w:rFonts w:ascii="Times New Roman" w:hAnsi="Times New Roman"/>
          <w:noProof/>
          <w:sz w:val="24"/>
        </w:rPr>
        <w:t>Administrācijām ir jānodrošina, ka notekūdeņu attīrīšanas iekārta ir projektēta šķīstošu un nešķīstošu organisku vielu samazināšanai, atbilstoši prasībai, saskaņā ar kuru pārbaudes periodā paņemtajos izplūdes paraugos 5 diennakšu bioķīmiskā skābekļa patēriņa bez nitrifikācijas (BSP</w:t>
      </w:r>
      <w:r w:rsidRPr="00030855">
        <w:rPr>
          <w:rFonts w:ascii="Times New Roman" w:hAnsi="Times New Roman"/>
          <w:noProof/>
          <w:sz w:val="24"/>
          <w:vertAlign w:val="subscript"/>
        </w:rPr>
        <w:t>5</w:t>
      </w:r>
      <w:r w:rsidRPr="00E946CA">
        <w:rPr>
          <w:rFonts w:ascii="Times New Roman" w:hAnsi="Times New Roman"/>
          <w:noProof/>
          <w:sz w:val="24"/>
        </w:rPr>
        <w:t xml:space="preserve"> bez nitrifikācijas) vidējā ģeometriskā vērtība pārbaudes periodā paņemtajos izplūdes paraugos nepārsniedz 25 Qi/Qe mg/l, bet ķīmiskā skābekļa patēriņš (ĶSP) nepārsniedz 125 Qi/Qe mg/l.</w:t>
      </w:r>
      <w:r w:rsidR="004C7D43">
        <w:rPr>
          <w:rFonts w:ascii="Times New Roman" w:hAnsi="Times New Roman"/>
          <w:noProof/>
          <w:sz w:val="24"/>
        </w:rPr>
        <w:t xml:space="preserve"> </w:t>
      </w:r>
      <w:r w:rsidRPr="00E946CA">
        <w:rPr>
          <w:rFonts w:ascii="Times New Roman" w:hAnsi="Times New Roman"/>
          <w:noProof/>
          <w:sz w:val="24"/>
        </w:rPr>
        <w:t>Pārbaudes metodei attiecībā uz BSP</w:t>
      </w:r>
      <w:r w:rsidRPr="00030855">
        <w:rPr>
          <w:rFonts w:ascii="Times New Roman" w:hAnsi="Times New Roman"/>
          <w:noProof/>
          <w:sz w:val="24"/>
          <w:vertAlign w:val="subscript"/>
        </w:rPr>
        <w:t>5</w:t>
      </w:r>
      <w:r w:rsidRPr="00E946CA">
        <w:rPr>
          <w:rFonts w:ascii="Times New Roman" w:hAnsi="Times New Roman"/>
          <w:noProof/>
          <w:sz w:val="24"/>
        </w:rPr>
        <w:t xml:space="preserve"> bez nitrifikācijas ir jāatbilst standartam ISO 5815 1:2003, bet pārbaudes metodei attiecībā uz ĶSP ir jāatbilst standartam ISO 15705:2002 vai citam starptautiski atzītam, līdzvērtīgam pārbaudes standartam.</w:t>
      </w:r>
    </w:p>
    <w:p w:rsidR="00833CA0" w:rsidRPr="00E946CA" w:rsidRDefault="00833CA0" w:rsidP="00E946CA">
      <w:pPr>
        <w:jc w:val="both"/>
        <w:rPr>
          <w:rFonts w:ascii="Times New Roman" w:hAnsi="Times New Roman" w:cs="Times New Roman"/>
          <w:noProof/>
          <w:sz w:val="24"/>
        </w:rPr>
      </w:pPr>
    </w:p>
    <w:p w:rsidR="00833CA0" w:rsidRPr="00E946CA" w:rsidRDefault="00833CA0" w:rsidP="00CE3831">
      <w:pPr>
        <w:pStyle w:val="BodyText"/>
        <w:numPr>
          <w:ilvl w:val="2"/>
          <w:numId w:val="1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pH līmenis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ind w:left="1276"/>
        <w:jc w:val="both"/>
        <w:rPr>
          <w:rFonts w:ascii="Times New Roman" w:hAnsi="Times New Roman" w:cs="Times New Roman"/>
          <w:noProof/>
          <w:sz w:val="24"/>
        </w:rPr>
      </w:pPr>
      <w:r w:rsidRPr="00E946CA">
        <w:rPr>
          <w:rFonts w:ascii="Times New Roman" w:hAnsi="Times New Roman"/>
          <w:noProof/>
          <w:sz w:val="24"/>
        </w:rPr>
        <w:t>Pārbaudes periodā paņemto izplūdes paraugu pH līmenim ir jābūt robežās no 6 līdz 8,5.</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numPr>
          <w:ilvl w:val="2"/>
          <w:numId w:val="1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Nulle vai nekonstatētās vērtības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CE3831">
      <w:pPr>
        <w:pStyle w:val="BodyText"/>
        <w:ind w:left="1276"/>
        <w:jc w:val="both"/>
        <w:rPr>
          <w:rFonts w:ascii="Times New Roman" w:hAnsi="Times New Roman" w:cs="Times New Roman"/>
          <w:noProof/>
          <w:sz w:val="24"/>
        </w:rPr>
      </w:pPr>
      <w:r w:rsidRPr="00E946CA">
        <w:rPr>
          <w:rFonts w:ascii="Times New Roman" w:hAnsi="Times New Roman"/>
          <w:noProof/>
          <w:sz w:val="24"/>
        </w:rPr>
        <w:t>Lai aprēķinātu vidējo ģeometrisko vērtību, termoizturīgo zarnu nūjiņu nulles vērtības ir jāaizstāj ar vērtību "1 termoizturīgā zarnu nūjiņa uz 100 ml".</w:t>
      </w:r>
      <w:r w:rsidR="004C7D43">
        <w:rPr>
          <w:rFonts w:ascii="Times New Roman" w:hAnsi="Times New Roman"/>
          <w:noProof/>
          <w:sz w:val="24"/>
        </w:rPr>
        <w:t xml:space="preserve"> </w:t>
      </w:r>
      <w:r w:rsidRPr="00E946CA">
        <w:rPr>
          <w:rFonts w:ascii="Times New Roman" w:hAnsi="Times New Roman"/>
          <w:noProof/>
          <w:sz w:val="24"/>
        </w:rPr>
        <w:t>Lai būtu iespējams aprēķināt vidējo ģeometrisko vērtību, kopējo suspendēto cieto vielu koncentrācijas, bioķīmiskā skābekļa patēriņa bez nitrifikācijas un ķīmiskā skābekļa patēriņa vērtības, kas ir zem noteikšanas robežas, jāaizstāj ar pusi no noteikšanas robežas.</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CE3831">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Ņemot vērā MARPOL Konvencijas IV pielikuma 9.2.1. noteikumu, kad Administrācija veic pārbaudi ar mērķi izsniegt tipa apstiprinājuma apliecību, uz pasažieru kuģa uzstādītai notekūdeņu attīrīšanas iekārtai, no kuras attīrītos notekūdeņus ir paredzēts novadīt īpašajos rajonos, papildus jāatbilst turpmāk norādītajiem izplūdes standartiem:</w:t>
      </w:r>
    </w:p>
    <w:p w:rsidR="00833CA0" w:rsidRPr="00E946CA" w:rsidRDefault="00833CA0" w:rsidP="00E946CA">
      <w:pPr>
        <w:jc w:val="both"/>
        <w:rPr>
          <w:rFonts w:ascii="Times New Roman" w:hAnsi="Times New Roman" w:cs="Times New Roman"/>
          <w:noProof/>
          <w:sz w:val="24"/>
        </w:rPr>
      </w:pPr>
    </w:p>
    <w:p w:rsidR="00833CA0" w:rsidRPr="00E946CA" w:rsidRDefault="00833CA0" w:rsidP="004C7D43">
      <w:pPr>
        <w:pStyle w:val="BodyText"/>
        <w:numPr>
          <w:ilvl w:val="2"/>
          <w:numId w:val="1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Slāpekļa un fosfora atdalīšanas standarts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ind w:left="1276"/>
        <w:jc w:val="both"/>
        <w:rPr>
          <w:rFonts w:ascii="Times New Roman" w:hAnsi="Times New Roman" w:cs="Times New Roman"/>
          <w:noProof/>
          <w:sz w:val="24"/>
        </w:rPr>
      </w:pPr>
      <w:r w:rsidRPr="00E946CA">
        <w:rPr>
          <w:rFonts w:ascii="Times New Roman" w:hAnsi="Times New Roman"/>
          <w:noProof/>
          <w:sz w:val="24"/>
        </w:rPr>
        <w:t>Pārbaudes periodā paņemtajos izplūdes paraugos kopējā slāpekļa un fosfora koncentrācijas vidējai ģeometriskajai vērtībai nevajadzētu pārsniegt:</w:t>
      </w:r>
    </w:p>
    <w:p w:rsidR="00833CA0" w:rsidRPr="00E946CA" w:rsidRDefault="00833CA0" w:rsidP="00E946CA">
      <w:pPr>
        <w:jc w:val="both"/>
        <w:rPr>
          <w:rFonts w:ascii="Times New Roman" w:eastAsia="Arial" w:hAnsi="Times New Roman" w:cs="Times New Roman"/>
          <w:noProof/>
          <w:sz w:val="24"/>
          <w:szCs w:val="20"/>
        </w:rPr>
      </w:pPr>
    </w:p>
    <w:p w:rsidR="00833CA0" w:rsidRPr="00E946CA" w:rsidRDefault="00833CA0" w:rsidP="004C7D43">
      <w:pPr>
        <w:pStyle w:val="BodyText"/>
        <w:numPr>
          <w:ilvl w:val="0"/>
          <w:numId w:val="20"/>
        </w:numPr>
        <w:tabs>
          <w:tab w:val="left" w:pos="2688"/>
        </w:tabs>
        <w:ind w:left="1701" w:hanging="425"/>
        <w:jc w:val="both"/>
        <w:rPr>
          <w:rFonts w:ascii="Times New Roman" w:hAnsi="Times New Roman" w:cs="Times New Roman"/>
          <w:noProof/>
          <w:sz w:val="24"/>
        </w:rPr>
      </w:pPr>
      <w:r w:rsidRPr="00E946CA">
        <w:rPr>
          <w:rFonts w:ascii="Times New Roman" w:hAnsi="Times New Roman"/>
          <w:noProof/>
          <w:sz w:val="24"/>
        </w:rPr>
        <w:t>kopējā slāpekļa koncentrācija</w:t>
      </w:r>
      <w:r w:rsidR="004C7D43">
        <w:rPr>
          <w:rStyle w:val="FootnoteReference"/>
          <w:rFonts w:ascii="Times New Roman" w:hAnsi="Times New Roman"/>
          <w:noProof/>
          <w:sz w:val="24"/>
        </w:rPr>
        <w:footnoteReference w:id="1"/>
      </w:r>
      <w:r w:rsidRPr="00E946CA">
        <w:rPr>
          <w:rFonts w:ascii="Times New Roman" w:hAnsi="Times New Roman"/>
          <w:noProof/>
          <w:sz w:val="24"/>
        </w:rPr>
        <w:t>: 20 Qi/Qe mg/l jeb samazinājumu vismaz par 70 %</w:t>
      </w:r>
      <w:r w:rsidR="004C7D43">
        <w:rPr>
          <w:rStyle w:val="FootnoteReference"/>
          <w:rFonts w:ascii="Times New Roman" w:hAnsi="Times New Roman"/>
          <w:noProof/>
          <w:sz w:val="24"/>
        </w:rPr>
        <w:footnoteReference w:id="2"/>
      </w:r>
      <w:r w:rsidRPr="00E946CA">
        <w:rPr>
          <w:rFonts w:ascii="Times New Roman" w:hAnsi="Times New Roman"/>
          <w:noProof/>
          <w:sz w:val="24"/>
        </w:rPr>
        <w:t>;</w:t>
      </w:r>
    </w:p>
    <w:p w:rsidR="00833CA0" w:rsidRPr="00E946CA" w:rsidRDefault="00833CA0" w:rsidP="00E946CA">
      <w:pPr>
        <w:jc w:val="both"/>
        <w:rPr>
          <w:rFonts w:ascii="Times New Roman" w:eastAsia="Arial" w:hAnsi="Times New Roman" w:cs="Times New Roman"/>
          <w:noProof/>
          <w:sz w:val="24"/>
          <w:szCs w:val="20"/>
        </w:rPr>
      </w:pPr>
    </w:p>
    <w:p w:rsidR="00833CA0" w:rsidRPr="00E946CA" w:rsidRDefault="00833CA0" w:rsidP="004C7D43">
      <w:pPr>
        <w:pStyle w:val="BodyText"/>
        <w:numPr>
          <w:ilvl w:val="0"/>
          <w:numId w:val="20"/>
        </w:numPr>
        <w:tabs>
          <w:tab w:val="left" w:pos="2688"/>
        </w:tabs>
        <w:ind w:left="1701" w:hanging="425"/>
        <w:jc w:val="both"/>
        <w:rPr>
          <w:rFonts w:ascii="Times New Roman" w:hAnsi="Times New Roman" w:cs="Times New Roman"/>
          <w:noProof/>
          <w:sz w:val="24"/>
        </w:rPr>
      </w:pPr>
      <w:r w:rsidRPr="00E946CA">
        <w:rPr>
          <w:rFonts w:ascii="Times New Roman" w:hAnsi="Times New Roman"/>
          <w:noProof/>
          <w:sz w:val="24"/>
        </w:rPr>
        <w:t>kopējā fosfora koncentrācija: 1,0 Qi/Qe mg/l jeb samazinājumu vismaz par 80 %</w:t>
      </w:r>
      <w:r w:rsidR="004C7D43">
        <w:rPr>
          <w:rStyle w:val="FootnoteReference"/>
          <w:rFonts w:ascii="Times New Roman" w:hAnsi="Times New Roman"/>
          <w:noProof/>
          <w:sz w:val="24"/>
        </w:rPr>
        <w:footnoteReference w:id="3"/>
      </w:r>
      <w:r w:rsidRPr="00E946CA">
        <w:rPr>
          <w:rFonts w:ascii="Times New Roman" w:hAnsi="Times New Roman"/>
          <w:noProof/>
          <w:sz w:val="24"/>
        </w:rPr>
        <w:t>.</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4C7D43">
      <w:pPr>
        <w:pStyle w:val="BodyText"/>
        <w:numPr>
          <w:ilvl w:val="2"/>
          <w:numId w:val="1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Pārbaudes metodei jāatbilst:</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0"/>
          <w:numId w:val="21"/>
        </w:numPr>
        <w:tabs>
          <w:tab w:val="left" w:pos="2694"/>
        </w:tabs>
        <w:ind w:left="1701" w:hanging="425"/>
        <w:jc w:val="both"/>
        <w:rPr>
          <w:rFonts w:ascii="Times New Roman" w:hAnsi="Times New Roman" w:cs="Times New Roman"/>
          <w:noProof/>
          <w:sz w:val="24"/>
        </w:rPr>
      </w:pPr>
      <w:r w:rsidRPr="00E946CA">
        <w:rPr>
          <w:rFonts w:ascii="Times New Roman" w:hAnsi="Times New Roman"/>
          <w:noProof/>
          <w:sz w:val="24"/>
        </w:rPr>
        <w:t>ISO 29441:2010 standartam kopējā slāpekļa koncentrācijas noteikšanai, un</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0"/>
          <w:numId w:val="21"/>
        </w:numPr>
        <w:tabs>
          <w:tab w:val="left" w:pos="2694"/>
        </w:tabs>
        <w:ind w:left="1701" w:hanging="425"/>
        <w:jc w:val="both"/>
        <w:rPr>
          <w:rFonts w:ascii="Times New Roman" w:hAnsi="Times New Roman" w:cs="Times New Roman"/>
          <w:noProof/>
          <w:sz w:val="24"/>
        </w:rPr>
      </w:pPr>
      <w:r w:rsidRPr="00E946CA">
        <w:rPr>
          <w:rFonts w:ascii="Times New Roman" w:hAnsi="Times New Roman"/>
          <w:noProof/>
          <w:sz w:val="24"/>
        </w:rPr>
        <w:t>ISO 6878:2004 standartam kopējā fosfora koncentrācijas noteikšanai, vai</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4C7D43">
      <w:pPr>
        <w:pStyle w:val="BodyText"/>
        <w:numPr>
          <w:ilvl w:val="0"/>
          <w:numId w:val="21"/>
        </w:numPr>
        <w:tabs>
          <w:tab w:val="left" w:pos="2694"/>
        </w:tabs>
        <w:ind w:left="1701" w:hanging="425"/>
        <w:jc w:val="both"/>
        <w:rPr>
          <w:rFonts w:ascii="Times New Roman" w:hAnsi="Times New Roman" w:cs="Times New Roman"/>
          <w:noProof/>
          <w:sz w:val="24"/>
        </w:rPr>
      </w:pPr>
      <w:r w:rsidRPr="00E946CA">
        <w:rPr>
          <w:rFonts w:ascii="Times New Roman" w:hAnsi="Times New Roman"/>
          <w:noProof/>
          <w:sz w:val="24"/>
        </w:rPr>
        <w:t>citam starptautiski atzītam, līdzvērtīgam testa standartam.</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Ja notekūdeņu attīrīšanas iekārta ir pārbaudīta krastā, sākotnējā apskatē jāiekļauj notekūdeņu attīrīšanas iekārtas uzstādīšana un palaišana.</w:t>
      </w:r>
    </w:p>
    <w:p w:rsidR="00833CA0" w:rsidRPr="00E946CA" w:rsidRDefault="00833CA0" w:rsidP="00E946CA">
      <w:pPr>
        <w:jc w:val="both"/>
        <w:rPr>
          <w:rFonts w:ascii="Times New Roman" w:eastAsia="Arial" w:hAnsi="Times New Roman" w:cs="Times New Roman"/>
          <w:noProof/>
          <w:sz w:val="24"/>
          <w:szCs w:val="21"/>
        </w:rPr>
      </w:pPr>
    </w:p>
    <w:p w:rsidR="00833CA0" w:rsidRPr="004C7D43" w:rsidRDefault="00833CA0" w:rsidP="00E946CA">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Komitejai tās sešdesmit septītajā sesijā (2014. gada otrā puse) ir jāpārskata</w:t>
      </w:r>
      <w:r w:rsidR="004C7D43">
        <w:rPr>
          <w:rFonts w:ascii="Times New Roman" w:hAnsi="Times New Roman" w:cs="Times New Roman"/>
          <w:noProof/>
          <w:sz w:val="24"/>
        </w:rPr>
        <w:t xml:space="preserve"> </w:t>
      </w:r>
      <w:r w:rsidRPr="004C7D43">
        <w:rPr>
          <w:rFonts w:ascii="Times New Roman" w:hAnsi="Times New Roman"/>
          <w:noProof/>
          <w:sz w:val="24"/>
        </w:rPr>
        <w:t>Vadlīniju 4.2.1. punktā minētie slāpekļa un fosfora atdalīšanas standarti, lai noteiktu, vai tās notekūdeņu attīrīšanas iekārtas, kam ir tipa apstiprinājumi, vai sistēmas, kas pašlaik tiek projektētas, atbilst slāpekļa un fosfora atdalīšanas standartu prasībām, ņemot vērā uz kuģa un krastā veikto pārbaužu rezultātus saskaņā ar 2012. gada Vadlīniju 5. punktu.</w:t>
      </w:r>
      <w:r w:rsidR="004C7D43">
        <w:rPr>
          <w:rFonts w:ascii="Times New Roman" w:hAnsi="Times New Roman"/>
          <w:noProof/>
          <w:sz w:val="24"/>
        </w:rPr>
        <w:t xml:space="preserve"> </w:t>
      </w:r>
      <w:r w:rsidRPr="004C7D43">
        <w:rPr>
          <w:rFonts w:ascii="Times New Roman" w:hAnsi="Times New Roman"/>
          <w:noProof/>
          <w:sz w:val="24"/>
        </w:rPr>
        <w:t xml:space="preserve">Lai to paveiktu, Komiteja </w:t>
      </w:r>
      <w:r w:rsidRPr="004C7D43">
        <w:rPr>
          <w:rFonts w:ascii="Times New Roman" w:hAnsi="Times New Roman"/>
          <w:i/>
          <w:noProof/>
          <w:sz w:val="24"/>
        </w:rPr>
        <w:t>MEPC</w:t>
      </w:r>
      <w:r w:rsidRPr="004C7D43">
        <w:rPr>
          <w:rFonts w:ascii="Times New Roman" w:hAnsi="Times New Roman"/>
          <w:noProof/>
          <w:sz w:val="24"/>
        </w:rPr>
        <w:t xml:space="preserve"> 67 sesijā nolēma izveidot pārskatīšanas darba grupu.</w:t>
      </w:r>
    </w:p>
    <w:p w:rsidR="00833CA0" w:rsidRPr="00E946CA" w:rsidRDefault="00833CA0" w:rsidP="00E946CA">
      <w:pPr>
        <w:jc w:val="both"/>
        <w:rPr>
          <w:rFonts w:ascii="Times New Roman" w:eastAsia="Arial" w:hAnsi="Times New Roman" w:cs="Times New Roman"/>
          <w:noProof/>
          <w:sz w:val="24"/>
          <w:szCs w:val="21"/>
        </w:rPr>
      </w:pPr>
    </w:p>
    <w:p w:rsidR="00833CA0" w:rsidRPr="00E946CA" w:rsidRDefault="00833CA0" w:rsidP="004C7D43">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Komitejai, pamatojoties uz pārskatīšanas darba grupas sniegto informāciju, ir jālemj, vai kuģiem ir iespējams nodrošināt atbilstību 4.2.1. punktā minētajiem standartiem 1.2.3. punktā noteiktajos datumos.</w:t>
      </w:r>
      <w:r w:rsidR="004C7D43">
        <w:rPr>
          <w:rFonts w:ascii="Times New Roman" w:hAnsi="Times New Roman"/>
          <w:noProof/>
          <w:sz w:val="24"/>
        </w:rPr>
        <w:t xml:space="preserve"> </w:t>
      </w:r>
      <w:r w:rsidRPr="00E946CA">
        <w:rPr>
          <w:rFonts w:ascii="Times New Roman" w:hAnsi="Times New Roman"/>
          <w:noProof/>
          <w:sz w:val="24"/>
        </w:rPr>
        <w:t>Ja tiek pieņemts lēmums, ka tas kuģiem nav iespējams vai lietderīgi, ir atbilstoši jāgroza Vadlīnijas.</w:t>
      </w:r>
    </w:p>
    <w:p w:rsidR="00833CA0" w:rsidRPr="00E946CA" w:rsidRDefault="00833CA0" w:rsidP="00E946CA">
      <w:pPr>
        <w:jc w:val="both"/>
        <w:rPr>
          <w:rFonts w:ascii="Times New Roman" w:eastAsia="Arial" w:hAnsi="Times New Roman" w:cs="Times New Roman"/>
          <w:noProof/>
          <w:sz w:val="24"/>
        </w:rPr>
      </w:pPr>
    </w:p>
    <w:p w:rsidR="00833CA0" w:rsidRPr="004C7D43" w:rsidRDefault="00833CA0" w:rsidP="004C7D43">
      <w:pPr>
        <w:pStyle w:val="ListParagraph"/>
        <w:numPr>
          <w:ilvl w:val="0"/>
          <w:numId w:val="14"/>
        </w:numPr>
        <w:tabs>
          <w:tab w:val="left" w:pos="709"/>
        </w:tabs>
        <w:ind w:left="0" w:firstLine="0"/>
        <w:jc w:val="both"/>
        <w:rPr>
          <w:rFonts w:ascii="Times New Roman" w:hAnsi="Times New Roman" w:cs="Times New Roman"/>
          <w:b/>
          <w:noProof/>
          <w:sz w:val="24"/>
        </w:rPr>
      </w:pPr>
      <w:r w:rsidRPr="004C7D43">
        <w:rPr>
          <w:rFonts w:ascii="Times New Roman" w:hAnsi="Times New Roman"/>
          <w:b/>
          <w:noProof/>
          <w:sz w:val="24"/>
        </w:rPr>
        <w:t>APSVĒRUMI PĀRBAUŽU VEIKŠANAI</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4C7D43">
      <w:pPr>
        <w:pStyle w:val="BodyText"/>
        <w:numPr>
          <w:ilvl w:val="1"/>
          <w:numId w:val="1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Notekūdeņu attīrīšanas iekārtas ekspluatācijas veiktspējas pārbaudes jāveic saskaņā ar turpmākajiem apakšpunktiem.</w:t>
      </w:r>
      <w:r w:rsidR="004C7D43">
        <w:rPr>
          <w:rFonts w:ascii="Times New Roman" w:hAnsi="Times New Roman"/>
          <w:noProof/>
          <w:sz w:val="24"/>
        </w:rPr>
        <w:t xml:space="preserve"> </w:t>
      </w:r>
      <w:r w:rsidRPr="00E946CA">
        <w:rPr>
          <w:rFonts w:ascii="Times New Roman" w:hAnsi="Times New Roman"/>
          <w:noProof/>
          <w:sz w:val="24"/>
        </w:rPr>
        <w:t>Ja vien nav norādīts citādi, šie apakšpunkti attiecas gan uz pārbaudēm, ko veic uz kuģiem, gan uz pārbaudēm, ko veic krastā.</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Heading1"/>
        <w:numPr>
          <w:ilvl w:val="1"/>
          <w:numId w:val="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Neattīrītu notekūdeņu īpašības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4C7D43" w:rsidP="004C7D43">
      <w:pPr>
        <w:pStyle w:val="BodyText"/>
        <w:tabs>
          <w:tab w:val="left" w:pos="709"/>
        </w:tabs>
        <w:ind w:left="0"/>
        <w:jc w:val="both"/>
        <w:rPr>
          <w:rFonts w:ascii="Times New Roman" w:hAnsi="Times New Roman" w:cs="Times New Roman"/>
          <w:noProof/>
          <w:sz w:val="24"/>
        </w:rPr>
      </w:pPr>
      <w:r>
        <w:rPr>
          <w:rFonts w:ascii="Times New Roman" w:hAnsi="Times New Roman"/>
          <w:noProof/>
          <w:sz w:val="24"/>
        </w:rPr>
        <w:t>5.2.1.</w:t>
      </w:r>
      <w:r>
        <w:rPr>
          <w:rFonts w:ascii="Times New Roman" w:hAnsi="Times New Roman"/>
          <w:noProof/>
          <w:sz w:val="24"/>
        </w:rPr>
        <w:tab/>
      </w:r>
      <w:r w:rsidR="00833CA0" w:rsidRPr="00E946CA">
        <w:rPr>
          <w:rFonts w:ascii="Times New Roman" w:hAnsi="Times New Roman"/>
          <w:noProof/>
          <w:sz w:val="24"/>
        </w:rPr>
        <w:t>Ja notekūdeņu attīrīšanas iekārtas pārbaude notiek krastā, ieplūdei jābūt svaigiem notekūdeņiem, kas sastāv no fekālijām, urīna, tualetes papīra un noskalošanas ūdens, kam pārbaudes vajadzībām ir pievienoti sākotnējie notekūdeņu nosēdumi, kas nepieciešami, lai iegūtu minimālo kopējo suspendēto cieto vielu daudzuma koncentrāciju, kura ir atbilstoša tam cilvēku skaitam un hidrauliskajai slodzei, kurai attiecīgā notekūdeņu attīrīšanas iekārta tiks sertificēta.</w:t>
      </w:r>
      <w:r>
        <w:rPr>
          <w:rFonts w:ascii="Times New Roman" w:hAnsi="Times New Roman"/>
          <w:noProof/>
          <w:sz w:val="24"/>
        </w:rPr>
        <w:t xml:space="preserve"> </w:t>
      </w:r>
      <w:r w:rsidR="00833CA0" w:rsidRPr="00E946CA">
        <w:rPr>
          <w:rFonts w:ascii="Times New Roman" w:hAnsi="Times New Roman"/>
          <w:noProof/>
          <w:sz w:val="24"/>
        </w:rPr>
        <w:t>Veicot pārbaudi, ir jāņem vērā sistēmas tips (piemēram, vakuuma vai gravitātes tualetes sistēma) un visu veidu ūdeņi un pelēkie ūdeņi, ko var pievienot kanalizācijas noskalošanai pirms attīrīšanas.</w:t>
      </w:r>
      <w:r>
        <w:rPr>
          <w:rFonts w:ascii="Times New Roman" w:hAnsi="Times New Roman"/>
          <w:noProof/>
          <w:sz w:val="24"/>
        </w:rPr>
        <w:t xml:space="preserve"> </w:t>
      </w:r>
      <w:r w:rsidR="00833CA0" w:rsidRPr="00E946CA">
        <w:rPr>
          <w:rFonts w:ascii="Times New Roman" w:hAnsi="Times New Roman"/>
          <w:noProof/>
          <w:sz w:val="24"/>
        </w:rPr>
        <w:t>Jebkurā gadījumā kopējo suspendēto cieto vielu daudzuma koncentrācija ieplūdē nedrīkst būt mazāka kā 500 mg/l.</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2"/>
          <w:numId w:val="22"/>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Ja notekūdeņu attīrīšanas iekārtas tiek pārbaudītas uz kuģiem, ieplūdei jāsastāv no notekūdeņiem, kas radīti parastos ekspluatācijas apstākļos.</w:t>
      </w:r>
      <w:r w:rsidR="004C7D43">
        <w:rPr>
          <w:rFonts w:ascii="Times New Roman" w:hAnsi="Times New Roman"/>
          <w:noProof/>
          <w:sz w:val="24"/>
        </w:rPr>
        <w:t xml:space="preserve"> </w:t>
      </w:r>
      <w:r w:rsidRPr="00E946CA">
        <w:rPr>
          <w:rFonts w:ascii="Times New Roman" w:hAnsi="Times New Roman"/>
          <w:noProof/>
          <w:sz w:val="24"/>
        </w:rPr>
        <w:t>Jebkurā gadījumā vidējā kopējo suspendēto cieto vielu daudzuma koncentrācija ieplūdē nedrīkst būt mazāka kā 500 mg/l.</w:t>
      </w:r>
    </w:p>
    <w:p w:rsidR="00833CA0" w:rsidRPr="00E946CA" w:rsidRDefault="00833CA0" w:rsidP="00E946CA">
      <w:pPr>
        <w:jc w:val="both"/>
        <w:rPr>
          <w:rFonts w:ascii="Times New Roman" w:eastAsia="Arial" w:hAnsi="Times New Roman" w:cs="Times New Roman"/>
          <w:noProof/>
          <w:sz w:val="24"/>
          <w:szCs w:val="32"/>
        </w:rPr>
      </w:pPr>
    </w:p>
    <w:p w:rsidR="00833CA0" w:rsidRPr="00E946CA" w:rsidRDefault="00833CA0" w:rsidP="004C7D43">
      <w:pPr>
        <w:pStyle w:val="BodyText"/>
        <w:numPr>
          <w:ilvl w:val="2"/>
          <w:numId w:val="22"/>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Ieplūde ir jāizvērtē, pirms tā ir atšķaidīta ar atplūdes šķidrumu, mazgāšanas ūdeni, recirkulācijas šķidrumu u. c. šķidrumu, ko radījusi notekūdeņu attīrīšanas iekārta.</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Heading1"/>
        <w:numPr>
          <w:ilvl w:val="1"/>
          <w:numId w:val="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Pārbaudes ilgums un laiks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Pārbaudes ilgumam jābūt vismaz 10 dienas, un pārbaude jāplāno tā, lai tā aptvertu parastus ekspluatācijas apstākļus, ņemot vērā sistēmas tipu un to cilvēku skaitu un hidraulisko slodzi, atbilstoši kurai iekārtai tiks veikta tipa apstiprināšana.</w:t>
      </w:r>
      <w:r w:rsidR="004C7D43">
        <w:rPr>
          <w:rFonts w:ascii="Times New Roman" w:hAnsi="Times New Roman"/>
          <w:noProof/>
          <w:sz w:val="24"/>
        </w:rPr>
        <w:t xml:space="preserve"> </w:t>
      </w:r>
      <w:r w:rsidRPr="00E946CA">
        <w:rPr>
          <w:rFonts w:ascii="Times New Roman" w:hAnsi="Times New Roman"/>
          <w:noProof/>
          <w:sz w:val="24"/>
        </w:rPr>
        <w:t>Tā kā sistēmām ir nepieciešams stabilizācijas periods, pārbaude jāsāk pēc tam, kad pārbaudāmajā notekūdeņu attīrīšanas iekārtā ir sasniegti stabili apstākļi.</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Heading1"/>
        <w:numPr>
          <w:ilvl w:val="1"/>
          <w:numId w:val="4"/>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Slodzes koeficienti</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4C7D43">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Pārbaudes perioda laikā notekūdeņu attīrīšanas iekārta ir jāpārbauda minimālās, vidējās un maksimālās volumetriskās slodzes apstākļos: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0"/>
          <w:numId w:val="2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ja pārbaude notiek krastā, šīm slodzēm jāatbilst ražotāja specifikācijā noteiktajām slodzēm.</w:t>
      </w:r>
      <w:r w:rsidR="004C7D43">
        <w:rPr>
          <w:rFonts w:ascii="Times New Roman" w:hAnsi="Times New Roman"/>
          <w:noProof/>
          <w:sz w:val="24"/>
        </w:rPr>
        <w:t xml:space="preserve"> </w:t>
      </w:r>
      <w:r w:rsidRPr="00E946CA">
        <w:rPr>
          <w:rFonts w:ascii="Times New Roman" w:hAnsi="Times New Roman"/>
          <w:noProof/>
          <w:sz w:val="24"/>
        </w:rPr>
        <w:t>2. attēlā ir norādīti ieteicamie laiki parauga paņemšanai katra slodzes koeficienta gadījumā; un</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0"/>
          <w:numId w:val="24"/>
        </w:numPr>
        <w:tabs>
          <w:tab w:val="left" w:pos="1842"/>
        </w:tabs>
        <w:ind w:left="1276" w:hanging="567"/>
        <w:jc w:val="both"/>
        <w:rPr>
          <w:rFonts w:ascii="Times New Roman" w:hAnsi="Times New Roman" w:cs="Times New Roman"/>
          <w:noProof/>
          <w:sz w:val="24"/>
        </w:rPr>
      </w:pPr>
      <w:r w:rsidRPr="00E946CA">
        <w:rPr>
          <w:rFonts w:ascii="Times New Roman" w:hAnsi="Times New Roman"/>
          <w:noProof/>
          <w:sz w:val="24"/>
        </w:rPr>
        <w:t>ja pārbaude notiek uz kuģa, minimālajai slodzei ir jāatbilst to cilvēku skaitam, kas ir uz kuģa, kad tas atrodas ostā, un vidējai un maksimālajai slodzei jāatbilst to cilvēku skaitam, kas atrodas uz kuģa, kad tas ir jūrā, un ir jāņem vērā ēdienreižu laiki un sardzes maiņas.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Administrācijai jāapņemas novērtēt notekūdeņu attīrīšanas iekārtas spēju radīt tādu izplūdi, kas atbilstu 4. punktā paredzētajiem standartiem minimālas, vidējas un maksimālas volumetriskās slodzes gadījumā.</w:t>
      </w:r>
      <w:r w:rsidR="004C7D43">
        <w:rPr>
          <w:rFonts w:ascii="Times New Roman" w:hAnsi="Times New Roman"/>
          <w:noProof/>
          <w:sz w:val="24"/>
        </w:rPr>
        <w:t xml:space="preserve"> </w:t>
      </w:r>
      <w:r w:rsidRPr="00E946CA">
        <w:rPr>
          <w:rFonts w:ascii="Times New Roman" w:hAnsi="Times New Roman"/>
          <w:noProof/>
          <w:sz w:val="24"/>
        </w:rPr>
        <w:t>Tipa apstiprinājuma apliecībā ir jāreģistrē visi tie apstākļi, kādos ir konstatēta atbilstība izplūdes standartiem.</w:t>
      </w:r>
      <w:r w:rsidR="004C7D43">
        <w:rPr>
          <w:rFonts w:ascii="Times New Roman" w:hAnsi="Times New Roman"/>
          <w:noProof/>
          <w:sz w:val="24"/>
        </w:rPr>
        <w:t xml:space="preserve"> </w:t>
      </w:r>
      <w:r w:rsidRPr="00E946CA">
        <w:rPr>
          <w:rFonts w:ascii="Times New Roman" w:hAnsi="Times New Roman"/>
          <w:noProof/>
          <w:sz w:val="24"/>
        </w:rPr>
        <w:t>Tipa apstiprinājuma apliecības veidlapa un tās papildinājums ir iekļauts šo Vadlīniju pielikumā.</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4C7D43">
      <w:pPr>
        <w:pStyle w:val="Heading1"/>
        <w:numPr>
          <w:ilvl w:val="1"/>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Paraugu ņemšanas metodes un biežums</w:t>
      </w:r>
    </w:p>
    <w:p w:rsidR="00833CA0" w:rsidRPr="00E946CA" w:rsidRDefault="00833CA0" w:rsidP="00E946CA">
      <w:pPr>
        <w:jc w:val="both"/>
        <w:rPr>
          <w:rFonts w:ascii="Times New Roman" w:eastAsia="Arial" w:hAnsi="Times New Roman" w:cs="Times New Roman"/>
          <w:b/>
          <w:bCs/>
          <w:noProof/>
          <w:sz w:val="24"/>
          <w:szCs w:val="21"/>
        </w:rPr>
      </w:pPr>
    </w:p>
    <w:p w:rsidR="00833CA0" w:rsidRPr="004C7D43" w:rsidRDefault="00833CA0" w:rsidP="004C7D43">
      <w:pPr>
        <w:pStyle w:val="BodyText"/>
        <w:numPr>
          <w:ilvl w:val="2"/>
          <w:numId w:val="23"/>
        </w:numPr>
        <w:tabs>
          <w:tab w:val="left" w:pos="709"/>
        </w:tabs>
        <w:ind w:left="0" w:firstLine="0"/>
        <w:jc w:val="both"/>
        <w:rPr>
          <w:rFonts w:ascii="Times New Roman" w:hAnsi="Times New Roman"/>
          <w:noProof/>
          <w:sz w:val="24"/>
        </w:rPr>
      </w:pPr>
      <w:r w:rsidRPr="00E946CA">
        <w:rPr>
          <w:rFonts w:ascii="Times New Roman" w:hAnsi="Times New Roman"/>
          <w:noProof/>
          <w:sz w:val="24"/>
        </w:rPr>
        <w:t>Administrācijām ir jānodrošina, lai notekūdeņu attīrīšanas iekārta tiktu uzstādīta tā, lai atvieglotu paraugu ņemšanu; sk. 1. attēlu.</w:t>
      </w:r>
      <w:r w:rsidR="004C7D43">
        <w:rPr>
          <w:rFonts w:ascii="Times New Roman" w:hAnsi="Times New Roman"/>
          <w:noProof/>
          <w:sz w:val="24"/>
        </w:rPr>
        <w:t xml:space="preserve"> </w:t>
      </w:r>
      <w:r w:rsidRPr="00E946CA">
        <w:rPr>
          <w:rFonts w:ascii="Times New Roman" w:hAnsi="Times New Roman"/>
          <w:noProof/>
          <w:sz w:val="24"/>
        </w:rPr>
        <w:t>Paraugi jāņem tādā veidā un biežumā, kas atainotu izplūdes kvalitāti. Lai gan 2. attēlā ir norādīts ieteicamais paraugu ņemšanas biežums, ir jāņem vērā notekūdeņu atrašanās laiks notekūdeņu</w:t>
      </w:r>
      <w:r w:rsidR="004C7D43">
        <w:rPr>
          <w:rFonts w:ascii="Times New Roman" w:hAnsi="Times New Roman"/>
          <w:noProof/>
          <w:sz w:val="24"/>
        </w:rPr>
        <w:t xml:space="preserve"> </w:t>
      </w:r>
      <w:r w:rsidRPr="004C7D43">
        <w:rPr>
          <w:rFonts w:ascii="Times New Roman" w:hAnsi="Times New Roman"/>
          <w:noProof/>
          <w:sz w:val="24"/>
        </w:rPr>
        <w:t>attīrīšanas iekārtā.</w:t>
      </w:r>
      <w:r w:rsidR="004C7D43" w:rsidRPr="004C7D43">
        <w:rPr>
          <w:rFonts w:ascii="Times New Roman" w:hAnsi="Times New Roman"/>
          <w:noProof/>
          <w:sz w:val="24"/>
        </w:rPr>
        <w:t xml:space="preserve"> </w:t>
      </w:r>
      <w:r w:rsidRPr="004C7D43">
        <w:rPr>
          <w:rFonts w:ascii="Times New Roman" w:hAnsi="Times New Roman"/>
          <w:noProof/>
          <w:sz w:val="24"/>
        </w:rPr>
        <w:t>Ir jāsavāc vismaz 40 izplūdes paraugi, lai būtu iespējams veikt pārbaudes datu statistisko analīzi (piemēram, noteikt vidējo ģeometrisko vērtību, maksimālo un minimālo vērtību un neatbilstības).</w:t>
      </w:r>
    </w:p>
    <w:p w:rsidR="00833CA0" w:rsidRPr="00E946CA" w:rsidRDefault="00833CA0" w:rsidP="004C7D43">
      <w:pPr>
        <w:tabs>
          <w:tab w:val="left" w:pos="709"/>
        </w:tabs>
        <w:jc w:val="both"/>
        <w:rPr>
          <w:rFonts w:ascii="Times New Roman" w:eastAsia="Arial" w:hAnsi="Times New Roman" w:cs="Times New Roman"/>
          <w:noProof/>
          <w:sz w:val="24"/>
        </w:rPr>
      </w:pPr>
    </w:p>
    <w:p w:rsidR="00833CA0" w:rsidRPr="004C7D43" w:rsidRDefault="00833CA0" w:rsidP="004C7D43">
      <w:pPr>
        <w:pStyle w:val="BodyText"/>
        <w:numPr>
          <w:ilvl w:val="2"/>
          <w:numId w:val="23"/>
        </w:numPr>
        <w:tabs>
          <w:tab w:val="left" w:pos="709"/>
          <w:tab w:val="left" w:pos="991"/>
        </w:tabs>
        <w:ind w:left="0" w:firstLine="0"/>
        <w:jc w:val="both"/>
        <w:rPr>
          <w:rFonts w:ascii="Times New Roman" w:hAnsi="Times New Roman"/>
          <w:noProof/>
          <w:sz w:val="24"/>
        </w:rPr>
      </w:pPr>
      <w:r w:rsidRPr="00E946CA">
        <w:rPr>
          <w:rFonts w:ascii="Times New Roman" w:hAnsi="Times New Roman"/>
          <w:noProof/>
          <w:sz w:val="24"/>
        </w:rPr>
        <w:t>Ieplūdes paraugu ņemšanas vietai ir jāatrodas pirms vietas, kur ieplūdei tiek pievienots notekūdeņu attīrīšanas iekārtas atplūdes šķidrums, mazgāšanas ūdens vai recirkulācijas šķidrums.</w:t>
      </w:r>
      <w:r w:rsidR="004C7D43">
        <w:rPr>
          <w:rFonts w:ascii="Times New Roman" w:hAnsi="Times New Roman"/>
          <w:noProof/>
          <w:sz w:val="24"/>
        </w:rPr>
        <w:t xml:space="preserve"> </w:t>
      </w:r>
      <w:r w:rsidRPr="00E946CA">
        <w:rPr>
          <w:rFonts w:ascii="Times New Roman" w:hAnsi="Times New Roman"/>
          <w:noProof/>
          <w:sz w:val="24"/>
        </w:rPr>
        <w:t>Ja uz kuģa šāda paraugu ņemšanas vieta nav viegli pieejama, ir jāizmēra šajā notekūdeņu attīrīšanas iekārtā attīrīto šķidrumu, radītā mazgāšanas ūdens vai</w:t>
      </w:r>
      <w:r w:rsidR="004C7D43">
        <w:rPr>
          <w:rFonts w:ascii="Times New Roman" w:hAnsi="Times New Roman"/>
          <w:noProof/>
          <w:sz w:val="24"/>
        </w:rPr>
        <w:t xml:space="preserve"> </w:t>
      </w:r>
      <w:r w:rsidRPr="004C7D43">
        <w:rPr>
          <w:rFonts w:ascii="Times New Roman" w:hAnsi="Times New Roman"/>
          <w:noProof/>
          <w:sz w:val="24"/>
        </w:rPr>
        <w:t>atplūdes ūdens plūsmas un koncentrācijas, lai šo slodzi varētu atņemt no ieplūdes slodzes.</w:t>
      </w:r>
    </w:p>
    <w:p w:rsidR="00833CA0" w:rsidRPr="00E946CA" w:rsidRDefault="00833CA0" w:rsidP="004C7D43">
      <w:pPr>
        <w:tabs>
          <w:tab w:val="left" w:pos="709"/>
        </w:tabs>
        <w:jc w:val="both"/>
        <w:rPr>
          <w:rFonts w:ascii="Times New Roman" w:eastAsia="Arial" w:hAnsi="Times New Roman" w:cs="Times New Roman"/>
          <w:noProof/>
          <w:sz w:val="24"/>
        </w:rPr>
      </w:pPr>
    </w:p>
    <w:p w:rsidR="00833CA0" w:rsidRPr="00E946CA" w:rsidRDefault="00833CA0" w:rsidP="004C7D43">
      <w:pPr>
        <w:pStyle w:val="BodyText"/>
        <w:numPr>
          <w:ilvl w:val="2"/>
          <w:numId w:val="23"/>
        </w:numPr>
        <w:tabs>
          <w:tab w:val="left" w:pos="709"/>
          <w:tab w:val="left" w:pos="991"/>
        </w:tabs>
        <w:ind w:left="0" w:firstLine="0"/>
        <w:jc w:val="both"/>
        <w:rPr>
          <w:rFonts w:ascii="Times New Roman" w:hAnsi="Times New Roman" w:cs="Times New Roman"/>
          <w:noProof/>
          <w:sz w:val="24"/>
        </w:rPr>
      </w:pPr>
      <w:r w:rsidRPr="00E946CA">
        <w:rPr>
          <w:rFonts w:ascii="Times New Roman" w:hAnsi="Times New Roman"/>
          <w:noProof/>
          <w:sz w:val="24"/>
        </w:rPr>
        <w:t>Lai nodrošinātu atbilstību 4. punktam, katram paņemtajam izplūdes paraugam ir jāpaņem un jāizanalizē atbilstošs ieplūdes paraugs.</w:t>
      </w:r>
      <w:r w:rsidR="004C7D43">
        <w:rPr>
          <w:rFonts w:ascii="Times New Roman" w:hAnsi="Times New Roman"/>
          <w:noProof/>
          <w:sz w:val="24"/>
        </w:rPr>
        <w:t xml:space="preserve"> </w:t>
      </w:r>
      <w:r w:rsidRPr="00E946CA">
        <w:rPr>
          <w:rFonts w:ascii="Times New Roman" w:hAnsi="Times New Roman"/>
          <w:noProof/>
          <w:sz w:val="24"/>
        </w:rPr>
        <w:t>Ja iespējams, ir jāpaņem papildu ieplūdes un izplūdes paraugi, lai būtu rezerve pieļaujamās kļūdas gadījumā.</w:t>
      </w:r>
      <w:r w:rsidR="004C7D43">
        <w:rPr>
          <w:rFonts w:ascii="Times New Roman" w:hAnsi="Times New Roman"/>
          <w:noProof/>
          <w:sz w:val="24"/>
        </w:rPr>
        <w:t xml:space="preserve"> </w:t>
      </w:r>
      <w:r w:rsidRPr="00E946CA">
        <w:rPr>
          <w:rFonts w:ascii="Times New Roman" w:hAnsi="Times New Roman"/>
          <w:noProof/>
          <w:sz w:val="24"/>
        </w:rPr>
        <w:t>Paraugi līdz analīžu veikšanai ir atbilstoši jāglabā, jo īpaši, ja ir jāpaiet ilgākam laikam no paraugu savākšanas līdz analīzei vai arī ja ir augsta vides temperatūra.</w:t>
      </w:r>
    </w:p>
    <w:p w:rsidR="00833CA0" w:rsidRPr="00E946CA" w:rsidRDefault="00833CA0" w:rsidP="004C7D43">
      <w:pPr>
        <w:tabs>
          <w:tab w:val="left" w:pos="709"/>
        </w:tabs>
        <w:jc w:val="both"/>
        <w:rPr>
          <w:rFonts w:ascii="Times New Roman" w:eastAsia="Arial" w:hAnsi="Times New Roman" w:cs="Times New Roman"/>
          <w:noProof/>
          <w:sz w:val="24"/>
        </w:rPr>
      </w:pPr>
    </w:p>
    <w:p w:rsidR="00833CA0" w:rsidRPr="00E946CA" w:rsidRDefault="00833CA0" w:rsidP="004C7D43">
      <w:pPr>
        <w:pStyle w:val="BodyText"/>
        <w:numPr>
          <w:ilvl w:val="2"/>
          <w:numId w:val="23"/>
        </w:numPr>
        <w:tabs>
          <w:tab w:val="left" w:pos="709"/>
          <w:tab w:val="left" w:pos="991"/>
        </w:tabs>
        <w:ind w:left="0" w:firstLine="0"/>
        <w:jc w:val="both"/>
        <w:rPr>
          <w:rFonts w:ascii="Times New Roman" w:hAnsi="Times New Roman" w:cs="Times New Roman"/>
          <w:noProof/>
          <w:sz w:val="24"/>
        </w:rPr>
      </w:pPr>
      <w:r w:rsidRPr="00E946CA">
        <w:rPr>
          <w:rFonts w:ascii="Times New Roman" w:hAnsi="Times New Roman"/>
          <w:noProof/>
          <w:sz w:val="24"/>
        </w:rPr>
        <w:t>Lai novērstu realitātei neatbilstošu baktēriju iznīcināšanu vai organiskā materiāla ķīmisku oksidēšanu ar dezinficējošām vielām, kas notiek, paraugam pārāk ilgi saskaroties ar tām, ir jāneitralizē dezinficējošās vielas atlikums paraugos, kad tie ir ievākti.</w:t>
      </w:r>
      <w:r w:rsidR="004C7D43">
        <w:rPr>
          <w:rFonts w:ascii="Times New Roman" w:hAnsi="Times New Roman"/>
          <w:noProof/>
          <w:sz w:val="24"/>
        </w:rPr>
        <w:t xml:space="preserve"> </w:t>
      </w:r>
      <w:r w:rsidRPr="00E946CA">
        <w:rPr>
          <w:rFonts w:ascii="Times New Roman" w:hAnsi="Times New Roman"/>
          <w:noProof/>
          <w:sz w:val="24"/>
        </w:rPr>
        <w:t>Pirms neitralizēšanas ir jānosaka hlora (ja ir lietots) koncentrācija un pH līmenis.</w:t>
      </w:r>
    </w:p>
    <w:p w:rsidR="00833CA0" w:rsidRPr="00E946CA" w:rsidRDefault="00833CA0" w:rsidP="00E946CA">
      <w:pPr>
        <w:pStyle w:val="BodyText"/>
        <w:tabs>
          <w:tab w:val="left" w:pos="991"/>
        </w:tabs>
        <w:ind w:left="0"/>
        <w:jc w:val="both"/>
        <w:rPr>
          <w:rFonts w:ascii="Times New Roman" w:hAnsi="Times New Roman" w:cs="Times New Roman"/>
          <w:noProof/>
          <w:sz w:val="24"/>
        </w:rPr>
      </w:pPr>
    </w:p>
    <w:p w:rsidR="00833CA0" w:rsidRPr="00E946CA" w:rsidRDefault="00B13BB6" w:rsidP="00B13BB6">
      <w:pPr>
        <w:jc w:val="center"/>
        <w:rPr>
          <w:rFonts w:ascii="Times New Roman" w:eastAsia="Arial" w:hAnsi="Times New Roman" w:cs="Times New Roman"/>
          <w:noProof/>
          <w:sz w:val="24"/>
        </w:rPr>
      </w:pPr>
      <w:r w:rsidRPr="00645DD7">
        <w:rPr>
          <w:rFonts w:ascii="Times New Roman" w:eastAsia="Arial" w:hAnsi="Times New Roman" w:cs="Times New Roman"/>
          <w:noProof/>
          <w:sz w:val="24"/>
          <w:lang w:bidi="ar-SA"/>
        </w:rPr>
        <w:drawing>
          <wp:inline distT="0" distB="0" distL="0" distR="0" wp14:anchorId="522509F6" wp14:editId="71FC0678">
            <wp:extent cx="4410449" cy="2626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5090" cy="2658778"/>
                    </a:xfrm>
                    <a:prstGeom prst="rect">
                      <a:avLst/>
                    </a:prstGeom>
                    <a:noFill/>
                    <a:ln>
                      <a:noFill/>
                    </a:ln>
                  </pic:spPr>
                </pic:pic>
              </a:graphicData>
            </a:graphic>
          </wp:inline>
        </w:drawing>
      </w:r>
    </w:p>
    <w:p w:rsidR="00833CA0" w:rsidRPr="00E946CA" w:rsidRDefault="00833CA0" w:rsidP="00E946CA">
      <w:pPr>
        <w:jc w:val="both"/>
        <w:rPr>
          <w:rFonts w:ascii="Times New Roman" w:eastAsia="Arial" w:hAnsi="Times New Roman" w:cs="Times New Roman"/>
          <w:noProof/>
          <w:sz w:val="24"/>
          <w:szCs w:val="20"/>
        </w:rPr>
      </w:pPr>
    </w:p>
    <w:p w:rsidR="00833CA0" w:rsidRPr="00E946CA" w:rsidRDefault="00833CA0" w:rsidP="00B13BB6">
      <w:pPr>
        <w:jc w:val="center"/>
        <w:rPr>
          <w:rFonts w:ascii="Times New Roman" w:hAnsi="Times New Roman" w:cs="Times New Roman"/>
          <w:b/>
          <w:noProof/>
          <w:sz w:val="24"/>
        </w:rPr>
      </w:pPr>
      <w:r w:rsidRPr="00E946CA">
        <w:rPr>
          <w:rFonts w:ascii="Times New Roman" w:hAnsi="Times New Roman"/>
          <w:b/>
          <w:noProof/>
          <w:sz w:val="24"/>
        </w:rPr>
        <w:t>2.attēls. Ieteicamie hidrauliskās slodzes koeficienti un paraugu ņemšanas biežums notekūdeņu attīrīšanas iekārtu pārbaužu veikšanai.</w:t>
      </w:r>
      <w:r w:rsidR="004C7D43">
        <w:rPr>
          <w:rFonts w:ascii="Times New Roman" w:hAnsi="Times New Roman"/>
          <w:b/>
          <w:noProof/>
          <w:sz w:val="24"/>
        </w:rPr>
        <w:t xml:space="preserve"> </w:t>
      </w:r>
      <w:r w:rsidRPr="00E946CA">
        <w:rPr>
          <w:rFonts w:ascii="Times New Roman" w:hAnsi="Times New Roman"/>
          <w:b/>
          <w:noProof/>
          <w:sz w:val="24"/>
        </w:rPr>
        <w:t>Vajadzības gadījumā šos datus var mainīt, lai ņemtu vērā atsevišķu notekūdeņu attīrīšanas iekārtu parametrus.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B13BB6">
      <w:pPr>
        <w:pStyle w:val="Heading1"/>
        <w:numPr>
          <w:ilvl w:val="1"/>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Izplūdes analītiskā pārbaude</w:t>
      </w:r>
    </w:p>
    <w:p w:rsidR="00833CA0" w:rsidRPr="00E946CA" w:rsidRDefault="00833CA0" w:rsidP="00E946CA">
      <w:pPr>
        <w:jc w:val="both"/>
        <w:rPr>
          <w:rFonts w:ascii="Times New Roman" w:eastAsia="Arial" w:hAnsi="Times New Roman" w:cs="Times New Roman"/>
          <w:b/>
          <w:bCs/>
          <w:noProof/>
          <w:sz w:val="24"/>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Administrācijai ir jāapsver arī citu, ne tikai obligāto parametru (termoizturīgās zarnu nūjiņas, kopējais suspendēto cieto vielu daudzums, BSP</w:t>
      </w:r>
      <w:r w:rsidRPr="00030855">
        <w:rPr>
          <w:rFonts w:ascii="Times New Roman" w:hAnsi="Times New Roman"/>
          <w:noProof/>
          <w:sz w:val="24"/>
          <w:vertAlign w:val="subscript"/>
        </w:rPr>
        <w:t>5</w:t>
      </w:r>
      <w:r w:rsidRPr="00E946CA">
        <w:rPr>
          <w:rFonts w:ascii="Times New Roman" w:hAnsi="Times New Roman"/>
          <w:noProof/>
          <w:sz w:val="24"/>
        </w:rPr>
        <w:t xml:space="preserve"> bez nitrifikācijas, ĶSP, pH līmenis un atlikusī hlora koncentrācija) reģistrēšana, paturot prātā tehnoloģiju attīstību nākotnē.</w:t>
      </w:r>
      <w:r w:rsidR="004C7D43">
        <w:rPr>
          <w:rFonts w:ascii="Times New Roman" w:hAnsi="Times New Roman"/>
          <w:noProof/>
          <w:sz w:val="24"/>
        </w:rPr>
        <w:t xml:space="preserve"> </w:t>
      </w:r>
      <w:r w:rsidRPr="00E946CA">
        <w:rPr>
          <w:rFonts w:ascii="Times New Roman" w:hAnsi="Times New Roman"/>
          <w:noProof/>
          <w:sz w:val="24"/>
        </w:rPr>
        <w:t>Šie parametri ietver kopējo cieto vielu daudzumu, gaistošo cieto vielu daudzumu, nogulsnējamo cieto vielu daudzumu, gaistošo suspendēto cieto vielu daudzumu, duļķainību, kopējo organiskā oglekļa daudzumu, kopējo zarnu nūjiņu un fekālo streptokoku daudzumu.</w:t>
      </w:r>
    </w:p>
    <w:p w:rsidR="00833CA0" w:rsidRPr="00E946CA" w:rsidRDefault="00833CA0" w:rsidP="00E946CA">
      <w:pPr>
        <w:jc w:val="both"/>
        <w:rPr>
          <w:rFonts w:ascii="Times New Roman" w:hAnsi="Times New Roman" w:cs="Times New Roman"/>
          <w:noProof/>
          <w:sz w:val="24"/>
        </w:rPr>
      </w:pPr>
    </w:p>
    <w:p w:rsidR="00833CA0" w:rsidRPr="00E946CA" w:rsidRDefault="00833CA0" w:rsidP="00B13BB6">
      <w:pPr>
        <w:pStyle w:val="Heading1"/>
        <w:numPr>
          <w:ilvl w:val="1"/>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Dezinficējošās vielas pārpalikumi</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Ir vispāratzīts, ka daudzu dezinficējošo vielu un blakusproduktu atlikumiem, piemēram, hlora vai tā savienojumu atlikumiem, var būt kaitīga ietekme uz vidi.</w:t>
      </w:r>
      <w:r w:rsidR="004C7D43">
        <w:rPr>
          <w:rFonts w:ascii="Times New Roman" w:hAnsi="Times New Roman"/>
          <w:noProof/>
          <w:sz w:val="24"/>
        </w:rPr>
        <w:t xml:space="preserve"> </w:t>
      </w:r>
      <w:r w:rsidRPr="00E946CA">
        <w:rPr>
          <w:rFonts w:ascii="Times New Roman" w:hAnsi="Times New Roman"/>
          <w:noProof/>
          <w:sz w:val="24"/>
        </w:rPr>
        <w:t>Tāpēc Administrācijām tiek ieteikts veicināt ozona, ultravioletā starojuma vai tādu citu dezinficēšanas līdzekļu lietošanu, kas līdz minimumam samazina kaitīgu ietekmi uz vidi, bet nodrošina termoizturīgo zarnu nūjiņu normas. Ja dezinficēšanai lieto hloru, Administrācijām ir jāpārliecinās, ka tiek izmantotas vislabākās tehniskās metodes, lai nodrošinātu, ka šīs dezinficējošās vielas atlikums izplūdē ir mazāks nekā 0,5 mg/l.</w:t>
      </w:r>
    </w:p>
    <w:p w:rsidR="00833CA0" w:rsidRPr="00E946CA" w:rsidRDefault="00833CA0" w:rsidP="00E946CA">
      <w:pPr>
        <w:jc w:val="both"/>
        <w:rPr>
          <w:rFonts w:ascii="Times New Roman" w:hAnsi="Times New Roman" w:cs="Times New Roman"/>
          <w:noProof/>
          <w:sz w:val="24"/>
        </w:rPr>
      </w:pPr>
    </w:p>
    <w:p w:rsidR="00833CA0" w:rsidRPr="00E946CA" w:rsidRDefault="00833CA0" w:rsidP="00B13BB6">
      <w:pPr>
        <w:pStyle w:val="Heading1"/>
        <w:numPr>
          <w:ilvl w:val="1"/>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Apsvērumi izmēriem</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Pārbaudēm ir pieņemamas tikai pilna izmēra jūras notekūdeņu attīrīšanas iekārtas. Administrācijas var apstiprināt vairāku izmēru iekārtas, kas visas darbojas, pamatojoties uz vieniem uz tiem pašiem principiem un tehnoloģiju, bet ir pienācīgi jāņem vērā veiktspējas ierobežojumi, kas var rasties samazinot vai palielinot iekārtas izmēru. Ļoti lielas, ļoti mazas vai unikāla projekta notekūdeņu attīrīšanas iekārtas var apstiprināt, pamatojoties uz prototipa pārbaužu rezultātiem. Ja iespējams, prototipa apstiprināšanas pārbaudes ir jāveic tad, kad šīs notekūdeņu attīrīšanas iekārtas ir galīgi uzstādītas.</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B13BB6">
      <w:pPr>
        <w:pStyle w:val="Heading1"/>
        <w:numPr>
          <w:ilvl w:val="1"/>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Notekūdeņu attīrīšanas iekārtu pārbaudes dažādos vides apstākļos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Administrācijai ir jānodrošina, lai notekūdeņu attīrīšanas iekārtas ir iespējams ekspluatēt apstākļos pie sasvēršanās, kas atbilstoši starptautiski atzītai praksei uz kuģa, nepārsniedz 22,5º jebkurā plaknē attiecībā pret parasto ekspluatācijas stāvokli.</w:t>
      </w:r>
    </w:p>
    <w:p w:rsidR="00833CA0" w:rsidRPr="00E946CA" w:rsidRDefault="00833CA0" w:rsidP="00B13BB6">
      <w:pPr>
        <w:tabs>
          <w:tab w:val="left" w:pos="709"/>
        </w:tabs>
        <w:jc w:val="both"/>
        <w:rPr>
          <w:rFonts w:ascii="Times New Roman" w:eastAsia="Arial" w:hAnsi="Times New Roman" w:cs="Times New Roman"/>
          <w:noProof/>
          <w:sz w:val="24"/>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Pārbaudes apliecības saņemšanai jāveic dažādā apkārtējā gaisa temperatūrā un ar dažāda sāļuma un temperatūras noskalošanas ūdeni atbilstoši ražotāja norādījumiem, un Administrācijai ir jāpārliecinās, ka šīs specifikācijas atbilst apstākļiem, kādos iekārtām ir jābūt ekspluatējamām.</w:t>
      </w:r>
    </w:p>
    <w:p w:rsidR="00833CA0" w:rsidRPr="00E946CA" w:rsidRDefault="00833CA0" w:rsidP="00B13BB6">
      <w:pPr>
        <w:tabs>
          <w:tab w:val="left" w:pos="709"/>
        </w:tabs>
        <w:jc w:val="both"/>
        <w:rPr>
          <w:rFonts w:ascii="Times New Roman" w:eastAsia="Arial" w:hAnsi="Times New Roman" w:cs="Times New Roman"/>
          <w:noProof/>
          <w:sz w:val="24"/>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Vadības un devēju komponenti ir jāpārbauda dažādos vides apstākļos, lai pārliecinātos, ka tie ir piemēroti izmantošanai jūrā.</w:t>
      </w:r>
      <w:r w:rsidR="004C7D43">
        <w:rPr>
          <w:rFonts w:ascii="Times New Roman" w:hAnsi="Times New Roman"/>
          <w:noProof/>
          <w:sz w:val="24"/>
        </w:rPr>
        <w:t xml:space="preserve"> </w:t>
      </w:r>
      <w:r w:rsidRPr="00E946CA">
        <w:rPr>
          <w:rFonts w:ascii="Times New Roman" w:hAnsi="Times New Roman"/>
          <w:noProof/>
          <w:sz w:val="24"/>
        </w:rPr>
        <w:t>Norādījumi par šo jomu ir sniegti Pārskatītajās vadlīnijās un specifikācijās kuģu piesārņojuma novēršanas aprīkojumam, kas paredzēts mašīntelpu satecēm (Rezolūcija MEPC.107(49)) pielikuma 3. daļas pārbaudes specifikāciju sadaļā.</w:t>
      </w:r>
    </w:p>
    <w:p w:rsidR="00833CA0" w:rsidRPr="00E946CA" w:rsidRDefault="00833CA0" w:rsidP="00B13BB6">
      <w:pPr>
        <w:tabs>
          <w:tab w:val="left" w:pos="709"/>
        </w:tabs>
        <w:jc w:val="both"/>
        <w:rPr>
          <w:rFonts w:ascii="Times New Roman" w:eastAsia="Arial" w:hAnsi="Times New Roman" w:cs="Times New Roman"/>
          <w:noProof/>
          <w:sz w:val="24"/>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Apliecībā ir jānorāda visi ekspluatācijas apstākļu ierobežojumi.</w:t>
      </w:r>
    </w:p>
    <w:p w:rsidR="00833CA0" w:rsidRPr="00E946CA" w:rsidRDefault="00833CA0" w:rsidP="00B13BB6">
      <w:pPr>
        <w:tabs>
          <w:tab w:val="left" w:pos="709"/>
        </w:tabs>
        <w:jc w:val="both"/>
        <w:rPr>
          <w:rFonts w:ascii="Times New Roman" w:eastAsia="Arial" w:hAnsi="Times New Roman" w:cs="Times New Roman"/>
          <w:noProof/>
          <w:sz w:val="24"/>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Administrācijai ir jāapsver arī prasības izvirzīšana ražotājam, saskaņā ar kuru ražotājam ekspluatācijas un tehniskās uzturēšanas rokasgrāmatās būtu jāiekļauj to ķīmisko vielu un materiālu saraksts, kas ir piemēroti izmantošanai notekūdeņu attīrīšanas iekārtas ekspluatācijā.</w:t>
      </w:r>
    </w:p>
    <w:p w:rsidR="00833CA0" w:rsidRPr="00E946CA" w:rsidRDefault="00833CA0" w:rsidP="00E946CA">
      <w:pPr>
        <w:jc w:val="both"/>
        <w:rPr>
          <w:rFonts w:ascii="Times New Roman" w:eastAsia="Arial" w:hAnsi="Times New Roman" w:cs="Times New Roman"/>
          <w:noProof/>
          <w:sz w:val="24"/>
        </w:rPr>
      </w:pPr>
    </w:p>
    <w:p w:rsidR="00833CA0" w:rsidRPr="00E946CA" w:rsidRDefault="00833CA0" w:rsidP="00B13BB6">
      <w:pPr>
        <w:pStyle w:val="Heading1"/>
        <w:numPr>
          <w:ilvl w:val="1"/>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Citi apsvērumi</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Notekūdeņu attīrīšanas iekārtas tips un modelis un ražotāja nosaukums ir jānorāda uz izturīgas etiķetes, kas cieši piestiprināta tieši uz notekūdeņu attīrīšanas iekārtas.</w:t>
      </w:r>
      <w:r w:rsidR="004C7D43">
        <w:rPr>
          <w:rFonts w:ascii="Times New Roman" w:hAnsi="Times New Roman"/>
          <w:noProof/>
          <w:sz w:val="24"/>
        </w:rPr>
        <w:t xml:space="preserve"> </w:t>
      </w:r>
      <w:r w:rsidRPr="00E946CA">
        <w:rPr>
          <w:rFonts w:ascii="Times New Roman" w:hAnsi="Times New Roman"/>
          <w:noProof/>
          <w:sz w:val="24"/>
        </w:rPr>
        <w:t>Uz šīs etiķetes ir jānorāda ražošanas datums un visi tie ekspluatācijas vai uzstādīšanas ierobežojumi, kuru norādīšanu ražotājs vai Administrācija uzskata par vajadzīgu.</w:t>
      </w:r>
    </w:p>
    <w:p w:rsidR="00833CA0" w:rsidRPr="00E946CA" w:rsidRDefault="00833CA0" w:rsidP="00B13BB6">
      <w:pPr>
        <w:tabs>
          <w:tab w:val="left" w:pos="709"/>
        </w:tabs>
        <w:jc w:val="both"/>
        <w:rPr>
          <w:rFonts w:ascii="Times New Roman" w:eastAsia="Arial" w:hAnsi="Times New Roman" w:cs="Times New Roman"/>
          <w:noProof/>
          <w:sz w:val="24"/>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Administrācijām ir jāpārbauda, vai ražotāja uzstādīšanas, ekspluatācijas un tehniskās uzturēšanas rokasgrāmatas ir atbilstošas un pilnīgas.</w:t>
      </w:r>
      <w:r w:rsidR="004C7D43">
        <w:rPr>
          <w:rFonts w:ascii="Times New Roman" w:hAnsi="Times New Roman"/>
          <w:noProof/>
          <w:sz w:val="24"/>
        </w:rPr>
        <w:t xml:space="preserve"> </w:t>
      </w:r>
      <w:r w:rsidRPr="00E946CA">
        <w:rPr>
          <w:rFonts w:ascii="Times New Roman" w:hAnsi="Times New Roman"/>
          <w:noProof/>
          <w:sz w:val="24"/>
        </w:rPr>
        <w:t>Uz kuģa vienmēr ir jābūt rokasgrāmatai, kurā ir sīki aprakstītas notekūdeņu attīrīšanas iekārtas ekspluatācijas un tehniskās uzturēšanas procedūras, tostarp drošības informācija par tām ķīmiskajām vielām un materiāliem, kas faktiski tiek izmantoti konkrētās notekūdeņu attīrīšanas iekārtas ekspluatācijā.</w:t>
      </w:r>
    </w:p>
    <w:p w:rsidR="00833CA0" w:rsidRPr="00E946CA" w:rsidRDefault="00833CA0" w:rsidP="00B13BB6">
      <w:pPr>
        <w:tabs>
          <w:tab w:val="left" w:pos="709"/>
        </w:tabs>
        <w:jc w:val="both"/>
        <w:rPr>
          <w:rFonts w:ascii="Times New Roman" w:eastAsia="Arial" w:hAnsi="Times New Roman" w:cs="Times New Roman"/>
          <w:noProof/>
          <w:sz w:val="24"/>
        </w:rPr>
      </w:pPr>
    </w:p>
    <w:p w:rsidR="00833CA0" w:rsidRPr="00E946CA" w:rsidRDefault="00833CA0" w:rsidP="00B13BB6">
      <w:pPr>
        <w:pStyle w:val="BodyText"/>
        <w:numPr>
          <w:ilvl w:val="2"/>
          <w:numId w:val="23"/>
        </w:numPr>
        <w:tabs>
          <w:tab w:val="left" w:pos="709"/>
        </w:tabs>
        <w:ind w:left="0" w:firstLine="0"/>
        <w:jc w:val="both"/>
        <w:rPr>
          <w:rFonts w:ascii="Times New Roman" w:hAnsi="Times New Roman" w:cs="Times New Roman"/>
          <w:noProof/>
          <w:sz w:val="24"/>
        </w:rPr>
      </w:pPr>
      <w:r w:rsidRPr="00E946CA">
        <w:rPr>
          <w:rFonts w:ascii="Times New Roman" w:hAnsi="Times New Roman"/>
          <w:noProof/>
          <w:sz w:val="24"/>
        </w:rPr>
        <w:t>Pirms Administrācija atļauj pārbaudes iestādēm piedalīties pārbaudes programmā, tai ir rūpīgi jāpārliecinās par to kvalifikāciju.</w:t>
      </w:r>
      <w:r w:rsidR="004C7D43">
        <w:rPr>
          <w:rFonts w:ascii="Times New Roman" w:hAnsi="Times New Roman"/>
          <w:noProof/>
          <w:sz w:val="24"/>
        </w:rPr>
        <w:t xml:space="preserve"> </w:t>
      </w:r>
      <w:r w:rsidRPr="00E946CA">
        <w:rPr>
          <w:rFonts w:ascii="Times New Roman" w:hAnsi="Times New Roman"/>
          <w:noProof/>
          <w:sz w:val="24"/>
        </w:rPr>
        <w:t>Ir jādara viss iespējamais, lai nodrošinātu dažādu iestāžu vienotu rīcību.</w:t>
      </w:r>
    </w:p>
    <w:p w:rsidR="00833CA0" w:rsidRPr="00B13BB6" w:rsidRDefault="00833CA0" w:rsidP="00E946CA">
      <w:pPr>
        <w:jc w:val="both"/>
        <w:rPr>
          <w:rFonts w:ascii="Times New Roman" w:hAnsi="Times New Roman" w:cs="Times New Roman"/>
          <w:b/>
          <w:noProof/>
          <w:sz w:val="24"/>
        </w:rPr>
      </w:pPr>
    </w:p>
    <w:p w:rsidR="00833CA0" w:rsidRPr="00B13BB6" w:rsidRDefault="00833CA0" w:rsidP="00B13BB6">
      <w:pPr>
        <w:pStyle w:val="ListParagraph"/>
        <w:numPr>
          <w:ilvl w:val="0"/>
          <w:numId w:val="14"/>
        </w:numPr>
        <w:tabs>
          <w:tab w:val="left" w:pos="709"/>
        </w:tabs>
        <w:ind w:left="0" w:firstLine="0"/>
        <w:jc w:val="both"/>
        <w:rPr>
          <w:rFonts w:ascii="Times New Roman" w:hAnsi="Times New Roman" w:cs="Times New Roman"/>
          <w:b/>
          <w:noProof/>
          <w:sz w:val="24"/>
        </w:rPr>
      </w:pPr>
      <w:r w:rsidRPr="00B13BB6">
        <w:rPr>
          <w:rFonts w:ascii="Times New Roman" w:hAnsi="Times New Roman"/>
          <w:b/>
          <w:noProof/>
          <w:sz w:val="24"/>
        </w:rPr>
        <w:t>KĀRTĒJĀS UN ĀRPUSKĀRTAS APSKATES</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Administrācijām ir jācenšas nodrošināt, lai laikā, kad tiek veiktas tipa apstiprinājuma kārtējās vai ārpuskārtas apskates saskaņā ar MARPOL IV pielikuma 4.1.2. un 4.1.3. noteikumu, notekūdeņu attīrīšanas iekārtas ekspluatācija turpinātos saskaņā ar MARPOL IV pielikuma 4.1.1. noteikumā aprakstītajiem nosacījumiem.</w:t>
      </w:r>
    </w:p>
    <w:p w:rsidR="00833CA0" w:rsidRPr="00E946CA" w:rsidRDefault="00833CA0" w:rsidP="00E946CA">
      <w:pPr>
        <w:jc w:val="both"/>
        <w:rPr>
          <w:rFonts w:ascii="Times New Roman" w:eastAsia="Arial" w:hAnsi="Times New Roman" w:cs="Times New Roman"/>
          <w:noProof/>
          <w:sz w:val="24"/>
        </w:rPr>
      </w:pPr>
    </w:p>
    <w:p w:rsidR="00833CA0" w:rsidRPr="00B13BB6" w:rsidRDefault="00833CA0" w:rsidP="00B13BB6">
      <w:pPr>
        <w:pStyle w:val="ListParagraph"/>
        <w:numPr>
          <w:ilvl w:val="0"/>
          <w:numId w:val="14"/>
        </w:numPr>
        <w:tabs>
          <w:tab w:val="left" w:pos="709"/>
        </w:tabs>
        <w:ind w:left="0" w:firstLine="0"/>
        <w:jc w:val="both"/>
        <w:rPr>
          <w:rFonts w:ascii="Times New Roman" w:hAnsi="Times New Roman" w:cs="Times New Roman"/>
          <w:b/>
          <w:noProof/>
          <w:sz w:val="24"/>
        </w:rPr>
      </w:pPr>
      <w:r w:rsidRPr="00B13BB6">
        <w:rPr>
          <w:rFonts w:ascii="Times New Roman" w:hAnsi="Times New Roman"/>
          <w:b/>
          <w:noProof/>
          <w:sz w:val="24"/>
        </w:rPr>
        <w:t>KUĢA APKALPES IEPAZĪSTINĀŠANA AR NOTEKŪDEŅU ATTĪRĪŠANAS IEKĀRTAS EKSPLUATĀCIJU</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Atzīstot, ka atbilstošie noteikumi par apkalpes iepazīstināšanu ar iekārtu darbībām ir iekļauti kuģu drošas pārvaldības sistēmās, ko paredz Starptautiskais drošas pārvaldes kodekss, Administrācijām tiek atgādināts, ka kuģa apkalpes apmācībai ir jāietver arī apkalpes iepazīstināšana ar notekūdeņu attīrīšanas iekārtas ekspluatāciju un tehnisko uzturēšanu.</w:t>
      </w:r>
    </w:p>
    <w:p w:rsidR="00833CA0" w:rsidRPr="00E946CA" w:rsidRDefault="00833CA0" w:rsidP="00E946CA">
      <w:pPr>
        <w:jc w:val="both"/>
        <w:rPr>
          <w:rFonts w:ascii="Times New Roman" w:eastAsia="Arial" w:hAnsi="Times New Roman" w:cs="Times New Roman"/>
          <w:noProof/>
          <w:sz w:val="24"/>
        </w:rPr>
      </w:pPr>
    </w:p>
    <w:p w:rsidR="00833CA0" w:rsidRPr="00B13BB6" w:rsidRDefault="00833CA0" w:rsidP="00B13BB6">
      <w:pPr>
        <w:pStyle w:val="ListParagraph"/>
        <w:numPr>
          <w:ilvl w:val="0"/>
          <w:numId w:val="14"/>
        </w:numPr>
        <w:tabs>
          <w:tab w:val="left" w:pos="709"/>
        </w:tabs>
        <w:ind w:left="0" w:firstLine="0"/>
        <w:jc w:val="both"/>
        <w:rPr>
          <w:rFonts w:ascii="Times New Roman" w:hAnsi="Times New Roman" w:cs="Times New Roman"/>
          <w:b/>
          <w:noProof/>
          <w:sz w:val="24"/>
        </w:rPr>
      </w:pPr>
      <w:r w:rsidRPr="00B13BB6">
        <w:rPr>
          <w:rFonts w:ascii="Times New Roman" w:hAnsi="Times New Roman"/>
          <w:b/>
          <w:noProof/>
          <w:sz w:val="24"/>
        </w:rPr>
        <w:t>TEHNISKĀ APKOPE</w:t>
      </w:r>
    </w:p>
    <w:p w:rsidR="00833CA0" w:rsidRPr="00E946CA" w:rsidRDefault="00833CA0" w:rsidP="00E946CA">
      <w:pPr>
        <w:jc w:val="both"/>
        <w:rPr>
          <w:rFonts w:ascii="Times New Roman" w:eastAsia="Arial" w:hAnsi="Times New Roman" w:cs="Times New Roman"/>
          <w:b/>
          <w:bCs/>
          <w:noProof/>
          <w:sz w:val="24"/>
          <w:szCs w:val="21"/>
        </w:rPr>
      </w:pPr>
    </w:p>
    <w:p w:rsidR="00833CA0" w:rsidRPr="00E946CA" w:rsidRDefault="00833CA0" w:rsidP="00E946CA">
      <w:pPr>
        <w:pStyle w:val="BodyText"/>
        <w:ind w:left="0"/>
        <w:jc w:val="both"/>
        <w:rPr>
          <w:rFonts w:ascii="Times New Roman" w:hAnsi="Times New Roman" w:cs="Times New Roman"/>
          <w:noProof/>
          <w:sz w:val="24"/>
        </w:rPr>
      </w:pPr>
      <w:r w:rsidRPr="00E946CA">
        <w:rPr>
          <w:rFonts w:ascii="Times New Roman" w:hAnsi="Times New Roman"/>
          <w:noProof/>
          <w:sz w:val="24"/>
        </w:rPr>
        <w:t>Ekspluatācijas un tehniskās apkopes rokasgrāmatās ražotājam ir skaidri jānorāda sistēmas regulārās apkopes. Ir jāreģistrē visas regulārās tehniskās apkopes un remontdarbi.</w:t>
      </w:r>
    </w:p>
    <w:p w:rsidR="00833CA0" w:rsidRPr="00E946CA" w:rsidRDefault="00833CA0" w:rsidP="00E946CA">
      <w:pPr>
        <w:jc w:val="both"/>
        <w:rPr>
          <w:rFonts w:ascii="Times New Roman" w:hAnsi="Times New Roman" w:cs="Times New Roman"/>
          <w:noProof/>
          <w:sz w:val="24"/>
        </w:rPr>
      </w:pPr>
      <w:r w:rsidRPr="00E946CA">
        <w:rPr>
          <w:rFonts w:ascii="Times New Roman" w:hAnsi="Times New Roman"/>
          <w:sz w:val="24"/>
        </w:rPr>
        <w:br w:type="page"/>
      </w:r>
    </w:p>
    <w:p w:rsidR="00030855" w:rsidRPr="00685A2E" w:rsidRDefault="00030855" w:rsidP="00030855">
      <w:pPr>
        <w:jc w:val="both"/>
        <w:rPr>
          <w:rFonts w:ascii="Times New Roman" w:hAnsi="Times New Roman" w:cs="Times New Roman"/>
          <w:noProof/>
          <w:sz w:val="24"/>
        </w:rPr>
      </w:pPr>
    </w:p>
    <w:p w:rsidR="00030855" w:rsidRPr="00685A2E" w:rsidRDefault="00030855" w:rsidP="00030855">
      <w:pPr>
        <w:pStyle w:val="BodyText"/>
        <w:ind w:left="0"/>
        <w:jc w:val="center"/>
        <w:rPr>
          <w:rFonts w:ascii="Times New Roman" w:hAnsi="Times New Roman" w:cs="Times New Roman"/>
          <w:noProof/>
          <w:sz w:val="24"/>
        </w:rPr>
      </w:pPr>
      <w:r w:rsidRPr="00685A2E">
        <w:rPr>
          <w:rFonts w:ascii="Times New Roman" w:hAnsi="Times New Roman"/>
          <w:noProof/>
          <w:sz w:val="24"/>
        </w:rPr>
        <w:t>PIELIKUMS</w:t>
      </w:r>
    </w:p>
    <w:p w:rsidR="00030855" w:rsidRPr="00685A2E" w:rsidRDefault="00030855" w:rsidP="00030855">
      <w:pPr>
        <w:jc w:val="center"/>
        <w:rPr>
          <w:rFonts w:ascii="Times New Roman" w:eastAsia="Arial" w:hAnsi="Times New Roman" w:cs="Times New Roman"/>
          <w:noProof/>
          <w:sz w:val="24"/>
          <w:szCs w:val="23"/>
        </w:rPr>
      </w:pPr>
    </w:p>
    <w:p w:rsidR="00030855" w:rsidRPr="00685A2E" w:rsidRDefault="00030855" w:rsidP="00030855">
      <w:pPr>
        <w:pStyle w:val="BodyText"/>
        <w:ind w:left="0"/>
        <w:jc w:val="center"/>
        <w:rPr>
          <w:rFonts w:ascii="Times New Roman" w:hAnsi="Times New Roman" w:cs="Times New Roman"/>
          <w:noProof/>
          <w:sz w:val="24"/>
        </w:rPr>
      </w:pPr>
      <w:r w:rsidRPr="00685A2E">
        <w:rPr>
          <w:rFonts w:ascii="Times New Roman" w:hAnsi="Times New Roman"/>
          <w:noProof/>
          <w:sz w:val="24"/>
        </w:rPr>
        <w:t>NOTEKŪDEŅU ATTĪRĪŠANAS IEKĀRTU TIPA APSTIPRINĀJUMA APLIECĪBAS VEIDLAPA UN PAPILDINĀJUMS</w:t>
      </w:r>
    </w:p>
    <w:p w:rsidR="00030855" w:rsidRPr="00685A2E" w:rsidRDefault="00030855" w:rsidP="00030855">
      <w:pPr>
        <w:jc w:val="both"/>
        <w:rPr>
          <w:rFonts w:ascii="Times New Roman" w:eastAsia="Arial" w:hAnsi="Times New Roman" w:cs="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489"/>
        <w:gridCol w:w="1376"/>
      </w:tblGrid>
      <w:tr w:rsidR="00030855" w:rsidRPr="00685A2E" w:rsidTr="00C57803">
        <w:trPr>
          <w:trHeight w:val="1190"/>
        </w:trPr>
        <w:tc>
          <w:tcPr>
            <w:tcW w:w="1416" w:type="dxa"/>
            <w:tcBorders>
              <w:top w:val="single" w:sz="4" w:space="0" w:color="000000"/>
              <w:left w:val="single" w:sz="4" w:space="0" w:color="000000"/>
              <w:bottom w:val="single" w:sz="4" w:space="0" w:color="auto"/>
              <w:right w:val="single" w:sz="4" w:space="0" w:color="000000"/>
            </w:tcBorders>
            <w:vAlign w:val="center"/>
          </w:tcPr>
          <w:p w:rsidR="00030855" w:rsidRPr="00685A2E" w:rsidRDefault="00030855" w:rsidP="00C57803">
            <w:pPr>
              <w:jc w:val="center"/>
              <w:rPr>
                <w:rFonts w:ascii="Times New Roman" w:eastAsia="Arial" w:hAnsi="Times New Roman" w:cs="Times New Roman"/>
                <w:noProof/>
                <w:sz w:val="24"/>
              </w:rPr>
            </w:pPr>
            <w:r w:rsidRPr="00685A2E">
              <w:rPr>
                <w:rFonts w:ascii="Times New Roman" w:hAnsi="Times New Roman"/>
                <w:noProof/>
                <w:sz w:val="24"/>
              </w:rPr>
              <w:t>EMBLĒMA JEB SIMBOLS</w:t>
            </w:r>
          </w:p>
        </w:tc>
        <w:tc>
          <w:tcPr>
            <w:tcW w:w="6489" w:type="dxa"/>
            <w:vMerge w:val="restart"/>
            <w:tcBorders>
              <w:left w:val="single" w:sz="4" w:space="0" w:color="000000"/>
            </w:tcBorders>
          </w:tcPr>
          <w:p w:rsidR="00030855" w:rsidRDefault="00030855" w:rsidP="00C57803">
            <w:pPr>
              <w:pStyle w:val="BodyText"/>
              <w:ind w:left="0"/>
              <w:jc w:val="center"/>
              <w:rPr>
                <w:rFonts w:ascii="Times New Roman" w:hAnsi="Times New Roman"/>
                <w:noProof/>
                <w:sz w:val="24"/>
              </w:rPr>
            </w:pPr>
            <w:r w:rsidRPr="00685A2E">
              <w:rPr>
                <w:rFonts w:ascii="Times New Roman" w:hAnsi="Times New Roman"/>
                <w:noProof/>
                <w:sz w:val="24"/>
              </w:rPr>
              <w:t>ADMINISTRĀCIJAS NOSAUKUMS</w:t>
            </w:r>
          </w:p>
          <w:p w:rsidR="00030855" w:rsidRDefault="00030855" w:rsidP="00C57803">
            <w:pPr>
              <w:pStyle w:val="BodyText"/>
              <w:ind w:left="0"/>
              <w:jc w:val="center"/>
              <w:rPr>
                <w:rFonts w:ascii="Times New Roman" w:hAnsi="Times New Roman"/>
                <w:noProof/>
                <w:sz w:val="24"/>
              </w:rPr>
            </w:pPr>
          </w:p>
          <w:p w:rsidR="00030855" w:rsidRPr="00685A2E" w:rsidRDefault="00030855" w:rsidP="00C57803">
            <w:pPr>
              <w:pStyle w:val="Heading1"/>
              <w:ind w:left="0" w:hanging="1"/>
              <w:jc w:val="center"/>
              <w:rPr>
                <w:rFonts w:ascii="Times New Roman" w:hAnsi="Times New Roman" w:cs="Times New Roman"/>
                <w:noProof/>
                <w:sz w:val="24"/>
              </w:rPr>
            </w:pPr>
            <w:r w:rsidRPr="00685A2E">
              <w:rPr>
                <w:rFonts w:ascii="Times New Roman" w:hAnsi="Times New Roman"/>
                <w:noProof/>
                <w:sz w:val="24"/>
              </w:rPr>
              <w:t>NOTEKŪDEŅU ATTĪRĪŠANAS IEKĀRTU TIPA APSTIPRINĀJUMA APLIECĪBA</w:t>
            </w:r>
          </w:p>
          <w:p w:rsidR="00030855" w:rsidRPr="00685A2E" w:rsidRDefault="00030855" w:rsidP="00C57803">
            <w:pPr>
              <w:pStyle w:val="BodyText"/>
              <w:ind w:left="0"/>
              <w:jc w:val="center"/>
              <w:rPr>
                <w:rFonts w:ascii="Times New Roman" w:hAnsi="Times New Roman" w:cs="Times New Roman"/>
                <w:noProof/>
                <w:sz w:val="24"/>
              </w:rPr>
            </w:pPr>
          </w:p>
          <w:p w:rsidR="00030855" w:rsidRPr="00685A2E" w:rsidRDefault="00030855" w:rsidP="00C57803">
            <w:pPr>
              <w:jc w:val="both"/>
              <w:rPr>
                <w:rFonts w:ascii="Times New Roman" w:eastAsia="Arial" w:hAnsi="Times New Roman" w:cs="Times New Roman"/>
                <w:noProof/>
                <w:sz w:val="24"/>
              </w:rPr>
            </w:pPr>
          </w:p>
        </w:tc>
        <w:tc>
          <w:tcPr>
            <w:tcW w:w="1376" w:type="dxa"/>
            <w:vMerge w:val="restart"/>
          </w:tcPr>
          <w:p w:rsidR="00030855" w:rsidRPr="00685A2E" w:rsidRDefault="00030855" w:rsidP="00C57803">
            <w:pPr>
              <w:jc w:val="both"/>
              <w:rPr>
                <w:rFonts w:ascii="Times New Roman" w:eastAsia="Arial" w:hAnsi="Times New Roman" w:cs="Times New Roman"/>
                <w:noProof/>
                <w:sz w:val="24"/>
              </w:rPr>
            </w:pPr>
          </w:p>
        </w:tc>
      </w:tr>
      <w:tr w:rsidR="00030855" w:rsidRPr="00685A2E" w:rsidTr="00C57803">
        <w:trPr>
          <w:trHeight w:val="635"/>
        </w:trPr>
        <w:tc>
          <w:tcPr>
            <w:tcW w:w="1416" w:type="dxa"/>
            <w:tcBorders>
              <w:top w:val="single" w:sz="4" w:space="0" w:color="auto"/>
            </w:tcBorders>
          </w:tcPr>
          <w:p w:rsidR="00030855" w:rsidRPr="00685A2E" w:rsidRDefault="00030855" w:rsidP="00C57803">
            <w:pPr>
              <w:jc w:val="both"/>
              <w:rPr>
                <w:rFonts w:ascii="Times New Roman" w:hAnsi="Times New Roman"/>
                <w:noProof/>
                <w:sz w:val="24"/>
              </w:rPr>
            </w:pPr>
          </w:p>
        </w:tc>
        <w:tc>
          <w:tcPr>
            <w:tcW w:w="6489" w:type="dxa"/>
            <w:vMerge/>
            <w:tcBorders>
              <w:left w:val="nil"/>
            </w:tcBorders>
          </w:tcPr>
          <w:p w:rsidR="00030855" w:rsidRPr="00685A2E" w:rsidRDefault="00030855" w:rsidP="00C57803">
            <w:pPr>
              <w:pStyle w:val="BodyText"/>
              <w:ind w:left="0"/>
              <w:jc w:val="center"/>
              <w:rPr>
                <w:rFonts w:ascii="Times New Roman" w:hAnsi="Times New Roman"/>
                <w:noProof/>
                <w:sz w:val="24"/>
              </w:rPr>
            </w:pPr>
          </w:p>
        </w:tc>
        <w:tc>
          <w:tcPr>
            <w:tcW w:w="1376" w:type="dxa"/>
            <w:vMerge/>
          </w:tcPr>
          <w:p w:rsidR="00030855" w:rsidRPr="00685A2E" w:rsidRDefault="00030855" w:rsidP="00C57803">
            <w:pPr>
              <w:jc w:val="both"/>
              <w:rPr>
                <w:rFonts w:ascii="Times New Roman" w:eastAsia="Arial" w:hAnsi="Times New Roman" w:cs="Times New Roman"/>
                <w:noProof/>
                <w:sz w:val="24"/>
              </w:rPr>
            </w:pPr>
          </w:p>
        </w:tc>
      </w:tr>
    </w:tbl>
    <w:p w:rsidR="00030855" w:rsidRPr="006E2AE8" w:rsidRDefault="00030855" w:rsidP="00030855">
      <w:pPr>
        <w:pStyle w:val="BodyText"/>
        <w:ind w:left="0"/>
        <w:jc w:val="both"/>
        <w:rPr>
          <w:rFonts w:ascii="Times New Roman" w:hAnsi="Times New Roman"/>
          <w:noProof/>
          <w:sz w:val="24"/>
        </w:rPr>
      </w:pPr>
      <w:r w:rsidRPr="00685A2E">
        <w:rPr>
          <w:rFonts w:ascii="Times New Roman" w:hAnsi="Times New Roman"/>
          <w:noProof/>
          <w:sz w:val="24"/>
        </w:rPr>
        <w:t>Ar šo tiek apstiprināts, ka notek</w:t>
      </w:r>
      <w:r>
        <w:rPr>
          <w:rFonts w:ascii="Times New Roman" w:hAnsi="Times New Roman"/>
          <w:noProof/>
          <w:sz w:val="24"/>
        </w:rPr>
        <w:t xml:space="preserve">ūdeņu attīrīšanas iekārta, tips </w:t>
      </w:r>
      <w:r w:rsidRPr="00685A2E">
        <w:rPr>
          <w:rFonts w:ascii="Times New Roman" w:hAnsi="Times New Roman"/>
          <w:noProof/>
          <w:sz w:val="24"/>
        </w:rPr>
        <w:t>.....................</w:t>
      </w:r>
      <w:r>
        <w:rPr>
          <w:rFonts w:ascii="Times New Roman" w:hAnsi="Times New Roman"/>
          <w:noProof/>
          <w:sz w:val="24"/>
        </w:rPr>
        <w:t>..............................</w:t>
      </w:r>
      <w:r w:rsidRPr="00685A2E">
        <w:rPr>
          <w:rFonts w:ascii="Times New Roman" w:hAnsi="Times New Roman"/>
          <w:noProof/>
          <w:sz w:val="24"/>
        </w:rPr>
        <w:t>, kuras projektētā hidrauliskā slodze ir ............ kubikmetri dienā (m3/dienā), organiskā slodze ir .......... bioķīmiskā skābekļa patēriņš bez nitrifikācijas (BSP</w:t>
      </w:r>
      <w:r w:rsidRPr="00797F7F">
        <w:rPr>
          <w:rFonts w:ascii="Times New Roman" w:hAnsi="Times New Roman"/>
          <w:noProof/>
          <w:sz w:val="24"/>
          <w:vertAlign w:val="subscript"/>
        </w:rPr>
        <w:t>5</w:t>
      </w:r>
      <w:r w:rsidRPr="00685A2E">
        <w:rPr>
          <w:rFonts w:ascii="Times New Roman" w:hAnsi="Times New Roman"/>
          <w:noProof/>
          <w:sz w:val="24"/>
        </w:rPr>
        <w:t xml:space="preserve"> bez nitrifikācijas) kg dienā un projekts ir parādīts attēlos Nr. ............................................................ , un kuru ir ražojis ........................................................................................................................,</w:t>
      </w:r>
      <w:r>
        <w:rPr>
          <w:rFonts w:ascii="Times New Roman" w:hAnsi="Times New Roman"/>
          <w:noProof/>
          <w:sz w:val="24"/>
        </w:rPr>
        <w:t xml:space="preserve"> </w:t>
      </w:r>
      <w:r w:rsidRPr="00685A2E">
        <w:rPr>
          <w:rFonts w:ascii="Times New Roman" w:hAnsi="Times New Roman"/>
          <w:noProof/>
          <w:sz w:val="24"/>
        </w:rPr>
        <w:t>ir pārbaudīta un ir iegūti pozitīvi rezultāti saskaņā ar Starptautiskās Jūrniecības organizācijas Rezolūciju MEPC.227(64), kas pierāda tās atbilstību ekspluatācijas prasībām MARPOL 1973. gada Starptautiskās konvencijas par piesārņojuma novēršanu no kuģiem, kas grozīta ar 1978. un 1997. gada protokoliem (kas grozīti ar Rezolūcijām MEPC.115(51) un MEPC.200(62)), IV pielikuma 9.1.1. un 9.2.1. noteikumā.</w:t>
      </w:r>
    </w:p>
    <w:p w:rsidR="00030855" w:rsidRPr="00685A2E" w:rsidRDefault="00030855" w:rsidP="00030855">
      <w:pPr>
        <w:jc w:val="both"/>
        <w:rPr>
          <w:rFonts w:ascii="Times New Roman" w:eastAsia="Arial" w:hAnsi="Times New Roman" w:cs="Times New Roman"/>
          <w:noProof/>
          <w:sz w:val="24"/>
          <w:szCs w:val="21"/>
        </w:rPr>
      </w:pP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Pārbaudes notekūdeņu attīrīšanas iekārtām veica</w:t>
      </w: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krastā</w:t>
      </w:r>
      <w:r w:rsidRPr="006E2AE8">
        <w:rPr>
          <w:rStyle w:val="FootnoteReference"/>
          <w:rFonts w:ascii="Times New Roman" w:hAnsi="Times New Roman"/>
          <w:noProof/>
          <w:sz w:val="24"/>
        </w:rPr>
        <w:footnoteReference w:customMarkFollows="1" w:id="4"/>
        <w:sym w:font="Symbol" w:char="F02A"/>
      </w:r>
      <w:r w:rsidRPr="00685A2E">
        <w:rPr>
          <w:rFonts w:ascii="Times New Roman" w:hAnsi="Times New Roman"/>
          <w:noProof/>
          <w:sz w:val="24"/>
        </w:rPr>
        <w:t>.................................................................................................................................</w:t>
      </w: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uz kuģa</w:t>
      </w:r>
      <w:r w:rsidRPr="006E2AE8">
        <w:rPr>
          <w:rFonts w:ascii="Times New Roman" w:eastAsia="Symbol" w:hAnsi="Times New Roman" w:cs="Times New Roman"/>
          <w:noProof/>
          <w:sz w:val="24"/>
          <w:szCs w:val="14"/>
          <w:vertAlign w:val="superscript"/>
        </w:rPr>
        <w:t>*</w:t>
      </w:r>
      <w:r w:rsidRPr="00685A2E">
        <w:rPr>
          <w:rFonts w:ascii="Times New Roman" w:hAnsi="Times New Roman"/>
          <w:noProof/>
          <w:sz w:val="24"/>
        </w:rPr>
        <w:t>................................................................................................................................</w:t>
      </w: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un pabeidza..........................................................................................................................</w:t>
      </w:r>
    </w:p>
    <w:p w:rsidR="00030855" w:rsidRPr="00685A2E" w:rsidRDefault="00030855" w:rsidP="00030855">
      <w:pPr>
        <w:jc w:val="both"/>
        <w:rPr>
          <w:rFonts w:ascii="Times New Roman" w:eastAsia="Arial" w:hAnsi="Times New Roman" w:cs="Times New Roman"/>
          <w:noProof/>
          <w:sz w:val="24"/>
        </w:rPr>
      </w:pP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Notekūdeņu attīrīšanas iekārtu pārbaudīja un ieguva izplūdi, kuru izanalizējot tika iegūti šādi rādītāji:</w:t>
      </w:r>
    </w:p>
    <w:p w:rsidR="00030855" w:rsidRPr="00685A2E" w:rsidRDefault="00030855" w:rsidP="00030855">
      <w:pPr>
        <w:jc w:val="both"/>
        <w:rPr>
          <w:rFonts w:ascii="Times New Roman" w:eastAsia="Arial" w:hAnsi="Times New Roman" w:cs="Times New Roman"/>
          <w:noProof/>
          <w:sz w:val="24"/>
        </w:rPr>
      </w:pPr>
    </w:p>
    <w:p w:rsidR="00030855" w:rsidRPr="00685A2E" w:rsidRDefault="00030855" w:rsidP="00030855">
      <w:pPr>
        <w:pStyle w:val="BodyText"/>
        <w:numPr>
          <w:ilvl w:val="0"/>
          <w:numId w:val="2"/>
        </w:numPr>
        <w:ind w:left="709" w:hanging="709"/>
        <w:jc w:val="both"/>
        <w:rPr>
          <w:rFonts w:ascii="Times New Roman" w:hAnsi="Times New Roman" w:cs="Times New Roman"/>
          <w:noProof/>
          <w:sz w:val="24"/>
        </w:rPr>
      </w:pPr>
      <w:r w:rsidRPr="00685A2E">
        <w:rPr>
          <w:rFonts w:ascii="Times New Roman" w:hAnsi="Times New Roman"/>
          <w:noProof/>
          <w:sz w:val="24"/>
        </w:rPr>
        <w:t>termoizturīgo zarnu nūjiņu vidējais ģeometriskais lielums nepārsniedz 100 gab./100 ml;</w:t>
      </w:r>
    </w:p>
    <w:p w:rsidR="00030855" w:rsidRPr="00685A2E" w:rsidRDefault="00030855" w:rsidP="00030855">
      <w:pPr>
        <w:pStyle w:val="BodyText"/>
        <w:numPr>
          <w:ilvl w:val="0"/>
          <w:numId w:val="2"/>
        </w:numPr>
        <w:ind w:left="709" w:hanging="709"/>
        <w:jc w:val="both"/>
        <w:rPr>
          <w:rFonts w:ascii="Times New Roman" w:hAnsi="Times New Roman" w:cs="Times New Roman"/>
          <w:noProof/>
          <w:sz w:val="24"/>
        </w:rPr>
      </w:pPr>
      <w:r w:rsidRPr="00685A2E">
        <w:rPr>
          <w:rFonts w:ascii="Times New Roman" w:hAnsi="Times New Roman"/>
          <w:noProof/>
          <w:sz w:val="24"/>
        </w:rPr>
        <w:t>kopējā suspendēto cieto vielu daudzuma vidējais ģeometriskais lielums ir 35 Qi/Qe mg/l, ja pārbaude veikta krastā, vai ne vairāk kā (35+x) Qi/Qe mg/l, ja pārbaude veikta uz kuģa un noskalošanai izmantots ūdens apkārtējās vides temperatūrā;</w:t>
      </w:r>
    </w:p>
    <w:p w:rsidR="00030855" w:rsidRPr="00685A2E" w:rsidRDefault="00030855" w:rsidP="00030855">
      <w:pPr>
        <w:pStyle w:val="BodyText"/>
        <w:numPr>
          <w:ilvl w:val="0"/>
          <w:numId w:val="2"/>
        </w:numPr>
        <w:ind w:left="709" w:hanging="709"/>
        <w:jc w:val="both"/>
        <w:rPr>
          <w:rFonts w:ascii="Times New Roman" w:hAnsi="Times New Roman" w:cs="Times New Roman"/>
          <w:noProof/>
          <w:sz w:val="24"/>
        </w:rPr>
      </w:pPr>
      <w:r w:rsidRPr="00685A2E">
        <w:rPr>
          <w:rFonts w:ascii="Times New Roman" w:hAnsi="Times New Roman"/>
          <w:noProof/>
          <w:sz w:val="24"/>
        </w:rPr>
        <w:t>5 dienu laikā bioķīmisk</w:t>
      </w:r>
      <w:bookmarkStart w:id="0" w:name="_GoBack"/>
      <w:bookmarkEnd w:id="0"/>
      <w:r w:rsidRPr="00685A2E">
        <w:rPr>
          <w:rFonts w:ascii="Times New Roman" w:hAnsi="Times New Roman"/>
          <w:noProof/>
          <w:sz w:val="24"/>
        </w:rPr>
        <w:t>ā skābekļa patēriņa bez nitrifikācijas (BSP5 bez nitrifikācijas) vidējais ģeometriskais lielums nepārsniedz 25 Qi/Qe mg/l;</w:t>
      </w:r>
    </w:p>
    <w:p w:rsidR="00030855" w:rsidRPr="00685A2E" w:rsidRDefault="00030855" w:rsidP="00030855">
      <w:pPr>
        <w:pStyle w:val="BodyText"/>
        <w:numPr>
          <w:ilvl w:val="0"/>
          <w:numId w:val="2"/>
        </w:numPr>
        <w:ind w:left="709" w:hanging="709"/>
        <w:jc w:val="both"/>
        <w:rPr>
          <w:rFonts w:ascii="Times New Roman" w:hAnsi="Times New Roman" w:cs="Times New Roman"/>
          <w:noProof/>
          <w:sz w:val="24"/>
        </w:rPr>
      </w:pPr>
      <w:r w:rsidRPr="00685A2E">
        <w:rPr>
          <w:rFonts w:ascii="Times New Roman" w:hAnsi="Times New Roman"/>
          <w:noProof/>
          <w:sz w:val="24"/>
        </w:rPr>
        <w:t>ķīmiskā skābekļa patēriņa (ĶSP) vidējais ģeometriskais lielums nepārsniedz 125 Qi/Qe mg/l;</w:t>
      </w:r>
    </w:p>
    <w:p w:rsidR="00030855" w:rsidRPr="00685A2E" w:rsidRDefault="00030855" w:rsidP="00030855">
      <w:pPr>
        <w:pStyle w:val="BodyText"/>
        <w:numPr>
          <w:ilvl w:val="0"/>
          <w:numId w:val="2"/>
        </w:numPr>
        <w:ind w:left="709" w:hanging="709"/>
        <w:jc w:val="both"/>
        <w:rPr>
          <w:rFonts w:ascii="Times New Roman" w:hAnsi="Times New Roman" w:cs="Times New Roman"/>
          <w:noProof/>
          <w:sz w:val="24"/>
        </w:rPr>
      </w:pPr>
      <w:r w:rsidRPr="00685A2E">
        <w:rPr>
          <w:rFonts w:ascii="Times New Roman" w:hAnsi="Times New Roman"/>
          <w:noProof/>
          <w:sz w:val="24"/>
        </w:rPr>
        <w:t>pH līmenis ir starp 6 un 8,5;</w:t>
      </w:r>
    </w:p>
    <w:p w:rsidR="00030855" w:rsidRPr="00685A2E" w:rsidRDefault="00030855" w:rsidP="00030855">
      <w:pPr>
        <w:pStyle w:val="BodyText"/>
        <w:numPr>
          <w:ilvl w:val="0"/>
          <w:numId w:val="2"/>
        </w:numPr>
        <w:ind w:left="709" w:hanging="709"/>
        <w:jc w:val="both"/>
        <w:rPr>
          <w:rFonts w:ascii="Times New Roman" w:hAnsi="Times New Roman" w:cs="Times New Roman"/>
          <w:noProof/>
          <w:sz w:val="24"/>
        </w:rPr>
      </w:pPr>
      <w:r w:rsidRPr="00685A2E">
        <w:rPr>
          <w:rFonts w:ascii="Times New Roman" w:hAnsi="Times New Roman"/>
          <w:noProof/>
          <w:sz w:val="24"/>
        </w:rPr>
        <w:t>kopējā slāpekļa daudzuma koncentrācijas vidējais ģeometriskais lielums nepārsniedz 20 Qi/Qe mg/l, kas atbilst samazinājumam par 70 %, un</w:t>
      </w:r>
    </w:p>
    <w:p w:rsidR="00030855" w:rsidRPr="00685A2E" w:rsidRDefault="00030855" w:rsidP="00030855">
      <w:pPr>
        <w:pStyle w:val="BodyText"/>
        <w:numPr>
          <w:ilvl w:val="0"/>
          <w:numId w:val="2"/>
        </w:numPr>
        <w:ind w:left="709" w:hanging="709"/>
        <w:jc w:val="both"/>
        <w:rPr>
          <w:rFonts w:ascii="Times New Roman" w:hAnsi="Times New Roman" w:cs="Times New Roman"/>
          <w:noProof/>
          <w:sz w:val="24"/>
        </w:rPr>
      </w:pPr>
      <w:r w:rsidRPr="00685A2E">
        <w:rPr>
          <w:rFonts w:ascii="Times New Roman" w:hAnsi="Times New Roman"/>
          <w:noProof/>
          <w:sz w:val="24"/>
        </w:rPr>
        <w:t xml:space="preserve">kopējā fosfora daudzuma koncentrācijas vidējais ģeometriskais lielums nepārsniedz 1,0 Qi/Qe mg/l, kas </w:t>
      </w:r>
      <w:r>
        <w:rPr>
          <w:rFonts w:ascii="Times New Roman" w:hAnsi="Times New Roman"/>
          <w:noProof/>
          <w:sz w:val="24"/>
        </w:rPr>
        <w:t>atbilst samazinājumam par 80 %</w:t>
      </w:r>
      <w:r w:rsidRPr="006E2AE8">
        <w:rPr>
          <w:rStyle w:val="FootnoteReference"/>
          <w:rFonts w:ascii="Times New Roman" w:hAnsi="Times New Roman"/>
          <w:noProof/>
          <w:sz w:val="24"/>
        </w:rPr>
        <w:footnoteReference w:customMarkFollows="1" w:id="5"/>
        <w:sym w:font="Symbol" w:char="F02A"/>
      </w:r>
      <w:r w:rsidRPr="006E2AE8">
        <w:rPr>
          <w:rStyle w:val="FootnoteReference"/>
          <w:rFonts w:ascii="Times New Roman" w:hAnsi="Times New Roman"/>
          <w:noProof/>
          <w:sz w:val="24"/>
        </w:rPr>
        <w:sym w:font="Symbol" w:char="F02A"/>
      </w:r>
      <w:r w:rsidRPr="00685A2E">
        <w:rPr>
          <w:rFonts w:ascii="Times New Roman" w:hAnsi="Times New Roman"/>
          <w:noProof/>
          <w:sz w:val="24"/>
        </w:rPr>
        <w:t>.</w:t>
      </w:r>
    </w:p>
    <w:p w:rsidR="00030855" w:rsidRPr="00685A2E" w:rsidRDefault="00030855" w:rsidP="00030855">
      <w:pPr>
        <w:jc w:val="both"/>
        <w:rPr>
          <w:rFonts w:ascii="Times New Roman" w:eastAsia="Arial" w:hAnsi="Times New Roman" w:cs="Times New Roman"/>
          <w:noProof/>
          <w:sz w:val="24"/>
          <w:szCs w:val="21"/>
        </w:rPr>
      </w:pP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Administrācija apstiprina, ka notekūdeņu attīrīšanas iekārtu ir iespējams ekspluatēt pie inklinācijas leņķa attiecībā pret normālo ekspluatācijas pozīciju līdz 22,5</w:t>
      </w:r>
      <w:r>
        <w:rPr>
          <w:rFonts w:ascii="Times New Roman" w:hAnsi="Times New Roman" w:cs="Times New Roman"/>
          <w:noProof/>
          <w:sz w:val="24"/>
          <w:vertAlign w:val="superscript"/>
        </w:rPr>
        <w:t>o</w:t>
      </w:r>
      <w:r w:rsidRPr="00685A2E">
        <w:rPr>
          <w:rFonts w:ascii="Times New Roman" w:hAnsi="Times New Roman"/>
          <w:noProof/>
          <w:sz w:val="24"/>
        </w:rPr>
        <w:t>.</w:t>
      </w:r>
    </w:p>
    <w:p w:rsidR="00030855" w:rsidRPr="00685A2E" w:rsidRDefault="00030855" w:rsidP="00030855">
      <w:pPr>
        <w:jc w:val="both"/>
        <w:rPr>
          <w:rFonts w:ascii="Times New Roman" w:eastAsia="Arial" w:hAnsi="Times New Roman" w:cs="Times New Roman"/>
          <w:noProof/>
          <w:sz w:val="24"/>
          <w:szCs w:val="21"/>
        </w:rPr>
      </w:pP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Sīkāka informācija par pārbaudēm un rezultātiem ir sniegta šīs apliecības papildinājumā.</w:t>
      </w:r>
    </w:p>
    <w:p w:rsidR="00030855" w:rsidRPr="00685A2E" w:rsidRDefault="00030855" w:rsidP="00030855">
      <w:pPr>
        <w:jc w:val="both"/>
        <w:rPr>
          <w:rFonts w:ascii="Times New Roman" w:eastAsia="Arial" w:hAnsi="Times New Roman" w:cs="Times New Roman"/>
          <w:noProof/>
          <w:sz w:val="24"/>
          <w:szCs w:val="18"/>
        </w:rPr>
      </w:pP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Pie katras notekūdeņu attīrīšanas iekārtas ir jāpiestiprina plāksnīte vai izturīga etiķete, kurā ir norādīts ražotāja nosaukums, iekārtas tips un sērijas numurs, hidrauliskā slodze un ražošanas datums.</w:t>
      </w:r>
    </w:p>
    <w:p w:rsidR="00030855" w:rsidRPr="00685A2E" w:rsidRDefault="00030855" w:rsidP="00030855">
      <w:pPr>
        <w:jc w:val="both"/>
        <w:rPr>
          <w:rFonts w:ascii="Times New Roman" w:eastAsia="Arial" w:hAnsi="Times New Roman" w:cs="Times New Roman"/>
          <w:noProof/>
          <w:sz w:val="24"/>
        </w:rPr>
      </w:pP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Šīs apliecības kopijai ir jāatrodas uz ikviena kuģa, kurā ir uzstādīta iepriekš aprakstītā notekūdeņu attīrīšanas iekārta.</w:t>
      </w:r>
    </w:p>
    <w:p w:rsidR="00030855" w:rsidRPr="00685A2E" w:rsidRDefault="00030855" w:rsidP="00030855">
      <w:pPr>
        <w:jc w:val="both"/>
        <w:rPr>
          <w:rFonts w:ascii="Times New Roman" w:eastAsia="Arial" w:hAnsi="Times New Roman" w:cs="Times New Roman"/>
          <w:noProof/>
          <w:sz w:val="24"/>
        </w:rPr>
      </w:pPr>
    </w:p>
    <w:p w:rsidR="00030855" w:rsidRDefault="00030855" w:rsidP="00030855">
      <w:pPr>
        <w:jc w:val="both"/>
        <w:rPr>
          <w:rFonts w:ascii="Times New Roman" w:eastAsia="Arial" w:hAnsi="Times New Roman" w:cs="Times New Roman"/>
          <w:noProof/>
          <w:sz w:val="24"/>
        </w:rPr>
      </w:pPr>
    </w:p>
    <w:p w:rsidR="00030855" w:rsidRPr="00685A2E" w:rsidRDefault="00030855" w:rsidP="00030855">
      <w:pPr>
        <w:jc w:val="both"/>
        <w:rPr>
          <w:rFonts w:ascii="Times New Roman" w:eastAsia="Arial" w:hAnsi="Times New Roman" w:cs="Times New Roman"/>
          <w:noProof/>
          <w:sz w:val="24"/>
        </w:rPr>
      </w:pPr>
    </w:p>
    <w:p w:rsidR="00030855" w:rsidRDefault="00030855" w:rsidP="00030855">
      <w:pPr>
        <w:jc w:val="both"/>
        <w:rPr>
          <w:rFonts w:ascii="Times New Roman" w:eastAsia="Arial"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85"/>
        <w:gridCol w:w="1160"/>
        <w:gridCol w:w="4376"/>
      </w:tblGrid>
      <w:tr w:rsidR="00030855" w:rsidTr="00C57803">
        <w:tc>
          <w:tcPr>
            <w:tcW w:w="2032" w:type="pct"/>
          </w:tcPr>
          <w:p w:rsidR="00030855" w:rsidRDefault="00030855" w:rsidP="00C57803">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Oficiālais zīmogs</w:t>
            </w:r>
          </w:p>
        </w:tc>
        <w:tc>
          <w:tcPr>
            <w:tcW w:w="703" w:type="pct"/>
          </w:tcPr>
          <w:p w:rsidR="00030855" w:rsidRDefault="00030855" w:rsidP="00C57803">
            <w:pPr>
              <w:jc w:val="center"/>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Paraksts</w:t>
            </w:r>
          </w:p>
        </w:tc>
        <w:tc>
          <w:tcPr>
            <w:tcW w:w="2265" w:type="pct"/>
          </w:tcPr>
          <w:p w:rsidR="00030855" w:rsidRDefault="00030855" w:rsidP="00C57803">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bl>
    <w:p w:rsidR="00030855" w:rsidRDefault="00030855" w:rsidP="00030855">
      <w:pPr>
        <w:jc w:val="both"/>
        <w:rPr>
          <w:rFonts w:ascii="Times New Roman" w:eastAsia="Arial" w:hAnsi="Times New Roman" w:cs="Times New Roman"/>
          <w:noProof/>
          <w:sz w:val="24"/>
        </w:rPr>
      </w:pPr>
    </w:p>
    <w:p w:rsidR="00030855" w:rsidRPr="00685A2E" w:rsidRDefault="00030855" w:rsidP="00030855">
      <w:pPr>
        <w:jc w:val="both"/>
        <w:rPr>
          <w:rFonts w:ascii="Times New Roman" w:eastAsia="Arial" w:hAnsi="Times New Roman" w:cs="Times New Roman"/>
          <w:noProof/>
          <w:sz w:val="24"/>
        </w:rPr>
      </w:pPr>
    </w:p>
    <w:p w:rsidR="00030855" w:rsidRDefault="00030855" w:rsidP="00030855">
      <w:pPr>
        <w:jc w:val="both"/>
        <w:rPr>
          <w:rFonts w:ascii="Times New Roman" w:eastAsia="Arial" w:hAnsi="Times New Roman" w:cs="Times New Roman"/>
          <w:noProof/>
          <w:sz w:val="24"/>
        </w:rPr>
      </w:pPr>
    </w:p>
    <w:p w:rsidR="00030855" w:rsidRPr="00685A2E" w:rsidRDefault="00030855" w:rsidP="00030855">
      <w:pPr>
        <w:jc w:val="both"/>
        <w:rPr>
          <w:rFonts w:ascii="Times New Roman" w:eastAsia="Arial" w:hAnsi="Times New Roman" w:cs="Times New Roman"/>
          <w:noProof/>
          <w:sz w:val="24"/>
        </w:rPr>
      </w:pPr>
    </w:p>
    <w:p w:rsidR="00030855" w:rsidRPr="00A97DCE" w:rsidRDefault="00030855" w:rsidP="00030855">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Administrācija</w:t>
      </w:r>
      <w:r>
        <w:rPr>
          <w:rFonts w:ascii="Times New Roman" w:hAnsi="Times New Roman" w:cs="Times New Roman"/>
          <w:noProof/>
          <w:sz w:val="24"/>
          <w:szCs w:val="24"/>
          <w:lang w:val="en-US"/>
        </w:rPr>
        <w:t xml:space="preserve"> </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p w:rsidR="00030855" w:rsidRDefault="00030855" w:rsidP="00030855">
      <w:pPr>
        <w:jc w:val="both"/>
        <w:rPr>
          <w:rFonts w:ascii="Times New Roman" w:eastAsia="Arial" w:hAnsi="Times New Roman" w:cs="Times New Roman"/>
          <w:noProof/>
          <w:sz w:val="24"/>
          <w:szCs w:val="21"/>
        </w:rPr>
      </w:pPr>
    </w:p>
    <w:p w:rsidR="00030855" w:rsidRPr="00685A2E" w:rsidRDefault="00030855" w:rsidP="00030855">
      <w:pPr>
        <w:jc w:val="both"/>
        <w:rPr>
          <w:rFonts w:ascii="Times New Roman" w:eastAsia="Arial" w:hAnsi="Times New Roman" w:cs="Times New Roman"/>
          <w:noProof/>
          <w:sz w:val="24"/>
          <w:szCs w:val="21"/>
        </w:rPr>
      </w:pPr>
    </w:p>
    <w:p w:rsidR="00030855" w:rsidRDefault="00030855" w:rsidP="00030855">
      <w:pPr>
        <w:pStyle w:val="BodyText"/>
        <w:ind w:left="0"/>
        <w:jc w:val="both"/>
        <w:rPr>
          <w:rFonts w:ascii="Times New Roman" w:hAnsi="Times New Roman"/>
          <w:noProof/>
          <w:sz w:val="24"/>
        </w:rPr>
      </w:pPr>
    </w:p>
    <w:p w:rsidR="00030855" w:rsidRPr="00685A2E" w:rsidRDefault="00030855" w:rsidP="00030855">
      <w:pPr>
        <w:jc w:val="both"/>
        <w:rPr>
          <w:rFonts w:ascii="Times New Roman" w:eastAsia="Arial" w:hAnsi="Times New Roman" w:cs="Times New Roman"/>
          <w:noProof/>
          <w:sz w:val="24"/>
        </w:rPr>
      </w:pPr>
    </w:p>
    <w:p w:rsidR="00030855" w:rsidRPr="002430A1" w:rsidRDefault="00030855" w:rsidP="00030855">
      <w:pPr>
        <w:jc w:val="both"/>
        <w:rPr>
          <w:rFonts w:ascii="Times New Roman" w:eastAsia="Arial" w:hAnsi="Times New Roman" w:cs="Times New Roman"/>
          <w:noProof/>
          <w:sz w:val="24"/>
        </w:rPr>
      </w:pPr>
      <w:r w:rsidRPr="00A97DCE">
        <w:rPr>
          <w:rFonts w:ascii="Times New Roman" w:hAnsi="Times New Roman" w:cs="Times New Roman"/>
          <w:noProof/>
          <w:sz w:val="24"/>
          <w:szCs w:val="24"/>
          <w:lang w:val="en-US"/>
        </w:rPr>
        <w:t>Datēts.........................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685A2E">
        <w:rPr>
          <w:rFonts w:ascii="Times New Roman" w:hAnsi="Times New Roman"/>
          <w:sz w:val="24"/>
        </w:rPr>
        <w:br w:type="page"/>
      </w:r>
    </w:p>
    <w:p w:rsidR="00030855" w:rsidRPr="00685A2E" w:rsidRDefault="00030855" w:rsidP="00030855">
      <w:pPr>
        <w:pStyle w:val="Heading1"/>
        <w:ind w:left="0" w:firstLine="0"/>
        <w:jc w:val="center"/>
        <w:rPr>
          <w:rFonts w:ascii="Times New Roman" w:hAnsi="Times New Roman" w:cs="Times New Roman"/>
          <w:noProof/>
          <w:sz w:val="24"/>
        </w:rPr>
      </w:pPr>
      <w:r w:rsidRPr="00685A2E">
        <w:rPr>
          <w:rFonts w:ascii="Times New Roman" w:hAnsi="Times New Roman"/>
          <w:noProof/>
          <w:sz w:val="24"/>
        </w:rPr>
        <w:t>PAPILDINĀJUMS</w:t>
      </w:r>
    </w:p>
    <w:p w:rsidR="00030855" w:rsidRPr="00685A2E" w:rsidRDefault="00030855" w:rsidP="00030855">
      <w:pPr>
        <w:ind w:left="1701" w:right="1694"/>
        <w:jc w:val="center"/>
        <w:rPr>
          <w:rFonts w:ascii="Times New Roman" w:hAnsi="Times New Roman" w:cs="Times New Roman"/>
          <w:b/>
          <w:noProof/>
          <w:sz w:val="24"/>
        </w:rPr>
      </w:pPr>
      <w:r w:rsidRPr="00685A2E">
        <w:rPr>
          <w:rFonts w:ascii="Times New Roman" w:hAnsi="Times New Roman"/>
          <w:b/>
          <w:noProof/>
          <w:sz w:val="24"/>
        </w:rPr>
        <w:t>NOTEKŪDEŅU ATTĪRĪŠANAS IEKĀRTU TIPA APSTIPRINĀJUMA APLIECĪBA</w:t>
      </w:r>
    </w:p>
    <w:p w:rsidR="00030855" w:rsidRPr="00BB5D89" w:rsidRDefault="00030855" w:rsidP="00030855">
      <w:pPr>
        <w:jc w:val="both"/>
        <w:rPr>
          <w:rFonts w:ascii="Times New Roman" w:eastAsia="Arial" w:hAnsi="Times New Roman" w:cs="Times New Roman"/>
          <w:b/>
          <w:bCs/>
          <w:noProof/>
          <w:sz w:val="24"/>
          <w:szCs w:val="7"/>
        </w:rPr>
      </w:pPr>
      <w:r w:rsidRPr="00785257">
        <w:rPr>
          <w:rFonts w:ascii="Times New Roman" w:hAnsi="Times New Roman" w:cs="Times New Roman"/>
          <w:b/>
          <w:noProof/>
          <w:sz w:val="24"/>
          <w:szCs w:val="24"/>
          <w:lang w:bidi="ar-SA"/>
        </w:rPr>
        <w:drawing>
          <wp:inline distT="0" distB="0" distL="0" distR="0" wp14:anchorId="22DD6825" wp14:editId="22F11801">
            <wp:extent cx="933709" cy="75881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7230" cy="769801"/>
                    </a:xfrm>
                    <a:prstGeom prst="rect">
                      <a:avLst/>
                    </a:prstGeom>
                    <a:noFill/>
                    <a:ln>
                      <a:noFill/>
                    </a:ln>
                  </pic:spPr>
                </pic:pic>
              </a:graphicData>
            </a:graphic>
          </wp:inline>
        </w:drawing>
      </w:r>
    </w:p>
    <w:p w:rsidR="00030855" w:rsidRPr="00685A2E" w:rsidRDefault="00030855" w:rsidP="00030855">
      <w:pPr>
        <w:pStyle w:val="BodyText"/>
        <w:ind w:left="0"/>
        <w:jc w:val="both"/>
        <w:rPr>
          <w:rFonts w:ascii="Times New Roman" w:hAnsi="Times New Roman" w:cs="Times New Roman"/>
          <w:noProof/>
          <w:sz w:val="24"/>
        </w:rPr>
      </w:pPr>
      <w:r w:rsidRPr="00685A2E">
        <w:rPr>
          <w:rFonts w:ascii="Times New Roman" w:hAnsi="Times New Roman"/>
          <w:noProof/>
          <w:sz w:val="24"/>
        </w:rPr>
        <w:t>Pārbaužu rezultāti un sīka informācija par pārbaudēm, kas veiktas paraugiem no notekūdeņu attīrīšanas iekārtas saskaņā ar Rezolūciju MEPC.227(64):</w:t>
      </w:r>
    </w:p>
    <w:p w:rsidR="00030855" w:rsidRPr="00685A2E" w:rsidRDefault="00030855" w:rsidP="00030855">
      <w:pPr>
        <w:jc w:val="both"/>
        <w:rPr>
          <w:rFonts w:ascii="Times New Roman" w:eastAsia="Arial"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1"/>
      </w:tblGrid>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Notekūdeņu attīrīšanas iekārta, tips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Ražotājs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Organizācija, kas veica pārbaudi</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Projektētā hidrauliskā slodze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m3/dienā</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Projektētā organiskā slodze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kg/dienā BSP</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Pārbaudīto izplūdes paraugu skaits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Pārbaudīto ieplūdes paraugu skaits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Kopējā suspendēto cieto v</w:t>
            </w:r>
            <w:r w:rsidRPr="00953F7C">
              <w:rPr>
                <w:rFonts w:ascii="Times New Roman" w:hAnsi="Times New Roman" w:cs="Times New Roman"/>
                <w:noProof/>
                <w:sz w:val="24"/>
                <w:szCs w:val="24"/>
                <w:lang w:val="en-US"/>
              </w:rPr>
              <w:t>ielu daudzuma ieplūdes kvalitāte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Kopēja slāpekļa daudzuma ieplūdes kvalitāte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 slāpekļa</w:t>
            </w:r>
            <w:r w:rsidRPr="00997F4B">
              <w:rPr>
                <w:rStyle w:val="FootnoteReference"/>
                <w:rFonts w:ascii="Times New Roman" w:hAnsi="Times New Roman" w:cs="Times New Roman"/>
                <w:noProof/>
                <w:sz w:val="24"/>
                <w:szCs w:val="24"/>
                <w:lang w:val="en-US"/>
              </w:rPr>
              <w:footnoteReference w:customMarkFollows="1" w:id="6"/>
              <w:sym w:font="Symbol" w:char="F02A"/>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Kopējā fosfora daudzuma ieplūdes kvalitāte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 fosfora</w:t>
            </w:r>
            <w:r w:rsidRPr="00997F4B">
              <w:rPr>
                <w:rFonts w:ascii="Times New Roman" w:hAnsi="Times New Roman" w:cs="Times New Roman"/>
                <w:noProof/>
                <w:sz w:val="24"/>
                <w:szCs w:val="24"/>
                <w:vertAlign w:val="superscript"/>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BSP</w:t>
            </w:r>
            <w:r w:rsidRPr="00953F7C">
              <w:rPr>
                <w:rFonts w:ascii="Times New Roman" w:hAnsi="Times New Roman" w:cs="Times New Roman"/>
                <w:noProof/>
                <w:sz w:val="24"/>
                <w:szCs w:val="24"/>
                <w:vertAlign w:val="subscript"/>
                <w:lang w:val="en-US"/>
              </w:rPr>
              <w:t>5</w:t>
            </w:r>
            <w:r w:rsidRPr="00953F7C">
              <w:rPr>
                <w:rFonts w:ascii="Times New Roman" w:hAnsi="Times New Roman" w:cs="Times New Roman"/>
                <w:noProof/>
                <w:sz w:val="24"/>
                <w:szCs w:val="24"/>
                <w:lang w:val="en-US"/>
              </w:rPr>
              <w:t xml:space="preserve"> bez nitrifikācijas ieplūdes kvalitāte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Maksimālā hidrauliskā slodze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m3/dienā</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Minimālā hidrauliskā slodze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m3/dienā</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Vidējā hidrauliskā slodze (Qi)</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m3/dienā</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Izplūdes plūsma (Qe)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m3/dienā</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Šķīduma</w:t>
            </w:r>
            <w:r w:rsidRPr="00953F7C">
              <w:rPr>
                <w:rFonts w:ascii="Times New Roman" w:hAnsi="Times New Roman" w:cs="Times New Roman"/>
                <w:noProof/>
                <w:sz w:val="24"/>
                <w:szCs w:val="24"/>
                <w:lang w:val="en-US"/>
              </w:rPr>
              <w:t xml:space="preserve"> kompensācijas koeficients (Qi/Qe)</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Kopējā suspendēto ciet</w:t>
            </w:r>
            <w:r>
              <w:rPr>
                <w:rFonts w:ascii="Times New Roman" w:hAnsi="Times New Roman" w:cs="Times New Roman"/>
                <w:noProof/>
                <w:sz w:val="24"/>
                <w:szCs w:val="24"/>
                <w:lang w:val="en-US"/>
              </w:rPr>
              <w:t xml:space="preserve">o </w:t>
            </w:r>
            <w:r w:rsidRPr="00953F7C">
              <w:rPr>
                <w:rFonts w:ascii="Times New Roman" w:hAnsi="Times New Roman" w:cs="Times New Roman"/>
                <w:noProof/>
                <w:sz w:val="24"/>
                <w:szCs w:val="24"/>
                <w:lang w:val="en-US"/>
              </w:rPr>
              <w:t>vielu daudzuma ģeometriskais vidējais lielums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Termoizturīgo z</w:t>
            </w:r>
            <w:r>
              <w:rPr>
                <w:rFonts w:ascii="Times New Roman" w:hAnsi="Times New Roman" w:cs="Times New Roman"/>
                <w:noProof/>
                <w:sz w:val="24"/>
                <w:szCs w:val="24"/>
                <w:lang w:val="en-US"/>
              </w:rPr>
              <w:t>arnu nūjiņu skaita</w:t>
            </w:r>
            <w:r w:rsidRPr="00953F7C">
              <w:rPr>
                <w:rFonts w:ascii="Times New Roman" w:hAnsi="Times New Roman" w:cs="Times New Roman"/>
                <w:noProof/>
                <w:sz w:val="24"/>
                <w:szCs w:val="24"/>
                <w:lang w:val="en-US"/>
              </w:rPr>
              <w:t xml:space="preserve"> vidējais</w:t>
            </w:r>
            <w:r>
              <w:rPr>
                <w:rFonts w:ascii="Times New Roman" w:hAnsi="Times New Roman" w:cs="Times New Roman"/>
                <w:noProof/>
                <w:sz w:val="24"/>
                <w:szCs w:val="24"/>
                <w:lang w:val="en-US"/>
              </w:rPr>
              <w:t xml:space="preserve"> ģeometriskais</w:t>
            </w:r>
            <w:r w:rsidRPr="00953F7C">
              <w:rPr>
                <w:rFonts w:ascii="Times New Roman" w:hAnsi="Times New Roman" w:cs="Times New Roman"/>
                <w:noProof/>
                <w:sz w:val="24"/>
                <w:szCs w:val="24"/>
                <w:lang w:val="en-US"/>
              </w:rPr>
              <w:t xml:space="preserve"> lielums</w:t>
            </w:r>
            <w:r>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zarnu nūjiņas/100 ml</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BSP</w:t>
            </w:r>
            <w:r w:rsidRPr="00953F7C">
              <w:rPr>
                <w:rFonts w:ascii="Times New Roman" w:hAnsi="Times New Roman" w:cs="Times New Roman"/>
                <w:noProof/>
                <w:sz w:val="24"/>
                <w:szCs w:val="24"/>
                <w:vertAlign w:val="subscript"/>
                <w:lang w:val="en-US"/>
              </w:rPr>
              <w:t>5</w:t>
            </w:r>
            <w:r w:rsidRPr="00953F7C">
              <w:rPr>
                <w:rFonts w:ascii="Times New Roman" w:hAnsi="Times New Roman" w:cs="Times New Roman"/>
                <w:noProof/>
                <w:sz w:val="24"/>
                <w:szCs w:val="24"/>
                <w:lang w:val="en-US"/>
              </w:rPr>
              <w:t xml:space="preserve"> b</w:t>
            </w:r>
            <w:r>
              <w:rPr>
                <w:rFonts w:ascii="Times New Roman" w:hAnsi="Times New Roman" w:cs="Times New Roman"/>
                <w:noProof/>
                <w:sz w:val="24"/>
                <w:szCs w:val="24"/>
                <w:lang w:val="en-US"/>
              </w:rPr>
              <w:t xml:space="preserve">ez nitrifikācijas </w:t>
            </w:r>
            <w:r w:rsidRPr="00953F7C">
              <w:rPr>
                <w:rFonts w:ascii="Times New Roman" w:hAnsi="Times New Roman" w:cs="Times New Roman"/>
                <w:noProof/>
                <w:sz w:val="24"/>
                <w:szCs w:val="24"/>
                <w:lang w:val="en-US"/>
              </w:rPr>
              <w:t>vidējais</w:t>
            </w:r>
            <w:r>
              <w:rPr>
                <w:rFonts w:ascii="Times New Roman" w:hAnsi="Times New Roman" w:cs="Times New Roman"/>
                <w:noProof/>
                <w:sz w:val="24"/>
                <w:szCs w:val="24"/>
                <w:lang w:val="en-US"/>
              </w:rPr>
              <w:t xml:space="preserve"> ģeometriskais</w:t>
            </w:r>
            <w:r w:rsidRPr="00953F7C">
              <w:rPr>
                <w:rFonts w:ascii="Times New Roman" w:hAnsi="Times New Roman" w:cs="Times New Roman"/>
                <w:noProof/>
                <w:sz w:val="24"/>
                <w:szCs w:val="24"/>
                <w:lang w:val="en-US"/>
              </w:rPr>
              <w:t xml:space="preserve"> lielums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ĶSP </w:t>
            </w:r>
            <w:r w:rsidRPr="00953F7C">
              <w:rPr>
                <w:rFonts w:ascii="Times New Roman" w:hAnsi="Times New Roman" w:cs="Times New Roman"/>
                <w:noProof/>
                <w:sz w:val="24"/>
                <w:szCs w:val="24"/>
                <w:lang w:val="en-US"/>
              </w:rPr>
              <w:t>vidējais</w:t>
            </w:r>
            <w:r>
              <w:rPr>
                <w:rFonts w:ascii="Times New Roman" w:hAnsi="Times New Roman" w:cs="Times New Roman"/>
                <w:noProof/>
                <w:sz w:val="24"/>
                <w:szCs w:val="24"/>
                <w:lang w:val="en-US"/>
              </w:rPr>
              <w:t xml:space="preserve"> ģeometriskais</w:t>
            </w:r>
            <w:r w:rsidRPr="00953F7C">
              <w:rPr>
                <w:rFonts w:ascii="Times New Roman" w:hAnsi="Times New Roman" w:cs="Times New Roman"/>
                <w:noProof/>
                <w:sz w:val="24"/>
                <w:szCs w:val="24"/>
                <w:lang w:val="en-US"/>
              </w:rPr>
              <w:t xml:space="preserve"> lielums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Kopējā</w:t>
            </w:r>
            <w:r>
              <w:rPr>
                <w:rFonts w:ascii="Times New Roman" w:hAnsi="Times New Roman" w:cs="Times New Roman"/>
                <w:noProof/>
                <w:sz w:val="24"/>
                <w:szCs w:val="24"/>
                <w:lang w:val="en-US"/>
              </w:rPr>
              <w:t xml:space="preserve"> slāpekļa daudzuma</w:t>
            </w:r>
            <w:r w:rsidRPr="00953F7C">
              <w:rPr>
                <w:rFonts w:ascii="Times New Roman" w:hAnsi="Times New Roman" w:cs="Times New Roman"/>
                <w:noProof/>
                <w:sz w:val="24"/>
                <w:szCs w:val="24"/>
                <w:lang w:val="en-US"/>
              </w:rPr>
              <w:t xml:space="preserve"> vidējais</w:t>
            </w:r>
            <w:r>
              <w:rPr>
                <w:rFonts w:ascii="Times New Roman" w:hAnsi="Times New Roman" w:cs="Times New Roman"/>
                <w:noProof/>
                <w:sz w:val="24"/>
                <w:szCs w:val="24"/>
                <w:lang w:val="en-US"/>
              </w:rPr>
              <w:t xml:space="preserve"> ģeometriskais</w:t>
            </w:r>
            <w:r w:rsidRPr="00953F7C">
              <w:rPr>
                <w:rFonts w:ascii="Times New Roman" w:hAnsi="Times New Roman" w:cs="Times New Roman"/>
                <w:noProof/>
                <w:sz w:val="24"/>
                <w:szCs w:val="24"/>
                <w:lang w:val="en-US"/>
              </w:rPr>
              <w:t xml:space="preserve"> lielums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 vai %</w:t>
            </w:r>
            <w:r w:rsidRPr="00997F4B">
              <w:rPr>
                <w:rFonts w:ascii="Times New Roman" w:hAnsi="Times New Roman" w:cs="Times New Roman"/>
                <w:noProof/>
                <w:sz w:val="24"/>
                <w:szCs w:val="24"/>
                <w:vertAlign w:val="superscript"/>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Kopējā</w:t>
            </w:r>
            <w:r>
              <w:rPr>
                <w:rFonts w:ascii="Times New Roman" w:hAnsi="Times New Roman" w:cs="Times New Roman"/>
                <w:noProof/>
                <w:sz w:val="24"/>
                <w:szCs w:val="24"/>
                <w:lang w:val="en-US"/>
              </w:rPr>
              <w:t xml:space="preserve"> fosfora daudzuma </w:t>
            </w:r>
            <w:r w:rsidRPr="00953F7C">
              <w:rPr>
                <w:rFonts w:ascii="Times New Roman" w:hAnsi="Times New Roman" w:cs="Times New Roman"/>
                <w:noProof/>
                <w:sz w:val="24"/>
                <w:szCs w:val="24"/>
                <w:lang w:val="en-US"/>
              </w:rPr>
              <w:t>vidējais</w:t>
            </w:r>
            <w:r>
              <w:rPr>
                <w:rFonts w:ascii="Times New Roman" w:hAnsi="Times New Roman" w:cs="Times New Roman"/>
                <w:noProof/>
                <w:sz w:val="24"/>
                <w:szCs w:val="24"/>
                <w:lang w:val="en-US"/>
              </w:rPr>
              <w:t xml:space="preserve"> ģeometriskais</w:t>
            </w:r>
            <w:r w:rsidRPr="00953F7C">
              <w:rPr>
                <w:rFonts w:ascii="Times New Roman" w:hAnsi="Times New Roman" w:cs="Times New Roman"/>
                <w:noProof/>
                <w:sz w:val="24"/>
                <w:szCs w:val="24"/>
                <w:lang w:val="en-US"/>
              </w:rPr>
              <w:t xml:space="preserve"> lielums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 vai %</w:t>
            </w:r>
            <w:r w:rsidRPr="00997F4B">
              <w:rPr>
                <w:rFonts w:ascii="Times New Roman" w:hAnsi="Times New Roman" w:cs="Times New Roman"/>
                <w:noProof/>
                <w:sz w:val="24"/>
                <w:szCs w:val="24"/>
                <w:vertAlign w:val="superscript"/>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Maksimālais pH līmenis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Minimālais pH līmenis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Izmant</w:t>
            </w:r>
            <w:r>
              <w:rPr>
                <w:rFonts w:ascii="Times New Roman" w:hAnsi="Times New Roman" w:cs="Times New Roman"/>
                <w:noProof/>
                <w:sz w:val="24"/>
                <w:szCs w:val="24"/>
                <w:lang w:val="en-US"/>
              </w:rPr>
              <w:t>otās dezinficējošās vielas tips............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RPr="00953F7C" w:rsidTr="00C57803">
        <w:tc>
          <w:tcPr>
            <w:tcW w:w="5000" w:type="pct"/>
          </w:tcPr>
          <w:p w:rsidR="00030855" w:rsidRPr="00953F7C" w:rsidRDefault="00030855" w:rsidP="00C57803">
            <w:pPr>
              <w:jc w:val="both"/>
              <w:rPr>
                <w:rFonts w:ascii="Times New Roman" w:hAnsi="Times New Roman" w:cs="Times New Roman"/>
                <w:noProof/>
                <w:sz w:val="24"/>
                <w:szCs w:val="24"/>
                <w:lang w:val="en-US"/>
              </w:rPr>
            </w:pPr>
            <w:r w:rsidRPr="00953F7C">
              <w:rPr>
                <w:rFonts w:ascii="Times New Roman" w:hAnsi="Times New Roman" w:cs="Times New Roman"/>
                <w:noProof/>
                <w:sz w:val="24"/>
                <w:szCs w:val="24"/>
                <w:lang w:val="en-US"/>
              </w:rPr>
              <w:t>Ja lietots hlors, atlikušais hlora daudzums:</w:t>
            </w:r>
          </w:p>
          <w:p w:rsidR="00030855" w:rsidRPr="00953F7C"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Maksimālais daudzums.....................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p w:rsidR="00030855" w:rsidRPr="00953F7C"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w:t>
            </w:r>
            <w:r w:rsidRPr="00953F7C">
              <w:rPr>
                <w:rFonts w:ascii="Times New Roman" w:hAnsi="Times New Roman" w:cs="Times New Roman"/>
                <w:noProof/>
                <w:sz w:val="24"/>
                <w:szCs w:val="24"/>
                <w:lang w:val="en-US"/>
              </w:rPr>
              <w:t>inimālai</w:t>
            </w:r>
            <w:r>
              <w:rPr>
                <w:rFonts w:ascii="Times New Roman" w:hAnsi="Times New Roman" w:cs="Times New Roman"/>
                <w:noProof/>
                <w:sz w:val="24"/>
                <w:szCs w:val="24"/>
                <w:lang w:val="en-US"/>
              </w:rPr>
              <w:t>s daudzums............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p w:rsidR="00030855" w:rsidRPr="00953F7C"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Vidējais ģeometriskais lielums..................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sidRPr="00953F7C">
              <w:rPr>
                <w:rFonts w:ascii="Times New Roman" w:hAnsi="Times New Roman" w:cs="Times New Roman"/>
                <w:noProof/>
                <w:sz w:val="24"/>
                <w:szCs w:val="24"/>
                <w:lang w:val="en-US"/>
              </w:rPr>
              <w:t>mg/l</w:t>
            </w:r>
          </w:p>
        </w:tc>
      </w:tr>
    </w:tbl>
    <w:p w:rsidR="00030855" w:rsidRPr="00685A2E" w:rsidRDefault="00030855" w:rsidP="00030855">
      <w:pPr>
        <w:tabs>
          <w:tab w:val="left" w:pos="7371"/>
        </w:tabs>
        <w:jc w:val="both"/>
        <w:rPr>
          <w:rFonts w:ascii="Times New Roman" w:eastAsia="Arial"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1"/>
      </w:tblGrid>
      <w:tr w:rsidR="00030855" w:rsidTr="00C57803">
        <w:tc>
          <w:tcPr>
            <w:tcW w:w="5000" w:type="pct"/>
          </w:tcPr>
          <w:p w:rsidR="00030855" w:rsidRDefault="00030855" w:rsidP="00C57803">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Vai notekūdeņu attīrīšanas iekārta tika pārbaudīta, noskalošanai izmantojot: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Saldūdeni?............</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Jā/Nē</w:t>
            </w:r>
            <w:r w:rsidRPr="00997F4B">
              <w:rPr>
                <w:rStyle w:val="FootnoteReference"/>
                <w:rFonts w:ascii="Times New Roman" w:hAnsi="Times New Roman" w:cs="Times New Roman"/>
                <w:noProof/>
                <w:sz w:val="24"/>
                <w:szCs w:val="24"/>
                <w:lang w:val="en-US"/>
              </w:rPr>
              <w:footnoteReference w:customMarkFollows="1" w:id="7"/>
              <w:sym w:font="Symbol" w:char="F02A"/>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w:t>
            </w:r>
            <w:r w:rsidRPr="00A97DCE">
              <w:rPr>
                <w:rFonts w:ascii="Times New Roman" w:hAnsi="Times New Roman" w:cs="Times New Roman"/>
                <w:noProof/>
                <w:sz w:val="24"/>
                <w:szCs w:val="24"/>
                <w:lang w:val="en-US"/>
              </w:rPr>
              <w:t>ālsūdeni?</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....Jā/Nē</w:t>
            </w:r>
            <w:r w:rsidRPr="00997F4B">
              <w:rPr>
                <w:rFonts w:ascii="Times New Roman" w:hAnsi="Times New Roman" w:cs="Times New Roman"/>
                <w:noProof/>
                <w:sz w:val="24"/>
                <w:szCs w:val="24"/>
                <w:vertAlign w:val="superscript"/>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w:t>
            </w:r>
            <w:r w:rsidRPr="00A97DCE">
              <w:rPr>
                <w:rFonts w:ascii="Times New Roman" w:hAnsi="Times New Roman" w:cs="Times New Roman"/>
                <w:noProof/>
                <w:sz w:val="24"/>
                <w:szCs w:val="24"/>
                <w:lang w:val="en-US"/>
              </w:rPr>
              <w:t>aldūdeni un sālsūdeni?</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Jā/Nē</w:t>
            </w:r>
            <w:r w:rsidRPr="00997F4B">
              <w:rPr>
                <w:rFonts w:ascii="Times New Roman" w:hAnsi="Times New Roman" w:cs="Times New Roman"/>
                <w:noProof/>
                <w:sz w:val="24"/>
                <w:szCs w:val="24"/>
                <w:vertAlign w:val="superscript"/>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Pievienojot pelēkos ūdeņus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....Jā- proporcija:</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..../Nē</w:t>
            </w:r>
            <w:r w:rsidRPr="00997F4B">
              <w:rPr>
                <w:rFonts w:ascii="Times New Roman" w:hAnsi="Times New Roman" w:cs="Times New Roman"/>
                <w:noProof/>
                <w:sz w:val="24"/>
                <w:szCs w:val="24"/>
                <w:vertAlign w:val="superscript"/>
                <w:lang w:val="en-US"/>
              </w:rPr>
              <w:t>*</w:t>
            </w:r>
          </w:p>
        </w:tc>
      </w:tr>
    </w:tbl>
    <w:p w:rsidR="00030855" w:rsidRDefault="00030855" w:rsidP="00030855">
      <w:pPr>
        <w:jc w:val="both"/>
        <w:rPr>
          <w:rFonts w:ascii="Times New Roman" w:eastAsia="Arial" w:hAnsi="Times New Roman" w:cs="Times New Roman"/>
          <w:noProof/>
          <w:sz w:val="24"/>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1"/>
      </w:tblGrid>
      <w:tr w:rsidR="00030855" w:rsidTr="00C57803">
        <w:tc>
          <w:tcPr>
            <w:tcW w:w="5000" w:type="pct"/>
          </w:tcPr>
          <w:p w:rsidR="00030855" w:rsidRDefault="00030855" w:rsidP="00C57803">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Vai notekūdeņu attīrīšanas iekārta tika pārbaudīta vides apstākļos, kas norādīti Rezolū</w:t>
            </w:r>
            <w:r>
              <w:rPr>
                <w:rFonts w:ascii="Times New Roman" w:hAnsi="Times New Roman" w:cs="Times New Roman"/>
                <w:noProof/>
                <w:sz w:val="24"/>
                <w:szCs w:val="24"/>
                <w:lang w:val="en-US"/>
              </w:rPr>
              <w:t>cijas MEPC.227(64) 5.9. punktā:</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Temperatūra.......................</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Jā/Nē</w:t>
            </w:r>
            <w:r w:rsidRPr="00997F4B">
              <w:rPr>
                <w:rFonts w:ascii="Times New Roman" w:hAnsi="Times New Roman" w:cs="Times New Roman"/>
                <w:noProof/>
                <w:sz w:val="24"/>
                <w:szCs w:val="24"/>
                <w:vertAlign w:val="superscript"/>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Mitrums............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Jā/Nē</w:t>
            </w:r>
            <w:r w:rsidRPr="00997F4B">
              <w:rPr>
                <w:rFonts w:ascii="Times New Roman" w:hAnsi="Times New Roman" w:cs="Times New Roman"/>
                <w:noProof/>
                <w:sz w:val="24"/>
                <w:szCs w:val="24"/>
                <w:vertAlign w:val="subscript"/>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Inklinācija.......................</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Jā/Nē</w:t>
            </w:r>
            <w:r w:rsidRPr="00997F4B">
              <w:rPr>
                <w:rFonts w:ascii="Times New Roman" w:hAnsi="Times New Roman" w:cs="Times New Roman"/>
                <w:noProof/>
                <w:sz w:val="24"/>
                <w:szCs w:val="24"/>
                <w:vertAlign w:val="superscript"/>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Vibrācija.........................</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Jā/Nē</w:t>
            </w:r>
            <w:r w:rsidRPr="00997F4B">
              <w:rPr>
                <w:rFonts w:ascii="Times New Roman" w:hAnsi="Times New Roman" w:cs="Times New Roman"/>
                <w:noProof/>
                <w:sz w:val="24"/>
                <w:szCs w:val="24"/>
                <w:vertAlign w:val="superscript"/>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Elektroiekārtu un elektronisko iekā</w:t>
            </w:r>
            <w:r>
              <w:rPr>
                <w:rFonts w:ascii="Times New Roman" w:hAnsi="Times New Roman" w:cs="Times New Roman"/>
                <w:noProof/>
                <w:sz w:val="24"/>
                <w:szCs w:val="24"/>
                <w:lang w:val="en-US"/>
              </w:rPr>
              <w:t>rtu uzticamība......</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Jā/Nē</w:t>
            </w:r>
            <w:r w:rsidRPr="00997F4B">
              <w:rPr>
                <w:rFonts w:ascii="Times New Roman" w:hAnsi="Times New Roman" w:cs="Times New Roman"/>
                <w:noProof/>
                <w:sz w:val="24"/>
                <w:szCs w:val="24"/>
                <w:vertAlign w:val="superscript"/>
                <w:lang w:val="en-US"/>
              </w:rPr>
              <w:t>*</w:t>
            </w:r>
          </w:p>
        </w:tc>
      </w:tr>
    </w:tbl>
    <w:p w:rsidR="00030855" w:rsidRPr="00685A2E" w:rsidRDefault="00030855" w:rsidP="00030855">
      <w:pPr>
        <w:jc w:val="both"/>
        <w:rPr>
          <w:rFonts w:ascii="Times New Roman" w:eastAsia="Arial" w:hAnsi="Times New Roman" w:cs="Times New Roman"/>
          <w:noProof/>
          <w:sz w:val="24"/>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1"/>
      </w:tblGrid>
      <w:tr w:rsidR="00030855" w:rsidTr="00C57803">
        <w:tc>
          <w:tcPr>
            <w:tcW w:w="5000" w:type="pct"/>
          </w:tcPr>
          <w:p w:rsidR="00030855" w:rsidRDefault="00030855" w:rsidP="00C57803">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Ekspluatācijas ierobežojumi u</w:t>
            </w:r>
            <w:r>
              <w:rPr>
                <w:rFonts w:ascii="Times New Roman" w:hAnsi="Times New Roman" w:cs="Times New Roman"/>
                <w:noProof/>
                <w:sz w:val="24"/>
                <w:szCs w:val="24"/>
                <w:lang w:val="en-US"/>
              </w:rPr>
              <w:t>n nosacījumi šādu apstākļu dēļ:</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Sāļums............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Temperatūra............</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Mitrums............</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Inklinācija............</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r w:rsidR="00030855" w:rsidTr="00C57803">
        <w:tc>
          <w:tcPr>
            <w:tcW w:w="5000" w:type="pct"/>
          </w:tcPr>
          <w:p w:rsidR="00030855" w:rsidRDefault="00030855" w:rsidP="00C57803">
            <w:pPr>
              <w:ind w:left="8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Vibrācija............</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bl>
    <w:p w:rsidR="00030855" w:rsidRPr="00A97DCE" w:rsidRDefault="00030855" w:rsidP="00030855">
      <w:pPr>
        <w:jc w:val="both"/>
        <w:rPr>
          <w:rFonts w:ascii="Times New Roman" w:hAnsi="Times New Roman" w:cs="Times New Roman"/>
          <w:noProof/>
          <w:sz w:val="24"/>
          <w:szCs w:val="24"/>
          <w:lang w:val="en-US"/>
        </w:rPr>
      </w:pPr>
    </w:p>
    <w:p w:rsidR="00030855" w:rsidRPr="00A97DCE" w:rsidRDefault="00030855" w:rsidP="00030855">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Citu pārbaudīto parametru rezultāti</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p>
    <w:p w:rsidR="00030855" w:rsidRDefault="00030855" w:rsidP="00030855">
      <w:pPr>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85"/>
        <w:gridCol w:w="1160"/>
        <w:gridCol w:w="4376"/>
      </w:tblGrid>
      <w:tr w:rsidR="00030855" w:rsidTr="00C57803">
        <w:tc>
          <w:tcPr>
            <w:tcW w:w="2032" w:type="pct"/>
          </w:tcPr>
          <w:p w:rsidR="00030855" w:rsidRDefault="00030855" w:rsidP="00C57803">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Oficiālais zīmogs</w:t>
            </w:r>
          </w:p>
        </w:tc>
        <w:tc>
          <w:tcPr>
            <w:tcW w:w="703" w:type="pct"/>
          </w:tcPr>
          <w:p w:rsidR="00030855" w:rsidRDefault="00030855" w:rsidP="00C57803">
            <w:pPr>
              <w:jc w:val="center"/>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Paraksts</w:t>
            </w:r>
          </w:p>
        </w:tc>
        <w:tc>
          <w:tcPr>
            <w:tcW w:w="2265" w:type="pct"/>
          </w:tcPr>
          <w:p w:rsidR="00030855" w:rsidRDefault="00030855" w:rsidP="00C57803">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tc>
      </w:tr>
    </w:tbl>
    <w:p w:rsidR="00030855" w:rsidRDefault="00030855" w:rsidP="00030855">
      <w:pPr>
        <w:jc w:val="both"/>
        <w:rPr>
          <w:rFonts w:ascii="Times New Roman" w:hAnsi="Times New Roman" w:cs="Times New Roman"/>
          <w:noProof/>
          <w:sz w:val="24"/>
          <w:szCs w:val="24"/>
          <w:lang w:val="en-US"/>
        </w:rPr>
      </w:pPr>
    </w:p>
    <w:p w:rsidR="00030855" w:rsidRDefault="00030855" w:rsidP="00030855">
      <w:pPr>
        <w:jc w:val="both"/>
        <w:rPr>
          <w:rFonts w:ascii="Times New Roman" w:hAnsi="Times New Roman" w:cs="Times New Roman"/>
          <w:noProof/>
          <w:sz w:val="24"/>
          <w:szCs w:val="24"/>
          <w:lang w:val="en-US"/>
        </w:rPr>
      </w:pPr>
    </w:p>
    <w:p w:rsidR="00030855" w:rsidRDefault="00030855" w:rsidP="00030855">
      <w:pPr>
        <w:jc w:val="both"/>
        <w:rPr>
          <w:rFonts w:ascii="Times New Roman" w:hAnsi="Times New Roman" w:cs="Times New Roman"/>
          <w:noProof/>
          <w:sz w:val="24"/>
          <w:szCs w:val="24"/>
          <w:lang w:val="en-US"/>
        </w:rPr>
      </w:pPr>
    </w:p>
    <w:p w:rsidR="00030855" w:rsidRPr="00A97DCE" w:rsidRDefault="00030855" w:rsidP="00030855">
      <w:pPr>
        <w:jc w:val="both"/>
        <w:rPr>
          <w:rFonts w:ascii="Times New Roman" w:hAnsi="Times New Roman" w:cs="Times New Roman"/>
          <w:noProof/>
          <w:sz w:val="24"/>
          <w:szCs w:val="24"/>
          <w:lang w:val="en-US"/>
        </w:rPr>
      </w:pPr>
    </w:p>
    <w:p w:rsidR="00030855" w:rsidRPr="00A97DCE" w:rsidRDefault="00030855" w:rsidP="00030855">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Administrācija</w:t>
      </w:r>
      <w:r>
        <w:rPr>
          <w:rFonts w:ascii="Times New Roman" w:hAnsi="Times New Roman" w:cs="Times New Roman"/>
          <w:noProof/>
          <w:sz w:val="24"/>
          <w:szCs w:val="24"/>
          <w:lang w:val="en-US"/>
        </w:rPr>
        <w:t xml:space="preserve"> </w:t>
      </w:r>
      <w:r w:rsidRPr="00A97DCE">
        <w:rPr>
          <w:rFonts w:ascii="Times New Roman" w:hAnsi="Times New Roman" w:cs="Times New Roman"/>
          <w:noProof/>
          <w:sz w:val="24"/>
          <w:szCs w:val="24"/>
          <w:lang w:val="en-US"/>
        </w:rPr>
        <w:t>.................................................</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p w:rsidR="00030855" w:rsidRDefault="00030855" w:rsidP="00030855">
      <w:pPr>
        <w:jc w:val="both"/>
        <w:rPr>
          <w:rFonts w:ascii="Times New Roman" w:hAnsi="Times New Roman" w:cs="Times New Roman"/>
          <w:noProof/>
          <w:sz w:val="24"/>
          <w:szCs w:val="24"/>
          <w:lang w:val="en-US"/>
        </w:rPr>
      </w:pPr>
    </w:p>
    <w:p w:rsidR="00030855" w:rsidRDefault="00030855" w:rsidP="00030855">
      <w:pPr>
        <w:jc w:val="both"/>
        <w:rPr>
          <w:rFonts w:ascii="Times New Roman" w:hAnsi="Times New Roman" w:cs="Times New Roman"/>
          <w:noProof/>
          <w:sz w:val="24"/>
          <w:szCs w:val="24"/>
          <w:lang w:val="en-US"/>
        </w:rPr>
      </w:pPr>
    </w:p>
    <w:p w:rsidR="00030855" w:rsidRDefault="00030855" w:rsidP="00030855">
      <w:pPr>
        <w:jc w:val="both"/>
        <w:rPr>
          <w:rFonts w:ascii="Times New Roman" w:hAnsi="Times New Roman" w:cs="Times New Roman"/>
          <w:noProof/>
          <w:sz w:val="24"/>
          <w:szCs w:val="24"/>
          <w:lang w:val="en-US"/>
        </w:rPr>
      </w:pPr>
    </w:p>
    <w:p w:rsidR="00030855" w:rsidRDefault="00030855" w:rsidP="00030855">
      <w:pPr>
        <w:jc w:val="both"/>
        <w:rPr>
          <w:rFonts w:ascii="Times New Roman" w:hAnsi="Times New Roman" w:cs="Times New Roman"/>
          <w:noProof/>
          <w:sz w:val="24"/>
          <w:szCs w:val="24"/>
          <w:lang w:val="en-US"/>
        </w:rPr>
      </w:pPr>
    </w:p>
    <w:p w:rsidR="00030855" w:rsidRPr="002430A1" w:rsidRDefault="00030855" w:rsidP="00030855">
      <w:pPr>
        <w:jc w:val="both"/>
        <w:rPr>
          <w:rFonts w:ascii="Times New Roman" w:hAnsi="Times New Roman" w:cs="Times New Roman"/>
          <w:noProof/>
          <w:sz w:val="24"/>
          <w:szCs w:val="24"/>
          <w:lang w:val="en-US"/>
        </w:rPr>
      </w:pPr>
      <w:r w:rsidRPr="00A97DCE">
        <w:rPr>
          <w:rFonts w:ascii="Times New Roman" w:hAnsi="Times New Roman" w:cs="Times New Roman"/>
          <w:noProof/>
          <w:sz w:val="24"/>
          <w:szCs w:val="24"/>
          <w:lang w:val="en-US"/>
        </w:rPr>
        <w:t>Datēts.........................</w:t>
      </w:r>
      <w:r>
        <w:rPr>
          <w:rFonts w:ascii="Times New Roman" w:hAnsi="Times New Roman" w:cs="Times New Roman"/>
          <w:noProof/>
          <w:sz w:val="24"/>
          <w:szCs w:val="24"/>
          <w:lang w:val="en-US"/>
        </w:rPr>
        <w:t>..............</w:t>
      </w:r>
      <w:r w:rsidRPr="00A97DCE">
        <w:rPr>
          <w:rFonts w:ascii="Times New Roman" w:hAnsi="Times New Roman" w:cs="Times New Roman"/>
          <w:noProof/>
          <w:sz w:val="24"/>
          <w:szCs w:val="24"/>
          <w:lang w:val="en-US"/>
        </w:rPr>
        <w:t>.......................</w:t>
      </w:r>
    </w:p>
    <w:p w:rsidR="00833CA0" w:rsidRPr="00E946CA" w:rsidRDefault="00833CA0" w:rsidP="00030855">
      <w:pPr>
        <w:jc w:val="both"/>
        <w:rPr>
          <w:rFonts w:ascii="Times New Roman" w:eastAsia="Arial" w:hAnsi="Times New Roman" w:cs="Times New Roman"/>
          <w:noProof/>
          <w:sz w:val="24"/>
        </w:rPr>
      </w:pPr>
    </w:p>
    <w:sectPr w:rsidR="00833CA0" w:rsidRPr="00E946CA" w:rsidSect="00E946CA">
      <w:headerReference w:type="default" r:id="rId13"/>
      <w:footerReference w:type="default" r:id="rId14"/>
      <w:headerReference w:type="first" r:id="rId15"/>
      <w:footerReference w:type="first" r:id="rId16"/>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169" w:rsidRPr="00833CA0" w:rsidRDefault="00833CA0">
      <w:pPr>
        <w:rPr>
          <w:noProof/>
        </w:rPr>
      </w:pPr>
      <w:r w:rsidRPr="00833CA0">
        <w:rPr>
          <w:noProof/>
        </w:rPr>
        <w:separator/>
      </w:r>
    </w:p>
  </w:endnote>
  <w:endnote w:type="continuationSeparator" w:id="0">
    <w:p w:rsidR="00904169" w:rsidRPr="00833CA0" w:rsidRDefault="00833CA0">
      <w:pPr>
        <w:rPr>
          <w:noProof/>
        </w:rPr>
      </w:pPr>
      <w:r w:rsidRPr="00833CA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CA" w:rsidRPr="00961AEA" w:rsidRDefault="00E946CA" w:rsidP="00E946CA">
    <w:pPr>
      <w:pStyle w:val="Header"/>
      <w:tabs>
        <w:tab w:val="clear" w:pos="4153"/>
        <w:tab w:val="clear" w:pos="8306"/>
        <w:tab w:val="left" w:pos="9072"/>
      </w:tabs>
      <w:jc w:val="both"/>
      <w:rPr>
        <w:rStyle w:val="PageNumber"/>
        <w:rFonts w:ascii="Times New Roman" w:hAnsi="Times New Roman" w:cs="Times New Roman"/>
        <w:sz w:val="20"/>
        <w:szCs w:val="20"/>
      </w:rPr>
    </w:pPr>
  </w:p>
  <w:p w:rsidR="00E946CA" w:rsidRPr="00961AEA" w:rsidRDefault="00E946CA" w:rsidP="00E946CA">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961AEA">
      <w:rPr>
        <w:rStyle w:val="PageNumber"/>
        <w:rFonts w:ascii="Times New Roman" w:hAnsi="Times New Roman" w:cs="Times New Roman"/>
        <w:sz w:val="20"/>
        <w:szCs w:val="20"/>
      </w:rPr>
      <w:tab/>
    </w:r>
  </w:p>
  <w:p w:rsidR="00E946CA" w:rsidRPr="00961AEA" w:rsidRDefault="00E946CA" w:rsidP="00E946CA">
    <w:pPr>
      <w:pStyle w:val="Header"/>
      <w:tabs>
        <w:tab w:val="clear" w:pos="4153"/>
        <w:tab w:val="clear" w:pos="8306"/>
        <w:tab w:val="right" w:pos="9072"/>
      </w:tabs>
      <w:jc w:val="both"/>
      <w:rPr>
        <w:rStyle w:val="PageNumber"/>
        <w:rFonts w:ascii="Times New Roman" w:hAnsi="Times New Roman" w:cs="Times New Roman"/>
        <w:sz w:val="20"/>
        <w:szCs w:val="20"/>
      </w:rPr>
    </w:pPr>
  </w:p>
  <w:p w:rsidR="00E946CA" w:rsidRPr="00961AEA" w:rsidRDefault="00E946CA" w:rsidP="00E946CA">
    <w:pPr>
      <w:pStyle w:val="Footer"/>
      <w:tabs>
        <w:tab w:val="clear" w:pos="4153"/>
        <w:tab w:val="clear" w:pos="8306"/>
        <w:tab w:val="right" w:pos="9072"/>
      </w:tabs>
      <w:jc w:val="both"/>
      <w:rPr>
        <w:rFonts w:ascii="Times New Roman" w:hAnsi="Times New Roman" w:cs="Times New Roman"/>
        <w:sz w:val="20"/>
        <w:szCs w:val="20"/>
      </w:rPr>
    </w:pPr>
    <w:r w:rsidRPr="00961AEA">
      <w:rPr>
        <w:rFonts w:ascii="Times New Roman" w:hAnsi="Times New Roman" w:cs="Times New Roman"/>
        <w:noProof/>
        <w:sz w:val="20"/>
        <w:szCs w:val="20"/>
      </w:rPr>
      <w:t xml:space="preserve">Tulkojums </w:t>
    </w:r>
    <w:r w:rsidRPr="00961AEA">
      <w:rPr>
        <w:rFonts w:ascii="Times New Roman" w:hAnsi="Times New Roman" w:cs="Times New Roman"/>
        <w:noProof/>
        <w:sz w:val="20"/>
        <w:szCs w:val="20"/>
      </w:rPr>
      <w:fldChar w:fldCharType="begin"/>
    </w:r>
    <w:r w:rsidRPr="00961AEA">
      <w:rPr>
        <w:rFonts w:ascii="Times New Roman" w:hAnsi="Times New Roman" w:cs="Times New Roman"/>
        <w:noProof/>
        <w:sz w:val="20"/>
        <w:szCs w:val="20"/>
      </w:rPr>
      <w:instrText>symbol 211 \f "Symbol" \s 9</w:instrText>
    </w:r>
    <w:r w:rsidRPr="00961AEA">
      <w:rPr>
        <w:rFonts w:ascii="Times New Roman" w:hAnsi="Times New Roman" w:cs="Times New Roman"/>
        <w:noProof/>
        <w:sz w:val="20"/>
        <w:szCs w:val="20"/>
      </w:rPr>
      <w:fldChar w:fldCharType="separate"/>
    </w:r>
    <w:r w:rsidRPr="00961AEA">
      <w:rPr>
        <w:rFonts w:ascii="Times New Roman" w:hAnsi="Times New Roman" w:cs="Times New Roman"/>
        <w:noProof/>
        <w:sz w:val="20"/>
        <w:szCs w:val="20"/>
      </w:rPr>
      <w:t>Ó</w:t>
    </w:r>
    <w:r w:rsidRPr="00961AEA">
      <w:rPr>
        <w:rFonts w:ascii="Times New Roman" w:hAnsi="Times New Roman" w:cs="Times New Roman"/>
        <w:noProof/>
        <w:sz w:val="20"/>
        <w:szCs w:val="20"/>
      </w:rPr>
      <w:fldChar w:fldCharType="end"/>
    </w:r>
    <w:r w:rsidRPr="00961AEA">
      <w:rPr>
        <w:rFonts w:ascii="Times New Roman" w:hAnsi="Times New Roman" w:cs="Times New Roman"/>
        <w:noProof/>
        <w:sz w:val="20"/>
        <w:szCs w:val="20"/>
      </w:rPr>
      <w:t xml:space="preserve"> Valsts valodas centrs, 2016</w:t>
    </w:r>
    <w:r w:rsidRPr="00961AEA">
      <w:rPr>
        <w:rFonts w:ascii="Times New Roman" w:hAnsi="Times New Roman" w:cs="Times New Roman"/>
        <w:sz w:val="20"/>
        <w:szCs w:val="20"/>
      </w:rPr>
      <w:tab/>
    </w:r>
    <w:r w:rsidRPr="00961AEA">
      <w:rPr>
        <w:rStyle w:val="PageNumber"/>
        <w:rFonts w:ascii="Times New Roman" w:hAnsi="Times New Roman" w:cs="Times New Roman"/>
        <w:sz w:val="20"/>
        <w:szCs w:val="20"/>
      </w:rPr>
      <w:fldChar w:fldCharType="begin"/>
    </w:r>
    <w:r w:rsidRPr="00961AEA">
      <w:rPr>
        <w:rStyle w:val="PageNumber"/>
        <w:rFonts w:ascii="Times New Roman" w:hAnsi="Times New Roman" w:cs="Times New Roman"/>
        <w:sz w:val="20"/>
        <w:szCs w:val="20"/>
      </w:rPr>
      <w:instrText xml:space="preserve">page </w:instrText>
    </w:r>
    <w:r w:rsidRPr="00961AEA">
      <w:rPr>
        <w:rStyle w:val="PageNumber"/>
        <w:rFonts w:ascii="Times New Roman" w:hAnsi="Times New Roman" w:cs="Times New Roman"/>
        <w:sz w:val="20"/>
        <w:szCs w:val="20"/>
      </w:rPr>
      <w:fldChar w:fldCharType="separate"/>
    </w:r>
    <w:r w:rsidR="009913A1">
      <w:rPr>
        <w:rStyle w:val="PageNumber"/>
        <w:rFonts w:ascii="Times New Roman" w:hAnsi="Times New Roman" w:cs="Times New Roman"/>
        <w:noProof/>
        <w:sz w:val="20"/>
        <w:szCs w:val="20"/>
      </w:rPr>
      <w:t>16</w:t>
    </w:r>
    <w:r w:rsidRPr="00961AEA">
      <w:rPr>
        <w:rStyle w:val="PageNumber"/>
        <w:rFonts w:ascii="Times New Roman" w:hAnsi="Times New Roman" w:cs="Times New Roman"/>
        <w:sz w:val="20"/>
        <w:szCs w:val="20"/>
      </w:rPr>
      <w:fldChar w:fldCharType="end"/>
    </w:r>
  </w:p>
  <w:p w:rsidR="00833CA0" w:rsidRDefault="00833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CA" w:rsidRPr="00961AEA" w:rsidRDefault="00E946CA" w:rsidP="00E946CA">
    <w:pPr>
      <w:pStyle w:val="Header"/>
      <w:tabs>
        <w:tab w:val="clear" w:pos="4153"/>
        <w:tab w:val="clear" w:pos="8306"/>
        <w:tab w:val="left" w:pos="9072"/>
      </w:tabs>
      <w:rPr>
        <w:rStyle w:val="PageNumber"/>
        <w:rFonts w:ascii="Times New Roman" w:hAnsi="Times New Roman" w:cs="Times New Roman"/>
        <w:sz w:val="20"/>
        <w:szCs w:val="20"/>
      </w:rPr>
    </w:pPr>
  </w:p>
  <w:p w:rsidR="00E946CA" w:rsidRPr="00961AEA" w:rsidRDefault="00E946CA" w:rsidP="00E946CA">
    <w:pPr>
      <w:pStyle w:val="Header"/>
      <w:tabs>
        <w:tab w:val="clear" w:pos="4153"/>
        <w:tab w:val="clear" w:pos="8306"/>
        <w:tab w:val="left" w:leader="underscore" w:pos="9072"/>
      </w:tabs>
      <w:rPr>
        <w:rStyle w:val="PageNumber"/>
        <w:rFonts w:ascii="Times New Roman" w:hAnsi="Times New Roman" w:cs="Times New Roman"/>
        <w:sz w:val="20"/>
        <w:szCs w:val="20"/>
      </w:rPr>
    </w:pPr>
    <w:r w:rsidRPr="00961AEA">
      <w:rPr>
        <w:rStyle w:val="PageNumber"/>
        <w:rFonts w:ascii="Times New Roman" w:hAnsi="Times New Roman" w:cs="Times New Roman"/>
        <w:sz w:val="20"/>
        <w:szCs w:val="20"/>
      </w:rPr>
      <w:tab/>
    </w:r>
  </w:p>
  <w:p w:rsidR="00E946CA" w:rsidRPr="00961AEA" w:rsidRDefault="00E946CA" w:rsidP="00E946CA">
    <w:pPr>
      <w:pStyle w:val="Header"/>
      <w:tabs>
        <w:tab w:val="clear" w:pos="4153"/>
        <w:tab w:val="clear" w:pos="8306"/>
        <w:tab w:val="left" w:pos="9072"/>
      </w:tabs>
      <w:rPr>
        <w:rStyle w:val="PageNumber"/>
        <w:rFonts w:ascii="Times New Roman" w:hAnsi="Times New Roman" w:cs="Times New Roman"/>
        <w:sz w:val="20"/>
        <w:szCs w:val="20"/>
      </w:rPr>
    </w:pPr>
  </w:p>
  <w:p w:rsidR="00E946CA" w:rsidRPr="00961AEA" w:rsidRDefault="00E946CA" w:rsidP="00E946CA">
    <w:pPr>
      <w:pStyle w:val="Footer"/>
      <w:rPr>
        <w:rFonts w:ascii="Times New Roman" w:hAnsi="Times New Roman" w:cs="Times New Roman"/>
        <w:sz w:val="20"/>
        <w:szCs w:val="20"/>
      </w:rPr>
    </w:pPr>
    <w:r w:rsidRPr="00961AEA">
      <w:rPr>
        <w:rFonts w:ascii="Times New Roman" w:hAnsi="Times New Roman" w:cs="Times New Roman"/>
        <w:noProof/>
        <w:sz w:val="20"/>
        <w:szCs w:val="20"/>
      </w:rPr>
      <w:t xml:space="preserve">Tulkojums </w:t>
    </w:r>
    <w:r w:rsidRPr="00961AEA">
      <w:rPr>
        <w:rFonts w:ascii="Times New Roman" w:hAnsi="Times New Roman" w:cs="Times New Roman"/>
        <w:noProof/>
        <w:sz w:val="20"/>
        <w:szCs w:val="20"/>
      </w:rPr>
      <w:fldChar w:fldCharType="begin"/>
    </w:r>
    <w:r w:rsidRPr="00961AEA">
      <w:rPr>
        <w:rFonts w:ascii="Times New Roman" w:hAnsi="Times New Roman" w:cs="Times New Roman"/>
        <w:noProof/>
        <w:sz w:val="20"/>
        <w:szCs w:val="20"/>
      </w:rPr>
      <w:instrText>symbol 211 \f "Symbol" \s 9</w:instrText>
    </w:r>
    <w:r w:rsidRPr="00961AEA">
      <w:rPr>
        <w:rFonts w:ascii="Times New Roman" w:hAnsi="Times New Roman" w:cs="Times New Roman"/>
        <w:noProof/>
        <w:sz w:val="20"/>
        <w:szCs w:val="20"/>
      </w:rPr>
      <w:fldChar w:fldCharType="separate"/>
    </w:r>
    <w:r w:rsidRPr="00961AEA">
      <w:rPr>
        <w:rFonts w:ascii="Times New Roman" w:hAnsi="Times New Roman" w:cs="Times New Roman"/>
        <w:noProof/>
        <w:sz w:val="20"/>
        <w:szCs w:val="20"/>
      </w:rPr>
      <w:t>Ó</w:t>
    </w:r>
    <w:r w:rsidRPr="00961AEA">
      <w:rPr>
        <w:rFonts w:ascii="Times New Roman" w:hAnsi="Times New Roman" w:cs="Times New Roman"/>
        <w:noProof/>
        <w:sz w:val="20"/>
        <w:szCs w:val="20"/>
      </w:rPr>
      <w:fldChar w:fldCharType="end"/>
    </w:r>
    <w:r w:rsidRPr="00961AEA">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169" w:rsidRPr="00833CA0" w:rsidRDefault="00833CA0">
      <w:pPr>
        <w:rPr>
          <w:noProof/>
        </w:rPr>
      </w:pPr>
      <w:r w:rsidRPr="00833CA0">
        <w:rPr>
          <w:noProof/>
        </w:rPr>
        <w:separator/>
      </w:r>
    </w:p>
  </w:footnote>
  <w:footnote w:type="continuationSeparator" w:id="0">
    <w:p w:rsidR="00904169" w:rsidRPr="00833CA0" w:rsidRDefault="00833CA0">
      <w:pPr>
        <w:rPr>
          <w:noProof/>
        </w:rPr>
      </w:pPr>
      <w:r w:rsidRPr="00833CA0">
        <w:rPr>
          <w:noProof/>
        </w:rPr>
        <w:continuationSeparator/>
      </w:r>
    </w:p>
  </w:footnote>
  <w:footnote w:id="1">
    <w:p w:rsidR="004C7D43" w:rsidRPr="004C7D43" w:rsidRDefault="004C7D43" w:rsidP="004C7D43">
      <w:pPr>
        <w:pStyle w:val="FootnoteText"/>
        <w:jc w:val="both"/>
        <w:rPr>
          <w:rFonts w:ascii="Times New Roman" w:hAnsi="Times New Roman" w:cs="Times New Roman"/>
        </w:rPr>
      </w:pPr>
      <w:r w:rsidRPr="004C7D43">
        <w:rPr>
          <w:rStyle w:val="FootnoteReference"/>
          <w:rFonts w:ascii="Times New Roman" w:hAnsi="Times New Roman" w:cs="Times New Roman"/>
        </w:rPr>
        <w:footnoteRef/>
      </w:r>
      <w:r w:rsidRPr="004C7D43">
        <w:rPr>
          <w:rFonts w:ascii="Times New Roman" w:hAnsi="Times New Roman" w:cs="Times New Roman"/>
        </w:rPr>
        <w:t xml:space="preserve"> </w:t>
      </w:r>
      <w:r w:rsidRPr="004C7D43">
        <w:rPr>
          <w:rFonts w:ascii="Times New Roman" w:hAnsi="Times New Roman" w:cs="Times New Roman"/>
          <w:noProof/>
        </w:rPr>
        <w:t>Kopējā slāpekļa koncentrācija ir kopējā Kjeldāla slāpekļa (organiskā un amonija slāpekļa), nitrātu slāpekļa un nitrītu slāpekļa summa.</w:t>
      </w:r>
    </w:p>
  </w:footnote>
  <w:footnote w:id="2">
    <w:p w:rsidR="004C7D43" w:rsidRPr="004C7D43" w:rsidRDefault="004C7D43" w:rsidP="004C7D43">
      <w:pPr>
        <w:pStyle w:val="FootnoteText"/>
        <w:jc w:val="both"/>
        <w:rPr>
          <w:rFonts w:ascii="Times New Roman" w:hAnsi="Times New Roman" w:cs="Times New Roman"/>
        </w:rPr>
      </w:pPr>
      <w:r w:rsidRPr="004C7D43">
        <w:rPr>
          <w:rStyle w:val="FootnoteReference"/>
          <w:rFonts w:ascii="Times New Roman" w:hAnsi="Times New Roman" w:cs="Times New Roman"/>
        </w:rPr>
        <w:footnoteRef/>
      </w:r>
      <w:r w:rsidRPr="004C7D43">
        <w:rPr>
          <w:rFonts w:ascii="Times New Roman" w:hAnsi="Times New Roman" w:cs="Times New Roman"/>
        </w:rPr>
        <w:t xml:space="preserve"> </w:t>
      </w:r>
      <w:r w:rsidRPr="004C7D43">
        <w:rPr>
          <w:rFonts w:ascii="Times New Roman" w:hAnsi="Times New Roman" w:cs="Times New Roman"/>
        </w:rPr>
        <w:t>Samazinājums atkarībā no ieplūdes daudzuma.</w:t>
      </w:r>
    </w:p>
  </w:footnote>
  <w:footnote w:id="3">
    <w:p w:rsidR="004C7D43" w:rsidRDefault="004C7D43" w:rsidP="004C7D43">
      <w:pPr>
        <w:pStyle w:val="FootnoteText"/>
        <w:jc w:val="both"/>
      </w:pPr>
      <w:r w:rsidRPr="004C7D43">
        <w:rPr>
          <w:rStyle w:val="FootnoteReference"/>
          <w:rFonts w:ascii="Times New Roman" w:hAnsi="Times New Roman" w:cs="Times New Roman"/>
        </w:rPr>
        <w:footnoteRef/>
      </w:r>
      <w:r w:rsidRPr="004C7D43">
        <w:rPr>
          <w:rFonts w:ascii="Times New Roman" w:hAnsi="Times New Roman" w:cs="Times New Roman"/>
        </w:rPr>
        <w:t xml:space="preserve"> </w:t>
      </w:r>
      <w:r w:rsidRPr="004C7D43">
        <w:rPr>
          <w:rFonts w:ascii="Times New Roman" w:hAnsi="Times New Roman" w:cs="Times New Roman"/>
        </w:rPr>
        <w:t>Samazinājums atkarībā no ieplūdes daudzuma.</w:t>
      </w:r>
    </w:p>
  </w:footnote>
  <w:footnote w:id="4">
    <w:p w:rsidR="00030855" w:rsidRPr="006E2AE8" w:rsidRDefault="00030855" w:rsidP="00030855">
      <w:pPr>
        <w:tabs>
          <w:tab w:val="left" w:pos="708"/>
        </w:tabs>
        <w:jc w:val="both"/>
        <w:rPr>
          <w:rFonts w:ascii="Times New Roman" w:hAnsi="Times New Roman" w:cs="Times New Roman"/>
          <w:noProof/>
          <w:sz w:val="20"/>
          <w:szCs w:val="20"/>
        </w:rPr>
      </w:pPr>
      <w:r w:rsidRPr="006E2AE8">
        <w:rPr>
          <w:rStyle w:val="FootnoteReference"/>
          <w:rFonts w:ascii="Times New Roman" w:hAnsi="Times New Roman" w:cs="Times New Roman"/>
          <w:sz w:val="20"/>
          <w:szCs w:val="20"/>
        </w:rPr>
        <w:sym w:font="Symbol" w:char="F02A"/>
      </w:r>
      <w:r w:rsidRPr="006E2AE8">
        <w:rPr>
          <w:rFonts w:ascii="Times New Roman" w:hAnsi="Times New Roman" w:cs="Times New Roman"/>
          <w:sz w:val="20"/>
          <w:szCs w:val="20"/>
        </w:rPr>
        <w:t xml:space="preserve"> </w:t>
      </w:r>
      <w:r w:rsidRPr="006E2AE8">
        <w:rPr>
          <w:rFonts w:ascii="Times New Roman" w:hAnsi="Times New Roman" w:cs="Times New Roman"/>
          <w:noProof/>
          <w:sz w:val="20"/>
          <w:szCs w:val="20"/>
        </w:rPr>
        <w:t>Lieko svītrot.</w:t>
      </w:r>
    </w:p>
  </w:footnote>
  <w:footnote w:id="5">
    <w:p w:rsidR="00030855" w:rsidRDefault="00030855" w:rsidP="00030855">
      <w:pPr>
        <w:pStyle w:val="FootnoteText"/>
        <w:jc w:val="both"/>
      </w:pPr>
      <w:r w:rsidRPr="006E2AE8">
        <w:rPr>
          <w:rStyle w:val="FootnoteReference"/>
          <w:rFonts w:ascii="Times New Roman" w:hAnsi="Times New Roman" w:cs="Times New Roman"/>
        </w:rPr>
        <w:sym w:font="Symbol" w:char="F02A"/>
      </w:r>
      <w:r w:rsidRPr="006E2AE8">
        <w:rPr>
          <w:rStyle w:val="FootnoteReference"/>
          <w:rFonts w:ascii="Times New Roman" w:hAnsi="Times New Roman" w:cs="Times New Roman"/>
        </w:rPr>
        <w:sym w:font="Symbol" w:char="F02A"/>
      </w:r>
      <w:r w:rsidRPr="006E2AE8">
        <w:rPr>
          <w:rFonts w:ascii="Times New Roman" w:hAnsi="Times New Roman" w:cs="Times New Roman"/>
        </w:rPr>
        <w:t xml:space="preserve"> Dzēst, ja kuģis nav pasažieru kuģis, kas plāno novadīt notekūdeņus īpašajos rajonos.</w:t>
      </w:r>
    </w:p>
  </w:footnote>
  <w:footnote w:id="6">
    <w:p w:rsidR="00030855" w:rsidRPr="00997F4B" w:rsidRDefault="00030855" w:rsidP="00030855">
      <w:pPr>
        <w:pStyle w:val="FootnoteText"/>
        <w:rPr>
          <w:rFonts w:ascii="Times New Roman" w:hAnsi="Times New Roman" w:cs="Times New Roman"/>
        </w:rPr>
      </w:pPr>
      <w:r w:rsidRPr="00997F4B">
        <w:rPr>
          <w:rStyle w:val="FootnoteReference"/>
        </w:rPr>
        <w:sym w:font="Symbol" w:char="F02A"/>
      </w:r>
      <w:r>
        <w:t xml:space="preserve"> </w:t>
      </w:r>
      <w:r>
        <w:rPr>
          <w:rFonts w:ascii="Times New Roman" w:hAnsi="Times New Roman" w:cs="Times New Roman"/>
        </w:rPr>
        <w:t>Lieko svītrot.</w:t>
      </w:r>
    </w:p>
  </w:footnote>
  <w:footnote w:id="7">
    <w:p w:rsidR="00030855" w:rsidRPr="00997F4B" w:rsidRDefault="00030855" w:rsidP="00030855">
      <w:pPr>
        <w:pStyle w:val="FootnoteText"/>
        <w:jc w:val="both"/>
        <w:rPr>
          <w:rFonts w:ascii="Times New Roman" w:hAnsi="Times New Roman" w:cs="Times New Roman"/>
        </w:rPr>
      </w:pPr>
      <w:r w:rsidRPr="00997F4B">
        <w:rPr>
          <w:rStyle w:val="FootnoteReference"/>
        </w:rPr>
        <w:sym w:font="Symbol" w:char="F02A"/>
      </w:r>
      <w:r>
        <w:t xml:space="preserve"> </w:t>
      </w:r>
      <w:r>
        <w:rPr>
          <w:rFonts w:ascii="Times New Roman" w:hAnsi="Times New Roman" w:cs="Times New Roman"/>
        </w:rPr>
        <w:t>Lieko svītrot.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CA" w:rsidRPr="00961AEA" w:rsidRDefault="00E946CA" w:rsidP="00E946CA">
    <w:pPr>
      <w:pStyle w:val="Header"/>
      <w:tabs>
        <w:tab w:val="clear" w:pos="4153"/>
        <w:tab w:val="clear" w:pos="8306"/>
      </w:tabs>
      <w:jc w:val="both"/>
      <w:rPr>
        <w:rStyle w:val="PageNumber"/>
        <w:rFonts w:ascii="Times New Roman" w:hAnsi="Times New Roman" w:cs="Times New Roman"/>
        <w:sz w:val="20"/>
        <w:szCs w:val="20"/>
      </w:rPr>
    </w:pPr>
  </w:p>
  <w:p w:rsidR="00E946CA" w:rsidRPr="00961AEA" w:rsidRDefault="00E946CA" w:rsidP="00E946CA">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961AEA">
      <w:rPr>
        <w:rStyle w:val="PageNumber"/>
        <w:rFonts w:ascii="Times New Roman" w:hAnsi="Times New Roman" w:cs="Times New Roman"/>
        <w:sz w:val="20"/>
        <w:szCs w:val="20"/>
      </w:rPr>
      <w:tab/>
    </w:r>
  </w:p>
  <w:p w:rsidR="00E946CA" w:rsidRPr="00961AEA" w:rsidRDefault="00E946CA" w:rsidP="00E946CA">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CA" w:rsidRPr="00961AEA" w:rsidRDefault="00E946CA" w:rsidP="00E946CA">
    <w:pPr>
      <w:pBdr>
        <w:bottom w:val="single" w:sz="12" w:space="5" w:color="auto"/>
      </w:pBdr>
      <w:rPr>
        <w:rFonts w:ascii="Times New Roman" w:hAnsi="Times New Roman" w:cs="Times New Roman"/>
        <w:spacing w:val="-2"/>
        <w:sz w:val="20"/>
        <w:szCs w:val="20"/>
      </w:rPr>
    </w:pPr>
  </w:p>
  <w:p w:rsidR="00E946CA" w:rsidRPr="00961AEA" w:rsidRDefault="00E946CA" w:rsidP="00E946C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36DB"/>
    <w:multiLevelType w:val="hybridMultilevel"/>
    <w:tmpl w:val="56EC154A"/>
    <w:lvl w:ilvl="0" w:tplc="357886BA">
      <w:start w:val="1"/>
      <w:numFmt w:val="decimal"/>
      <w:lvlText w:val="%1)"/>
      <w:lvlJc w:val="left"/>
      <w:pPr>
        <w:ind w:left="990" w:hanging="851"/>
      </w:pPr>
      <w:rPr>
        <w:rFonts w:ascii="Times New Roman" w:hAnsi="Times New Roman" w:cs="Times New Roman" w:hint="default"/>
        <w:w w:val="99"/>
        <w:sz w:val="24"/>
        <w:szCs w:val="24"/>
      </w:rPr>
    </w:lvl>
    <w:lvl w:ilvl="1" w:tplc="8EEECCA0">
      <w:start w:val="1"/>
      <w:numFmt w:val="bullet"/>
      <w:lvlText w:val="•"/>
      <w:lvlJc w:val="left"/>
      <w:pPr>
        <w:ind w:left="1871" w:hanging="851"/>
      </w:pPr>
      <w:rPr>
        <w:rFonts w:hint="default"/>
      </w:rPr>
    </w:lvl>
    <w:lvl w:ilvl="2" w:tplc="95241508">
      <w:start w:val="1"/>
      <w:numFmt w:val="bullet"/>
      <w:lvlText w:val="•"/>
      <w:lvlJc w:val="left"/>
      <w:pPr>
        <w:ind w:left="2752" w:hanging="851"/>
      </w:pPr>
      <w:rPr>
        <w:rFonts w:hint="default"/>
      </w:rPr>
    </w:lvl>
    <w:lvl w:ilvl="3" w:tplc="1F1609AC">
      <w:start w:val="1"/>
      <w:numFmt w:val="bullet"/>
      <w:lvlText w:val="•"/>
      <w:lvlJc w:val="left"/>
      <w:pPr>
        <w:ind w:left="3633" w:hanging="851"/>
      </w:pPr>
      <w:rPr>
        <w:rFonts w:hint="default"/>
      </w:rPr>
    </w:lvl>
    <w:lvl w:ilvl="4" w:tplc="64DA97B0">
      <w:start w:val="1"/>
      <w:numFmt w:val="bullet"/>
      <w:lvlText w:val="•"/>
      <w:lvlJc w:val="left"/>
      <w:pPr>
        <w:ind w:left="4514" w:hanging="851"/>
      </w:pPr>
      <w:rPr>
        <w:rFonts w:hint="default"/>
      </w:rPr>
    </w:lvl>
    <w:lvl w:ilvl="5" w:tplc="C7D850BA">
      <w:start w:val="1"/>
      <w:numFmt w:val="bullet"/>
      <w:lvlText w:val="•"/>
      <w:lvlJc w:val="left"/>
      <w:pPr>
        <w:ind w:left="5395" w:hanging="851"/>
      </w:pPr>
      <w:rPr>
        <w:rFonts w:hint="default"/>
      </w:rPr>
    </w:lvl>
    <w:lvl w:ilvl="6" w:tplc="7E88ADE2">
      <w:start w:val="1"/>
      <w:numFmt w:val="bullet"/>
      <w:lvlText w:val="•"/>
      <w:lvlJc w:val="left"/>
      <w:pPr>
        <w:ind w:left="6276" w:hanging="851"/>
      </w:pPr>
      <w:rPr>
        <w:rFonts w:hint="default"/>
      </w:rPr>
    </w:lvl>
    <w:lvl w:ilvl="7" w:tplc="2398F57A">
      <w:start w:val="1"/>
      <w:numFmt w:val="bullet"/>
      <w:lvlText w:val="•"/>
      <w:lvlJc w:val="left"/>
      <w:pPr>
        <w:ind w:left="7157" w:hanging="851"/>
      </w:pPr>
      <w:rPr>
        <w:rFonts w:hint="default"/>
      </w:rPr>
    </w:lvl>
    <w:lvl w:ilvl="8" w:tplc="109EF088">
      <w:start w:val="1"/>
      <w:numFmt w:val="bullet"/>
      <w:lvlText w:val="•"/>
      <w:lvlJc w:val="left"/>
      <w:pPr>
        <w:ind w:left="8038" w:hanging="851"/>
      </w:pPr>
      <w:rPr>
        <w:rFonts w:hint="default"/>
      </w:rPr>
    </w:lvl>
  </w:abstractNum>
  <w:abstractNum w:abstractNumId="1">
    <w:nsid w:val="06F04BE5"/>
    <w:multiLevelType w:val="hybridMultilevel"/>
    <w:tmpl w:val="CED2D288"/>
    <w:lvl w:ilvl="0" w:tplc="E3E8F9B2">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D162FAF"/>
    <w:multiLevelType w:val="hybridMultilevel"/>
    <w:tmpl w:val="E08609C6"/>
    <w:lvl w:ilvl="0" w:tplc="36D04956">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A526001"/>
    <w:multiLevelType w:val="hybridMultilevel"/>
    <w:tmpl w:val="AB486C78"/>
    <w:lvl w:ilvl="0" w:tplc="5B567CD6">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CFB79D1"/>
    <w:multiLevelType w:val="hybridMultilevel"/>
    <w:tmpl w:val="321E062A"/>
    <w:lvl w:ilvl="0" w:tplc="DD300A18">
      <w:start w:val="6"/>
      <w:numFmt w:val="decimal"/>
      <w:lvlText w:val="%1"/>
      <w:lvlJc w:val="left"/>
      <w:pPr>
        <w:ind w:left="990" w:hanging="851"/>
      </w:pPr>
      <w:rPr>
        <w:rFonts w:ascii="Arial" w:eastAsia="Arial" w:hAnsi="Arial" w:hint="default"/>
        <w:b/>
        <w:bCs/>
        <w:w w:val="99"/>
        <w:sz w:val="22"/>
        <w:szCs w:val="22"/>
      </w:rPr>
    </w:lvl>
    <w:lvl w:ilvl="1" w:tplc="99D64BC0">
      <w:start w:val="1"/>
      <w:numFmt w:val="bullet"/>
      <w:lvlText w:val="•"/>
      <w:lvlJc w:val="left"/>
      <w:pPr>
        <w:ind w:left="1823" w:hanging="851"/>
      </w:pPr>
      <w:rPr>
        <w:rFonts w:hint="default"/>
      </w:rPr>
    </w:lvl>
    <w:lvl w:ilvl="2" w:tplc="6C241C30">
      <w:start w:val="1"/>
      <w:numFmt w:val="bullet"/>
      <w:lvlText w:val="•"/>
      <w:lvlJc w:val="left"/>
      <w:pPr>
        <w:ind w:left="2656" w:hanging="851"/>
      </w:pPr>
      <w:rPr>
        <w:rFonts w:hint="default"/>
      </w:rPr>
    </w:lvl>
    <w:lvl w:ilvl="3" w:tplc="BA5AB00C">
      <w:start w:val="1"/>
      <w:numFmt w:val="bullet"/>
      <w:lvlText w:val="•"/>
      <w:lvlJc w:val="left"/>
      <w:pPr>
        <w:ind w:left="3489" w:hanging="851"/>
      </w:pPr>
      <w:rPr>
        <w:rFonts w:hint="default"/>
      </w:rPr>
    </w:lvl>
    <w:lvl w:ilvl="4" w:tplc="3BC2E78A">
      <w:start w:val="1"/>
      <w:numFmt w:val="bullet"/>
      <w:lvlText w:val="•"/>
      <w:lvlJc w:val="left"/>
      <w:pPr>
        <w:ind w:left="4322" w:hanging="851"/>
      </w:pPr>
      <w:rPr>
        <w:rFonts w:hint="default"/>
      </w:rPr>
    </w:lvl>
    <w:lvl w:ilvl="5" w:tplc="41FCE4FC">
      <w:start w:val="1"/>
      <w:numFmt w:val="bullet"/>
      <w:lvlText w:val="•"/>
      <w:lvlJc w:val="left"/>
      <w:pPr>
        <w:ind w:left="5155" w:hanging="851"/>
      </w:pPr>
      <w:rPr>
        <w:rFonts w:hint="default"/>
      </w:rPr>
    </w:lvl>
    <w:lvl w:ilvl="6" w:tplc="3B7A40D2">
      <w:start w:val="1"/>
      <w:numFmt w:val="bullet"/>
      <w:lvlText w:val="•"/>
      <w:lvlJc w:val="left"/>
      <w:pPr>
        <w:ind w:left="5988" w:hanging="851"/>
      </w:pPr>
      <w:rPr>
        <w:rFonts w:hint="default"/>
      </w:rPr>
    </w:lvl>
    <w:lvl w:ilvl="7" w:tplc="2D509B4E">
      <w:start w:val="1"/>
      <w:numFmt w:val="bullet"/>
      <w:lvlText w:val="•"/>
      <w:lvlJc w:val="left"/>
      <w:pPr>
        <w:ind w:left="6821" w:hanging="851"/>
      </w:pPr>
      <w:rPr>
        <w:rFonts w:hint="default"/>
      </w:rPr>
    </w:lvl>
    <w:lvl w:ilvl="8" w:tplc="6D82A070">
      <w:start w:val="1"/>
      <w:numFmt w:val="bullet"/>
      <w:lvlText w:val="•"/>
      <w:lvlJc w:val="left"/>
      <w:pPr>
        <w:ind w:left="7654" w:hanging="851"/>
      </w:pPr>
      <w:rPr>
        <w:rFonts w:hint="default"/>
      </w:rPr>
    </w:lvl>
  </w:abstractNum>
  <w:abstractNum w:abstractNumId="5">
    <w:nsid w:val="1D557DC1"/>
    <w:multiLevelType w:val="hybridMultilevel"/>
    <w:tmpl w:val="21DEC76C"/>
    <w:lvl w:ilvl="0" w:tplc="381E5EC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FE10E70"/>
    <w:multiLevelType w:val="multilevel"/>
    <w:tmpl w:val="2D16F6AC"/>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7">
    <w:nsid w:val="30BF534E"/>
    <w:multiLevelType w:val="hybridMultilevel"/>
    <w:tmpl w:val="622472E8"/>
    <w:lvl w:ilvl="0" w:tplc="98580F9A">
      <w:start w:val="1"/>
      <w:numFmt w:val="decimal"/>
      <w:lvlText w:val=".%1"/>
      <w:lvlJc w:val="left"/>
      <w:pPr>
        <w:ind w:left="2693" w:hanging="864"/>
      </w:pPr>
      <w:rPr>
        <w:rFonts w:ascii="Arial" w:eastAsia="Arial" w:hAnsi="Arial" w:hint="default"/>
        <w:w w:val="99"/>
        <w:sz w:val="22"/>
        <w:szCs w:val="22"/>
      </w:rPr>
    </w:lvl>
    <w:lvl w:ilvl="1" w:tplc="F3D24924">
      <w:start w:val="1"/>
      <w:numFmt w:val="bullet"/>
      <w:lvlText w:val="•"/>
      <w:lvlJc w:val="left"/>
      <w:pPr>
        <w:ind w:left="3356" w:hanging="864"/>
      </w:pPr>
      <w:rPr>
        <w:rFonts w:hint="default"/>
      </w:rPr>
    </w:lvl>
    <w:lvl w:ilvl="2" w:tplc="5BAEB6AE">
      <w:start w:val="1"/>
      <w:numFmt w:val="bullet"/>
      <w:lvlText w:val="•"/>
      <w:lvlJc w:val="left"/>
      <w:pPr>
        <w:ind w:left="4018" w:hanging="864"/>
      </w:pPr>
      <w:rPr>
        <w:rFonts w:hint="default"/>
      </w:rPr>
    </w:lvl>
    <w:lvl w:ilvl="3" w:tplc="A56CA65C">
      <w:start w:val="1"/>
      <w:numFmt w:val="bullet"/>
      <w:lvlText w:val="•"/>
      <w:lvlJc w:val="left"/>
      <w:pPr>
        <w:ind w:left="4681" w:hanging="864"/>
      </w:pPr>
      <w:rPr>
        <w:rFonts w:hint="default"/>
      </w:rPr>
    </w:lvl>
    <w:lvl w:ilvl="4" w:tplc="B8E854F6">
      <w:start w:val="1"/>
      <w:numFmt w:val="bullet"/>
      <w:lvlText w:val="•"/>
      <w:lvlJc w:val="left"/>
      <w:pPr>
        <w:ind w:left="5344" w:hanging="864"/>
      </w:pPr>
      <w:rPr>
        <w:rFonts w:hint="default"/>
      </w:rPr>
    </w:lvl>
    <w:lvl w:ilvl="5" w:tplc="DA3008DE">
      <w:start w:val="1"/>
      <w:numFmt w:val="bullet"/>
      <w:lvlText w:val="•"/>
      <w:lvlJc w:val="left"/>
      <w:pPr>
        <w:ind w:left="6006" w:hanging="864"/>
      </w:pPr>
      <w:rPr>
        <w:rFonts w:hint="default"/>
      </w:rPr>
    </w:lvl>
    <w:lvl w:ilvl="6" w:tplc="A49A3060">
      <w:start w:val="1"/>
      <w:numFmt w:val="bullet"/>
      <w:lvlText w:val="•"/>
      <w:lvlJc w:val="left"/>
      <w:pPr>
        <w:ind w:left="6669" w:hanging="864"/>
      </w:pPr>
      <w:rPr>
        <w:rFonts w:hint="default"/>
      </w:rPr>
    </w:lvl>
    <w:lvl w:ilvl="7" w:tplc="49E66B54">
      <w:start w:val="1"/>
      <w:numFmt w:val="bullet"/>
      <w:lvlText w:val="•"/>
      <w:lvlJc w:val="left"/>
      <w:pPr>
        <w:ind w:left="7332" w:hanging="864"/>
      </w:pPr>
      <w:rPr>
        <w:rFonts w:hint="default"/>
      </w:rPr>
    </w:lvl>
    <w:lvl w:ilvl="8" w:tplc="D71A8DF8">
      <w:start w:val="1"/>
      <w:numFmt w:val="bullet"/>
      <w:lvlText w:val="•"/>
      <w:lvlJc w:val="left"/>
      <w:pPr>
        <w:ind w:left="7994" w:hanging="864"/>
      </w:pPr>
      <w:rPr>
        <w:rFonts w:hint="default"/>
      </w:rPr>
    </w:lvl>
  </w:abstractNum>
  <w:abstractNum w:abstractNumId="8">
    <w:nsid w:val="342D5CF1"/>
    <w:multiLevelType w:val="multilevel"/>
    <w:tmpl w:val="4106F4E2"/>
    <w:lvl w:ilvl="0">
      <w:start w:val="1"/>
      <w:numFmt w:val="decimal"/>
      <w:lvlText w:val="%1"/>
      <w:lvlJc w:val="left"/>
      <w:pPr>
        <w:ind w:left="990" w:hanging="851"/>
      </w:pPr>
      <w:rPr>
        <w:rFonts w:ascii="Times New Roman" w:eastAsia="Arial" w:hAnsi="Times New Roman" w:cs="Times New Roman" w:hint="default"/>
        <w:b/>
        <w:bCs/>
        <w:w w:val="99"/>
        <w:sz w:val="22"/>
        <w:szCs w:val="22"/>
      </w:rPr>
    </w:lvl>
    <w:lvl w:ilvl="1">
      <w:start w:val="1"/>
      <w:numFmt w:val="decimal"/>
      <w:lvlText w:val="%1.%2"/>
      <w:lvlJc w:val="left"/>
      <w:pPr>
        <w:ind w:left="990" w:hanging="851"/>
      </w:pPr>
      <w:rPr>
        <w:rFonts w:ascii="Times New Roman" w:eastAsia="Arial" w:hAnsi="Times New Roman" w:cs="Times New Roman" w:hint="default"/>
        <w:b/>
        <w:bCs/>
        <w:spacing w:val="-3"/>
        <w:w w:val="99"/>
        <w:sz w:val="22"/>
        <w:szCs w:val="22"/>
      </w:rPr>
    </w:lvl>
    <w:lvl w:ilvl="2">
      <w:start w:val="1"/>
      <w:numFmt w:val="decimal"/>
      <w:lvlText w:val="%1.%2.%3"/>
      <w:lvlJc w:val="left"/>
      <w:pPr>
        <w:ind w:left="140" w:hanging="851"/>
      </w:pPr>
      <w:rPr>
        <w:rFonts w:ascii="Times New Roman" w:eastAsia="Arial" w:hAnsi="Times New Roman" w:cs="Times New Roman" w:hint="default"/>
        <w:spacing w:val="-3"/>
        <w:w w:val="99"/>
        <w:sz w:val="22"/>
        <w:szCs w:val="22"/>
      </w:rPr>
    </w:lvl>
    <w:lvl w:ilvl="3">
      <w:start w:val="1"/>
      <w:numFmt w:val="decimal"/>
      <w:lvlText w:val=".%4"/>
      <w:lvlJc w:val="left"/>
      <w:pPr>
        <w:ind w:left="1841" w:hanging="851"/>
      </w:pPr>
      <w:rPr>
        <w:rFonts w:ascii="Times New Roman" w:eastAsia="Arial" w:hAnsi="Times New Roman" w:cs="Times New Roman" w:hint="default"/>
        <w:w w:val="99"/>
        <w:sz w:val="22"/>
        <w:szCs w:val="22"/>
      </w:rPr>
    </w:lvl>
    <w:lvl w:ilvl="4">
      <w:start w:val="1"/>
      <w:numFmt w:val="bullet"/>
      <w:lvlText w:val="•"/>
      <w:lvlJc w:val="left"/>
      <w:pPr>
        <w:ind w:left="140" w:hanging="851"/>
      </w:pPr>
      <w:rPr>
        <w:rFonts w:hint="default"/>
      </w:rPr>
    </w:lvl>
    <w:lvl w:ilvl="5">
      <w:start w:val="1"/>
      <w:numFmt w:val="bullet"/>
      <w:lvlText w:val="•"/>
      <w:lvlJc w:val="left"/>
      <w:pPr>
        <w:ind w:left="140" w:hanging="851"/>
      </w:pPr>
      <w:rPr>
        <w:rFonts w:hint="default"/>
      </w:rPr>
    </w:lvl>
    <w:lvl w:ilvl="6">
      <w:start w:val="1"/>
      <w:numFmt w:val="bullet"/>
      <w:lvlText w:val="•"/>
      <w:lvlJc w:val="left"/>
      <w:pPr>
        <w:ind w:left="140" w:hanging="851"/>
      </w:pPr>
      <w:rPr>
        <w:rFonts w:hint="default"/>
      </w:rPr>
    </w:lvl>
    <w:lvl w:ilvl="7">
      <w:start w:val="1"/>
      <w:numFmt w:val="bullet"/>
      <w:lvlText w:val="•"/>
      <w:lvlJc w:val="left"/>
      <w:pPr>
        <w:ind w:left="990" w:hanging="851"/>
      </w:pPr>
      <w:rPr>
        <w:rFonts w:hint="default"/>
      </w:rPr>
    </w:lvl>
    <w:lvl w:ilvl="8">
      <w:start w:val="1"/>
      <w:numFmt w:val="bullet"/>
      <w:lvlText w:val="•"/>
      <w:lvlJc w:val="left"/>
      <w:pPr>
        <w:ind w:left="990" w:hanging="851"/>
      </w:pPr>
      <w:rPr>
        <w:rFonts w:hint="default"/>
      </w:rPr>
    </w:lvl>
  </w:abstractNum>
  <w:abstractNum w:abstractNumId="9">
    <w:nsid w:val="3A2C69A5"/>
    <w:multiLevelType w:val="hybridMultilevel"/>
    <w:tmpl w:val="D5C205BC"/>
    <w:lvl w:ilvl="0" w:tplc="576C4B72">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FBB247D"/>
    <w:multiLevelType w:val="multilevel"/>
    <w:tmpl w:val="0C7A25AE"/>
    <w:lvl w:ilvl="0">
      <w:start w:val="5"/>
      <w:numFmt w:val="decimal"/>
      <w:lvlText w:val="%1."/>
      <w:lvlJc w:val="left"/>
      <w:pPr>
        <w:ind w:left="540" w:hanging="540"/>
      </w:pPr>
      <w:rPr>
        <w:rFonts w:cstheme="minorBidi" w:hint="default"/>
      </w:rPr>
    </w:lvl>
    <w:lvl w:ilvl="1">
      <w:start w:val="2"/>
      <w:numFmt w:val="decimal"/>
      <w:lvlText w:val="%1.%2."/>
      <w:lvlJc w:val="left"/>
      <w:pPr>
        <w:ind w:left="540" w:hanging="540"/>
      </w:pPr>
      <w:rPr>
        <w:rFonts w:cstheme="minorBidi" w:hint="default"/>
      </w:rPr>
    </w:lvl>
    <w:lvl w:ilvl="2">
      <w:start w:val="2"/>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1">
    <w:nsid w:val="400A1140"/>
    <w:multiLevelType w:val="hybridMultilevel"/>
    <w:tmpl w:val="5B3476BC"/>
    <w:lvl w:ilvl="0" w:tplc="E14846EC">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6E873C6"/>
    <w:multiLevelType w:val="hybridMultilevel"/>
    <w:tmpl w:val="FC00217A"/>
    <w:lvl w:ilvl="0" w:tplc="95A2036C">
      <w:start w:val="1"/>
      <w:numFmt w:val="decimal"/>
      <w:lvlText w:val="%1."/>
      <w:lvlJc w:val="left"/>
      <w:pPr>
        <w:ind w:left="990" w:hanging="851"/>
      </w:pPr>
      <w:rPr>
        <w:rFonts w:hint="default"/>
        <w:w w:val="99"/>
        <w:sz w:val="24"/>
        <w:szCs w:val="24"/>
      </w:rPr>
    </w:lvl>
    <w:lvl w:ilvl="1" w:tplc="E58E2252">
      <w:start w:val="1"/>
      <w:numFmt w:val="bullet"/>
      <w:lvlText w:val="•"/>
      <w:lvlJc w:val="left"/>
      <w:pPr>
        <w:ind w:left="1823" w:hanging="851"/>
      </w:pPr>
      <w:rPr>
        <w:rFonts w:hint="default"/>
      </w:rPr>
    </w:lvl>
    <w:lvl w:ilvl="2" w:tplc="F912CD42">
      <w:start w:val="1"/>
      <w:numFmt w:val="bullet"/>
      <w:lvlText w:val="•"/>
      <w:lvlJc w:val="left"/>
      <w:pPr>
        <w:ind w:left="2656" w:hanging="851"/>
      </w:pPr>
      <w:rPr>
        <w:rFonts w:hint="default"/>
      </w:rPr>
    </w:lvl>
    <w:lvl w:ilvl="3" w:tplc="EBA6E4B4">
      <w:start w:val="1"/>
      <w:numFmt w:val="bullet"/>
      <w:lvlText w:val="•"/>
      <w:lvlJc w:val="left"/>
      <w:pPr>
        <w:ind w:left="3489" w:hanging="851"/>
      </w:pPr>
      <w:rPr>
        <w:rFonts w:hint="default"/>
      </w:rPr>
    </w:lvl>
    <w:lvl w:ilvl="4" w:tplc="769497CC">
      <w:start w:val="1"/>
      <w:numFmt w:val="bullet"/>
      <w:lvlText w:val="•"/>
      <w:lvlJc w:val="left"/>
      <w:pPr>
        <w:ind w:left="4322" w:hanging="851"/>
      </w:pPr>
      <w:rPr>
        <w:rFonts w:hint="default"/>
      </w:rPr>
    </w:lvl>
    <w:lvl w:ilvl="5" w:tplc="1996FD64">
      <w:start w:val="1"/>
      <w:numFmt w:val="bullet"/>
      <w:lvlText w:val="•"/>
      <w:lvlJc w:val="left"/>
      <w:pPr>
        <w:ind w:left="5155" w:hanging="851"/>
      </w:pPr>
      <w:rPr>
        <w:rFonts w:hint="default"/>
      </w:rPr>
    </w:lvl>
    <w:lvl w:ilvl="6" w:tplc="9DF68568">
      <w:start w:val="1"/>
      <w:numFmt w:val="bullet"/>
      <w:lvlText w:val="•"/>
      <w:lvlJc w:val="left"/>
      <w:pPr>
        <w:ind w:left="5988" w:hanging="851"/>
      </w:pPr>
      <w:rPr>
        <w:rFonts w:hint="default"/>
      </w:rPr>
    </w:lvl>
    <w:lvl w:ilvl="7" w:tplc="52641684">
      <w:start w:val="1"/>
      <w:numFmt w:val="bullet"/>
      <w:lvlText w:val="•"/>
      <w:lvlJc w:val="left"/>
      <w:pPr>
        <w:ind w:left="6821" w:hanging="851"/>
      </w:pPr>
      <w:rPr>
        <w:rFonts w:hint="default"/>
      </w:rPr>
    </w:lvl>
    <w:lvl w:ilvl="8" w:tplc="3A202FF8">
      <w:start w:val="1"/>
      <w:numFmt w:val="bullet"/>
      <w:lvlText w:val="•"/>
      <w:lvlJc w:val="left"/>
      <w:pPr>
        <w:ind w:left="7654" w:hanging="851"/>
      </w:pPr>
      <w:rPr>
        <w:rFonts w:hint="default"/>
      </w:rPr>
    </w:lvl>
  </w:abstractNum>
  <w:abstractNum w:abstractNumId="13">
    <w:nsid w:val="49435CF4"/>
    <w:multiLevelType w:val="hybridMultilevel"/>
    <w:tmpl w:val="9A54356C"/>
    <w:lvl w:ilvl="0" w:tplc="CFCAEF44">
      <w:start w:val="1"/>
      <w:numFmt w:val="decimal"/>
      <w:lvlText w:val=".%1"/>
      <w:lvlJc w:val="left"/>
      <w:pPr>
        <w:ind w:left="1835" w:hanging="845"/>
      </w:pPr>
      <w:rPr>
        <w:rFonts w:ascii="Arial" w:eastAsia="Arial" w:hAnsi="Arial" w:hint="default"/>
        <w:w w:val="99"/>
        <w:sz w:val="22"/>
        <w:szCs w:val="22"/>
      </w:rPr>
    </w:lvl>
    <w:lvl w:ilvl="1" w:tplc="AEBE3DA8">
      <w:start w:val="1"/>
      <w:numFmt w:val="bullet"/>
      <w:lvlText w:val="•"/>
      <w:lvlJc w:val="left"/>
      <w:pPr>
        <w:ind w:left="2584" w:hanging="845"/>
      </w:pPr>
      <w:rPr>
        <w:rFonts w:hint="default"/>
      </w:rPr>
    </w:lvl>
    <w:lvl w:ilvl="2" w:tplc="E62A7794">
      <w:start w:val="1"/>
      <w:numFmt w:val="bullet"/>
      <w:lvlText w:val="•"/>
      <w:lvlJc w:val="left"/>
      <w:pPr>
        <w:ind w:left="3332" w:hanging="845"/>
      </w:pPr>
      <w:rPr>
        <w:rFonts w:hint="default"/>
      </w:rPr>
    </w:lvl>
    <w:lvl w:ilvl="3" w:tplc="008E8846">
      <w:start w:val="1"/>
      <w:numFmt w:val="bullet"/>
      <w:lvlText w:val="•"/>
      <w:lvlJc w:val="left"/>
      <w:pPr>
        <w:ind w:left="4080" w:hanging="845"/>
      </w:pPr>
      <w:rPr>
        <w:rFonts w:hint="default"/>
      </w:rPr>
    </w:lvl>
    <w:lvl w:ilvl="4" w:tplc="90D827B6">
      <w:start w:val="1"/>
      <w:numFmt w:val="bullet"/>
      <w:lvlText w:val="•"/>
      <w:lvlJc w:val="left"/>
      <w:pPr>
        <w:ind w:left="4829" w:hanging="845"/>
      </w:pPr>
      <w:rPr>
        <w:rFonts w:hint="default"/>
      </w:rPr>
    </w:lvl>
    <w:lvl w:ilvl="5" w:tplc="C310CBB8">
      <w:start w:val="1"/>
      <w:numFmt w:val="bullet"/>
      <w:lvlText w:val="•"/>
      <w:lvlJc w:val="left"/>
      <w:pPr>
        <w:ind w:left="5577" w:hanging="845"/>
      </w:pPr>
      <w:rPr>
        <w:rFonts w:hint="default"/>
      </w:rPr>
    </w:lvl>
    <w:lvl w:ilvl="6" w:tplc="07E4100E">
      <w:start w:val="1"/>
      <w:numFmt w:val="bullet"/>
      <w:lvlText w:val="•"/>
      <w:lvlJc w:val="left"/>
      <w:pPr>
        <w:ind w:left="6326" w:hanging="845"/>
      </w:pPr>
      <w:rPr>
        <w:rFonts w:hint="default"/>
      </w:rPr>
    </w:lvl>
    <w:lvl w:ilvl="7" w:tplc="3FC84B78">
      <w:start w:val="1"/>
      <w:numFmt w:val="bullet"/>
      <w:lvlText w:val="•"/>
      <w:lvlJc w:val="left"/>
      <w:pPr>
        <w:ind w:left="7074" w:hanging="845"/>
      </w:pPr>
      <w:rPr>
        <w:rFonts w:hint="default"/>
      </w:rPr>
    </w:lvl>
    <w:lvl w:ilvl="8" w:tplc="9424D340">
      <w:start w:val="1"/>
      <w:numFmt w:val="bullet"/>
      <w:lvlText w:val="•"/>
      <w:lvlJc w:val="left"/>
      <w:pPr>
        <w:ind w:left="7823" w:hanging="845"/>
      </w:pPr>
      <w:rPr>
        <w:rFonts w:hint="default"/>
      </w:rPr>
    </w:lvl>
  </w:abstractNum>
  <w:abstractNum w:abstractNumId="14">
    <w:nsid w:val="4C163B1D"/>
    <w:multiLevelType w:val="multilevel"/>
    <w:tmpl w:val="D01EBCF4"/>
    <w:lvl w:ilvl="0">
      <w:start w:val="5"/>
      <w:numFmt w:val="decimal"/>
      <w:lvlText w:val="%1"/>
      <w:lvlJc w:val="left"/>
      <w:pPr>
        <w:ind w:left="990" w:hanging="851"/>
      </w:pPr>
      <w:rPr>
        <w:rFonts w:hint="default"/>
      </w:rPr>
    </w:lvl>
    <w:lvl w:ilvl="1">
      <w:start w:val="2"/>
      <w:numFmt w:val="decimal"/>
      <w:lvlText w:val="%1.%2"/>
      <w:lvlJc w:val="left"/>
      <w:pPr>
        <w:ind w:left="990" w:hanging="851"/>
      </w:pPr>
      <w:rPr>
        <w:rFonts w:ascii="Times New Roman" w:eastAsia="Arial" w:hAnsi="Times New Roman" w:cs="Times New Roman" w:hint="default"/>
        <w:b/>
        <w:bCs/>
        <w:w w:val="99"/>
        <w:sz w:val="24"/>
        <w:szCs w:val="22"/>
      </w:rPr>
    </w:lvl>
    <w:lvl w:ilvl="2">
      <w:start w:val="1"/>
      <w:numFmt w:val="decimal"/>
      <w:lvlText w:val="%1.%2.%3"/>
      <w:lvlJc w:val="left"/>
      <w:pPr>
        <w:ind w:left="140" w:hanging="851"/>
      </w:pPr>
      <w:rPr>
        <w:rFonts w:ascii="Times New Roman" w:eastAsia="Arial" w:hAnsi="Times New Roman" w:cs="Times New Roman" w:hint="default"/>
        <w:w w:val="99"/>
        <w:sz w:val="24"/>
        <w:szCs w:val="22"/>
      </w:rPr>
    </w:lvl>
    <w:lvl w:ilvl="3">
      <w:start w:val="1"/>
      <w:numFmt w:val="decimal"/>
      <w:lvlText w:val=".%4"/>
      <w:lvlJc w:val="left"/>
      <w:pPr>
        <w:ind w:left="1841" w:hanging="851"/>
      </w:pPr>
      <w:rPr>
        <w:rFonts w:ascii="Arial" w:eastAsia="Arial" w:hAnsi="Arial" w:hint="default"/>
        <w:w w:val="99"/>
        <w:sz w:val="22"/>
        <w:szCs w:val="22"/>
      </w:rPr>
    </w:lvl>
    <w:lvl w:ilvl="4">
      <w:start w:val="1"/>
      <w:numFmt w:val="bullet"/>
      <w:lvlText w:val="•"/>
      <w:lvlJc w:val="left"/>
      <w:pPr>
        <w:ind w:left="1841" w:hanging="851"/>
      </w:pPr>
      <w:rPr>
        <w:rFonts w:hint="default"/>
      </w:rPr>
    </w:lvl>
    <w:lvl w:ilvl="5">
      <w:start w:val="1"/>
      <w:numFmt w:val="bullet"/>
      <w:lvlText w:val="•"/>
      <w:lvlJc w:val="left"/>
      <w:pPr>
        <w:ind w:left="3088" w:hanging="851"/>
      </w:pPr>
      <w:rPr>
        <w:rFonts w:hint="default"/>
      </w:rPr>
    </w:lvl>
    <w:lvl w:ilvl="6">
      <w:start w:val="1"/>
      <w:numFmt w:val="bullet"/>
      <w:lvlText w:val="•"/>
      <w:lvlJc w:val="left"/>
      <w:pPr>
        <w:ind w:left="4334" w:hanging="851"/>
      </w:pPr>
      <w:rPr>
        <w:rFonts w:hint="default"/>
      </w:rPr>
    </w:lvl>
    <w:lvl w:ilvl="7">
      <w:start w:val="1"/>
      <w:numFmt w:val="bullet"/>
      <w:lvlText w:val="•"/>
      <w:lvlJc w:val="left"/>
      <w:pPr>
        <w:ind w:left="5580" w:hanging="851"/>
      </w:pPr>
      <w:rPr>
        <w:rFonts w:hint="default"/>
      </w:rPr>
    </w:lvl>
    <w:lvl w:ilvl="8">
      <w:start w:val="1"/>
      <w:numFmt w:val="bullet"/>
      <w:lvlText w:val="•"/>
      <w:lvlJc w:val="left"/>
      <w:pPr>
        <w:ind w:left="6827" w:hanging="851"/>
      </w:pPr>
      <w:rPr>
        <w:rFonts w:hint="default"/>
      </w:rPr>
    </w:lvl>
  </w:abstractNum>
  <w:abstractNum w:abstractNumId="15">
    <w:nsid w:val="4C342D41"/>
    <w:multiLevelType w:val="multilevel"/>
    <w:tmpl w:val="40289E2A"/>
    <w:lvl w:ilvl="0">
      <w:start w:val="1"/>
      <w:numFmt w:val="decimal"/>
      <w:lvlText w:val="%1."/>
      <w:lvlJc w:val="left"/>
      <w:pPr>
        <w:ind w:left="720" w:hanging="360"/>
      </w:pPr>
      <w:rPr>
        <w:rFonts w:cstheme="minorBidi"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6">
    <w:nsid w:val="590A0B80"/>
    <w:multiLevelType w:val="hybridMultilevel"/>
    <w:tmpl w:val="6ED44B60"/>
    <w:lvl w:ilvl="0" w:tplc="9A9269CE">
      <w:start w:val="1"/>
      <w:numFmt w:val="decimal"/>
      <w:lvlText w:val="%1."/>
      <w:lvlJc w:val="left"/>
      <w:pPr>
        <w:ind w:left="140" w:hanging="851"/>
      </w:pPr>
      <w:rPr>
        <w:rFonts w:ascii="Times New Roman" w:eastAsia="Arial" w:hAnsi="Times New Roman" w:cs="Times New Roman" w:hint="default"/>
        <w:w w:val="99"/>
        <w:sz w:val="24"/>
        <w:szCs w:val="22"/>
      </w:rPr>
    </w:lvl>
    <w:lvl w:ilvl="1" w:tplc="2208F4B8">
      <w:start w:val="1"/>
      <w:numFmt w:val="decimal"/>
      <w:lvlText w:val=".%2"/>
      <w:lvlJc w:val="left"/>
      <w:pPr>
        <w:ind w:left="1841" w:hanging="851"/>
      </w:pPr>
      <w:rPr>
        <w:rFonts w:ascii="Times New Roman" w:eastAsia="Arial" w:hAnsi="Times New Roman" w:cs="Times New Roman" w:hint="default"/>
        <w:w w:val="99"/>
        <w:sz w:val="24"/>
        <w:szCs w:val="22"/>
      </w:rPr>
    </w:lvl>
    <w:lvl w:ilvl="2" w:tplc="3B105890">
      <w:start w:val="1"/>
      <w:numFmt w:val="bullet"/>
      <w:lvlText w:val="•"/>
      <w:lvlJc w:val="left"/>
      <w:pPr>
        <w:ind w:left="2672" w:hanging="851"/>
      </w:pPr>
      <w:rPr>
        <w:rFonts w:hint="default"/>
      </w:rPr>
    </w:lvl>
    <w:lvl w:ilvl="3" w:tplc="E6C236B0">
      <w:start w:val="1"/>
      <w:numFmt w:val="bullet"/>
      <w:lvlText w:val="•"/>
      <w:lvlJc w:val="left"/>
      <w:pPr>
        <w:ind w:left="3503" w:hanging="851"/>
      </w:pPr>
      <w:rPr>
        <w:rFonts w:hint="default"/>
      </w:rPr>
    </w:lvl>
    <w:lvl w:ilvl="4" w:tplc="507873DC">
      <w:start w:val="1"/>
      <w:numFmt w:val="bullet"/>
      <w:lvlText w:val="•"/>
      <w:lvlJc w:val="left"/>
      <w:pPr>
        <w:ind w:left="4334" w:hanging="851"/>
      </w:pPr>
      <w:rPr>
        <w:rFonts w:hint="default"/>
      </w:rPr>
    </w:lvl>
    <w:lvl w:ilvl="5" w:tplc="22160AC0">
      <w:start w:val="1"/>
      <w:numFmt w:val="bullet"/>
      <w:lvlText w:val="•"/>
      <w:lvlJc w:val="left"/>
      <w:pPr>
        <w:ind w:left="5165" w:hanging="851"/>
      </w:pPr>
      <w:rPr>
        <w:rFonts w:hint="default"/>
      </w:rPr>
    </w:lvl>
    <w:lvl w:ilvl="6" w:tplc="D918F162">
      <w:start w:val="1"/>
      <w:numFmt w:val="bullet"/>
      <w:lvlText w:val="•"/>
      <w:lvlJc w:val="left"/>
      <w:pPr>
        <w:ind w:left="5996" w:hanging="851"/>
      </w:pPr>
      <w:rPr>
        <w:rFonts w:hint="default"/>
      </w:rPr>
    </w:lvl>
    <w:lvl w:ilvl="7" w:tplc="CA9418BA">
      <w:start w:val="1"/>
      <w:numFmt w:val="bullet"/>
      <w:lvlText w:val="•"/>
      <w:lvlJc w:val="left"/>
      <w:pPr>
        <w:ind w:left="6827" w:hanging="851"/>
      </w:pPr>
      <w:rPr>
        <w:rFonts w:hint="default"/>
      </w:rPr>
    </w:lvl>
    <w:lvl w:ilvl="8" w:tplc="07803514">
      <w:start w:val="1"/>
      <w:numFmt w:val="bullet"/>
      <w:lvlText w:val="•"/>
      <w:lvlJc w:val="left"/>
      <w:pPr>
        <w:ind w:left="7658" w:hanging="851"/>
      </w:pPr>
      <w:rPr>
        <w:rFonts w:hint="default"/>
      </w:rPr>
    </w:lvl>
  </w:abstractNum>
  <w:abstractNum w:abstractNumId="17">
    <w:nsid w:val="59C46EC3"/>
    <w:multiLevelType w:val="hybridMultilevel"/>
    <w:tmpl w:val="D40A180C"/>
    <w:lvl w:ilvl="0" w:tplc="DD521F80">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D0B42DB"/>
    <w:multiLevelType w:val="hybridMultilevel"/>
    <w:tmpl w:val="2E4A485C"/>
    <w:lvl w:ilvl="0" w:tplc="3F562B6E">
      <w:start w:val="1"/>
      <w:numFmt w:val="decimal"/>
      <w:lvlText w:val=".%1"/>
      <w:lvlJc w:val="left"/>
      <w:pPr>
        <w:ind w:left="1841" w:hanging="851"/>
      </w:pPr>
      <w:rPr>
        <w:rFonts w:ascii="Arial" w:eastAsia="Arial" w:hAnsi="Arial" w:hint="default"/>
        <w:w w:val="99"/>
        <w:sz w:val="22"/>
        <w:szCs w:val="22"/>
      </w:rPr>
    </w:lvl>
    <w:lvl w:ilvl="1" w:tplc="61EE59C0">
      <w:start w:val="1"/>
      <w:numFmt w:val="decimal"/>
      <w:lvlText w:val=".%2"/>
      <w:lvlJc w:val="left"/>
      <w:pPr>
        <w:ind w:left="2692" w:hanging="851"/>
        <w:jc w:val="right"/>
      </w:pPr>
      <w:rPr>
        <w:rFonts w:ascii="Arial" w:eastAsia="Arial" w:hAnsi="Arial" w:hint="default"/>
        <w:w w:val="99"/>
        <w:sz w:val="22"/>
        <w:szCs w:val="22"/>
      </w:rPr>
    </w:lvl>
    <w:lvl w:ilvl="2" w:tplc="A4144018">
      <w:start w:val="1"/>
      <w:numFmt w:val="decimal"/>
      <w:lvlText w:val=".%3"/>
      <w:lvlJc w:val="left"/>
      <w:pPr>
        <w:ind w:left="3542" w:hanging="850"/>
      </w:pPr>
      <w:rPr>
        <w:rFonts w:ascii="Arial" w:eastAsia="Arial" w:hAnsi="Arial" w:hint="default"/>
        <w:w w:val="99"/>
        <w:sz w:val="22"/>
        <w:szCs w:val="22"/>
      </w:rPr>
    </w:lvl>
    <w:lvl w:ilvl="3" w:tplc="54EE9B04">
      <w:start w:val="1"/>
      <w:numFmt w:val="bullet"/>
      <w:lvlText w:val="•"/>
      <w:lvlJc w:val="left"/>
      <w:pPr>
        <w:ind w:left="4264" w:hanging="850"/>
      </w:pPr>
      <w:rPr>
        <w:rFonts w:hint="default"/>
      </w:rPr>
    </w:lvl>
    <w:lvl w:ilvl="4" w:tplc="6F8E1BBE">
      <w:start w:val="1"/>
      <w:numFmt w:val="bullet"/>
      <w:lvlText w:val="•"/>
      <w:lvlJc w:val="left"/>
      <w:pPr>
        <w:ind w:left="4986" w:hanging="850"/>
      </w:pPr>
      <w:rPr>
        <w:rFonts w:hint="default"/>
      </w:rPr>
    </w:lvl>
    <w:lvl w:ilvl="5" w:tplc="958497D8">
      <w:start w:val="1"/>
      <w:numFmt w:val="bullet"/>
      <w:lvlText w:val="•"/>
      <w:lvlJc w:val="left"/>
      <w:pPr>
        <w:ind w:left="5708" w:hanging="850"/>
      </w:pPr>
      <w:rPr>
        <w:rFonts w:hint="default"/>
      </w:rPr>
    </w:lvl>
    <w:lvl w:ilvl="6" w:tplc="E3D61F6A">
      <w:start w:val="1"/>
      <w:numFmt w:val="bullet"/>
      <w:lvlText w:val="•"/>
      <w:lvlJc w:val="left"/>
      <w:pPr>
        <w:ind w:left="6431" w:hanging="850"/>
      </w:pPr>
      <w:rPr>
        <w:rFonts w:hint="default"/>
      </w:rPr>
    </w:lvl>
    <w:lvl w:ilvl="7" w:tplc="69461DCC">
      <w:start w:val="1"/>
      <w:numFmt w:val="bullet"/>
      <w:lvlText w:val="•"/>
      <w:lvlJc w:val="left"/>
      <w:pPr>
        <w:ind w:left="7153" w:hanging="850"/>
      </w:pPr>
      <w:rPr>
        <w:rFonts w:hint="default"/>
      </w:rPr>
    </w:lvl>
    <w:lvl w:ilvl="8" w:tplc="8DBA8486">
      <w:start w:val="1"/>
      <w:numFmt w:val="bullet"/>
      <w:lvlText w:val="•"/>
      <w:lvlJc w:val="left"/>
      <w:pPr>
        <w:ind w:left="7875" w:hanging="850"/>
      </w:pPr>
      <w:rPr>
        <w:rFonts w:hint="default"/>
      </w:rPr>
    </w:lvl>
  </w:abstractNum>
  <w:abstractNum w:abstractNumId="19">
    <w:nsid w:val="5D1E14F1"/>
    <w:multiLevelType w:val="hybridMultilevel"/>
    <w:tmpl w:val="905E06AE"/>
    <w:lvl w:ilvl="0" w:tplc="7DFA6A98">
      <w:start w:val="1"/>
      <w:numFmt w:val="decimal"/>
      <w:lvlText w:val=".%1"/>
      <w:lvlJc w:val="left"/>
      <w:pPr>
        <w:ind w:left="1871" w:hanging="841"/>
      </w:pPr>
      <w:rPr>
        <w:rFonts w:ascii="Times New Roman" w:eastAsia="Arial" w:hAnsi="Times New Roman" w:cs="Times New Roman" w:hint="default"/>
        <w:w w:val="99"/>
        <w:sz w:val="22"/>
        <w:szCs w:val="22"/>
      </w:rPr>
    </w:lvl>
    <w:lvl w:ilvl="1" w:tplc="044E69E0">
      <w:start w:val="1"/>
      <w:numFmt w:val="bullet"/>
      <w:lvlText w:val="•"/>
      <w:lvlJc w:val="left"/>
      <w:pPr>
        <w:ind w:left="2664" w:hanging="841"/>
      </w:pPr>
      <w:rPr>
        <w:rFonts w:hint="default"/>
      </w:rPr>
    </w:lvl>
    <w:lvl w:ilvl="2" w:tplc="3D9E3A34">
      <w:start w:val="1"/>
      <w:numFmt w:val="bullet"/>
      <w:lvlText w:val="•"/>
      <w:lvlJc w:val="left"/>
      <w:pPr>
        <w:ind w:left="3457" w:hanging="841"/>
      </w:pPr>
      <w:rPr>
        <w:rFonts w:hint="default"/>
      </w:rPr>
    </w:lvl>
    <w:lvl w:ilvl="3" w:tplc="5EBA68AA">
      <w:start w:val="1"/>
      <w:numFmt w:val="bullet"/>
      <w:lvlText w:val="•"/>
      <w:lvlJc w:val="left"/>
      <w:pPr>
        <w:ind w:left="4250" w:hanging="841"/>
      </w:pPr>
      <w:rPr>
        <w:rFonts w:hint="default"/>
      </w:rPr>
    </w:lvl>
    <w:lvl w:ilvl="4" w:tplc="D228D110">
      <w:start w:val="1"/>
      <w:numFmt w:val="bullet"/>
      <w:lvlText w:val="•"/>
      <w:lvlJc w:val="left"/>
      <w:pPr>
        <w:ind w:left="5042" w:hanging="841"/>
      </w:pPr>
      <w:rPr>
        <w:rFonts w:hint="default"/>
      </w:rPr>
    </w:lvl>
    <w:lvl w:ilvl="5" w:tplc="C88E9546">
      <w:start w:val="1"/>
      <w:numFmt w:val="bullet"/>
      <w:lvlText w:val="•"/>
      <w:lvlJc w:val="left"/>
      <w:pPr>
        <w:ind w:left="5835" w:hanging="841"/>
      </w:pPr>
      <w:rPr>
        <w:rFonts w:hint="default"/>
      </w:rPr>
    </w:lvl>
    <w:lvl w:ilvl="6" w:tplc="22C412BC">
      <w:start w:val="1"/>
      <w:numFmt w:val="bullet"/>
      <w:lvlText w:val="•"/>
      <w:lvlJc w:val="left"/>
      <w:pPr>
        <w:ind w:left="6628" w:hanging="841"/>
      </w:pPr>
      <w:rPr>
        <w:rFonts w:hint="default"/>
      </w:rPr>
    </w:lvl>
    <w:lvl w:ilvl="7" w:tplc="053C24C4">
      <w:start w:val="1"/>
      <w:numFmt w:val="bullet"/>
      <w:lvlText w:val="•"/>
      <w:lvlJc w:val="left"/>
      <w:pPr>
        <w:ind w:left="7421" w:hanging="841"/>
      </w:pPr>
      <w:rPr>
        <w:rFonts w:hint="default"/>
      </w:rPr>
    </w:lvl>
    <w:lvl w:ilvl="8" w:tplc="C2C21F0C">
      <w:start w:val="1"/>
      <w:numFmt w:val="bullet"/>
      <w:lvlText w:val="•"/>
      <w:lvlJc w:val="left"/>
      <w:pPr>
        <w:ind w:left="8214" w:hanging="841"/>
      </w:pPr>
      <w:rPr>
        <w:rFonts w:hint="default"/>
      </w:rPr>
    </w:lvl>
  </w:abstractNum>
  <w:abstractNum w:abstractNumId="20">
    <w:nsid w:val="5EF23BDE"/>
    <w:multiLevelType w:val="multilevel"/>
    <w:tmpl w:val="DB8C0ACE"/>
    <w:lvl w:ilvl="0">
      <w:start w:val="5"/>
      <w:numFmt w:val="decimal"/>
      <w:lvlText w:val="%1."/>
      <w:lvlJc w:val="left"/>
      <w:pPr>
        <w:ind w:left="540" w:hanging="540"/>
      </w:pPr>
      <w:rPr>
        <w:rFonts w:cstheme="minorBidi" w:hint="default"/>
      </w:rPr>
    </w:lvl>
    <w:lvl w:ilvl="1">
      <w:start w:val="4"/>
      <w:numFmt w:val="decimal"/>
      <w:lvlText w:val="%1.%2."/>
      <w:lvlJc w:val="left"/>
      <w:pPr>
        <w:ind w:left="540" w:hanging="54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1">
    <w:nsid w:val="6782452B"/>
    <w:multiLevelType w:val="hybridMultilevel"/>
    <w:tmpl w:val="83306408"/>
    <w:lvl w:ilvl="0" w:tplc="22CA1252">
      <w:start w:val="1"/>
      <w:numFmt w:val="bullet"/>
      <w:lvlText w:val=""/>
      <w:lvlJc w:val="left"/>
      <w:pPr>
        <w:ind w:left="707" w:hanging="568"/>
      </w:pPr>
      <w:rPr>
        <w:rFonts w:ascii="Symbol" w:eastAsia="Symbol" w:hAnsi="Symbol" w:hint="default"/>
        <w:position w:val="10"/>
        <w:sz w:val="14"/>
        <w:szCs w:val="14"/>
      </w:rPr>
    </w:lvl>
    <w:lvl w:ilvl="1" w:tplc="54DC1010">
      <w:start w:val="1"/>
      <w:numFmt w:val="bullet"/>
      <w:lvlText w:val="•"/>
      <w:lvlJc w:val="left"/>
      <w:pPr>
        <w:ind w:left="1616" w:hanging="568"/>
      </w:pPr>
      <w:rPr>
        <w:rFonts w:hint="default"/>
      </w:rPr>
    </w:lvl>
    <w:lvl w:ilvl="2" w:tplc="99A8509A">
      <w:start w:val="1"/>
      <w:numFmt w:val="bullet"/>
      <w:lvlText w:val="•"/>
      <w:lvlJc w:val="left"/>
      <w:pPr>
        <w:ind w:left="2526" w:hanging="568"/>
      </w:pPr>
      <w:rPr>
        <w:rFonts w:hint="default"/>
      </w:rPr>
    </w:lvl>
    <w:lvl w:ilvl="3" w:tplc="7A46461E">
      <w:start w:val="1"/>
      <w:numFmt w:val="bullet"/>
      <w:lvlText w:val="•"/>
      <w:lvlJc w:val="left"/>
      <w:pPr>
        <w:ind w:left="3435" w:hanging="568"/>
      </w:pPr>
      <w:rPr>
        <w:rFonts w:hint="default"/>
      </w:rPr>
    </w:lvl>
    <w:lvl w:ilvl="4" w:tplc="571C2A94">
      <w:start w:val="1"/>
      <w:numFmt w:val="bullet"/>
      <w:lvlText w:val="•"/>
      <w:lvlJc w:val="left"/>
      <w:pPr>
        <w:ind w:left="4344" w:hanging="568"/>
      </w:pPr>
      <w:rPr>
        <w:rFonts w:hint="default"/>
      </w:rPr>
    </w:lvl>
    <w:lvl w:ilvl="5" w:tplc="BFF0E9F4">
      <w:start w:val="1"/>
      <w:numFmt w:val="bullet"/>
      <w:lvlText w:val="•"/>
      <w:lvlJc w:val="left"/>
      <w:pPr>
        <w:ind w:left="5253" w:hanging="568"/>
      </w:pPr>
      <w:rPr>
        <w:rFonts w:hint="default"/>
      </w:rPr>
    </w:lvl>
    <w:lvl w:ilvl="6" w:tplc="EE1A1C2C">
      <w:start w:val="1"/>
      <w:numFmt w:val="bullet"/>
      <w:lvlText w:val="•"/>
      <w:lvlJc w:val="left"/>
      <w:pPr>
        <w:ind w:left="6163" w:hanging="568"/>
      </w:pPr>
      <w:rPr>
        <w:rFonts w:hint="default"/>
      </w:rPr>
    </w:lvl>
    <w:lvl w:ilvl="7" w:tplc="49A0EFC0">
      <w:start w:val="1"/>
      <w:numFmt w:val="bullet"/>
      <w:lvlText w:val="•"/>
      <w:lvlJc w:val="left"/>
      <w:pPr>
        <w:ind w:left="7072" w:hanging="568"/>
      </w:pPr>
      <w:rPr>
        <w:rFonts w:hint="default"/>
      </w:rPr>
    </w:lvl>
    <w:lvl w:ilvl="8" w:tplc="3D2AE9AC">
      <w:start w:val="1"/>
      <w:numFmt w:val="bullet"/>
      <w:lvlText w:val="•"/>
      <w:lvlJc w:val="left"/>
      <w:pPr>
        <w:ind w:left="7981" w:hanging="568"/>
      </w:pPr>
      <w:rPr>
        <w:rFonts w:hint="default"/>
      </w:rPr>
    </w:lvl>
  </w:abstractNum>
  <w:abstractNum w:abstractNumId="22">
    <w:nsid w:val="699B2278"/>
    <w:multiLevelType w:val="hybridMultilevel"/>
    <w:tmpl w:val="33268BC8"/>
    <w:lvl w:ilvl="0" w:tplc="0C74FA4A">
      <w:start w:val="1"/>
      <w:numFmt w:val="decimal"/>
      <w:lvlText w:val=".%1"/>
      <w:lvlJc w:val="left"/>
      <w:pPr>
        <w:ind w:left="1841" w:hanging="851"/>
      </w:pPr>
      <w:rPr>
        <w:rFonts w:ascii="Arial" w:eastAsia="Arial" w:hAnsi="Arial" w:hint="default"/>
        <w:w w:val="99"/>
        <w:sz w:val="22"/>
        <w:szCs w:val="22"/>
      </w:rPr>
    </w:lvl>
    <w:lvl w:ilvl="1" w:tplc="A0708A98">
      <w:start w:val="1"/>
      <w:numFmt w:val="decimal"/>
      <w:lvlText w:val=".%2"/>
      <w:lvlJc w:val="left"/>
      <w:pPr>
        <w:ind w:left="2687" w:hanging="847"/>
      </w:pPr>
      <w:rPr>
        <w:rFonts w:ascii="Arial" w:eastAsia="Arial" w:hAnsi="Arial" w:hint="default"/>
        <w:w w:val="99"/>
        <w:sz w:val="22"/>
        <w:szCs w:val="22"/>
      </w:rPr>
    </w:lvl>
    <w:lvl w:ilvl="2" w:tplc="7B0AA15A">
      <w:start w:val="1"/>
      <w:numFmt w:val="bullet"/>
      <w:lvlText w:val="•"/>
      <w:lvlJc w:val="left"/>
      <w:pPr>
        <w:ind w:left="3424" w:hanging="847"/>
      </w:pPr>
      <w:rPr>
        <w:rFonts w:hint="default"/>
      </w:rPr>
    </w:lvl>
    <w:lvl w:ilvl="3" w:tplc="77D81BDC">
      <w:start w:val="1"/>
      <w:numFmt w:val="bullet"/>
      <w:lvlText w:val="•"/>
      <w:lvlJc w:val="left"/>
      <w:pPr>
        <w:ind w:left="4161" w:hanging="847"/>
      </w:pPr>
      <w:rPr>
        <w:rFonts w:hint="default"/>
      </w:rPr>
    </w:lvl>
    <w:lvl w:ilvl="4" w:tplc="1B2A6A7C">
      <w:start w:val="1"/>
      <w:numFmt w:val="bullet"/>
      <w:lvlText w:val="•"/>
      <w:lvlJc w:val="left"/>
      <w:pPr>
        <w:ind w:left="4898" w:hanging="847"/>
      </w:pPr>
      <w:rPr>
        <w:rFonts w:hint="default"/>
      </w:rPr>
    </w:lvl>
    <w:lvl w:ilvl="5" w:tplc="744A97A6">
      <w:start w:val="1"/>
      <w:numFmt w:val="bullet"/>
      <w:lvlText w:val="•"/>
      <w:lvlJc w:val="left"/>
      <w:pPr>
        <w:ind w:left="5635" w:hanging="847"/>
      </w:pPr>
      <w:rPr>
        <w:rFonts w:hint="default"/>
      </w:rPr>
    </w:lvl>
    <w:lvl w:ilvl="6" w:tplc="21DA1D60">
      <w:start w:val="1"/>
      <w:numFmt w:val="bullet"/>
      <w:lvlText w:val="•"/>
      <w:lvlJc w:val="left"/>
      <w:pPr>
        <w:ind w:left="6372" w:hanging="847"/>
      </w:pPr>
      <w:rPr>
        <w:rFonts w:hint="default"/>
      </w:rPr>
    </w:lvl>
    <w:lvl w:ilvl="7" w:tplc="2F2AC4AE">
      <w:start w:val="1"/>
      <w:numFmt w:val="bullet"/>
      <w:lvlText w:val="•"/>
      <w:lvlJc w:val="left"/>
      <w:pPr>
        <w:ind w:left="7109" w:hanging="847"/>
      </w:pPr>
      <w:rPr>
        <w:rFonts w:hint="default"/>
      </w:rPr>
    </w:lvl>
    <w:lvl w:ilvl="8" w:tplc="FD7AC360">
      <w:start w:val="1"/>
      <w:numFmt w:val="bullet"/>
      <w:lvlText w:val="•"/>
      <w:lvlJc w:val="left"/>
      <w:pPr>
        <w:ind w:left="7846" w:hanging="847"/>
      </w:pPr>
      <w:rPr>
        <w:rFonts w:hint="default"/>
      </w:rPr>
    </w:lvl>
  </w:abstractNum>
  <w:abstractNum w:abstractNumId="23">
    <w:nsid w:val="6A4A6541"/>
    <w:multiLevelType w:val="hybridMultilevel"/>
    <w:tmpl w:val="644AE5F0"/>
    <w:lvl w:ilvl="0" w:tplc="30B4B1F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0"/>
  </w:num>
  <w:num w:numId="3">
    <w:abstractNumId w:val="4"/>
  </w:num>
  <w:num w:numId="4">
    <w:abstractNumId w:val="14"/>
  </w:num>
  <w:num w:numId="5">
    <w:abstractNumId w:val="7"/>
  </w:num>
  <w:num w:numId="6">
    <w:abstractNumId w:val="22"/>
  </w:num>
  <w:num w:numId="7">
    <w:abstractNumId w:val="18"/>
  </w:num>
  <w:num w:numId="8">
    <w:abstractNumId w:val="13"/>
  </w:num>
  <w:num w:numId="9">
    <w:abstractNumId w:val="19"/>
  </w:num>
  <w:num w:numId="10">
    <w:abstractNumId w:val="8"/>
  </w:num>
  <w:num w:numId="11">
    <w:abstractNumId w:val="12"/>
  </w:num>
  <w:num w:numId="12">
    <w:abstractNumId w:val="16"/>
  </w:num>
  <w:num w:numId="13">
    <w:abstractNumId w:val="6"/>
  </w:num>
  <w:num w:numId="14">
    <w:abstractNumId w:val="15"/>
  </w:num>
  <w:num w:numId="15">
    <w:abstractNumId w:val="5"/>
  </w:num>
  <w:num w:numId="16">
    <w:abstractNumId w:val="1"/>
  </w:num>
  <w:num w:numId="17">
    <w:abstractNumId w:val="17"/>
  </w:num>
  <w:num w:numId="18">
    <w:abstractNumId w:val="3"/>
  </w:num>
  <w:num w:numId="19">
    <w:abstractNumId w:val="2"/>
  </w:num>
  <w:num w:numId="20">
    <w:abstractNumId w:val="9"/>
  </w:num>
  <w:num w:numId="21">
    <w:abstractNumId w:val="11"/>
  </w:num>
  <w:num w:numId="22">
    <w:abstractNumId w:val="1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175"/>
  </w:hdrShapeDefaults>
  <w:footnotePr>
    <w:footnote w:id="-1"/>
    <w:footnote w:id="0"/>
  </w:footnotePr>
  <w:endnotePr>
    <w:endnote w:id="-1"/>
    <w:endnote w:id="0"/>
  </w:endnotePr>
  <w:compat>
    <w:ulTrailSpace/>
    <w:compatSetting w:name="compatibilityMode" w:uri="http://schemas.microsoft.com/office/word" w:val="12"/>
  </w:compat>
  <w:rsids>
    <w:rsidRoot w:val="00E65FCA"/>
    <w:rsid w:val="00030855"/>
    <w:rsid w:val="00412D41"/>
    <w:rsid w:val="004C7D43"/>
    <w:rsid w:val="00833CA0"/>
    <w:rsid w:val="00904169"/>
    <w:rsid w:val="009913A1"/>
    <w:rsid w:val="00B13BB6"/>
    <w:rsid w:val="00CE3831"/>
    <w:rsid w:val="00D41F8C"/>
    <w:rsid w:val="00E65FCA"/>
    <w:rsid w:val="00E94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7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90" w:hanging="85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41F8C"/>
    <w:pPr>
      <w:tabs>
        <w:tab w:val="center" w:pos="4153"/>
        <w:tab w:val="right" w:pos="8306"/>
      </w:tabs>
    </w:pPr>
  </w:style>
  <w:style w:type="character" w:customStyle="1" w:styleId="HeaderChar">
    <w:name w:val="Header Char"/>
    <w:basedOn w:val="DefaultParagraphFont"/>
    <w:link w:val="Header"/>
    <w:uiPriority w:val="99"/>
    <w:rsid w:val="00D41F8C"/>
  </w:style>
  <w:style w:type="paragraph" w:styleId="Footer">
    <w:name w:val="footer"/>
    <w:basedOn w:val="Normal"/>
    <w:link w:val="FooterChar"/>
    <w:unhideWhenUsed/>
    <w:rsid w:val="00D41F8C"/>
    <w:pPr>
      <w:tabs>
        <w:tab w:val="center" w:pos="4153"/>
        <w:tab w:val="right" w:pos="8306"/>
      </w:tabs>
    </w:pPr>
  </w:style>
  <w:style w:type="character" w:customStyle="1" w:styleId="FooterChar">
    <w:name w:val="Footer Char"/>
    <w:basedOn w:val="DefaultParagraphFont"/>
    <w:link w:val="Footer"/>
    <w:uiPriority w:val="99"/>
    <w:rsid w:val="00D41F8C"/>
  </w:style>
  <w:style w:type="table" w:styleId="TableGrid">
    <w:name w:val="Table Grid"/>
    <w:basedOn w:val="TableNormal"/>
    <w:uiPriority w:val="39"/>
    <w:rsid w:val="00D41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E946CA"/>
  </w:style>
  <w:style w:type="paragraph" w:styleId="FootnoteText">
    <w:name w:val="footnote text"/>
    <w:basedOn w:val="Normal"/>
    <w:link w:val="FootnoteTextChar"/>
    <w:uiPriority w:val="99"/>
    <w:semiHidden/>
    <w:unhideWhenUsed/>
    <w:rsid w:val="004C7D43"/>
    <w:rPr>
      <w:sz w:val="20"/>
      <w:szCs w:val="20"/>
    </w:rPr>
  </w:style>
  <w:style w:type="character" w:customStyle="1" w:styleId="FootnoteTextChar">
    <w:name w:val="Footnote Text Char"/>
    <w:basedOn w:val="DefaultParagraphFont"/>
    <w:link w:val="FootnoteText"/>
    <w:uiPriority w:val="99"/>
    <w:semiHidden/>
    <w:rsid w:val="004C7D43"/>
    <w:rPr>
      <w:sz w:val="20"/>
      <w:szCs w:val="20"/>
    </w:rPr>
  </w:style>
  <w:style w:type="character" w:styleId="FootnoteReference">
    <w:name w:val="footnote reference"/>
    <w:basedOn w:val="DefaultParagraphFont"/>
    <w:uiPriority w:val="99"/>
    <w:semiHidden/>
    <w:unhideWhenUsed/>
    <w:rsid w:val="004C7D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5D5D-6157-48F4-B82E-B8316792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22962</Words>
  <Characters>13089</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2015-10-05T14:20:00Z</dcterms:created>
  <dcterms:modified xsi:type="dcterms:W3CDTF">2016-05-26T14:48:00Z</dcterms:modified>
</cp:coreProperties>
</file>