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1A37E7" w14:textId="77777777" w:rsidR="00C53629" w:rsidRPr="006B3366" w:rsidRDefault="00C53629" w:rsidP="006B3366">
      <w:pPr>
        <w:jc w:val="both"/>
        <w:rPr>
          <w:rFonts w:ascii="Times New Roman" w:eastAsia="Times New Roman" w:hAnsi="Times New Roman" w:cs="Times New Roman"/>
          <w:noProof/>
          <w:sz w:val="24"/>
          <w:szCs w:val="15"/>
        </w:rPr>
      </w:pPr>
    </w:p>
    <w:p w14:paraId="51DF77DA" w14:textId="77777777" w:rsidR="00C53629" w:rsidRPr="006B3366" w:rsidRDefault="00C53629" w:rsidP="00AE0B2B">
      <w:pPr>
        <w:pStyle w:val="Heading1"/>
        <w:ind w:left="0"/>
        <w:jc w:val="center"/>
        <w:rPr>
          <w:rFonts w:ascii="Times New Roman" w:hAnsi="Times New Roman"/>
          <w:noProof/>
          <w:sz w:val="24"/>
        </w:rPr>
      </w:pPr>
      <w:r>
        <w:rPr>
          <w:rFonts w:ascii="Times New Roman" w:hAnsi="Times New Roman"/>
          <w:sz w:val="24"/>
        </w:rPr>
        <w:t>2. PIELIKUMS</w:t>
      </w:r>
    </w:p>
    <w:p w14:paraId="0505C55C" w14:textId="77777777" w:rsidR="00C53629" w:rsidRPr="006B3366" w:rsidRDefault="00C53629" w:rsidP="00AE0B2B">
      <w:pPr>
        <w:jc w:val="center"/>
        <w:rPr>
          <w:rFonts w:ascii="Times New Roman" w:eastAsia="Arial" w:hAnsi="Times New Roman" w:cs="Arial"/>
          <w:b/>
          <w:bCs/>
          <w:noProof/>
          <w:sz w:val="24"/>
          <w:szCs w:val="18"/>
        </w:rPr>
      </w:pPr>
    </w:p>
    <w:p w14:paraId="497101C2" w14:textId="77777777" w:rsidR="00C53629" w:rsidRPr="006B3366" w:rsidRDefault="00C53629" w:rsidP="00AE0B2B">
      <w:pPr>
        <w:jc w:val="center"/>
        <w:rPr>
          <w:rFonts w:ascii="Times New Roman" w:hAnsi="Times New Roman"/>
          <w:b/>
          <w:noProof/>
          <w:sz w:val="24"/>
        </w:rPr>
      </w:pPr>
      <w:r>
        <w:rPr>
          <w:rFonts w:ascii="Times New Roman" w:hAnsi="Times New Roman"/>
          <w:b/>
          <w:sz w:val="24"/>
        </w:rPr>
        <w:t>REZOLŪCIJA MEPC.297(72)</w:t>
      </w:r>
    </w:p>
    <w:p w14:paraId="0F5D572E" w14:textId="77777777" w:rsidR="00C53629" w:rsidRPr="006B3366" w:rsidRDefault="00C53629" w:rsidP="00AE0B2B">
      <w:pPr>
        <w:jc w:val="center"/>
        <w:rPr>
          <w:rFonts w:ascii="Times New Roman" w:hAnsi="Times New Roman"/>
          <w:b/>
          <w:noProof/>
          <w:sz w:val="24"/>
        </w:rPr>
      </w:pPr>
      <w:r>
        <w:rPr>
          <w:rFonts w:ascii="Times New Roman" w:hAnsi="Times New Roman"/>
          <w:b/>
          <w:sz w:val="24"/>
        </w:rPr>
        <w:t>(pieņemta 2018. gada 13. aprīlī)</w:t>
      </w:r>
    </w:p>
    <w:p w14:paraId="0AE6422D" w14:textId="77777777" w:rsidR="00C53629" w:rsidRPr="006B3366" w:rsidRDefault="00C53629" w:rsidP="00AE0B2B">
      <w:pPr>
        <w:jc w:val="center"/>
        <w:rPr>
          <w:rFonts w:ascii="Times New Roman" w:eastAsia="Arial" w:hAnsi="Times New Roman" w:cs="Arial"/>
          <w:b/>
          <w:bCs/>
          <w:noProof/>
          <w:sz w:val="24"/>
          <w:szCs w:val="20"/>
        </w:rPr>
      </w:pPr>
    </w:p>
    <w:p w14:paraId="3E85703F" w14:textId="77777777" w:rsidR="00C53629" w:rsidRPr="006B3366" w:rsidRDefault="00C53629" w:rsidP="00AE0B2B">
      <w:pPr>
        <w:jc w:val="center"/>
        <w:rPr>
          <w:rFonts w:ascii="Times New Roman" w:hAnsi="Times New Roman"/>
          <w:b/>
          <w:noProof/>
          <w:sz w:val="24"/>
        </w:rPr>
      </w:pPr>
      <w:r>
        <w:rPr>
          <w:rFonts w:ascii="Times New Roman" w:hAnsi="Times New Roman"/>
          <w:b/>
          <w:sz w:val="24"/>
        </w:rPr>
        <w:t>2004. GADA STARPTAUTISKĀS KONVENCIJAS PAR KUĢU BALASTA ŪDENS UN NOSĒDUMU KONTROLI UN PĀRVALDĪBU GROZĪJUMI</w:t>
      </w:r>
    </w:p>
    <w:p w14:paraId="202FE7B2" w14:textId="77777777" w:rsidR="00C53629" w:rsidRPr="006B3366" w:rsidRDefault="00C53629" w:rsidP="00AE0B2B">
      <w:pPr>
        <w:jc w:val="center"/>
        <w:rPr>
          <w:rFonts w:ascii="Times New Roman" w:eastAsia="Arial" w:hAnsi="Times New Roman" w:cs="Arial"/>
          <w:b/>
          <w:bCs/>
          <w:noProof/>
          <w:sz w:val="24"/>
          <w:szCs w:val="19"/>
        </w:rPr>
      </w:pPr>
    </w:p>
    <w:p w14:paraId="68D86417" w14:textId="77777777" w:rsidR="00C53629" w:rsidRPr="006B3366" w:rsidRDefault="00C53629" w:rsidP="00AE0B2B">
      <w:pPr>
        <w:jc w:val="center"/>
        <w:rPr>
          <w:rFonts w:ascii="Times New Roman" w:hAnsi="Times New Roman"/>
          <w:b/>
          <w:noProof/>
          <w:sz w:val="24"/>
        </w:rPr>
      </w:pPr>
      <w:r>
        <w:rPr>
          <w:rFonts w:ascii="Times New Roman" w:hAnsi="Times New Roman"/>
          <w:b/>
          <w:sz w:val="24"/>
        </w:rPr>
        <w:t>B-3. noteikuma grozījumi</w:t>
      </w:r>
    </w:p>
    <w:p w14:paraId="5084AAAF" w14:textId="77777777" w:rsidR="00C53629" w:rsidRPr="006B3366" w:rsidRDefault="00C53629" w:rsidP="00AE0B2B">
      <w:pPr>
        <w:jc w:val="center"/>
        <w:rPr>
          <w:rFonts w:ascii="Times New Roman" w:eastAsia="Arial" w:hAnsi="Times New Roman" w:cs="Arial"/>
          <w:b/>
          <w:bCs/>
          <w:noProof/>
          <w:sz w:val="24"/>
          <w:szCs w:val="19"/>
        </w:rPr>
      </w:pPr>
    </w:p>
    <w:p w14:paraId="0C94DDBC" w14:textId="77777777" w:rsidR="00C53629" w:rsidRPr="006B3366" w:rsidRDefault="00C53629" w:rsidP="00AE0B2B">
      <w:pPr>
        <w:jc w:val="center"/>
        <w:rPr>
          <w:rFonts w:ascii="Times New Roman" w:hAnsi="Times New Roman"/>
          <w:b/>
          <w:noProof/>
          <w:sz w:val="24"/>
        </w:rPr>
      </w:pPr>
      <w:r>
        <w:rPr>
          <w:rFonts w:ascii="Times New Roman" w:hAnsi="Times New Roman"/>
          <w:b/>
          <w:sz w:val="24"/>
        </w:rPr>
        <w:t>(Kuģu balasta ūdens pārvaldības īstenošanas grafiks)</w:t>
      </w:r>
    </w:p>
    <w:p w14:paraId="460B26D3" w14:textId="77777777" w:rsidR="00C53629" w:rsidRPr="006B3366" w:rsidRDefault="00C53629" w:rsidP="006B3366">
      <w:pPr>
        <w:jc w:val="both"/>
        <w:rPr>
          <w:rFonts w:ascii="Times New Roman" w:eastAsia="Arial" w:hAnsi="Times New Roman" w:cs="Arial"/>
          <w:b/>
          <w:bCs/>
          <w:noProof/>
          <w:sz w:val="24"/>
          <w:szCs w:val="20"/>
        </w:rPr>
      </w:pPr>
    </w:p>
    <w:p w14:paraId="34DD48F7" w14:textId="77777777" w:rsidR="00C53629" w:rsidRPr="006B3366" w:rsidRDefault="00C53629" w:rsidP="006B3366">
      <w:pPr>
        <w:pStyle w:val="BodyText"/>
        <w:ind w:left="0"/>
        <w:jc w:val="both"/>
        <w:rPr>
          <w:rFonts w:ascii="Times New Roman" w:hAnsi="Times New Roman"/>
          <w:noProof/>
          <w:sz w:val="24"/>
        </w:rPr>
      </w:pPr>
      <w:r>
        <w:rPr>
          <w:rFonts w:ascii="Times New Roman" w:hAnsi="Times New Roman"/>
          <w:sz w:val="24"/>
        </w:rPr>
        <w:t>JŪRAS VIDES AIZSARDZĪBAS KOMITEJA,</w:t>
      </w:r>
    </w:p>
    <w:p w14:paraId="2844FD2E" w14:textId="77777777" w:rsidR="00C53629" w:rsidRPr="006B3366" w:rsidRDefault="00C53629" w:rsidP="006B3366">
      <w:pPr>
        <w:jc w:val="both"/>
        <w:rPr>
          <w:rFonts w:ascii="Times New Roman" w:eastAsia="Arial" w:hAnsi="Times New Roman" w:cs="Arial"/>
          <w:noProof/>
          <w:sz w:val="24"/>
          <w:szCs w:val="19"/>
        </w:rPr>
      </w:pPr>
    </w:p>
    <w:p w14:paraId="79B19231" w14:textId="77777777" w:rsidR="00C53629" w:rsidRPr="006B3366" w:rsidRDefault="00C53629" w:rsidP="006B3366">
      <w:pPr>
        <w:pStyle w:val="BodyText"/>
        <w:ind w:left="0"/>
        <w:jc w:val="both"/>
        <w:rPr>
          <w:rFonts w:ascii="Times New Roman" w:hAnsi="Times New Roman"/>
          <w:noProof/>
          <w:sz w:val="24"/>
        </w:rPr>
      </w:pPr>
      <w:r>
        <w:rPr>
          <w:rFonts w:ascii="Times New Roman" w:hAnsi="Times New Roman"/>
          <w:sz w:val="24"/>
        </w:rPr>
        <w:t>ATSAUCOTIES uz Konvencijas par Starptautisko Jūrniecības organizāciju 38. panta a) punktu, kas attiecas uz Jūras vides aizsardzības komitejas funkcijām, kuras tai ir piešķirtas ar starptautiskajām konvencijām par kuģu izraisītā jūras piesārņojuma novēršanu un kontroli;</w:t>
      </w:r>
    </w:p>
    <w:p w14:paraId="2C4262C1" w14:textId="77777777" w:rsidR="00C53629" w:rsidRPr="006B3366" w:rsidRDefault="00C53629" w:rsidP="006B3366">
      <w:pPr>
        <w:jc w:val="both"/>
        <w:rPr>
          <w:rFonts w:ascii="Times New Roman" w:eastAsia="Arial" w:hAnsi="Times New Roman" w:cs="Arial"/>
          <w:noProof/>
          <w:sz w:val="24"/>
          <w:szCs w:val="19"/>
        </w:rPr>
      </w:pPr>
    </w:p>
    <w:p w14:paraId="09D350D2" w14:textId="77777777" w:rsidR="00C53629" w:rsidRPr="006B3366" w:rsidRDefault="00C53629" w:rsidP="006B3366">
      <w:pPr>
        <w:pStyle w:val="BodyText"/>
        <w:ind w:left="0"/>
        <w:jc w:val="both"/>
        <w:rPr>
          <w:rFonts w:ascii="Times New Roman" w:hAnsi="Times New Roman"/>
          <w:noProof/>
          <w:sz w:val="24"/>
        </w:rPr>
      </w:pPr>
      <w:r>
        <w:rPr>
          <w:rFonts w:ascii="Times New Roman" w:hAnsi="Times New Roman"/>
          <w:sz w:val="24"/>
        </w:rPr>
        <w:t>ŅEMOT VĒRĀ 2004. gada Starptautiskās konvencijas par kuģu balasta ūdens un nosēdumu kontroli un pārvaldību (</w:t>
      </w:r>
      <w:r>
        <w:rPr>
          <w:rFonts w:ascii="Times New Roman" w:hAnsi="Times New Roman"/>
          <w:i/>
          <w:iCs/>
          <w:sz w:val="24"/>
        </w:rPr>
        <w:t>BWM</w:t>
      </w:r>
      <w:r>
        <w:rPr>
          <w:rFonts w:ascii="Times New Roman" w:hAnsi="Times New Roman"/>
          <w:sz w:val="24"/>
        </w:rPr>
        <w:t xml:space="preserve"> konvencija) 19. pantu, kurā aprakstīta grozījumu procedūra un saskaņā ar kuru Organizācijas Jūras vides aizsardzības komitejai tiek uzdots izskatīt Konvencijas grozījumus, lai dalībvalstis varētu tos pieņemt;</w:t>
      </w:r>
    </w:p>
    <w:p w14:paraId="0AD03F71" w14:textId="77777777" w:rsidR="00C53629" w:rsidRPr="006B3366" w:rsidRDefault="00C53629" w:rsidP="006B3366">
      <w:pPr>
        <w:jc w:val="both"/>
        <w:rPr>
          <w:rFonts w:ascii="Times New Roman" w:eastAsia="Arial" w:hAnsi="Times New Roman" w:cs="Arial"/>
          <w:noProof/>
          <w:sz w:val="24"/>
          <w:szCs w:val="19"/>
        </w:rPr>
      </w:pPr>
    </w:p>
    <w:p w14:paraId="721E7989" w14:textId="77777777" w:rsidR="00C53629" w:rsidRPr="006B3366" w:rsidRDefault="00C53629" w:rsidP="006B3366">
      <w:pPr>
        <w:pStyle w:val="BodyText"/>
        <w:ind w:left="0"/>
        <w:jc w:val="both"/>
        <w:rPr>
          <w:rFonts w:ascii="Times New Roman" w:hAnsi="Times New Roman"/>
          <w:noProof/>
          <w:sz w:val="24"/>
        </w:rPr>
      </w:pPr>
      <w:r>
        <w:rPr>
          <w:rFonts w:ascii="Times New Roman" w:hAnsi="Times New Roman"/>
          <w:sz w:val="24"/>
        </w:rPr>
        <w:t xml:space="preserve">savā septiņdesmit otrajā sesijā IZSKATĪJUSI ierosinātos </w:t>
      </w:r>
      <w:r>
        <w:rPr>
          <w:rFonts w:ascii="Times New Roman" w:hAnsi="Times New Roman"/>
          <w:i/>
          <w:iCs/>
          <w:sz w:val="24"/>
        </w:rPr>
        <w:t>BWM</w:t>
      </w:r>
      <w:r>
        <w:rPr>
          <w:rFonts w:ascii="Times New Roman" w:hAnsi="Times New Roman"/>
          <w:sz w:val="24"/>
        </w:rPr>
        <w:t xml:space="preserve"> konvencijas B-3. noteikuma grozījumus par kuģu balasta ūdens pārvaldības īstenošanas grafiku;</w:t>
      </w:r>
    </w:p>
    <w:p w14:paraId="16297269" w14:textId="77777777" w:rsidR="00C53629" w:rsidRPr="006B3366" w:rsidRDefault="00C53629" w:rsidP="006B3366">
      <w:pPr>
        <w:jc w:val="both"/>
        <w:rPr>
          <w:rFonts w:ascii="Times New Roman" w:eastAsia="Arial" w:hAnsi="Times New Roman" w:cs="Arial"/>
          <w:noProof/>
          <w:sz w:val="24"/>
          <w:szCs w:val="19"/>
        </w:rPr>
      </w:pPr>
    </w:p>
    <w:p w14:paraId="4F16E083" w14:textId="77777777" w:rsidR="00C53629" w:rsidRPr="006B3366" w:rsidRDefault="00C53629" w:rsidP="006B3366">
      <w:pPr>
        <w:pStyle w:val="BodyText"/>
        <w:ind w:left="0"/>
        <w:jc w:val="both"/>
        <w:rPr>
          <w:rFonts w:ascii="Times New Roman" w:hAnsi="Times New Roman"/>
          <w:noProof/>
          <w:sz w:val="24"/>
        </w:rPr>
      </w:pPr>
      <w:r>
        <w:rPr>
          <w:rFonts w:ascii="Times New Roman" w:hAnsi="Times New Roman"/>
          <w:sz w:val="24"/>
        </w:rPr>
        <w:t xml:space="preserve">ATSAUCOTIES uz rezolūciju MEPC.287(71), ar kuru tā nolēma, ka pēc tam, kad ir stājusies spēkā </w:t>
      </w:r>
      <w:r>
        <w:rPr>
          <w:rFonts w:ascii="Times New Roman" w:hAnsi="Times New Roman"/>
          <w:i/>
          <w:iCs/>
          <w:sz w:val="24"/>
        </w:rPr>
        <w:t>BWM</w:t>
      </w:r>
      <w:r>
        <w:rPr>
          <w:rFonts w:ascii="Times New Roman" w:hAnsi="Times New Roman"/>
          <w:sz w:val="24"/>
        </w:rPr>
        <w:t xml:space="preserve"> konvencija, dalībvalstīm nekavējoties ir jāīsteno grozītais B-3. noteikums, aizstājot īstenošanas grafiku, kuru ieteikts izmantot saskaņā ar rezolūciju A.1088(28) par </w:t>
      </w:r>
      <w:r>
        <w:rPr>
          <w:rFonts w:ascii="Times New Roman" w:hAnsi="Times New Roman"/>
          <w:i/>
          <w:iCs/>
          <w:sz w:val="24"/>
        </w:rPr>
        <w:t>BWM</w:t>
      </w:r>
      <w:r>
        <w:rPr>
          <w:rFonts w:ascii="Times New Roman" w:hAnsi="Times New Roman"/>
          <w:sz w:val="24"/>
        </w:rPr>
        <w:t xml:space="preserve"> konvencijas piemērošanu, un neievērojot grafiku, kas norādīts B-3. noteikumā, lai no brīža, kad stājas spēkā </w:t>
      </w:r>
      <w:r>
        <w:rPr>
          <w:rFonts w:ascii="Times New Roman" w:hAnsi="Times New Roman"/>
          <w:i/>
          <w:iCs/>
          <w:sz w:val="24"/>
        </w:rPr>
        <w:t>BWM</w:t>
      </w:r>
      <w:r>
        <w:rPr>
          <w:rFonts w:ascii="Times New Roman" w:hAnsi="Times New Roman"/>
          <w:sz w:val="24"/>
        </w:rPr>
        <w:t xml:space="preserve"> konvencija, līdz brīdim, kad stājas spēkā grozītais B</w:t>
      </w:r>
      <w:r>
        <w:rPr>
          <w:rFonts w:ascii="Times New Roman" w:hAnsi="Times New Roman"/>
          <w:sz w:val="24"/>
        </w:rPr>
        <w:noBreakHyphen/>
        <w:t>3. noteikums, neizveidotos režīms, kad spēkā ir divi līgumi,</w:t>
      </w:r>
    </w:p>
    <w:p w14:paraId="3BAFEE89" w14:textId="77777777" w:rsidR="00C53629" w:rsidRPr="006B3366" w:rsidRDefault="00C53629" w:rsidP="006B3366">
      <w:pPr>
        <w:jc w:val="both"/>
        <w:rPr>
          <w:rFonts w:ascii="Times New Roman" w:eastAsia="Arial" w:hAnsi="Times New Roman" w:cs="Arial"/>
          <w:noProof/>
          <w:sz w:val="24"/>
          <w:szCs w:val="17"/>
        </w:rPr>
      </w:pPr>
    </w:p>
    <w:p w14:paraId="675EDBA7" w14:textId="77777777" w:rsidR="00C53629" w:rsidRPr="006B3366" w:rsidRDefault="00AE0B2B" w:rsidP="00AE0B2B">
      <w:pPr>
        <w:pStyle w:val="BodyText"/>
        <w:tabs>
          <w:tab w:val="left" w:pos="991"/>
        </w:tabs>
        <w:ind w:left="0"/>
        <w:jc w:val="both"/>
        <w:rPr>
          <w:rFonts w:ascii="Times New Roman" w:hAnsi="Times New Roman"/>
          <w:noProof/>
          <w:sz w:val="24"/>
        </w:rPr>
      </w:pPr>
      <w:r>
        <w:rPr>
          <w:rFonts w:ascii="Times New Roman" w:hAnsi="Times New Roman"/>
          <w:sz w:val="24"/>
        </w:rPr>
        <w:t xml:space="preserve">1. PIEŅEM saskaņā ar </w:t>
      </w:r>
      <w:r>
        <w:rPr>
          <w:rFonts w:ascii="Times New Roman" w:hAnsi="Times New Roman"/>
          <w:i/>
          <w:iCs/>
          <w:sz w:val="24"/>
        </w:rPr>
        <w:t>BWM</w:t>
      </w:r>
      <w:r>
        <w:rPr>
          <w:rFonts w:ascii="Times New Roman" w:hAnsi="Times New Roman"/>
          <w:sz w:val="24"/>
        </w:rPr>
        <w:t xml:space="preserve"> konvencijas 19. panta 2. punkta c) apakšpunktu grozījumus, kas veikti B-3. noteikumā un kuru teksts ir izklāstīts šīs rezolūcijas pielikumā;</w:t>
      </w:r>
    </w:p>
    <w:p w14:paraId="3D1D865C" w14:textId="77777777" w:rsidR="00C53629" w:rsidRPr="006B3366" w:rsidRDefault="00C53629" w:rsidP="006B3366">
      <w:pPr>
        <w:jc w:val="both"/>
        <w:rPr>
          <w:rFonts w:ascii="Times New Roman" w:eastAsia="Arial" w:hAnsi="Times New Roman" w:cs="Arial"/>
          <w:noProof/>
          <w:sz w:val="24"/>
          <w:szCs w:val="19"/>
        </w:rPr>
      </w:pPr>
    </w:p>
    <w:p w14:paraId="30B85875" w14:textId="77777777" w:rsidR="00C53629" w:rsidRPr="006B3366" w:rsidRDefault="00AE0B2B" w:rsidP="00AE0B2B">
      <w:pPr>
        <w:pStyle w:val="BodyText"/>
        <w:tabs>
          <w:tab w:val="left" w:pos="991"/>
        </w:tabs>
        <w:ind w:left="0"/>
        <w:jc w:val="both"/>
        <w:rPr>
          <w:rFonts w:ascii="Times New Roman" w:hAnsi="Times New Roman"/>
          <w:noProof/>
          <w:sz w:val="24"/>
        </w:rPr>
      </w:pPr>
      <w:r>
        <w:rPr>
          <w:rFonts w:ascii="Times New Roman" w:hAnsi="Times New Roman"/>
          <w:sz w:val="24"/>
        </w:rPr>
        <w:t xml:space="preserve">2. NOSAKA saskaņā ar </w:t>
      </w:r>
      <w:r>
        <w:rPr>
          <w:rFonts w:ascii="Times New Roman" w:hAnsi="Times New Roman"/>
          <w:i/>
          <w:iCs/>
          <w:sz w:val="24"/>
        </w:rPr>
        <w:t>BWM</w:t>
      </w:r>
      <w:r>
        <w:rPr>
          <w:rFonts w:ascii="Times New Roman" w:hAnsi="Times New Roman"/>
          <w:sz w:val="24"/>
        </w:rPr>
        <w:t xml:space="preserve"> konvencijas 19. panta 2. punkta e) apakšpunkta ii) daļu, ka grozījumus uzskata par pieņemtiem 2019. gada 13. aprīlī, ja vien pirms šī datuma vairāk kā viena trešdaļa dalībvalstu nepaziņo ģenerālsekretāram, ka grozījumiem nepiekrīt;</w:t>
      </w:r>
    </w:p>
    <w:p w14:paraId="2B263C99" w14:textId="77777777" w:rsidR="00C53629" w:rsidRPr="006B3366" w:rsidRDefault="00C53629" w:rsidP="006B3366">
      <w:pPr>
        <w:jc w:val="both"/>
        <w:rPr>
          <w:rFonts w:ascii="Times New Roman" w:eastAsia="Arial" w:hAnsi="Times New Roman" w:cs="Arial"/>
          <w:noProof/>
          <w:sz w:val="24"/>
          <w:szCs w:val="19"/>
        </w:rPr>
      </w:pPr>
    </w:p>
    <w:p w14:paraId="74EF86FB" w14:textId="77777777" w:rsidR="00C53629" w:rsidRPr="006B3366" w:rsidRDefault="00AE0B2B" w:rsidP="00AE0B2B">
      <w:pPr>
        <w:pStyle w:val="BodyText"/>
        <w:tabs>
          <w:tab w:val="left" w:pos="991"/>
        </w:tabs>
        <w:ind w:left="0"/>
        <w:jc w:val="both"/>
        <w:rPr>
          <w:rFonts w:ascii="Times New Roman" w:hAnsi="Times New Roman"/>
          <w:noProof/>
          <w:sz w:val="24"/>
        </w:rPr>
      </w:pPr>
      <w:r>
        <w:rPr>
          <w:rFonts w:ascii="Times New Roman" w:hAnsi="Times New Roman"/>
          <w:sz w:val="24"/>
        </w:rPr>
        <w:t xml:space="preserve">3. AICINA dalībvalstis ņemt vērā to, ka saskaņā ar </w:t>
      </w:r>
      <w:r>
        <w:rPr>
          <w:rFonts w:ascii="Times New Roman" w:hAnsi="Times New Roman"/>
          <w:i/>
          <w:iCs/>
          <w:sz w:val="24"/>
        </w:rPr>
        <w:t>BWM</w:t>
      </w:r>
      <w:r>
        <w:rPr>
          <w:rFonts w:ascii="Times New Roman" w:hAnsi="Times New Roman"/>
          <w:sz w:val="24"/>
        </w:rPr>
        <w:t xml:space="preserve"> konvencijas 19. panta 2) punkta f) apakšpunkta ii) daļu minētie grozījumi stājas spēkā 2019. gada 13. oktobrī pēc tam, kad tie ir pieņemti saskaņā ar iepriekšminēto 2. punktu;</w:t>
      </w:r>
    </w:p>
    <w:p w14:paraId="241A3D60" w14:textId="77777777" w:rsidR="00C53629" w:rsidRPr="006B3366" w:rsidRDefault="00C53629" w:rsidP="006B3366">
      <w:pPr>
        <w:jc w:val="both"/>
        <w:rPr>
          <w:rFonts w:ascii="Times New Roman" w:eastAsia="Arial" w:hAnsi="Times New Roman" w:cs="Arial"/>
          <w:noProof/>
          <w:sz w:val="24"/>
          <w:szCs w:val="18"/>
        </w:rPr>
      </w:pPr>
    </w:p>
    <w:p w14:paraId="1DB15ED3" w14:textId="77777777" w:rsidR="00C53629" w:rsidRPr="006B3366" w:rsidRDefault="00AE0B2B" w:rsidP="00AE0B2B">
      <w:pPr>
        <w:pStyle w:val="BodyText"/>
        <w:tabs>
          <w:tab w:val="left" w:pos="991"/>
        </w:tabs>
        <w:ind w:left="0"/>
        <w:jc w:val="both"/>
        <w:rPr>
          <w:rFonts w:ascii="Times New Roman" w:hAnsi="Times New Roman"/>
          <w:noProof/>
          <w:sz w:val="24"/>
        </w:rPr>
      </w:pPr>
      <w:r>
        <w:rPr>
          <w:rFonts w:ascii="Times New Roman" w:hAnsi="Times New Roman"/>
          <w:sz w:val="24"/>
        </w:rPr>
        <w:t xml:space="preserve">4. LŪDZ ģenerālsekretāru </w:t>
      </w:r>
      <w:r>
        <w:rPr>
          <w:rFonts w:ascii="Times New Roman" w:hAnsi="Times New Roman"/>
          <w:i/>
          <w:iCs/>
          <w:sz w:val="24"/>
        </w:rPr>
        <w:t>BWM</w:t>
      </w:r>
      <w:r>
        <w:rPr>
          <w:rFonts w:ascii="Times New Roman" w:hAnsi="Times New Roman"/>
          <w:sz w:val="24"/>
        </w:rPr>
        <w:t xml:space="preserve"> konvencijas 19. panta 2. punkta d) apakšpunkta vajadzībām nosūtīt šīs rezolūcijas apliecinātas kopijas un pielikumā iekļauto grozījumu tekstu visām </w:t>
      </w:r>
      <w:r>
        <w:rPr>
          <w:rFonts w:ascii="Times New Roman" w:hAnsi="Times New Roman"/>
          <w:i/>
          <w:iCs/>
          <w:sz w:val="24"/>
        </w:rPr>
        <w:t>BWM</w:t>
      </w:r>
      <w:r>
        <w:rPr>
          <w:rFonts w:ascii="Times New Roman" w:hAnsi="Times New Roman"/>
          <w:sz w:val="24"/>
        </w:rPr>
        <w:t xml:space="preserve"> konvencijas dalībvalstīm;</w:t>
      </w:r>
    </w:p>
    <w:p w14:paraId="388F7B0D" w14:textId="77777777" w:rsidR="00C53629" w:rsidRPr="006B3366" w:rsidRDefault="00C53629" w:rsidP="006B3366">
      <w:pPr>
        <w:jc w:val="both"/>
        <w:rPr>
          <w:rFonts w:ascii="Times New Roman" w:eastAsia="Arial" w:hAnsi="Times New Roman" w:cs="Arial"/>
          <w:noProof/>
          <w:sz w:val="24"/>
          <w:szCs w:val="17"/>
        </w:rPr>
      </w:pPr>
    </w:p>
    <w:p w14:paraId="7370769D" w14:textId="77777777" w:rsidR="00C53629" w:rsidRPr="006B3366" w:rsidRDefault="00AE0B2B" w:rsidP="00AE0B2B">
      <w:pPr>
        <w:pStyle w:val="BodyText"/>
        <w:tabs>
          <w:tab w:val="left" w:pos="991"/>
        </w:tabs>
        <w:ind w:left="0"/>
        <w:jc w:val="both"/>
        <w:rPr>
          <w:rFonts w:ascii="Times New Roman" w:hAnsi="Times New Roman"/>
          <w:noProof/>
          <w:sz w:val="24"/>
        </w:rPr>
      </w:pPr>
      <w:r>
        <w:rPr>
          <w:rFonts w:ascii="Times New Roman" w:hAnsi="Times New Roman"/>
          <w:sz w:val="24"/>
        </w:rPr>
        <w:t xml:space="preserve">5. TURKLĀT LŪDZ ģenerālsekretāru šīs rezolūcijas un tās pielikuma kopijas nosūtīt tiem Organizācijas locekļiem, kas nav </w:t>
      </w:r>
      <w:r>
        <w:rPr>
          <w:rFonts w:ascii="Times New Roman" w:hAnsi="Times New Roman"/>
          <w:i/>
          <w:iCs/>
          <w:sz w:val="24"/>
        </w:rPr>
        <w:t>BWM</w:t>
      </w:r>
      <w:r>
        <w:rPr>
          <w:rFonts w:ascii="Times New Roman" w:hAnsi="Times New Roman"/>
          <w:sz w:val="24"/>
        </w:rPr>
        <w:t xml:space="preserve"> konvencijas dalībvalstis;</w:t>
      </w:r>
    </w:p>
    <w:p w14:paraId="3C835D85" w14:textId="77777777" w:rsidR="00C53629" w:rsidRPr="006B3366" w:rsidRDefault="00C53629" w:rsidP="006B3366">
      <w:pPr>
        <w:jc w:val="both"/>
        <w:rPr>
          <w:rFonts w:ascii="Times New Roman" w:eastAsia="Arial" w:hAnsi="Times New Roman" w:cs="Arial"/>
          <w:noProof/>
          <w:sz w:val="24"/>
          <w:szCs w:val="21"/>
        </w:rPr>
      </w:pPr>
    </w:p>
    <w:p w14:paraId="16A79428" w14:textId="77777777" w:rsidR="00C53629" w:rsidRPr="006B3366" w:rsidRDefault="00AE0B2B" w:rsidP="00AE0B2B">
      <w:pPr>
        <w:pStyle w:val="BodyText"/>
        <w:tabs>
          <w:tab w:val="left" w:pos="991"/>
        </w:tabs>
        <w:ind w:left="0"/>
        <w:jc w:val="both"/>
        <w:rPr>
          <w:rFonts w:ascii="Times New Roman" w:hAnsi="Times New Roman"/>
          <w:noProof/>
          <w:sz w:val="24"/>
        </w:rPr>
      </w:pPr>
      <w:r>
        <w:rPr>
          <w:rFonts w:ascii="Times New Roman" w:hAnsi="Times New Roman"/>
          <w:sz w:val="24"/>
        </w:rPr>
        <w:t xml:space="preserve">6. TURKLĀT LŪDZ ģenerālsekretāru sagatavot apliecinātu </w:t>
      </w:r>
      <w:r>
        <w:rPr>
          <w:rFonts w:ascii="Times New Roman" w:hAnsi="Times New Roman"/>
          <w:i/>
          <w:iCs/>
          <w:sz w:val="24"/>
        </w:rPr>
        <w:t>BWM</w:t>
      </w:r>
      <w:r>
        <w:rPr>
          <w:rFonts w:ascii="Times New Roman" w:hAnsi="Times New Roman"/>
          <w:sz w:val="24"/>
        </w:rPr>
        <w:t xml:space="preserve"> konvencijas konsolidēto tekstu.</w:t>
      </w:r>
    </w:p>
    <w:p w14:paraId="35EB7808" w14:textId="77777777" w:rsidR="00AE0B2B" w:rsidRDefault="00AE0B2B">
      <w:pPr>
        <w:rPr>
          <w:rFonts w:ascii="Times New Roman" w:hAnsi="Times New Roman"/>
          <w:noProof/>
          <w:sz w:val="24"/>
        </w:rPr>
      </w:pPr>
      <w:r>
        <w:br w:type="page"/>
      </w:r>
    </w:p>
    <w:p w14:paraId="256898E9" w14:textId="77777777" w:rsidR="00AE0B2B" w:rsidRDefault="00AE0B2B" w:rsidP="006B3366">
      <w:pPr>
        <w:pStyle w:val="BodyText"/>
        <w:ind w:left="0"/>
        <w:jc w:val="both"/>
        <w:rPr>
          <w:rFonts w:ascii="Times New Roman" w:hAnsi="Times New Roman"/>
          <w:noProof/>
          <w:sz w:val="24"/>
        </w:rPr>
      </w:pPr>
    </w:p>
    <w:p w14:paraId="38BED97E" w14:textId="77777777" w:rsidR="00C53629" w:rsidRPr="006B3366" w:rsidRDefault="00C53629" w:rsidP="00AE0B2B">
      <w:pPr>
        <w:pStyle w:val="BodyText"/>
        <w:ind w:left="0"/>
        <w:jc w:val="center"/>
        <w:rPr>
          <w:rFonts w:ascii="Times New Roman" w:hAnsi="Times New Roman"/>
          <w:noProof/>
          <w:sz w:val="24"/>
        </w:rPr>
      </w:pPr>
      <w:r>
        <w:rPr>
          <w:rFonts w:ascii="Times New Roman" w:hAnsi="Times New Roman"/>
          <w:sz w:val="24"/>
        </w:rPr>
        <w:t>PIELIKUMS</w:t>
      </w:r>
    </w:p>
    <w:p w14:paraId="0CAA8F1E" w14:textId="77777777" w:rsidR="00C53629" w:rsidRPr="006B3366" w:rsidRDefault="00C53629" w:rsidP="00AE0B2B">
      <w:pPr>
        <w:jc w:val="center"/>
        <w:rPr>
          <w:rFonts w:ascii="Times New Roman" w:eastAsia="Arial" w:hAnsi="Times New Roman" w:cs="Arial"/>
          <w:noProof/>
          <w:sz w:val="24"/>
          <w:szCs w:val="21"/>
        </w:rPr>
      </w:pPr>
    </w:p>
    <w:p w14:paraId="06412B4C" w14:textId="77777777" w:rsidR="00C53629" w:rsidRPr="006B3366" w:rsidRDefault="00C53629" w:rsidP="00AE0B2B">
      <w:pPr>
        <w:pStyle w:val="Heading1"/>
        <w:ind w:left="0"/>
        <w:jc w:val="center"/>
        <w:rPr>
          <w:rFonts w:ascii="Times New Roman" w:hAnsi="Times New Roman"/>
          <w:noProof/>
          <w:sz w:val="24"/>
        </w:rPr>
      </w:pPr>
      <w:r>
        <w:rPr>
          <w:rFonts w:ascii="Times New Roman" w:hAnsi="Times New Roman"/>
          <w:i/>
          <w:iCs/>
          <w:sz w:val="24"/>
        </w:rPr>
        <w:t>BWM</w:t>
      </w:r>
      <w:r>
        <w:rPr>
          <w:rFonts w:ascii="Times New Roman" w:hAnsi="Times New Roman"/>
          <w:sz w:val="24"/>
        </w:rPr>
        <w:t xml:space="preserve"> KONVENCIJAS PIELIKUMA GROZĪJUMI</w:t>
      </w:r>
    </w:p>
    <w:p w14:paraId="0D26BB55" w14:textId="77777777" w:rsidR="00C53629" w:rsidRPr="006B3366" w:rsidRDefault="00C53629" w:rsidP="00AE0B2B">
      <w:pPr>
        <w:jc w:val="center"/>
        <w:rPr>
          <w:rFonts w:ascii="Times New Roman" w:eastAsia="Arial" w:hAnsi="Times New Roman" w:cs="Arial"/>
          <w:b/>
          <w:bCs/>
          <w:noProof/>
          <w:sz w:val="24"/>
        </w:rPr>
      </w:pPr>
    </w:p>
    <w:p w14:paraId="21ED729D" w14:textId="77777777" w:rsidR="00AE0B2B" w:rsidRDefault="00C53629" w:rsidP="00AE0B2B">
      <w:pPr>
        <w:jc w:val="center"/>
        <w:rPr>
          <w:rFonts w:ascii="Times New Roman" w:eastAsia="Arial" w:hAnsi="Times New Roman" w:cs="Arial"/>
          <w:b/>
          <w:bCs/>
          <w:noProof/>
          <w:sz w:val="24"/>
        </w:rPr>
      </w:pPr>
      <w:r>
        <w:rPr>
          <w:rFonts w:ascii="Times New Roman" w:hAnsi="Times New Roman"/>
          <w:b/>
          <w:bCs/>
          <w:sz w:val="24"/>
        </w:rPr>
        <w:t>(Kuģu balasta ūdens pārvaldības īstenošanas grafiks)</w:t>
      </w:r>
    </w:p>
    <w:p w14:paraId="2D52B67F" w14:textId="77777777" w:rsidR="00AE0B2B" w:rsidRDefault="00AE0B2B" w:rsidP="00AE0B2B">
      <w:pPr>
        <w:jc w:val="center"/>
        <w:rPr>
          <w:rFonts w:ascii="Times New Roman" w:eastAsia="Arial" w:hAnsi="Times New Roman" w:cs="Arial"/>
          <w:b/>
          <w:bCs/>
          <w:noProof/>
          <w:sz w:val="24"/>
        </w:rPr>
      </w:pPr>
    </w:p>
    <w:p w14:paraId="592FE839" w14:textId="77777777" w:rsidR="00C53629" w:rsidRPr="006B3366" w:rsidRDefault="00C53629" w:rsidP="00AE0B2B">
      <w:pPr>
        <w:jc w:val="center"/>
        <w:rPr>
          <w:rFonts w:ascii="Times New Roman" w:eastAsia="Arial" w:hAnsi="Times New Roman" w:cs="Arial"/>
          <w:b/>
          <w:bCs/>
          <w:noProof/>
          <w:sz w:val="24"/>
        </w:rPr>
      </w:pPr>
      <w:r>
        <w:rPr>
          <w:rFonts w:ascii="Times New Roman" w:hAnsi="Times New Roman"/>
          <w:b/>
          <w:bCs/>
          <w:sz w:val="24"/>
        </w:rPr>
        <w:t>B iedaļa. Pārvaldības un kontroles prasības kuģiem</w:t>
      </w:r>
    </w:p>
    <w:p w14:paraId="1DECB47E" w14:textId="77777777" w:rsidR="00AE0B2B" w:rsidRDefault="00AE0B2B" w:rsidP="006B3366">
      <w:pPr>
        <w:jc w:val="both"/>
        <w:rPr>
          <w:rFonts w:ascii="Times New Roman" w:eastAsia="Arial" w:hAnsi="Times New Roman" w:cs="Arial"/>
          <w:b/>
          <w:bCs/>
          <w:noProof/>
          <w:sz w:val="24"/>
        </w:rPr>
      </w:pPr>
    </w:p>
    <w:p w14:paraId="1CD4FAD3" w14:textId="77777777" w:rsidR="00C53629" w:rsidRPr="006B3366" w:rsidRDefault="00C53629" w:rsidP="006B3366">
      <w:pPr>
        <w:jc w:val="both"/>
        <w:rPr>
          <w:rFonts w:ascii="Times New Roman" w:eastAsia="Arial" w:hAnsi="Times New Roman" w:cs="Arial"/>
          <w:b/>
          <w:bCs/>
          <w:noProof/>
          <w:sz w:val="24"/>
        </w:rPr>
      </w:pPr>
      <w:r>
        <w:rPr>
          <w:rFonts w:ascii="Times New Roman" w:hAnsi="Times New Roman"/>
          <w:b/>
          <w:bCs/>
          <w:sz w:val="24"/>
        </w:rPr>
        <w:t>B-3. noteikums. Kuģu balasta ūdens pārvaldība</w:t>
      </w:r>
    </w:p>
    <w:p w14:paraId="31A73B35" w14:textId="77777777" w:rsidR="00C53629" w:rsidRPr="006B3366" w:rsidRDefault="00C53629" w:rsidP="006B3366">
      <w:pPr>
        <w:jc w:val="both"/>
        <w:rPr>
          <w:rFonts w:ascii="Times New Roman" w:eastAsia="Arial" w:hAnsi="Times New Roman" w:cs="Arial"/>
          <w:b/>
          <w:bCs/>
          <w:noProof/>
          <w:sz w:val="24"/>
          <w:szCs w:val="20"/>
        </w:rPr>
      </w:pPr>
    </w:p>
    <w:p w14:paraId="77972FD3" w14:textId="77777777" w:rsidR="00AE0B2B" w:rsidRDefault="00C53629" w:rsidP="006B3366">
      <w:pPr>
        <w:pStyle w:val="BodyText"/>
        <w:tabs>
          <w:tab w:val="left" w:pos="990"/>
          <w:tab w:val="left" w:pos="1840"/>
        </w:tabs>
        <w:ind w:left="0"/>
        <w:jc w:val="both"/>
        <w:rPr>
          <w:rFonts w:ascii="Times New Roman" w:hAnsi="Times New Roman"/>
          <w:noProof/>
          <w:sz w:val="24"/>
        </w:rPr>
      </w:pPr>
      <w:r>
        <w:rPr>
          <w:rFonts w:ascii="Times New Roman" w:hAnsi="Times New Roman"/>
          <w:sz w:val="24"/>
        </w:rPr>
        <w:t>1. B-3. noteikuma pašreizējo tekstu aizstāj ar tekstu šādā redakcijā:</w:t>
      </w:r>
    </w:p>
    <w:p w14:paraId="7E12AE1B" w14:textId="77777777" w:rsidR="00AE0B2B" w:rsidRDefault="00AE0B2B" w:rsidP="006B3366">
      <w:pPr>
        <w:pStyle w:val="BodyText"/>
        <w:tabs>
          <w:tab w:val="left" w:pos="990"/>
          <w:tab w:val="left" w:pos="1840"/>
        </w:tabs>
        <w:ind w:left="0"/>
        <w:jc w:val="both"/>
        <w:rPr>
          <w:rFonts w:ascii="Times New Roman" w:hAnsi="Times New Roman"/>
          <w:noProof/>
          <w:sz w:val="24"/>
        </w:rPr>
      </w:pPr>
    </w:p>
    <w:p w14:paraId="2DAE36C6" w14:textId="77777777" w:rsidR="00C53629" w:rsidRPr="006B3366" w:rsidRDefault="00C53629" w:rsidP="00AE0B2B">
      <w:pPr>
        <w:pStyle w:val="BodyText"/>
        <w:tabs>
          <w:tab w:val="left" w:pos="990"/>
          <w:tab w:val="left" w:pos="1840"/>
        </w:tabs>
        <w:ind w:left="426"/>
        <w:jc w:val="both"/>
        <w:rPr>
          <w:rFonts w:ascii="Times New Roman" w:hAnsi="Times New Roman"/>
          <w:noProof/>
          <w:sz w:val="24"/>
        </w:rPr>
      </w:pPr>
      <w:r>
        <w:rPr>
          <w:rFonts w:ascii="Times New Roman" w:hAnsi="Times New Roman"/>
          <w:sz w:val="24"/>
        </w:rPr>
        <w:t>“1. Kuģim, kas būvēts pirms 2009. gada:</w:t>
      </w:r>
    </w:p>
    <w:p w14:paraId="0F78123D" w14:textId="77777777" w:rsidR="00AE0B2B" w:rsidRDefault="00AE0B2B" w:rsidP="00AE0B2B">
      <w:pPr>
        <w:pStyle w:val="BodyText"/>
        <w:tabs>
          <w:tab w:val="left" w:pos="2691"/>
        </w:tabs>
        <w:ind w:left="0"/>
        <w:jc w:val="both"/>
        <w:rPr>
          <w:rFonts w:ascii="Times New Roman" w:hAnsi="Times New Roman"/>
          <w:noProof/>
          <w:sz w:val="24"/>
        </w:rPr>
      </w:pPr>
    </w:p>
    <w:p w14:paraId="0C606C81" w14:textId="77777777" w:rsidR="00C53629" w:rsidRPr="006B3366" w:rsidRDefault="00AE0B2B" w:rsidP="00AE0B2B">
      <w:pPr>
        <w:pStyle w:val="BodyText"/>
        <w:tabs>
          <w:tab w:val="left" w:pos="2691"/>
        </w:tabs>
        <w:ind w:left="709"/>
        <w:jc w:val="both"/>
        <w:rPr>
          <w:rFonts w:ascii="Times New Roman" w:hAnsi="Times New Roman"/>
          <w:noProof/>
          <w:sz w:val="24"/>
        </w:rPr>
      </w:pPr>
      <w:r>
        <w:rPr>
          <w:rFonts w:ascii="Times New Roman" w:hAnsi="Times New Roman"/>
          <w:sz w:val="24"/>
        </w:rPr>
        <w:t>1.1. ar balasta ūdens ietilpību no 1500 līdz 5000 kubikmetriem, ieskaitot, veic balasta ūdens pārvaldību, kas atbilst vismaz D-1. vai D-2. noteikumā aprakstītajam standartam, līdz kārtējai apskatei, kas aprakstīta 10. punktā, un pēc apskates tā atbilst vismaz D-2. noteikumā aprakstītajam standartam;</w:t>
      </w:r>
    </w:p>
    <w:p w14:paraId="6A2F4922" w14:textId="77777777" w:rsidR="00C53629" w:rsidRPr="006B3366" w:rsidRDefault="00C53629" w:rsidP="00AE0B2B">
      <w:pPr>
        <w:ind w:left="709"/>
        <w:jc w:val="both"/>
        <w:rPr>
          <w:rFonts w:ascii="Times New Roman" w:eastAsia="Arial" w:hAnsi="Times New Roman" w:cs="Arial"/>
          <w:noProof/>
          <w:sz w:val="24"/>
          <w:szCs w:val="19"/>
        </w:rPr>
      </w:pPr>
    </w:p>
    <w:p w14:paraId="33158700" w14:textId="77777777" w:rsidR="00C53629" w:rsidRPr="006B3366" w:rsidRDefault="00AE0B2B" w:rsidP="00AE0B2B">
      <w:pPr>
        <w:pStyle w:val="BodyText"/>
        <w:tabs>
          <w:tab w:val="left" w:pos="2691"/>
        </w:tabs>
        <w:ind w:left="709"/>
        <w:jc w:val="both"/>
        <w:rPr>
          <w:rFonts w:ascii="Times New Roman" w:hAnsi="Times New Roman"/>
          <w:noProof/>
          <w:sz w:val="24"/>
        </w:rPr>
      </w:pPr>
      <w:r>
        <w:rPr>
          <w:rFonts w:ascii="Times New Roman" w:hAnsi="Times New Roman"/>
          <w:sz w:val="24"/>
        </w:rPr>
        <w:t>1.2. ar balasta ūdens ietilpību mazāku par 1500 vai lielāku par 5000 kubikmetriem veic balasta ūdens pārvaldību, kas vismaz atbilst D-1. vai D-2. noteikumā aprakstītajam standartam, līdz kārtējai apskatei, kas aprakstīta 10. punktā, un pēc apskates tā atbilst vismaz D-2. noteikumā aprakstītajam standartam.</w:t>
      </w:r>
    </w:p>
    <w:p w14:paraId="5BE8E92F" w14:textId="77777777" w:rsidR="00C53629" w:rsidRPr="006B3366" w:rsidRDefault="00C53629" w:rsidP="006B3366">
      <w:pPr>
        <w:jc w:val="both"/>
        <w:rPr>
          <w:rFonts w:ascii="Times New Roman" w:eastAsia="Arial" w:hAnsi="Times New Roman" w:cs="Arial"/>
          <w:noProof/>
          <w:sz w:val="24"/>
          <w:szCs w:val="19"/>
        </w:rPr>
      </w:pPr>
    </w:p>
    <w:p w14:paraId="11469648" w14:textId="77777777" w:rsidR="00C53629" w:rsidRPr="006B3366" w:rsidRDefault="00AE0B2B" w:rsidP="00AE0B2B">
      <w:pPr>
        <w:pStyle w:val="BodyText"/>
        <w:tabs>
          <w:tab w:val="left" w:pos="1841"/>
        </w:tabs>
        <w:ind w:left="0"/>
        <w:jc w:val="both"/>
        <w:rPr>
          <w:rFonts w:ascii="Times New Roman" w:hAnsi="Times New Roman"/>
          <w:noProof/>
          <w:sz w:val="24"/>
        </w:rPr>
      </w:pPr>
      <w:r>
        <w:rPr>
          <w:rFonts w:ascii="Times New Roman" w:hAnsi="Times New Roman"/>
          <w:sz w:val="24"/>
        </w:rPr>
        <w:t>2. Kuģim, kas būvēts 2009. gadā vai pēc tā un pirms 2017. gada 8. septembra un kura balasta ūdens ietilpība ir mazāka par 5000 kubikmetriem, veic balasta ūdens pārvaldību, kas vismaz atbilst D-2. noteikumā aprakstītajam standartam, no datuma, kad veikta 10. punktā aprakstītā kārtējā apskate.</w:t>
      </w:r>
    </w:p>
    <w:p w14:paraId="5BFFF257" w14:textId="77777777" w:rsidR="00C53629" w:rsidRPr="006B3366" w:rsidRDefault="00C53629" w:rsidP="006B3366">
      <w:pPr>
        <w:jc w:val="both"/>
        <w:rPr>
          <w:rFonts w:ascii="Times New Roman" w:eastAsia="Arial" w:hAnsi="Times New Roman" w:cs="Arial"/>
          <w:noProof/>
          <w:sz w:val="24"/>
          <w:szCs w:val="19"/>
        </w:rPr>
      </w:pPr>
    </w:p>
    <w:p w14:paraId="0500D790" w14:textId="77777777" w:rsidR="00C53629" w:rsidRPr="006B3366" w:rsidRDefault="00AE0B2B" w:rsidP="00AE0B2B">
      <w:pPr>
        <w:pStyle w:val="BodyText"/>
        <w:tabs>
          <w:tab w:val="left" w:pos="1841"/>
        </w:tabs>
        <w:ind w:left="0"/>
        <w:jc w:val="both"/>
        <w:rPr>
          <w:rFonts w:ascii="Times New Roman" w:hAnsi="Times New Roman"/>
          <w:noProof/>
          <w:sz w:val="24"/>
        </w:rPr>
      </w:pPr>
      <w:r>
        <w:rPr>
          <w:rFonts w:ascii="Times New Roman" w:hAnsi="Times New Roman"/>
          <w:sz w:val="24"/>
        </w:rPr>
        <w:t>3. Kuģim, kas būvēts 2009. gadā vai pēc tā, bet pirms 2012. gada, un kura balasta ūdens ietilpība ir 5000 kubikmetru vai vairāk, veic balasta ūdens pārvaldību saskaņā ar 1.2. punktu.</w:t>
      </w:r>
    </w:p>
    <w:p w14:paraId="0C5A6EA1" w14:textId="77777777" w:rsidR="00C53629" w:rsidRPr="006B3366" w:rsidRDefault="00C53629" w:rsidP="006B3366">
      <w:pPr>
        <w:jc w:val="both"/>
        <w:rPr>
          <w:rFonts w:ascii="Times New Roman" w:eastAsia="Arial" w:hAnsi="Times New Roman" w:cs="Arial"/>
          <w:noProof/>
          <w:sz w:val="24"/>
          <w:szCs w:val="19"/>
        </w:rPr>
      </w:pPr>
    </w:p>
    <w:p w14:paraId="0452DCA0" w14:textId="77777777" w:rsidR="00C53629" w:rsidRPr="006B3366" w:rsidRDefault="00AE0B2B" w:rsidP="00AE0B2B">
      <w:pPr>
        <w:pStyle w:val="BodyText"/>
        <w:tabs>
          <w:tab w:val="left" w:pos="1841"/>
        </w:tabs>
        <w:ind w:left="0"/>
        <w:jc w:val="both"/>
        <w:rPr>
          <w:rFonts w:ascii="Times New Roman" w:hAnsi="Times New Roman"/>
          <w:noProof/>
          <w:sz w:val="24"/>
        </w:rPr>
      </w:pPr>
      <w:r>
        <w:rPr>
          <w:rFonts w:ascii="Times New Roman" w:hAnsi="Times New Roman"/>
          <w:sz w:val="24"/>
        </w:rPr>
        <w:t>4. Kuģim, kas būvēts 2012. gadā vai pēc tā un pirms 2017. gada 8. septembra un kura balasta ūdens ietilpība ir 5000 kubikmetru vai vairāk, veic balasta ūdens pārvaldību, kas vismaz atbilst D-2. noteikumā aprakstītajam standartam, no datuma, kad veikta 10. punktā aprakstītā kārtējā apskate.</w:t>
      </w:r>
    </w:p>
    <w:p w14:paraId="79E69A32" w14:textId="77777777" w:rsidR="00C53629" w:rsidRPr="006B3366" w:rsidRDefault="00C53629" w:rsidP="006B3366">
      <w:pPr>
        <w:jc w:val="both"/>
        <w:rPr>
          <w:rFonts w:ascii="Times New Roman" w:eastAsia="Arial" w:hAnsi="Times New Roman" w:cs="Arial"/>
          <w:noProof/>
          <w:sz w:val="24"/>
        </w:rPr>
      </w:pPr>
    </w:p>
    <w:p w14:paraId="1EB67996" w14:textId="77777777" w:rsidR="00C53629" w:rsidRPr="006B3366" w:rsidRDefault="00AE0B2B" w:rsidP="00AE0B2B">
      <w:pPr>
        <w:pStyle w:val="BodyText"/>
        <w:tabs>
          <w:tab w:val="left" w:pos="1841"/>
        </w:tabs>
        <w:ind w:left="0"/>
        <w:jc w:val="both"/>
        <w:rPr>
          <w:rFonts w:ascii="Times New Roman" w:hAnsi="Times New Roman"/>
          <w:noProof/>
          <w:sz w:val="24"/>
        </w:rPr>
      </w:pPr>
      <w:r>
        <w:rPr>
          <w:rFonts w:ascii="Times New Roman" w:hAnsi="Times New Roman"/>
          <w:sz w:val="24"/>
        </w:rPr>
        <w:t>5. Kuģim, kas būvēts 2017. gada 8. septembrī vai pēc minētā datuma, veic balasta ūdens pārvaldību, kas vismaz atbilst D-2. noteikumā aprakstītajam standartam.</w:t>
      </w:r>
    </w:p>
    <w:p w14:paraId="59632810" w14:textId="77777777" w:rsidR="00C53629" w:rsidRPr="006B3366" w:rsidRDefault="00C53629" w:rsidP="006B3366">
      <w:pPr>
        <w:jc w:val="both"/>
        <w:rPr>
          <w:rFonts w:ascii="Times New Roman" w:eastAsia="Arial" w:hAnsi="Times New Roman" w:cs="Arial"/>
          <w:noProof/>
          <w:sz w:val="24"/>
        </w:rPr>
      </w:pPr>
    </w:p>
    <w:p w14:paraId="4C04CCF9" w14:textId="77777777" w:rsidR="00C53629" w:rsidRPr="006B3366" w:rsidRDefault="00AE0B2B" w:rsidP="00AE0B2B">
      <w:pPr>
        <w:pStyle w:val="BodyText"/>
        <w:tabs>
          <w:tab w:val="left" w:pos="1841"/>
        </w:tabs>
        <w:ind w:left="0"/>
        <w:jc w:val="both"/>
        <w:rPr>
          <w:rFonts w:ascii="Times New Roman" w:hAnsi="Times New Roman"/>
          <w:noProof/>
          <w:sz w:val="24"/>
        </w:rPr>
      </w:pPr>
      <w:r>
        <w:rPr>
          <w:rFonts w:ascii="Times New Roman" w:hAnsi="Times New Roman"/>
          <w:sz w:val="24"/>
        </w:rPr>
        <w:t>6. Šā noteikuma prasības nepiemēro kuģiem, kas izgāž balasta ūdeni pieņemšanas iekārtā, kura izstrādāta, ņemot vērā Organizācijas tādām iekārtām izstrādātās vadlīnijas.</w:t>
      </w:r>
    </w:p>
    <w:p w14:paraId="6F383A28" w14:textId="77777777" w:rsidR="00C53629" w:rsidRPr="006B3366" w:rsidRDefault="00C53629" w:rsidP="006B3366">
      <w:pPr>
        <w:jc w:val="both"/>
        <w:rPr>
          <w:rFonts w:ascii="Times New Roman" w:eastAsia="Arial" w:hAnsi="Times New Roman" w:cs="Arial"/>
          <w:noProof/>
          <w:sz w:val="24"/>
          <w:szCs w:val="21"/>
        </w:rPr>
      </w:pPr>
    </w:p>
    <w:p w14:paraId="5B1BF83B" w14:textId="77777777" w:rsidR="00C53629" w:rsidRPr="006B3366" w:rsidRDefault="00AE0B2B" w:rsidP="00AE0B2B">
      <w:pPr>
        <w:pStyle w:val="BodyText"/>
        <w:tabs>
          <w:tab w:val="left" w:pos="1841"/>
        </w:tabs>
        <w:ind w:left="0"/>
        <w:jc w:val="both"/>
        <w:rPr>
          <w:rFonts w:ascii="Times New Roman" w:hAnsi="Times New Roman"/>
          <w:noProof/>
          <w:sz w:val="24"/>
        </w:rPr>
      </w:pPr>
      <w:r>
        <w:rPr>
          <w:rFonts w:ascii="Times New Roman" w:hAnsi="Times New Roman"/>
          <w:sz w:val="24"/>
        </w:rPr>
        <w:t>7. Kā alternatīvas 1.–5. punktā un 8. punktā aprakstītajām prasībām var pieņemt arī citas balasta ūdens pārvaldības metodes ar nosacījumu, ka tādas metodes nodrošina vismaz tādu pašu aizsardzības līmeni videi, cilvēka veselībai, īpašumam vai resursiem un principā ir Komitejas apstiprinātas.</w:t>
      </w:r>
    </w:p>
    <w:p w14:paraId="5B0ED842" w14:textId="77777777" w:rsidR="006B3366" w:rsidRPr="006B3366" w:rsidRDefault="006B3366" w:rsidP="006B3366">
      <w:pPr>
        <w:jc w:val="both"/>
        <w:rPr>
          <w:rFonts w:ascii="Times New Roman" w:hAnsi="Times New Roman"/>
          <w:noProof/>
          <w:sz w:val="24"/>
        </w:rPr>
      </w:pPr>
    </w:p>
    <w:p w14:paraId="638B3A3C" w14:textId="77777777" w:rsidR="00C53629" w:rsidRPr="006B3366" w:rsidRDefault="00AE0B2B" w:rsidP="00AE0B2B">
      <w:pPr>
        <w:pStyle w:val="BodyText"/>
        <w:tabs>
          <w:tab w:val="left" w:pos="1841"/>
        </w:tabs>
        <w:ind w:left="0"/>
        <w:jc w:val="both"/>
        <w:rPr>
          <w:rFonts w:ascii="Times New Roman" w:hAnsi="Times New Roman"/>
          <w:noProof/>
          <w:sz w:val="24"/>
        </w:rPr>
      </w:pPr>
      <w:r>
        <w:rPr>
          <w:rFonts w:ascii="Times New Roman" w:hAnsi="Times New Roman"/>
          <w:sz w:val="24"/>
        </w:rPr>
        <w:t xml:space="preserve">8. Kuģim, kas būvēts pirms 2017. gada 8. septembra un kam nav veicama 10. punktā aprakstītā kārtējā apskate, veic balasta ūdens pārvaldību, kas vismaz atbilst D-2. noteikumā </w:t>
      </w:r>
      <w:r>
        <w:rPr>
          <w:rFonts w:ascii="Times New Roman" w:hAnsi="Times New Roman"/>
          <w:sz w:val="24"/>
        </w:rPr>
        <w:lastRenderedPageBreak/>
        <w:t>aprakstītajam standartam, no datuma, ko noteikusi Administrācija, bet ne vēlāk kā no 2024. gada 8. septembra.</w:t>
      </w:r>
    </w:p>
    <w:p w14:paraId="6F45FCF7" w14:textId="77777777" w:rsidR="00C53629" w:rsidRPr="006B3366" w:rsidRDefault="00C53629" w:rsidP="006B3366">
      <w:pPr>
        <w:jc w:val="both"/>
        <w:rPr>
          <w:rFonts w:ascii="Times New Roman" w:eastAsia="Arial" w:hAnsi="Times New Roman" w:cs="Arial"/>
          <w:noProof/>
          <w:sz w:val="24"/>
          <w:szCs w:val="21"/>
        </w:rPr>
      </w:pPr>
    </w:p>
    <w:p w14:paraId="6B068285" w14:textId="77777777" w:rsidR="00C53629" w:rsidRPr="006B3366" w:rsidRDefault="00AE0B2B" w:rsidP="00AE0B2B">
      <w:pPr>
        <w:pStyle w:val="BodyText"/>
        <w:tabs>
          <w:tab w:val="left" w:pos="1841"/>
        </w:tabs>
        <w:ind w:left="0"/>
        <w:jc w:val="both"/>
        <w:rPr>
          <w:rFonts w:ascii="Times New Roman" w:hAnsi="Times New Roman"/>
          <w:noProof/>
          <w:sz w:val="24"/>
        </w:rPr>
      </w:pPr>
      <w:r>
        <w:rPr>
          <w:rFonts w:ascii="Times New Roman" w:hAnsi="Times New Roman"/>
          <w:sz w:val="24"/>
        </w:rPr>
        <w:t>9. Kuģim, uz ko attiecas 2., 4. vai 8. punkts, līdz brīdim, no kura tam būs jāatbilst D</w:t>
      </w:r>
      <w:r>
        <w:rPr>
          <w:rFonts w:ascii="Times New Roman" w:hAnsi="Times New Roman"/>
          <w:sz w:val="24"/>
        </w:rPr>
        <w:noBreakHyphen/>
        <w:t>2. noteikuma prasībām, jāatbilst vai nu D-1., vai D-2. noteikuma prasībām.</w:t>
      </w:r>
    </w:p>
    <w:p w14:paraId="73CA0CA4" w14:textId="77777777" w:rsidR="00C53629" w:rsidRPr="006B3366" w:rsidRDefault="00C53629" w:rsidP="006B3366">
      <w:pPr>
        <w:jc w:val="both"/>
        <w:rPr>
          <w:rFonts w:ascii="Times New Roman" w:eastAsia="Arial" w:hAnsi="Times New Roman" w:cs="Arial"/>
          <w:noProof/>
          <w:sz w:val="24"/>
        </w:rPr>
      </w:pPr>
    </w:p>
    <w:p w14:paraId="2953F82D" w14:textId="77777777" w:rsidR="00C53629" w:rsidRPr="006B3366" w:rsidRDefault="00AE0B2B" w:rsidP="00AE0B2B">
      <w:pPr>
        <w:pStyle w:val="BodyText"/>
        <w:tabs>
          <w:tab w:val="left" w:pos="1841"/>
        </w:tabs>
        <w:ind w:left="0"/>
        <w:jc w:val="both"/>
        <w:rPr>
          <w:rFonts w:ascii="Times New Roman" w:hAnsi="Times New Roman"/>
          <w:noProof/>
          <w:sz w:val="24"/>
        </w:rPr>
      </w:pPr>
      <w:r>
        <w:rPr>
          <w:rFonts w:ascii="Times New Roman" w:hAnsi="Times New Roman"/>
          <w:sz w:val="24"/>
        </w:rPr>
        <w:t>10. Neatkarīgi no E-1. noteikuma 1.2. punkta prasībām kārtējā apskate, kas norādīta 1.1., 1.2., 2. un 4. punktā, ir:</w:t>
      </w:r>
    </w:p>
    <w:p w14:paraId="15648EEC" w14:textId="77777777" w:rsidR="00C53629" w:rsidRPr="006B3366" w:rsidRDefault="00C53629" w:rsidP="006B3366">
      <w:pPr>
        <w:jc w:val="both"/>
        <w:rPr>
          <w:rFonts w:ascii="Times New Roman" w:eastAsia="Arial" w:hAnsi="Times New Roman" w:cs="Arial"/>
          <w:noProof/>
          <w:sz w:val="24"/>
          <w:szCs w:val="21"/>
        </w:rPr>
      </w:pPr>
    </w:p>
    <w:p w14:paraId="4DCBAC88" w14:textId="77777777" w:rsidR="00C53629" w:rsidRPr="006B3366" w:rsidRDefault="00AE0B2B" w:rsidP="00AE0B2B">
      <w:pPr>
        <w:pStyle w:val="BodyText"/>
        <w:tabs>
          <w:tab w:val="left" w:pos="2691"/>
        </w:tabs>
        <w:ind w:left="426"/>
        <w:jc w:val="both"/>
        <w:rPr>
          <w:rFonts w:ascii="Times New Roman" w:hAnsi="Times New Roman"/>
          <w:noProof/>
          <w:sz w:val="24"/>
        </w:rPr>
      </w:pPr>
      <w:r>
        <w:rPr>
          <w:rFonts w:ascii="Times New Roman" w:hAnsi="Times New Roman"/>
          <w:sz w:val="24"/>
        </w:rPr>
        <w:t>10.1. pirmā kārtējā apskate, ko noteikusi Komiteja</w:t>
      </w:r>
      <w:r>
        <w:rPr>
          <w:rStyle w:val="FootnoteReference"/>
          <w:rFonts w:ascii="Times New Roman" w:hAnsi="Times New Roman"/>
          <w:noProof/>
          <w:sz w:val="24"/>
        </w:rPr>
        <w:footnoteReference w:id="1"/>
      </w:r>
      <w:r>
        <w:rPr>
          <w:rFonts w:ascii="Times New Roman" w:hAnsi="Times New Roman"/>
          <w:sz w:val="24"/>
        </w:rPr>
        <w:t>, 2017. gada 8. septembrī vai pēc minētā datuma, ja:</w:t>
      </w:r>
    </w:p>
    <w:p w14:paraId="19A6AB1C" w14:textId="77777777" w:rsidR="00C53629" w:rsidRPr="006B3366" w:rsidRDefault="00C53629" w:rsidP="006B3366">
      <w:pPr>
        <w:jc w:val="both"/>
        <w:rPr>
          <w:rFonts w:ascii="Times New Roman" w:eastAsia="Arial" w:hAnsi="Times New Roman" w:cs="Arial"/>
          <w:noProof/>
          <w:sz w:val="24"/>
          <w:szCs w:val="21"/>
        </w:rPr>
      </w:pPr>
    </w:p>
    <w:p w14:paraId="29FF1283" w14:textId="50AFD7B3" w:rsidR="00C53629" w:rsidRPr="006B3366" w:rsidRDefault="00AE0B2B" w:rsidP="00AE0B2B">
      <w:pPr>
        <w:pStyle w:val="BodyText"/>
        <w:tabs>
          <w:tab w:val="left" w:pos="3543"/>
        </w:tabs>
        <w:ind w:left="709"/>
        <w:jc w:val="both"/>
        <w:rPr>
          <w:rFonts w:ascii="Times New Roman" w:hAnsi="Times New Roman"/>
          <w:noProof/>
          <w:sz w:val="24"/>
        </w:rPr>
      </w:pPr>
      <w:r>
        <w:rPr>
          <w:rFonts w:ascii="Times New Roman" w:hAnsi="Times New Roman"/>
          <w:sz w:val="24"/>
        </w:rPr>
        <w:t>10.1.1. šī apskate ir pabeigta 2019. gada 8. septembrī vai pēc minētā datuma</w:t>
      </w:r>
      <w:r w:rsidR="001D38DE">
        <w:rPr>
          <w:rFonts w:ascii="Times New Roman" w:hAnsi="Times New Roman"/>
          <w:sz w:val="24"/>
        </w:rPr>
        <w:t>, vai</w:t>
      </w:r>
      <w:bookmarkStart w:id="0" w:name="_GoBack"/>
      <w:bookmarkEnd w:id="0"/>
    </w:p>
    <w:p w14:paraId="3975EE0D" w14:textId="77777777" w:rsidR="00C53629" w:rsidRPr="006B3366" w:rsidRDefault="00C53629" w:rsidP="00AE0B2B">
      <w:pPr>
        <w:ind w:left="709"/>
        <w:jc w:val="both"/>
        <w:rPr>
          <w:rFonts w:ascii="Times New Roman" w:eastAsia="Arial" w:hAnsi="Times New Roman" w:cs="Arial"/>
          <w:noProof/>
          <w:sz w:val="24"/>
        </w:rPr>
      </w:pPr>
    </w:p>
    <w:p w14:paraId="7C3A46FB" w14:textId="77777777" w:rsidR="00C53629" w:rsidRPr="006B3366" w:rsidRDefault="00AE0B2B" w:rsidP="00AE0B2B">
      <w:pPr>
        <w:pStyle w:val="BodyText"/>
        <w:tabs>
          <w:tab w:val="left" w:pos="3543"/>
        </w:tabs>
        <w:ind w:left="709"/>
        <w:jc w:val="both"/>
        <w:rPr>
          <w:rFonts w:ascii="Times New Roman" w:hAnsi="Times New Roman"/>
          <w:noProof/>
          <w:sz w:val="24"/>
        </w:rPr>
      </w:pPr>
      <w:r>
        <w:rPr>
          <w:rFonts w:ascii="Times New Roman" w:hAnsi="Times New Roman"/>
          <w:sz w:val="24"/>
        </w:rPr>
        <w:t>10.1.2. kārtējā apskate ir pabeigta 2014. gada 8. septembrī vai pēc minētā datuma, bet pirms 2017. gada 8. septembra;</w:t>
      </w:r>
    </w:p>
    <w:p w14:paraId="62C1F85A" w14:textId="77777777" w:rsidR="00C53629" w:rsidRPr="006B3366" w:rsidRDefault="00C53629" w:rsidP="006B3366">
      <w:pPr>
        <w:jc w:val="both"/>
        <w:rPr>
          <w:rFonts w:ascii="Times New Roman" w:eastAsia="Arial" w:hAnsi="Times New Roman" w:cs="Arial"/>
          <w:noProof/>
          <w:sz w:val="24"/>
          <w:szCs w:val="21"/>
        </w:rPr>
      </w:pPr>
    </w:p>
    <w:p w14:paraId="4661878F" w14:textId="77777777" w:rsidR="00C53629" w:rsidRPr="006B3366" w:rsidRDefault="00AE0B2B" w:rsidP="00AE0B2B">
      <w:pPr>
        <w:pStyle w:val="BodyText"/>
        <w:tabs>
          <w:tab w:val="left" w:pos="2691"/>
        </w:tabs>
        <w:ind w:left="426"/>
        <w:jc w:val="both"/>
        <w:rPr>
          <w:rFonts w:ascii="Times New Roman" w:hAnsi="Times New Roman"/>
          <w:noProof/>
          <w:sz w:val="24"/>
        </w:rPr>
      </w:pPr>
      <w:r>
        <w:rPr>
          <w:rFonts w:ascii="Times New Roman" w:hAnsi="Times New Roman"/>
          <w:sz w:val="24"/>
        </w:rPr>
        <w:t>10.2. otrā kārtējā apskate, ko noteikusi Komiteja</w:t>
      </w:r>
      <w:r>
        <w:rPr>
          <w:rFonts w:ascii="Times New Roman" w:hAnsi="Times New Roman"/>
          <w:sz w:val="24"/>
          <w:vertAlign w:val="superscript"/>
        </w:rPr>
        <w:t>1</w:t>
      </w:r>
      <w:r>
        <w:rPr>
          <w:rFonts w:ascii="Times New Roman" w:hAnsi="Times New Roman"/>
          <w:sz w:val="24"/>
        </w:rPr>
        <w:t>, 2017. gada 8. septembrī vai pēc minētā datuma, ja pirmā kārtējā apskate, kas tiek veikta 2017. gada 8. septembrī vai pēc minētā datuma, ir pabeigta pirms 2019. gada 8. septembra, ja nav izpildīti 10.1.2. punkta nosacījumi.”</w:t>
      </w:r>
    </w:p>
    <w:p w14:paraId="269A6440" w14:textId="77777777" w:rsidR="00C53629" w:rsidRPr="006B3366" w:rsidRDefault="00C53629" w:rsidP="006B3366">
      <w:pPr>
        <w:jc w:val="both"/>
        <w:rPr>
          <w:rFonts w:ascii="Times New Roman" w:hAnsi="Times New Roman"/>
          <w:noProof/>
          <w:sz w:val="24"/>
        </w:rPr>
      </w:pPr>
    </w:p>
    <w:p w14:paraId="0C04A2ED" w14:textId="77777777" w:rsidR="00C53629" w:rsidRPr="006B3366" w:rsidRDefault="00C53629" w:rsidP="006B3366">
      <w:pPr>
        <w:jc w:val="both"/>
        <w:rPr>
          <w:rFonts w:ascii="Times New Roman" w:hAnsi="Times New Roman"/>
          <w:noProof/>
          <w:sz w:val="24"/>
        </w:rPr>
      </w:pPr>
    </w:p>
    <w:p w14:paraId="28EB1000" w14:textId="77777777" w:rsidR="00C53629" w:rsidRPr="00AE0B2B" w:rsidRDefault="00C53629" w:rsidP="00AE0B2B">
      <w:pPr>
        <w:pStyle w:val="BodyText"/>
        <w:ind w:left="0"/>
        <w:jc w:val="center"/>
        <w:rPr>
          <w:rFonts w:ascii="Times New Roman" w:hAnsi="Times New Roman"/>
          <w:noProof/>
          <w:sz w:val="24"/>
        </w:rPr>
      </w:pPr>
      <w:r>
        <w:rPr>
          <w:rFonts w:ascii="Times New Roman" w:hAnsi="Times New Roman"/>
          <w:sz w:val="24"/>
        </w:rPr>
        <w:t>***</w:t>
      </w:r>
    </w:p>
    <w:sectPr w:rsidR="00C53629" w:rsidRPr="00AE0B2B" w:rsidSect="00AE0B2B">
      <w:headerReference w:type="even" r:id="rId8"/>
      <w:headerReference w:type="default" r:id="rId9"/>
      <w:footerReference w:type="even" r:id="rId10"/>
      <w:footerReference w:type="default" r:id="rId11"/>
      <w:headerReference w:type="first" r:id="rId12"/>
      <w:footerReference w:type="first" r:id="rId13"/>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6C90EE" w14:textId="77777777" w:rsidR="002C5364" w:rsidRPr="00C53629" w:rsidRDefault="00AE0B2B">
      <w:pPr>
        <w:rPr>
          <w:noProof/>
        </w:rPr>
      </w:pPr>
      <w:r w:rsidRPr="00C53629">
        <w:rPr>
          <w:noProof/>
        </w:rPr>
        <w:separator/>
      </w:r>
    </w:p>
  </w:endnote>
  <w:endnote w:type="continuationSeparator" w:id="0">
    <w:p w14:paraId="6F281C48" w14:textId="77777777" w:rsidR="002C5364" w:rsidRPr="00C53629" w:rsidRDefault="00AE0B2B">
      <w:pPr>
        <w:rPr>
          <w:noProof/>
        </w:rPr>
      </w:pPr>
      <w:r w:rsidRPr="00C53629">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07DB2" w14:textId="77777777" w:rsidR="00380700" w:rsidRPr="00C53629" w:rsidRDefault="00380700">
    <w:pPr>
      <w:spacing w:line="14" w:lineRule="auto"/>
      <w:rPr>
        <w:noProof/>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DBE72" w14:textId="77777777" w:rsidR="001A4A46" w:rsidRPr="001A4A46" w:rsidRDefault="001A4A46" w:rsidP="001A4A46">
    <w:pPr>
      <w:pStyle w:val="Header"/>
      <w:tabs>
        <w:tab w:val="clear" w:pos="4153"/>
        <w:tab w:val="clear" w:pos="8306"/>
        <w:tab w:val="left" w:pos="9072"/>
      </w:tabs>
      <w:rPr>
        <w:rStyle w:val="PageNumber"/>
        <w:rFonts w:ascii="Times New Roman" w:hAnsi="Times New Roman" w:cs="Times New Roman"/>
        <w:sz w:val="20"/>
        <w:szCs w:val="18"/>
      </w:rPr>
    </w:pPr>
  </w:p>
  <w:p w14:paraId="1FD01E51" w14:textId="77777777" w:rsidR="001A4A46" w:rsidRPr="001A4A46" w:rsidRDefault="001A4A46" w:rsidP="001A4A46">
    <w:pPr>
      <w:pStyle w:val="Header"/>
      <w:tabs>
        <w:tab w:val="clear" w:pos="4153"/>
        <w:tab w:val="clear" w:pos="8306"/>
        <w:tab w:val="right" w:leader="underscore" w:pos="9072"/>
      </w:tabs>
      <w:rPr>
        <w:rStyle w:val="PageNumber"/>
        <w:rFonts w:ascii="Times New Roman" w:hAnsi="Times New Roman" w:cs="Times New Roman"/>
        <w:sz w:val="20"/>
        <w:szCs w:val="18"/>
      </w:rPr>
    </w:pPr>
    <w:r w:rsidRPr="001A4A46">
      <w:rPr>
        <w:rStyle w:val="PageNumber"/>
        <w:rFonts w:ascii="Times New Roman" w:hAnsi="Times New Roman" w:cs="Times New Roman"/>
        <w:sz w:val="20"/>
        <w:szCs w:val="18"/>
      </w:rPr>
      <w:tab/>
    </w:r>
  </w:p>
  <w:p w14:paraId="0E27C97E" w14:textId="77777777" w:rsidR="001A4A46" w:rsidRPr="001A4A46" w:rsidRDefault="001A4A46" w:rsidP="001A4A46">
    <w:pPr>
      <w:pStyle w:val="Header"/>
      <w:tabs>
        <w:tab w:val="clear" w:pos="4153"/>
        <w:tab w:val="clear" w:pos="8306"/>
        <w:tab w:val="right" w:pos="9072"/>
      </w:tabs>
      <w:rPr>
        <w:rStyle w:val="PageNumber"/>
        <w:rFonts w:ascii="Times New Roman" w:hAnsi="Times New Roman" w:cs="Times New Roman"/>
        <w:sz w:val="20"/>
        <w:szCs w:val="18"/>
      </w:rPr>
    </w:pPr>
  </w:p>
  <w:p w14:paraId="2769A5DD" w14:textId="77777777" w:rsidR="001A4A46" w:rsidRPr="001A4A46" w:rsidRDefault="001A4A46" w:rsidP="001A4A46">
    <w:pPr>
      <w:pStyle w:val="Footer"/>
      <w:tabs>
        <w:tab w:val="clear" w:pos="4153"/>
        <w:tab w:val="clear" w:pos="8306"/>
        <w:tab w:val="right" w:pos="9072"/>
      </w:tabs>
      <w:rPr>
        <w:rFonts w:ascii="Times New Roman" w:hAnsi="Times New Roman" w:cs="Times New Roman"/>
        <w:sz w:val="20"/>
        <w:szCs w:val="18"/>
      </w:rPr>
    </w:pPr>
    <w:r w:rsidRPr="001A4A46">
      <w:rPr>
        <w:rFonts w:ascii="Times New Roman" w:hAnsi="Times New Roman" w:cs="Times New Roman"/>
        <w:noProof/>
        <w:sz w:val="20"/>
        <w:szCs w:val="18"/>
      </w:rPr>
      <w:t xml:space="preserve">Tulkojums </w:t>
    </w:r>
    <w:r w:rsidRPr="001A4A46">
      <w:rPr>
        <w:rFonts w:ascii="Times New Roman" w:hAnsi="Times New Roman" w:cs="Times New Roman"/>
        <w:noProof/>
        <w:sz w:val="20"/>
        <w:szCs w:val="18"/>
      </w:rPr>
      <w:fldChar w:fldCharType="begin"/>
    </w:r>
    <w:r w:rsidRPr="001A4A46">
      <w:rPr>
        <w:rFonts w:ascii="Times New Roman" w:hAnsi="Times New Roman" w:cs="Times New Roman"/>
        <w:noProof/>
        <w:sz w:val="20"/>
        <w:szCs w:val="18"/>
      </w:rPr>
      <w:instrText>symbol 211 \f "Symbol" \s 9</w:instrText>
    </w:r>
    <w:r w:rsidRPr="001A4A46">
      <w:rPr>
        <w:rFonts w:ascii="Times New Roman" w:hAnsi="Times New Roman" w:cs="Times New Roman"/>
        <w:noProof/>
        <w:sz w:val="20"/>
        <w:szCs w:val="18"/>
      </w:rPr>
      <w:fldChar w:fldCharType="separate"/>
    </w:r>
    <w:r w:rsidRPr="001A4A46">
      <w:rPr>
        <w:rFonts w:ascii="Times New Roman" w:hAnsi="Times New Roman" w:cs="Times New Roman"/>
        <w:noProof/>
        <w:sz w:val="20"/>
        <w:szCs w:val="18"/>
      </w:rPr>
      <w:t>Ó</w:t>
    </w:r>
    <w:r w:rsidRPr="001A4A46">
      <w:rPr>
        <w:rFonts w:ascii="Times New Roman" w:hAnsi="Times New Roman" w:cs="Times New Roman"/>
        <w:noProof/>
        <w:sz w:val="20"/>
        <w:szCs w:val="18"/>
      </w:rPr>
      <w:fldChar w:fldCharType="end"/>
    </w:r>
    <w:r w:rsidRPr="001A4A46">
      <w:rPr>
        <w:rFonts w:ascii="Times New Roman" w:hAnsi="Times New Roman" w:cs="Times New Roman"/>
        <w:noProof/>
        <w:sz w:val="20"/>
        <w:szCs w:val="18"/>
      </w:rPr>
      <w:t xml:space="preserve"> Valsts valodas centrs, 2019</w:t>
    </w:r>
    <w:r w:rsidRPr="001A4A46">
      <w:rPr>
        <w:rFonts w:ascii="Times New Roman" w:hAnsi="Times New Roman" w:cs="Times New Roman"/>
        <w:sz w:val="20"/>
        <w:szCs w:val="18"/>
      </w:rPr>
      <w:tab/>
    </w:r>
    <w:r w:rsidRPr="001A4A46">
      <w:rPr>
        <w:rStyle w:val="PageNumber"/>
        <w:rFonts w:ascii="Times New Roman" w:hAnsi="Times New Roman" w:cs="Times New Roman"/>
        <w:sz w:val="20"/>
        <w:szCs w:val="18"/>
      </w:rPr>
      <w:fldChar w:fldCharType="begin"/>
    </w:r>
    <w:r w:rsidRPr="001A4A46">
      <w:rPr>
        <w:rStyle w:val="PageNumber"/>
        <w:rFonts w:ascii="Times New Roman" w:hAnsi="Times New Roman" w:cs="Times New Roman"/>
        <w:sz w:val="20"/>
        <w:szCs w:val="18"/>
      </w:rPr>
      <w:instrText xml:space="preserve">page </w:instrText>
    </w:r>
    <w:r w:rsidRPr="001A4A46">
      <w:rPr>
        <w:rStyle w:val="PageNumber"/>
        <w:rFonts w:ascii="Times New Roman" w:hAnsi="Times New Roman" w:cs="Times New Roman"/>
        <w:sz w:val="20"/>
        <w:szCs w:val="18"/>
      </w:rPr>
      <w:fldChar w:fldCharType="separate"/>
    </w:r>
    <w:r w:rsidRPr="001A4A46">
      <w:rPr>
        <w:rStyle w:val="PageNumber"/>
        <w:rFonts w:ascii="Times New Roman" w:hAnsi="Times New Roman" w:cs="Times New Roman"/>
        <w:sz w:val="20"/>
        <w:szCs w:val="18"/>
      </w:rPr>
      <w:t>2</w:t>
    </w:r>
    <w:r w:rsidRPr="001A4A46">
      <w:rPr>
        <w:rStyle w:val="PageNumber"/>
        <w:rFonts w:ascii="Times New Roman" w:hAnsi="Times New Roman" w:cs="Times New Roman"/>
        <w:sz w:val="2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144C1" w14:textId="77777777" w:rsidR="001A4A46" w:rsidRPr="001A4A46" w:rsidRDefault="001A4A46" w:rsidP="001A4A46">
    <w:pPr>
      <w:pStyle w:val="Header"/>
      <w:tabs>
        <w:tab w:val="clear" w:pos="4153"/>
        <w:tab w:val="clear" w:pos="8306"/>
        <w:tab w:val="left" w:pos="9072"/>
      </w:tabs>
      <w:rPr>
        <w:rStyle w:val="PageNumber"/>
        <w:rFonts w:ascii="Times New Roman" w:hAnsi="Times New Roman" w:cs="Times New Roman"/>
        <w:sz w:val="20"/>
        <w:szCs w:val="18"/>
      </w:rPr>
    </w:pPr>
    <w:bookmarkStart w:id="11" w:name="_Hlk496261764"/>
    <w:bookmarkStart w:id="12" w:name="_Hlk496261765"/>
    <w:bookmarkStart w:id="13" w:name="_Hlk496261766"/>
  </w:p>
  <w:p w14:paraId="7B47706F" w14:textId="77777777" w:rsidR="001A4A46" w:rsidRPr="001A4A46" w:rsidRDefault="001A4A46" w:rsidP="001A4A46">
    <w:pPr>
      <w:pStyle w:val="Header"/>
      <w:tabs>
        <w:tab w:val="clear" w:pos="4153"/>
        <w:tab w:val="clear" w:pos="8306"/>
        <w:tab w:val="left" w:leader="underscore" w:pos="9072"/>
      </w:tabs>
      <w:rPr>
        <w:rStyle w:val="PageNumber"/>
        <w:rFonts w:ascii="Times New Roman" w:hAnsi="Times New Roman" w:cs="Times New Roman"/>
        <w:sz w:val="20"/>
        <w:szCs w:val="18"/>
      </w:rPr>
    </w:pPr>
    <w:r w:rsidRPr="001A4A46">
      <w:rPr>
        <w:rStyle w:val="PageNumber"/>
        <w:rFonts w:ascii="Times New Roman" w:hAnsi="Times New Roman" w:cs="Times New Roman"/>
        <w:sz w:val="20"/>
        <w:szCs w:val="18"/>
      </w:rPr>
      <w:tab/>
    </w:r>
  </w:p>
  <w:p w14:paraId="7EB147BC" w14:textId="77777777" w:rsidR="001A4A46" w:rsidRPr="001A4A46" w:rsidRDefault="001A4A46" w:rsidP="001A4A46">
    <w:pPr>
      <w:pStyle w:val="Header"/>
      <w:tabs>
        <w:tab w:val="clear" w:pos="4153"/>
        <w:tab w:val="clear" w:pos="8306"/>
        <w:tab w:val="left" w:pos="9072"/>
      </w:tabs>
      <w:rPr>
        <w:rStyle w:val="PageNumber"/>
        <w:rFonts w:ascii="Times New Roman" w:hAnsi="Times New Roman" w:cs="Times New Roman"/>
        <w:sz w:val="20"/>
        <w:szCs w:val="18"/>
      </w:rPr>
    </w:pPr>
  </w:p>
  <w:p w14:paraId="7219E969" w14:textId="77777777" w:rsidR="001A4A46" w:rsidRPr="001A4A46" w:rsidRDefault="001A4A46" w:rsidP="001A4A46">
    <w:pPr>
      <w:pStyle w:val="Footer"/>
      <w:rPr>
        <w:rFonts w:ascii="Times New Roman" w:hAnsi="Times New Roman" w:cs="Times New Roman"/>
        <w:sz w:val="20"/>
        <w:szCs w:val="18"/>
      </w:rPr>
    </w:pPr>
    <w:r w:rsidRPr="001A4A46">
      <w:rPr>
        <w:rFonts w:ascii="Times New Roman" w:hAnsi="Times New Roman" w:cs="Times New Roman"/>
        <w:noProof/>
        <w:sz w:val="20"/>
        <w:szCs w:val="18"/>
      </w:rPr>
      <w:t xml:space="preserve">Tulkojums </w:t>
    </w:r>
    <w:r w:rsidRPr="001A4A46">
      <w:rPr>
        <w:rFonts w:ascii="Times New Roman" w:hAnsi="Times New Roman" w:cs="Times New Roman"/>
        <w:noProof/>
        <w:sz w:val="20"/>
        <w:szCs w:val="18"/>
      </w:rPr>
      <w:fldChar w:fldCharType="begin"/>
    </w:r>
    <w:r w:rsidRPr="001A4A46">
      <w:rPr>
        <w:rFonts w:ascii="Times New Roman" w:hAnsi="Times New Roman" w:cs="Times New Roman"/>
        <w:noProof/>
        <w:sz w:val="20"/>
        <w:szCs w:val="18"/>
      </w:rPr>
      <w:instrText>symbol 211 \f "Symbol" \s 9</w:instrText>
    </w:r>
    <w:r w:rsidRPr="001A4A46">
      <w:rPr>
        <w:rFonts w:ascii="Times New Roman" w:hAnsi="Times New Roman" w:cs="Times New Roman"/>
        <w:noProof/>
        <w:sz w:val="20"/>
        <w:szCs w:val="18"/>
      </w:rPr>
      <w:fldChar w:fldCharType="separate"/>
    </w:r>
    <w:r w:rsidRPr="001A4A46">
      <w:rPr>
        <w:rFonts w:ascii="Times New Roman" w:hAnsi="Times New Roman" w:cs="Times New Roman"/>
        <w:noProof/>
        <w:sz w:val="20"/>
        <w:szCs w:val="18"/>
      </w:rPr>
      <w:t>Ó</w:t>
    </w:r>
    <w:r w:rsidRPr="001A4A46">
      <w:rPr>
        <w:rFonts w:ascii="Times New Roman" w:hAnsi="Times New Roman" w:cs="Times New Roman"/>
        <w:noProof/>
        <w:sz w:val="20"/>
        <w:szCs w:val="18"/>
      </w:rPr>
      <w:fldChar w:fldCharType="end"/>
    </w:r>
    <w:r w:rsidRPr="001A4A46">
      <w:rPr>
        <w:rFonts w:ascii="Times New Roman" w:hAnsi="Times New Roman" w:cs="Times New Roman"/>
        <w:noProof/>
        <w:sz w:val="20"/>
        <w:szCs w:val="18"/>
      </w:rPr>
      <w:t xml:space="preserve"> Valsts valodas centrs, 201</w:t>
    </w:r>
    <w:bookmarkEnd w:id="11"/>
    <w:bookmarkEnd w:id="12"/>
    <w:bookmarkEnd w:id="13"/>
    <w:r w:rsidRPr="001A4A46">
      <w:rPr>
        <w:rFonts w:ascii="Times New Roman" w:hAnsi="Times New Roman" w:cs="Times New Roman"/>
        <w:noProof/>
        <w:sz w:val="20"/>
        <w:szCs w:val="18"/>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1A8CA" w14:textId="77777777" w:rsidR="002C5364" w:rsidRPr="00C53629" w:rsidRDefault="00AE0B2B">
      <w:pPr>
        <w:rPr>
          <w:noProof/>
        </w:rPr>
      </w:pPr>
      <w:r w:rsidRPr="00C53629">
        <w:rPr>
          <w:noProof/>
        </w:rPr>
        <w:separator/>
      </w:r>
    </w:p>
  </w:footnote>
  <w:footnote w:type="continuationSeparator" w:id="0">
    <w:p w14:paraId="6365D736" w14:textId="77777777" w:rsidR="002C5364" w:rsidRPr="00C53629" w:rsidRDefault="00AE0B2B">
      <w:pPr>
        <w:rPr>
          <w:noProof/>
        </w:rPr>
      </w:pPr>
      <w:r w:rsidRPr="00C53629">
        <w:rPr>
          <w:noProof/>
        </w:rPr>
        <w:continuationSeparator/>
      </w:r>
    </w:p>
  </w:footnote>
  <w:footnote w:id="1">
    <w:p w14:paraId="5AC974BD" w14:textId="77777777" w:rsidR="00AE0B2B" w:rsidRPr="00AE0B2B" w:rsidRDefault="00AE0B2B" w:rsidP="00AE0B2B">
      <w:pPr>
        <w:tabs>
          <w:tab w:val="left" w:pos="705"/>
        </w:tabs>
        <w:jc w:val="both"/>
        <w:rPr>
          <w:rFonts w:ascii="Times New Roman" w:eastAsia="Arial"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Sniegta atsauce uz rezolūciju MEPC.298(72).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4AE74" w14:textId="77777777" w:rsidR="00380700" w:rsidRPr="00C53629" w:rsidRDefault="00380700">
    <w:pPr>
      <w:spacing w:line="14" w:lineRule="auto"/>
      <w:rPr>
        <w:noProof/>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B219F" w14:textId="77777777" w:rsidR="001A4A46" w:rsidRPr="001A4A46" w:rsidRDefault="001A4A46" w:rsidP="001A4A46">
    <w:pPr>
      <w:pStyle w:val="Header"/>
      <w:tabs>
        <w:tab w:val="clear" w:pos="4153"/>
        <w:tab w:val="clear" w:pos="8306"/>
      </w:tabs>
      <w:rPr>
        <w:rStyle w:val="PageNumber"/>
        <w:rFonts w:ascii="Times New Roman" w:hAnsi="Times New Roman" w:cs="Times New Roman"/>
        <w:sz w:val="20"/>
        <w:szCs w:val="20"/>
      </w:rPr>
    </w:pPr>
    <w:bookmarkStart w:id="1" w:name="_Hlk496261784"/>
    <w:bookmarkStart w:id="2" w:name="_Hlk496261785"/>
    <w:bookmarkStart w:id="3" w:name="_Hlk496261786"/>
    <w:bookmarkStart w:id="4" w:name="_Hlk502757728"/>
    <w:bookmarkStart w:id="5" w:name="_Hlk502757729"/>
    <w:bookmarkStart w:id="6" w:name="_Hlk502757738"/>
    <w:bookmarkStart w:id="7" w:name="_Hlk502757739"/>
  </w:p>
  <w:p w14:paraId="161591E1" w14:textId="77777777" w:rsidR="001A4A46" w:rsidRPr="001A4A46" w:rsidRDefault="001A4A46" w:rsidP="001A4A46">
    <w:pPr>
      <w:pStyle w:val="Header"/>
      <w:tabs>
        <w:tab w:val="clear" w:pos="4153"/>
        <w:tab w:val="clear" w:pos="8306"/>
        <w:tab w:val="right" w:leader="underscore" w:pos="9072"/>
      </w:tabs>
      <w:rPr>
        <w:rStyle w:val="PageNumber"/>
        <w:rFonts w:ascii="Times New Roman" w:hAnsi="Times New Roman" w:cs="Times New Roman"/>
        <w:sz w:val="20"/>
        <w:szCs w:val="20"/>
      </w:rPr>
    </w:pPr>
    <w:r w:rsidRPr="001A4A46">
      <w:rPr>
        <w:rStyle w:val="PageNumber"/>
        <w:rFonts w:ascii="Times New Roman" w:hAnsi="Times New Roman" w:cs="Times New Roman"/>
        <w:sz w:val="20"/>
        <w:szCs w:val="20"/>
      </w:rPr>
      <w:tab/>
    </w:r>
  </w:p>
  <w:bookmarkEnd w:id="1"/>
  <w:bookmarkEnd w:id="2"/>
  <w:bookmarkEnd w:id="3"/>
  <w:bookmarkEnd w:id="4"/>
  <w:bookmarkEnd w:id="5"/>
  <w:bookmarkEnd w:id="6"/>
  <w:bookmarkEnd w:id="7"/>
  <w:p w14:paraId="548A124B" w14:textId="77777777" w:rsidR="001A4A46" w:rsidRPr="001A4A46" w:rsidRDefault="001A4A46" w:rsidP="001A4A46">
    <w:pPr>
      <w:pStyle w:val="Header"/>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2062D" w14:textId="77777777" w:rsidR="001A4A46" w:rsidRPr="001A4A46" w:rsidRDefault="001A4A46" w:rsidP="001A4A46">
    <w:pPr>
      <w:pBdr>
        <w:bottom w:val="single" w:sz="12" w:space="5" w:color="auto"/>
      </w:pBdr>
      <w:jc w:val="both"/>
      <w:rPr>
        <w:rFonts w:ascii="Times New Roman" w:hAnsi="Times New Roman" w:cs="Times New Roman"/>
        <w:spacing w:val="-2"/>
        <w:sz w:val="20"/>
        <w:szCs w:val="20"/>
      </w:rPr>
    </w:pPr>
    <w:bookmarkStart w:id="8" w:name="_Hlk496261745"/>
    <w:bookmarkStart w:id="9" w:name="_Hlk496261746"/>
    <w:bookmarkStart w:id="10" w:name="_Hlk496261747"/>
  </w:p>
  <w:bookmarkEnd w:id="8"/>
  <w:bookmarkEnd w:id="9"/>
  <w:bookmarkEnd w:id="10"/>
  <w:p w14:paraId="3DB3CE48" w14:textId="77777777" w:rsidR="001A4A46" w:rsidRPr="001A4A46" w:rsidRDefault="001A4A46" w:rsidP="001A4A46">
    <w:pPr>
      <w:pStyle w:val="Header"/>
      <w:jc w:val="both"/>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C5E8D"/>
    <w:multiLevelType w:val="hybridMultilevel"/>
    <w:tmpl w:val="046E3F56"/>
    <w:lvl w:ilvl="0" w:tplc="28E2CD60">
      <w:start w:val="2"/>
      <w:numFmt w:val="decimal"/>
      <w:lvlText w:val="%1"/>
      <w:lvlJc w:val="left"/>
      <w:pPr>
        <w:ind w:left="990" w:hanging="850"/>
      </w:pPr>
      <w:rPr>
        <w:rFonts w:ascii="Arial" w:eastAsia="Arial" w:hAnsi="Arial" w:hint="default"/>
        <w:sz w:val="22"/>
        <w:szCs w:val="22"/>
      </w:rPr>
    </w:lvl>
    <w:lvl w:ilvl="1" w:tplc="810048DC">
      <w:start w:val="1"/>
      <w:numFmt w:val="decimal"/>
      <w:lvlText w:val=".%2"/>
      <w:lvlJc w:val="left"/>
      <w:pPr>
        <w:ind w:left="2690" w:hanging="851"/>
      </w:pPr>
      <w:rPr>
        <w:rFonts w:ascii="Arial" w:eastAsia="Arial" w:hAnsi="Arial" w:hint="default"/>
        <w:spacing w:val="1"/>
        <w:sz w:val="22"/>
        <w:szCs w:val="22"/>
      </w:rPr>
    </w:lvl>
    <w:lvl w:ilvl="2" w:tplc="9BC2F530">
      <w:start w:val="1"/>
      <w:numFmt w:val="decimal"/>
      <w:lvlText w:val=".%3"/>
      <w:lvlJc w:val="left"/>
      <w:pPr>
        <w:ind w:left="3542" w:hanging="852"/>
      </w:pPr>
      <w:rPr>
        <w:rFonts w:ascii="Arial" w:eastAsia="Arial" w:hAnsi="Arial" w:hint="default"/>
        <w:spacing w:val="1"/>
        <w:sz w:val="22"/>
        <w:szCs w:val="22"/>
      </w:rPr>
    </w:lvl>
    <w:lvl w:ilvl="3" w:tplc="E6F272E8">
      <w:start w:val="1"/>
      <w:numFmt w:val="bullet"/>
      <w:lvlText w:val="•"/>
      <w:lvlJc w:val="left"/>
      <w:pPr>
        <w:ind w:left="4270" w:hanging="852"/>
      </w:pPr>
      <w:rPr>
        <w:rFonts w:hint="default"/>
      </w:rPr>
    </w:lvl>
    <w:lvl w:ilvl="4" w:tplc="9C5AC176">
      <w:start w:val="1"/>
      <w:numFmt w:val="bullet"/>
      <w:lvlText w:val="•"/>
      <w:lvlJc w:val="left"/>
      <w:pPr>
        <w:ind w:left="4998" w:hanging="852"/>
      </w:pPr>
      <w:rPr>
        <w:rFonts w:hint="default"/>
      </w:rPr>
    </w:lvl>
    <w:lvl w:ilvl="5" w:tplc="442A6784">
      <w:start w:val="1"/>
      <w:numFmt w:val="bullet"/>
      <w:lvlText w:val="•"/>
      <w:lvlJc w:val="left"/>
      <w:pPr>
        <w:ind w:left="5726" w:hanging="852"/>
      </w:pPr>
      <w:rPr>
        <w:rFonts w:hint="default"/>
      </w:rPr>
    </w:lvl>
    <w:lvl w:ilvl="6" w:tplc="D2A0D80C">
      <w:start w:val="1"/>
      <w:numFmt w:val="bullet"/>
      <w:lvlText w:val="•"/>
      <w:lvlJc w:val="left"/>
      <w:pPr>
        <w:ind w:left="6454" w:hanging="852"/>
      </w:pPr>
      <w:rPr>
        <w:rFonts w:hint="default"/>
      </w:rPr>
    </w:lvl>
    <w:lvl w:ilvl="7" w:tplc="D0F4E1EC">
      <w:start w:val="1"/>
      <w:numFmt w:val="bullet"/>
      <w:lvlText w:val="•"/>
      <w:lvlJc w:val="left"/>
      <w:pPr>
        <w:ind w:left="7182" w:hanging="852"/>
      </w:pPr>
      <w:rPr>
        <w:rFonts w:hint="default"/>
      </w:rPr>
    </w:lvl>
    <w:lvl w:ilvl="8" w:tplc="D62A9FC8">
      <w:start w:val="1"/>
      <w:numFmt w:val="bullet"/>
      <w:lvlText w:val="•"/>
      <w:lvlJc w:val="left"/>
      <w:pPr>
        <w:ind w:left="7910" w:hanging="852"/>
      </w:pPr>
      <w:rPr>
        <w:rFonts w:hint="default"/>
      </w:rPr>
    </w:lvl>
  </w:abstractNum>
  <w:abstractNum w:abstractNumId="1" w15:restartNumberingAfterBreak="0">
    <w:nsid w:val="31C04D43"/>
    <w:multiLevelType w:val="hybridMultilevel"/>
    <w:tmpl w:val="843EBE92"/>
    <w:lvl w:ilvl="0" w:tplc="91C25AC0">
      <w:start w:val="1"/>
      <w:numFmt w:val="decimal"/>
      <w:lvlText w:val="%1"/>
      <w:lvlJc w:val="left"/>
      <w:pPr>
        <w:ind w:left="138" w:hanging="852"/>
      </w:pPr>
      <w:rPr>
        <w:rFonts w:ascii="Arial" w:eastAsia="Arial" w:hAnsi="Arial" w:hint="default"/>
        <w:sz w:val="22"/>
        <w:szCs w:val="22"/>
      </w:rPr>
    </w:lvl>
    <w:lvl w:ilvl="1" w:tplc="CCE85B6A">
      <w:start w:val="1"/>
      <w:numFmt w:val="bullet"/>
      <w:lvlText w:val="•"/>
      <w:lvlJc w:val="left"/>
      <w:pPr>
        <w:ind w:left="1061" w:hanging="852"/>
      </w:pPr>
      <w:rPr>
        <w:rFonts w:hint="default"/>
      </w:rPr>
    </w:lvl>
    <w:lvl w:ilvl="2" w:tplc="72ACD256">
      <w:start w:val="1"/>
      <w:numFmt w:val="bullet"/>
      <w:lvlText w:val="•"/>
      <w:lvlJc w:val="left"/>
      <w:pPr>
        <w:ind w:left="1984" w:hanging="852"/>
      </w:pPr>
      <w:rPr>
        <w:rFonts w:hint="default"/>
      </w:rPr>
    </w:lvl>
    <w:lvl w:ilvl="3" w:tplc="C90EC8F8">
      <w:start w:val="1"/>
      <w:numFmt w:val="bullet"/>
      <w:lvlText w:val="•"/>
      <w:lvlJc w:val="left"/>
      <w:pPr>
        <w:ind w:left="2907" w:hanging="852"/>
      </w:pPr>
      <w:rPr>
        <w:rFonts w:hint="default"/>
      </w:rPr>
    </w:lvl>
    <w:lvl w:ilvl="4" w:tplc="7B7A6464">
      <w:start w:val="1"/>
      <w:numFmt w:val="bullet"/>
      <w:lvlText w:val="•"/>
      <w:lvlJc w:val="left"/>
      <w:pPr>
        <w:ind w:left="3829" w:hanging="852"/>
      </w:pPr>
      <w:rPr>
        <w:rFonts w:hint="default"/>
      </w:rPr>
    </w:lvl>
    <w:lvl w:ilvl="5" w:tplc="B3A4266C">
      <w:start w:val="1"/>
      <w:numFmt w:val="bullet"/>
      <w:lvlText w:val="•"/>
      <w:lvlJc w:val="left"/>
      <w:pPr>
        <w:ind w:left="4752" w:hanging="852"/>
      </w:pPr>
      <w:rPr>
        <w:rFonts w:hint="default"/>
      </w:rPr>
    </w:lvl>
    <w:lvl w:ilvl="6" w:tplc="87A68490">
      <w:start w:val="1"/>
      <w:numFmt w:val="bullet"/>
      <w:lvlText w:val="•"/>
      <w:lvlJc w:val="left"/>
      <w:pPr>
        <w:ind w:left="5675" w:hanging="852"/>
      </w:pPr>
      <w:rPr>
        <w:rFonts w:hint="default"/>
      </w:rPr>
    </w:lvl>
    <w:lvl w:ilvl="7" w:tplc="06961A90">
      <w:start w:val="1"/>
      <w:numFmt w:val="bullet"/>
      <w:lvlText w:val="•"/>
      <w:lvlJc w:val="left"/>
      <w:pPr>
        <w:ind w:left="6598" w:hanging="852"/>
      </w:pPr>
      <w:rPr>
        <w:rFonts w:hint="default"/>
      </w:rPr>
    </w:lvl>
    <w:lvl w:ilvl="8" w:tplc="776873DE">
      <w:start w:val="1"/>
      <w:numFmt w:val="bullet"/>
      <w:lvlText w:val="•"/>
      <w:lvlJc w:val="left"/>
      <w:pPr>
        <w:ind w:left="7520" w:hanging="852"/>
      </w:pPr>
      <w:rPr>
        <w:rFonts w:hint="default"/>
      </w:rPr>
    </w:lvl>
  </w:abstractNum>
  <w:abstractNum w:abstractNumId="2" w15:restartNumberingAfterBreak="0">
    <w:nsid w:val="71521C4B"/>
    <w:multiLevelType w:val="hybridMultilevel"/>
    <w:tmpl w:val="53BAA0D8"/>
    <w:lvl w:ilvl="0" w:tplc="24C2A974">
      <w:start w:val="1"/>
      <w:numFmt w:val="decimal"/>
      <w:lvlText w:val=".%1"/>
      <w:lvlJc w:val="left"/>
      <w:pPr>
        <w:ind w:left="2690" w:hanging="851"/>
      </w:pPr>
      <w:rPr>
        <w:rFonts w:ascii="Arial" w:eastAsia="Arial" w:hAnsi="Arial" w:hint="default"/>
        <w:spacing w:val="1"/>
        <w:sz w:val="22"/>
        <w:szCs w:val="22"/>
      </w:rPr>
    </w:lvl>
    <w:lvl w:ilvl="1" w:tplc="64186658">
      <w:start w:val="1"/>
      <w:numFmt w:val="bullet"/>
      <w:lvlText w:val="•"/>
      <w:lvlJc w:val="left"/>
      <w:pPr>
        <w:ind w:left="3358" w:hanging="851"/>
      </w:pPr>
      <w:rPr>
        <w:rFonts w:hint="default"/>
      </w:rPr>
    </w:lvl>
    <w:lvl w:ilvl="2" w:tplc="B676737E">
      <w:start w:val="1"/>
      <w:numFmt w:val="bullet"/>
      <w:lvlText w:val="•"/>
      <w:lvlJc w:val="left"/>
      <w:pPr>
        <w:ind w:left="4025" w:hanging="851"/>
      </w:pPr>
      <w:rPr>
        <w:rFonts w:hint="default"/>
      </w:rPr>
    </w:lvl>
    <w:lvl w:ilvl="3" w:tplc="1E0AC66A">
      <w:start w:val="1"/>
      <w:numFmt w:val="bullet"/>
      <w:lvlText w:val="•"/>
      <w:lvlJc w:val="left"/>
      <w:pPr>
        <w:ind w:left="4693" w:hanging="851"/>
      </w:pPr>
      <w:rPr>
        <w:rFonts w:hint="default"/>
      </w:rPr>
    </w:lvl>
    <w:lvl w:ilvl="4" w:tplc="51D6D612">
      <w:start w:val="1"/>
      <w:numFmt w:val="bullet"/>
      <w:lvlText w:val="•"/>
      <w:lvlJc w:val="left"/>
      <w:pPr>
        <w:ind w:left="5360" w:hanging="851"/>
      </w:pPr>
      <w:rPr>
        <w:rFonts w:hint="default"/>
      </w:rPr>
    </w:lvl>
    <w:lvl w:ilvl="5" w:tplc="F3D855C6">
      <w:start w:val="1"/>
      <w:numFmt w:val="bullet"/>
      <w:lvlText w:val="•"/>
      <w:lvlJc w:val="left"/>
      <w:pPr>
        <w:ind w:left="6028" w:hanging="851"/>
      </w:pPr>
      <w:rPr>
        <w:rFonts w:hint="default"/>
      </w:rPr>
    </w:lvl>
    <w:lvl w:ilvl="6" w:tplc="15C221D8">
      <w:start w:val="1"/>
      <w:numFmt w:val="bullet"/>
      <w:lvlText w:val="•"/>
      <w:lvlJc w:val="left"/>
      <w:pPr>
        <w:ind w:left="6696" w:hanging="851"/>
      </w:pPr>
      <w:rPr>
        <w:rFonts w:hint="default"/>
      </w:rPr>
    </w:lvl>
    <w:lvl w:ilvl="7" w:tplc="A740F588">
      <w:start w:val="1"/>
      <w:numFmt w:val="bullet"/>
      <w:lvlText w:val="•"/>
      <w:lvlJc w:val="left"/>
      <w:pPr>
        <w:ind w:left="7363" w:hanging="851"/>
      </w:pPr>
      <w:rPr>
        <w:rFonts w:hint="default"/>
      </w:rPr>
    </w:lvl>
    <w:lvl w:ilvl="8" w:tplc="04AA44FC">
      <w:start w:val="1"/>
      <w:numFmt w:val="bullet"/>
      <w:lvlText w:val="•"/>
      <w:lvlJc w:val="left"/>
      <w:pPr>
        <w:ind w:left="8031" w:hanging="851"/>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80700"/>
    <w:rsid w:val="001A4A46"/>
    <w:rsid w:val="001D38DE"/>
    <w:rsid w:val="002C5364"/>
    <w:rsid w:val="00380700"/>
    <w:rsid w:val="006B3366"/>
    <w:rsid w:val="009126DF"/>
    <w:rsid w:val="00AE0B2B"/>
    <w:rsid w:val="00C53629"/>
    <w:rsid w:val="00D657AB"/>
    <w:rsid w:val="00EB26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E3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258"/>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38"/>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D657AB"/>
    <w:pPr>
      <w:tabs>
        <w:tab w:val="center" w:pos="4153"/>
        <w:tab w:val="right" w:pos="8306"/>
      </w:tabs>
    </w:pPr>
  </w:style>
  <w:style w:type="character" w:customStyle="1" w:styleId="HeaderChar">
    <w:name w:val="Header Char"/>
    <w:basedOn w:val="DefaultParagraphFont"/>
    <w:link w:val="Header"/>
    <w:uiPriority w:val="99"/>
    <w:rsid w:val="00D657AB"/>
  </w:style>
  <w:style w:type="paragraph" w:styleId="Footer">
    <w:name w:val="footer"/>
    <w:basedOn w:val="Normal"/>
    <w:link w:val="FooterChar"/>
    <w:unhideWhenUsed/>
    <w:rsid w:val="00D657AB"/>
    <w:pPr>
      <w:tabs>
        <w:tab w:val="center" w:pos="4153"/>
        <w:tab w:val="right" w:pos="8306"/>
      </w:tabs>
    </w:pPr>
  </w:style>
  <w:style w:type="character" w:customStyle="1" w:styleId="FooterChar">
    <w:name w:val="Footer Char"/>
    <w:basedOn w:val="DefaultParagraphFont"/>
    <w:link w:val="Footer"/>
    <w:uiPriority w:val="99"/>
    <w:rsid w:val="00D657AB"/>
  </w:style>
  <w:style w:type="paragraph" w:styleId="FootnoteText">
    <w:name w:val="footnote text"/>
    <w:basedOn w:val="Normal"/>
    <w:link w:val="FootnoteTextChar"/>
    <w:uiPriority w:val="99"/>
    <w:semiHidden/>
    <w:unhideWhenUsed/>
    <w:rsid w:val="00AE0B2B"/>
    <w:rPr>
      <w:sz w:val="20"/>
      <w:szCs w:val="20"/>
    </w:rPr>
  </w:style>
  <w:style w:type="character" w:customStyle="1" w:styleId="FootnoteTextChar">
    <w:name w:val="Footnote Text Char"/>
    <w:basedOn w:val="DefaultParagraphFont"/>
    <w:link w:val="FootnoteText"/>
    <w:uiPriority w:val="99"/>
    <w:semiHidden/>
    <w:rsid w:val="00AE0B2B"/>
    <w:rPr>
      <w:sz w:val="20"/>
      <w:szCs w:val="20"/>
    </w:rPr>
  </w:style>
  <w:style w:type="character" w:styleId="FootnoteReference">
    <w:name w:val="footnote reference"/>
    <w:basedOn w:val="DefaultParagraphFont"/>
    <w:uiPriority w:val="99"/>
    <w:semiHidden/>
    <w:unhideWhenUsed/>
    <w:rsid w:val="00AE0B2B"/>
    <w:rPr>
      <w:vertAlign w:val="superscript"/>
    </w:rPr>
  </w:style>
  <w:style w:type="character" w:styleId="PageNumber">
    <w:name w:val="page number"/>
    <w:basedOn w:val="DefaultParagraphFont"/>
    <w:semiHidden/>
    <w:rsid w:val="001A4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37162-BAFA-4E22-9551-A116B9B6C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3901</Words>
  <Characters>2224</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2019-11-13T14:53:00Z</dcterms:created>
  <dcterms:modified xsi:type="dcterms:W3CDTF">2020-02-05T14:12:00Z</dcterms:modified>
</cp:coreProperties>
</file>