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45715" w14:textId="77777777" w:rsidR="00A9526B" w:rsidRPr="00D45D5B" w:rsidRDefault="00A9526B" w:rsidP="00D45D5B">
      <w:pPr>
        <w:jc w:val="center"/>
        <w:rPr>
          <w:rFonts w:ascii="Times New Roman" w:eastAsia="Times New Roman" w:hAnsi="Times New Roman" w:cs="Times New Roman"/>
          <w:noProof/>
          <w:sz w:val="24"/>
          <w:szCs w:val="9"/>
        </w:rPr>
      </w:pPr>
    </w:p>
    <w:p w14:paraId="2C7D7F1F" w14:textId="77777777" w:rsidR="00A9526B" w:rsidRPr="00D45D5B" w:rsidRDefault="00A9526B" w:rsidP="00D45D5B">
      <w:pPr>
        <w:pStyle w:val="Heading1"/>
        <w:ind w:left="0"/>
        <w:jc w:val="center"/>
        <w:rPr>
          <w:rFonts w:ascii="Times New Roman" w:hAnsi="Times New Roman"/>
          <w:noProof/>
          <w:sz w:val="24"/>
        </w:rPr>
      </w:pPr>
      <w:r>
        <w:rPr>
          <w:rFonts w:ascii="Times New Roman" w:hAnsi="Times New Roman"/>
          <w:sz w:val="24"/>
        </w:rPr>
        <w:t>REZOLŪCIJA MEPC.305(73)</w:t>
      </w:r>
    </w:p>
    <w:p w14:paraId="65828E78" w14:textId="77777777" w:rsidR="00A9526B" w:rsidRPr="00D45D5B" w:rsidRDefault="00A9526B" w:rsidP="00D45D5B">
      <w:pPr>
        <w:widowControl/>
        <w:jc w:val="center"/>
        <w:rPr>
          <w:rFonts w:ascii="Times New Roman" w:hAnsi="Times New Roman"/>
          <w:b/>
          <w:noProof/>
          <w:sz w:val="24"/>
        </w:rPr>
      </w:pPr>
      <w:r>
        <w:rPr>
          <w:rFonts w:ascii="Times New Roman" w:hAnsi="Times New Roman"/>
          <w:b/>
          <w:sz w:val="24"/>
        </w:rPr>
        <w:t>(pieņemta 2018. gada 26. oktobrī)</w:t>
      </w:r>
    </w:p>
    <w:p w14:paraId="5CA07300" w14:textId="77777777" w:rsidR="00A9526B" w:rsidRPr="00D45D5B" w:rsidRDefault="00A9526B" w:rsidP="00D45D5B">
      <w:pPr>
        <w:jc w:val="center"/>
        <w:rPr>
          <w:rFonts w:ascii="Times New Roman" w:eastAsia="Arial" w:hAnsi="Times New Roman" w:cs="Arial"/>
          <w:b/>
          <w:bCs/>
          <w:noProof/>
          <w:sz w:val="24"/>
          <w:szCs w:val="19"/>
        </w:rPr>
      </w:pPr>
    </w:p>
    <w:p w14:paraId="1268A5F0" w14:textId="77777777" w:rsidR="00A9526B" w:rsidRPr="00D45D5B" w:rsidRDefault="00A9526B" w:rsidP="00D45D5B">
      <w:pPr>
        <w:ind w:hanging="4"/>
        <w:jc w:val="center"/>
        <w:rPr>
          <w:rFonts w:ascii="Times New Roman" w:hAnsi="Times New Roman"/>
          <w:b/>
          <w:noProof/>
          <w:sz w:val="24"/>
        </w:rPr>
      </w:pPr>
      <w:r>
        <w:rPr>
          <w:rFonts w:ascii="Times New Roman" w:hAnsi="Times New Roman"/>
          <w:b/>
          <w:sz w:val="24"/>
        </w:rPr>
        <w:t>GROZĪJUMI PIELIKUMĀ, KAS PIEVIENOTS 1997. GADA PROTOKOLAM, AR KO GROZA 1973. GADA STARPTAUTISKO KONVENCIJU PAR PIESĀRŅOJUMA NOVĒRŠANU NO KUĢIEM, KAS GROZĪTA AR 1978. GADA PROTOKOLU</w:t>
      </w:r>
    </w:p>
    <w:p w14:paraId="53B2A0FB" w14:textId="77777777" w:rsidR="00A9526B" w:rsidRPr="00D45D5B" w:rsidRDefault="00A9526B" w:rsidP="00D45D5B">
      <w:pPr>
        <w:jc w:val="center"/>
        <w:rPr>
          <w:rFonts w:ascii="Times New Roman" w:eastAsia="Arial" w:hAnsi="Times New Roman" w:cs="Arial"/>
          <w:b/>
          <w:bCs/>
          <w:noProof/>
          <w:sz w:val="24"/>
        </w:rPr>
      </w:pPr>
    </w:p>
    <w:p w14:paraId="06D6B140" w14:textId="77777777" w:rsidR="00A9526B" w:rsidRPr="00D45D5B" w:rsidRDefault="00A9526B" w:rsidP="00D45D5B">
      <w:pPr>
        <w:jc w:val="center"/>
        <w:rPr>
          <w:rFonts w:ascii="Times New Roman" w:hAnsi="Times New Roman"/>
          <w:b/>
          <w:noProof/>
          <w:sz w:val="24"/>
        </w:rPr>
      </w:pPr>
      <w:r>
        <w:rPr>
          <w:rFonts w:ascii="Times New Roman" w:hAnsi="Times New Roman"/>
          <w:b/>
          <w:i/>
          <w:iCs/>
          <w:sz w:val="24"/>
        </w:rPr>
        <w:t>MARPOL</w:t>
      </w:r>
      <w:r>
        <w:rPr>
          <w:rFonts w:ascii="Times New Roman" w:hAnsi="Times New Roman"/>
          <w:b/>
          <w:sz w:val="24"/>
        </w:rPr>
        <w:t xml:space="preserve"> VI pielikuma grozījumi</w:t>
      </w:r>
    </w:p>
    <w:p w14:paraId="755AA596" w14:textId="77777777" w:rsidR="00A9526B" w:rsidRPr="00D45D5B" w:rsidRDefault="00A9526B" w:rsidP="00D45D5B">
      <w:pPr>
        <w:jc w:val="center"/>
        <w:rPr>
          <w:rFonts w:ascii="Times New Roman" w:eastAsia="Arial" w:hAnsi="Times New Roman" w:cs="Arial"/>
          <w:b/>
          <w:bCs/>
          <w:noProof/>
          <w:sz w:val="24"/>
        </w:rPr>
      </w:pPr>
    </w:p>
    <w:p w14:paraId="318F5451" w14:textId="1938AF00" w:rsidR="00A9526B" w:rsidRPr="00D45D5B" w:rsidRDefault="00A9526B" w:rsidP="00D45D5B">
      <w:pPr>
        <w:jc w:val="center"/>
        <w:rPr>
          <w:rFonts w:ascii="Times New Roman" w:hAnsi="Times New Roman"/>
          <w:b/>
          <w:noProof/>
          <w:sz w:val="24"/>
        </w:rPr>
      </w:pPr>
      <w:r>
        <w:rPr>
          <w:rFonts w:ascii="Times New Roman" w:hAnsi="Times New Roman"/>
          <w:b/>
          <w:sz w:val="24"/>
        </w:rPr>
        <w:t xml:space="preserve">(Aizliegums pārvadāt neatbilstošu degvielu, kas paredzēta </w:t>
      </w:r>
      <w:r w:rsidR="00D401D2">
        <w:rPr>
          <w:rFonts w:ascii="Times New Roman" w:hAnsi="Times New Roman"/>
          <w:b/>
          <w:sz w:val="24"/>
        </w:rPr>
        <w:t>dzeniekārtas vai citas iekārtas darbināšanai</w:t>
      </w:r>
      <w:r>
        <w:rPr>
          <w:rFonts w:ascii="Times New Roman" w:hAnsi="Times New Roman"/>
          <w:b/>
          <w:sz w:val="24"/>
        </w:rPr>
        <w:t xml:space="preserve"> uz kuģa)</w:t>
      </w:r>
    </w:p>
    <w:p w14:paraId="0FF2579E" w14:textId="77777777" w:rsidR="00A9526B" w:rsidRPr="00D45D5B" w:rsidRDefault="00A9526B" w:rsidP="00D45D5B">
      <w:pPr>
        <w:jc w:val="both"/>
        <w:rPr>
          <w:rFonts w:ascii="Times New Roman" w:eastAsia="Arial" w:hAnsi="Times New Roman" w:cs="Arial"/>
          <w:b/>
          <w:bCs/>
          <w:noProof/>
          <w:sz w:val="24"/>
          <w:szCs w:val="21"/>
        </w:rPr>
      </w:pPr>
    </w:p>
    <w:p w14:paraId="5F1810B4" w14:textId="77777777" w:rsidR="00A9526B" w:rsidRPr="00D45D5B" w:rsidRDefault="00A9526B" w:rsidP="00D45D5B">
      <w:pPr>
        <w:pStyle w:val="BodyText"/>
        <w:ind w:left="0"/>
        <w:jc w:val="both"/>
        <w:rPr>
          <w:rFonts w:ascii="Times New Roman" w:hAnsi="Times New Roman"/>
          <w:noProof/>
          <w:sz w:val="24"/>
        </w:rPr>
      </w:pPr>
      <w:r>
        <w:rPr>
          <w:rFonts w:ascii="Times New Roman" w:hAnsi="Times New Roman"/>
          <w:sz w:val="24"/>
        </w:rPr>
        <w:t>JŪRAS VIDES AIZSARDZĪBAS KOMITEJA,</w:t>
      </w:r>
    </w:p>
    <w:p w14:paraId="3945AE18" w14:textId="77777777" w:rsidR="00A9526B" w:rsidRPr="00D45D5B" w:rsidRDefault="00A9526B" w:rsidP="00D45D5B">
      <w:pPr>
        <w:jc w:val="both"/>
        <w:rPr>
          <w:rFonts w:ascii="Times New Roman" w:eastAsia="Arial" w:hAnsi="Times New Roman" w:cs="Arial"/>
          <w:noProof/>
          <w:sz w:val="24"/>
          <w:szCs w:val="26"/>
        </w:rPr>
      </w:pPr>
    </w:p>
    <w:p w14:paraId="4134AD5A" w14:textId="7AC2B603" w:rsidR="00A9526B" w:rsidRPr="00D45D5B" w:rsidRDefault="00A9526B" w:rsidP="00D45D5B">
      <w:pPr>
        <w:pStyle w:val="BodyText"/>
        <w:ind w:left="0"/>
        <w:jc w:val="both"/>
        <w:rPr>
          <w:rFonts w:ascii="Times New Roman" w:hAnsi="Times New Roman"/>
          <w:noProof/>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jūras piesārņojuma</w:t>
      </w:r>
      <w:r w:rsidR="00D401D2">
        <w:rPr>
          <w:rFonts w:ascii="Times New Roman" w:hAnsi="Times New Roman"/>
          <w:sz w:val="24"/>
        </w:rPr>
        <w:t xml:space="preserve"> no kuģiem</w:t>
      </w:r>
      <w:r>
        <w:rPr>
          <w:rFonts w:ascii="Times New Roman" w:hAnsi="Times New Roman"/>
          <w:sz w:val="24"/>
        </w:rPr>
        <w:t xml:space="preserve"> novēršanu un kontroli;</w:t>
      </w:r>
    </w:p>
    <w:p w14:paraId="1CEB3F59" w14:textId="77777777" w:rsidR="00A9526B" w:rsidRPr="00D45D5B" w:rsidRDefault="00A9526B" w:rsidP="00D45D5B">
      <w:pPr>
        <w:jc w:val="both"/>
        <w:rPr>
          <w:rFonts w:ascii="Times New Roman" w:eastAsia="Arial" w:hAnsi="Times New Roman" w:cs="Arial"/>
          <w:noProof/>
          <w:sz w:val="24"/>
        </w:rPr>
      </w:pPr>
    </w:p>
    <w:p w14:paraId="07E9F128" w14:textId="19CFC8C9" w:rsidR="00A9526B" w:rsidRPr="00D45D5B" w:rsidRDefault="00A9526B" w:rsidP="00D45D5B">
      <w:pPr>
        <w:pStyle w:val="BodyText"/>
        <w:ind w:left="0"/>
        <w:jc w:val="both"/>
        <w:rPr>
          <w:rFonts w:ascii="Times New Roman" w:hAnsi="Times New Roman"/>
          <w:noProof/>
          <w:sz w:val="24"/>
        </w:rPr>
      </w:pPr>
      <w:r>
        <w:rPr>
          <w:rFonts w:ascii="Times New Roman" w:hAnsi="Times New Roman"/>
          <w:sz w:val="24"/>
        </w:rPr>
        <w:t>IEVĒROJOT 16. pantu 1973. gada Starptautiskajā konvencijā par piesārņojuma novēršanu no kuģiem, kas grozīta ar 1978. gada un 1997. gada protokolu (</w:t>
      </w:r>
      <w:r>
        <w:rPr>
          <w:rFonts w:ascii="Times New Roman" w:hAnsi="Times New Roman"/>
          <w:i/>
          <w:iCs/>
          <w:sz w:val="24"/>
        </w:rPr>
        <w:t>MARPOL</w:t>
      </w:r>
      <w:r>
        <w:rPr>
          <w:rFonts w:ascii="Times New Roman" w:hAnsi="Times New Roman"/>
          <w:sz w:val="24"/>
        </w:rPr>
        <w:t>), kurā noteikta grozījumu procedūra un Organizācijas attiecīgajai iestādei tiek uzlikts pienākums izskatīt grozījumus, kurus pieņem Puses;</w:t>
      </w:r>
    </w:p>
    <w:p w14:paraId="34D54B5F" w14:textId="77777777" w:rsidR="00A9526B" w:rsidRPr="00D45D5B" w:rsidRDefault="00A9526B" w:rsidP="00D45D5B">
      <w:pPr>
        <w:jc w:val="both"/>
        <w:rPr>
          <w:rFonts w:ascii="Times New Roman" w:eastAsia="Arial" w:hAnsi="Times New Roman" w:cs="Arial"/>
          <w:noProof/>
          <w:sz w:val="24"/>
        </w:rPr>
      </w:pPr>
    </w:p>
    <w:p w14:paraId="75B94C0F" w14:textId="70526872" w:rsidR="00A9526B" w:rsidRPr="00D45D5B" w:rsidRDefault="00A9526B" w:rsidP="00D45D5B">
      <w:pPr>
        <w:pStyle w:val="BodyText"/>
        <w:ind w:left="0"/>
        <w:jc w:val="both"/>
        <w:rPr>
          <w:rFonts w:ascii="Times New Roman" w:hAnsi="Times New Roman"/>
          <w:noProof/>
          <w:sz w:val="24"/>
        </w:rPr>
      </w:pPr>
      <w:r>
        <w:rPr>
          <w:rFonts w:ascii="Times New Roman" w:hAnsi="Times New Roman"/>
          <w:sz w:val="24"/>
        </w:rPr>
        <w:t xml:space="preserve">IZSKATOT savā septiņdesmit trešajā sesijā grozījumus, kas ierosināti </w:t>
      </w:r>
      <w:r>
        <w:rPr>
          <w:rFonts w:ascii="Times New Roman" w:hAnsi="Times New Roman"/>
          <w:i/>
          <w:iCs/>
          <w:sz w:val="24"/>
        </w:rPr>
        <w:t>MARPOL</w:t>
      </w:r>
      <w:r>
        <w:rPr>
          <w:rFonts w:ascii="Times New Roman" w:hAnsi="Times New Roman"/>
          <w:sz w:val="24"/>
        </w:rPr>
        <w:t xml:space="preserve"> VI pielikumā un kas attiecas uz aizliegumu pārvadāt neatbilstošu degvielu, kura paredzēta </w:t>
      </w:r>
      <w:r w:rsidR="00D401D2">
        <w:rPr>
          <w:rFonts w:ascii="Times New Roman" w:hAnsi="Times New Roman"/>
          <w:sz w:val="24"/>
        </w:rPr>
        <w:t>dzeniekārtas vai citas iekārtas darbināšanai</w:t>
      </w:r>
      <w:r>
        <w:rPr>
          <w:rFonts w:ascii="Times New Roman" w:hAnsi="Times New Roman"/>
          <w:sz w:val="24"/>
        </w:rPr>
        <w:t xml:space="preserve"> uz kuģa,</w:t>
      </w:r>
    </w:p>
    <w:p w14:paraId="60A7BF67" w14:textId="77777777" w:rsidR="00A9526B" w:rsidRPr="00D45D5B" w:rsidRDefault="00A9526B" w:rsidP="00D45D5B">
      <w:pPr>
        <w:jc w:val="both"/>
        <w:rPr>
          <w:rFonts w:ascii="Times New Roman" w:eastAsia="Arial" w:hAnsi="Times New Roman" w:cs="Arial"/>
          <w:noProof/>
          <w:sz w:val="24"/>
          <w:szCs w:val="21"/>
        </w:rPr>
      </w:pPr>
    </w:p>
    <w:p w14:paraId="1E66B83F" w14:textId="575C1B8C" w:rsidR="00A9526B" w:rsidRPr="00D45D5B" w:rsidRDefault="00D45D5B" w:rsidP="00D21836">
      <w:pPr>
        <w:pStyle w:val="BodyText"/>
        <w:tabs>
          <w:tab w:val="left" w:pos="971"/>
        </w:tabs>
        <w:ind w:left="0" w:firstLine="567"/>
        <w:jc w:val="both"/>
        <w:rPr>
          <w:rFonts w:ascii="Times New Roman" w:hAnsi="Times New Roman"/>
          <w:noProof/>
          <w:sz w:val="24"/>
        </w:rPr>
      </w:pPr>
      <w:r>
        <w:rPr>
          <w:rFonts w:ascii="Times New Roman" w:hAnsi="Times New Roman"/>
          <w:sz w:val="24"/>
        </w:rPr>
        <w:t xml:space="preserve">1. PIEŅEM saskaņā ar </w:t>
      </w:r>
      <w:r>
        <w:rPr>
          <w:rFonts w:ascii="Times New Roman" w:hAnsi="Times New Roman"/>
          <w:i/>
          <w:iCs/>
          <w:sz w:val="24"/>
        </w:rPr>
        <w:t>MARPOL</w:t>
      </w:r>
      <w:r>
        <w:rPr>
          <w:rFonts w:ascii="Times New Roman" w:hAnsi="Times New Roman"/>
          <w:sz w:val="24"/>
        </w:rPr>
        <w:t xml:space="preserve"> 16. panta 2. punkta d) apakšpunktu </w:t>
      </w:r>
      <w:r>
        <w:rPr>
          <w:rFonts w:ascii="Times New Roman" w:hAnsi="Times New Roman"/>
          <w:i/>
          <w:iCs/>
          <w:sz w:val="24"/>
        </w:rPr>
        <w:t>MARPOL</w:t>
      </w:r>
      <w:r>
        <w:rPr>
          <w:rFonts w:ascii="Times New Roman" w:hAnsi="Times New Roman"/>
          <w:sz w:val="24"/>
        </w:rPr>
        <w:t xml:space="preserve"> VI pielikuma grozījumus, kas ir izklāstīti šīs rezolūcijas pielikumā;</w:t>
      </w:r>
    </w:p>
    <w:p w14:paraId="65B71CF4" w14:textId="77777777" w:rsidR="00A9526B" w:rsidRPr="00D45D5B" w:rsidRDefault="00A9526B" w:rsidP="00D21836">
      <w:pPr>
        <w:ind w:firstLine="567"/>
        <w:jc w:val="both"/>
        <w:rPr>
          <w:rFonts w:ascii="Times New Roman" w:eastAsia="Arial" w:hAnsi="Times New Roman" w:cs="Arial"/>
          <w:noProof/>
          <w:sz w:val="24"/>
        </w:rPr>
      </w:pPr>
    </w:p>
    <w:p w14:paraId="3CDEB533" w14:textId="0616581B" w:rsidR="00A9526B" w:rsidRPr="00D45D5B" w:rsidRDefault="00D45D5B" w:rsidP="00D21836">
      <w:pPr>
        <w:pStyle w:val="BodyText"/>
        <w:tabs>
          <w:tab w:val="left" w:pos="971"/>
        </w:tabs>
        <w:ind w:left="0" w:firstLine="567"/>
        <w:jc w:val="both"/>
        <w:rPr>
          <w:rFonts w:ascii="Times New Roman" w:hAnsi="Times New Roman"/>
          <w:noProof/>
          <w:sz w:val="24"/>
        </w:rPr>
      </w:pPr>
      <w:r>
        <w:rPr>
          <w:rFonts w:ascii="Times New Roman" w:hAnsi="Times New Roman"/>
          <w:sz w:val="24"/>
        </w:rPr>
        <w:t xml:space="preserve">2. NOSAKA saskaņā ar </w:t>
      </w:r>
      <w:r>
        <w:rPr>
          <w:rFonts w:ascii="Times New Roman" w:hAnsi="Times New Roman"/>
          <w:i/>
          <w:iCs/>
          <w:sz w:val="24"/>
        </w:rPr>
        <w:t>MARPOL</w:t>
      </w:r>
      <w:r>
        <w:rPr>
          <w:rFonts w:ascii="Times New Roman" w:hAnsi="Times New Roman"/>
          <w:sz w:val="24"/>
        </w:rPr>
        <w:t xml:space="preserve"> 16. panta 2. punkta f) apakšpunkta iii) punktu, ka grozījumus uzskata par pieņemtiem 2019. gada 1. septembrī, ja līdz šim datumam vismaz viena trešdaļa Pušu vai tās Puses, kuru kopējais tirdzniecības flotes apjoms ir vismaz 50 % no pasaules tirdzniecības flotes bruto tilpības, nav paziņojušas Organizācijai, ka iebilst pret šiem grozījumiem;</w:t>
      </w:r>
    </w:p>
    <w:p w14:paraId="46DA4955" w14:textId="77777777" w:rsidR="00A9526B" w:rsidRPr="00D45D5B" w:rsidRDefault="00A9526B" w:rsidP="00D21836">
      <w:pPr>
        <w:ind w:firstLine="567"/>
        <w:jc w:val="both"/>
        <w:rPr>
          <w:rFonts w:ascii="Times New Roman" w:eastAsia="Arial" w:hAnsi="Times New Roman" w:cs="Arial"/>
          <w:noProof/>
          <w:sz w:val="24"/>
        </w:rPr>
      </w:pPr>
    </w:p>
    <w:p w14:paraId="3F3C199F" w14:textId="2A838B0E" w:rsidR="00A9526B" w:rsidRPr="00D45D5B" w:rsidRDefault="00D45D5B" w:rsidP="00D21836">
      <w:pPr>
        <w:pStyle w:val="BodyText"/>
        <w:tabs>
          <w:tab w:val="left" w:pos="971"/>
        </w:tabs>
        <w:ind w:left="0" w:firstLine="567"/>
        <w:jc w:val="both"/>
        <w:rPr>
          <w:rFonts w:ascii="Times New Roman" w:hAnsi="Times New Roman"/>
          <w:noProof/>
          <w:sz w:val="24"/>
        </w:rPr>
      </w:pPr>
      <w:r>
        <w:rPr>
          <w:rFonts w:ascii="Times New Roman" w:hAnsi="Times New Roman"/>
          <w:sz w:val="24"/>
        </w:rPr>
        <w:t xml:space="preserve">3. AICINA Puses ņemt vērā to, ka saskaņā ar </w:t>
      </w:r>
      <w:r>
        <w:rPr>
          <w:rFonts w:ascii="Times New Roman" w:hAnsi="Times New Roman"/>
          <w:i/>
          <w:iCs/>
          <w:sz w:val="24"/>
        </w:rPr>
        <w:t>MARPOL</w:t>
      </w:r>
      <w:r>
        <w:rPr>
          <w:rFonts w:ascii="Times New Roman" w:hAnsi="Times New Roman"/>
          <w:sz w:val="24"/>
        </w:rPr>
        <w:t xml:space="preserve"> 16. panta 2. punkta g) apakšpunkta ii) punktu minētie grozījumi stāsies spēkā 2020. gada 1. martā, ja tie tiks pieņemti saskaņā ar iepriekšminēto 2. punktu;</w:t>
      </w:r>
    </w:p>
    <w:p w14:paraId="7FAFB722" w14:textId="77777777" w:rsidR="00A9526B" w:rsidRPr="00D45D5B" w:rsidRDefault="00A9526B" w:rsidP="00D21836">
      <w:pPr>
        <w:ind w:firstLine="567"/>
        <w:jc w:val="both"/>
        <w:rPr>
          <w:rFonts w:ascii="Times New Roman" w:eastAsia="Arial" w:hAnsi="Times New Roman" w:cs="Arial"/>
          <w:noProof/>
          <w:sz w:val="24"/>
        </w:rPr>
      </w:pPr>
    </w:p>
    <w:p w14:paraId="13119368" w14:textId="6B0E2E24" w:rsidR="00A9526B" w:rsidRPr="00D45D5B" w:rsidRDefault="00D45D5B" w:rsidP="00D21836">
      <w:pPr>
        <w:pStyle w:val="BodyText"/>
        <w:tabs>
          <w:tab w:val="left" w:pos="971"/>
        </w:tabs>
        <w:ind w:left="0" w:firstLine="567"/>
        <w:jc w:val="both"/>
        <w:rPr>
          <w:rFonts w:ascii="Times New Roman" w:hAnsi="Times New Roman"/>
          <w:noProof/>
          <w:sz w:val="24"/>
        </w:rPr>
      </w:pPr>
      <w:r>
        <w:rPr>
          <w:rFonts w:ascii="Times New Roman" w:hAnsi="Times New Roman"/>
          <w:sz w:val="24"/>
        </w:rPr>
        <w:t xml:space="preserve">4. LŪDZ ģenerālsekretāram saskaņā ar </w:t>
      </w:r>
      <w:r>
        <w:rPr>
          <w:rFonts w:ascii="Times New Roman" w:hAnsi="Times New Roman"/>
          <w:i/>
          <w:iCs/>
          <w:sz w:val="24"/>
        </w:rPr>
        <w:t>MARPOL</w:t>
      </w:r>
      <w:r>
        <w:rPr>
          <w:rFonts w:ascii="Times New Roman" w:hAnsi="Times New Roman"/>
          <w:sz w:val="24"/>
        </w:rPr>
        <w:t xml:space="preserve"> 16. panta 2. punkta e) apakšpunktu nosūtīt šīs rezolūcijas un tās pielikumā iekļauto grozījumu teksta apliecinātas kopijas visām </w:t>
      </w:r>
      <w:r>
        <w:rPr>
          <w:rFonts w:ascii="Times New Roman" w:hAnsi="Times New Roman"/>
          <w:i/>
          <w:iCs/>
          <w:sz w:val="24"/>
        </w:rPr>
        <w:t>MARPOL</w:t>
      </w:r>
      <w:r>
        <w:rPr>
          <w:rFonts w:ascii="Times New Roman" w:hAnsi="Times New Roman"/>
          <w:sz w:val="24"/>
        </w:rPr>
        <w:t xml:space="preserve"> Pusēm;</w:t>
      </w:r>
    </w:p>
    <w:p w14:paraId="2450C098" w14:textId="77777777" w:rsidR="00A9526B" w:rsidRPr="00D45D5B" w:rsidRDefault="00A9526B" w:rsidP="00D21836">
      <w:pPr>
        <w:ind w:firstLine="567"/>
        <w:jc w:val="both"/>
        <w:rPr>
          <w:rFonts w:ascii="Times New Roman" w:eastAsia="Arial" w:hAnsi="Times New Roman" w:cs="Arial"/>
          <w:noProof/>
          <w:sz w:val="24"/>
          <w:szCs w:val="21"/>
        </w:rPr>
      </w:pPr>
    </w:p>
    <w:p w14:paraId="48F94975" w14:textId="0FD70180" w:rsidR="00CD5365" w:rsidRDefault="00CD5365" w:rsidP="00D21836">
      <w:pPr>
        <w:pStyle w:val="BodyText"/>
        <w:tabs>
          <w:tab w:val="left" w:pos="971"/>
        </w:tabs>
        <w:ind w:left="0" w:firstLine="567"/>
        <w:jc w:val="both"/>
        <w:rPr>
          <w:rFonts w:ascii="Times New Roman" w:hAnsi="Times New Roman"/>
          <w:noProof/>
          <w:sz w:val="24"/>
        </w:rPr>
      </w:pPr>
      <w:r>
        <w:rPr>
          <w:rFonts w:ascii="Times New Roman" w:hAnsi="Times New Roman"/>
          <w:sz w:val="24"/>
        </w:rPr>
        <w:t xml:space="preserve">5. TURKLĀT LŪDZ ģenerālsekretāram šīs rezolūcijas un tās pielikuma kopijas nosūtīt arī tiem Organizācijas biedriem, kas nav </w:t>
      </w:r>
      <w:r>
        <w:rPr>
          <w:rFonts w:ascii="Times New Roman" w:hAnsi="Times New Roman"/>
          <w:i/>
          <w:iCs/>
          <w:sz w:val="24"/>
        </w:rPr>
        <w:t>MARPOL</w:t>
      </w:r>
      <w:r>
        <w:rPr>
          <w:rFonts w:ascii="Times New Roman" w:hAnsi="Times New Roman"/>
          <w:sz w:val="24"/>
        </w:rPr>
        <w:t xml:space="preserve"> Puses.</w:t>
      </w:r>
      <w:r>
        <w:rPr>
          <w:rFonts w:ascii="Times New Roman" w:hAnsi="Times New Roman"/>
          <w:sz w:val="24"/>
        </w:rPr>
        <w:br w:type="page"/>
      </w:r>
    </w:p>
    <w:p w14:paraId="42D68918" w14:textId="77777777" w:rsidR="00A9526B" w:rsidRPr="00D45D5B" w:rsidRDefault="00A9526B" w:rsidP="00CD5365">
      <w:pPr>
        <w:jc w:val="center"/>
        <w:rPr>
          <w:rFonts w:ascii="Times New Roman" w:eastAsia="Arial" w:hAnsi="Times New Roman" w:cs="Arial"/>
          <w:noProof/>
          <w:sz w:val="24"/>
          <w:szCs w:val="15"/>
        </w:rPr>
      </w:pPr>
    </w:p>
    <w:p w14:paraId="3B562906" w14:textId="77777777" w:rsidR="00A9526B" w:rsidRPr="00D45D5B" w:rsidRDefault="00A9526B" w:rsidP="00CD5365">
      <w:pPr>
        <w:pStyle w:val="Heading1"/>
        <w:ind w:left="0"/>
        <w:jc w:val="center"/>
        <w:rPr>
          <w:rFonts w:ascii="Times New Roman" w:hAnsi="Times New Roman"/>
          <w:noProof/>
          <w:sz w:val="24"/>
        </w:rPr>
      </w:pPr>
      <w:r>
        <w:rPr>
          <w:rFonts w:ascii="Times New Roman" w:hAnsi="Times New Roman"/>
          <w:sz w:val="24"/>
        </w:rPr>
        <w:t>PIELIKUMS</w:t>
      </w:r>
    </w:p>
    <w:p w14:paraId="737093B5" w14:textId="77777777" w:rsidR="00A9526B" w:rsidRPr="00D45D5B" w:rsidRDefault="00A9526B" w:rsidP="00CD5365">
      <w:pPr>
        <w:jc w:val="center"/>
        <w:rPr>
          <w:rFonts w:ascii="Times New Roman" w:eastAsia="Arial" w:hAnsi="Times New Roman" w:cs="Arial"/>
          <w:b/>
          <w:bCs/>
          <w:noProof/>
          <w:sz w:val="24"/>
        </w:rPr>
      </w:pPr>
    </w:p>
    <w:p w14:paraId="40DF805D" w14:textId="77777777" w:rsidR="00A9526B" w:rsidRPr="00D45D5B" w:rsidRDefault="00A9526B" w:rsidP="00CD5365">
      <w:pPr>
        <w:jc w:val="center"/>
        <w:rPr>
          <w:rFonts w:ascii="Times New Roman" w:hAnsi="Times New Roman"/>
          <w:b/>
          <w:noProof/>
          <w:sz w:val="24"/>
        </w:rPr>
      </w:pPr>
      <w:r>
        <w:rPr>
          <w:rFonts w:ascii="Times New Roman" w:hAnsi="Times New Roman"/>
          <w:b/>
          <w:i/>
          <w:iCs/>
          <w:sz w:val="24"/>
        </w:rPr>
        <w:t>MARPOL</w:t>
      </w:r>
      <w:r>
        <w:rPr>
          <w:rFonts w:ascii="Times New Roman" w:hAnsi="Times New Roman"/>
          <w:b/>
          <w:sz w:val="24"/>
        </w:rPr>
        <w:t xml:space="preserve"> VI PIELIKUMA GROZĪJUMI</w:t>
      </w:r>
    </w:p>
    <w:p w14:paraId="594C4221" w14:textId="77777777" w:rsidR="00A9526B" w:rsidRPr="00D45D5B" w:rsidRDefault="00A9526B" w:rsidP="00CD5365">
      <w:pPr>
        <w:jc w:val="center"/>
        <w:rPr>
          <w:rFonts w:ascii="Times New Roman" w:eastAsia="Arial" w:hAnsi="Times New Roman" w:cs="Arial"/>
          <w:b/>
          <w:bCs/>
          <w:noProof/>
          <w:sz w:val="24"/>
        </w:rPr>
      </w:pPr>
    </w:p>
    <w:p w14:paraId="5D91DDBA" w14:textId="1DC1BD89" w:rsidR="00A9526B" w:rsidRPr="00D45D5B" w:rsidRDefault="00A9526B" w:rsidP="00CD5365">
      <w:pPr>
        <w:jc w:val="center"/>
        <w:rPr>
          <w:rFonts w:ascii="Times New Roman" w:hAnsi="Times New Roman"/>
          <w:b/>
          <w:noProof/>
          <w:sz w:val="24"/>
        </w:rPr>
      </w:pPr>
      <w:r>
        <w:rPr>
          <w:rFonts w:ascii="Times New Roman" w:hAnsi="Times New Roman"/>
          <w:b/>
          <w:sz w:val="24"/>
        </w:rPr>
        <w:t xml:space="preserve">(Aizliegums pārvadāt neatbilstošu degvielu, kas paredzēta </w:t>
      </w:r>
      <w:r w:rsidR="00D401D2">
        <w:rPr>
          <w:rFonts w:ascii="Times New Roman" w:hAnsi="Times New Roman"/>
          <w:b/>
          <w:sz w:val="24"/>
        </w:rPr>
        <w:t>dzeniekārtas vai citas iekārtas darbināšanai</w:t>
      </w:r>
      <w:r>
        <w:rPr>
          <w:rFonts w:ascii="Times New Roman" w:hAnsi="Times New Roman"/>
          <w:b/>
          <w:sz w:val="24"/>
        </w:rPr>
        <w:t xml:space="preserve"> uz kuģa)</w:t>
      </w:r>
    </w:p>
    <w:p w14:paraId="3FF41E6F" w14:textId="77777777" w:rsidR="00A9526B" w:rsidRPr="00D45D5B" w:rsidRDefault="00A9526B" w:rsidP="00CD5365">
      <w:pPr>
        <w:jc w:val="center"/>
        <w:rPr>
          <w:rFonts w:ascii="Times New Roman" w:eastAsia="Arial" w:hAnsi="Times New Roman" w:cs="Arial"/>
          <w:b/>
          <w:bCs/>
          <w:noProof/>
          <w:sz w:val="24"/>
        </w:rPr>
      </w:pPr>
    </w:p>
    <w:p w14:paraId="13405774" w14:textId="77777777" w:rsidR="00A9526B" w:rsidRPr="00D45D5B" w:rsidRDefault="00A9526B" w:rsidP="00CD5365">
      <w:pPr>
        <w:jc w:val="center"/>
        <w:rPr>
          <w:rFonts w:ascii="Times New Roman" w:hAnsi="Times New Roman"/>
          <w:b/>
          <w:noProof/>
          <w:sz w:val="24"/>
        </w:rPr>
      </w:pPr>
      <w:r>
        <w:rPr>
          <w:rFonts w:ascii="Times New Roman" w:hAnsi="Times New Roman"/>
          <w:b/>
          <w:sz w:val="24"/>
        </w:rPr>
        <w:t>VI PIELIKUMS</w:t>
      </w:r>
    </w:p>
    <w:p w14:paraId="2667A96D" w14:textId="77777777" w:rsidR="00A9526B" w:rsidRPr="00D45D5B" w:rsidRDefault="00A9526B" w:rsidP="00CD5365">
      <w:pPr>
        <w:jc w:val="center"/>
        <w:rPr>
          <w:rFonts w:ascii="Times New Roman" w:eastAsia="Arial" w:hAnsi="Times New Roman" w:cs="Arial"/>
          <w:b/>
          <w:bCs/>
          <w:noProof/>
          <w:sz w:val="24"/>
        </w:rPr>
      </w:pPr>
    </w:p>
    <w:p w14:paraId="0C1D296E" w14:textId="5063B1E0" w:rsidR="00A9526B" w:rsidRPr="00CD5365" w:rsidRDefault="00A9526B" w:rsidP="00CD5365">
      <w:pPr>
        <w:jc w:val="center"/>
        <w:rPr>
          <w:rFonts w:ascii="Times New Roman" w:hAnsi="Times New Roman"/>
          <w:b/>
          <w:noProof/>
          <w:sz w:val="24"/>
        </w:rPr>
      </w:pPr>
      <w:r>
        <w:rPr>
          <w:rFonts w:ascii="Times New Roman" w:hAnsi="Times New Roman"/>
          <w:b/>
          <w:sz w:val="24"/>
        </w:rPr>
        <w:t>NOTEIKUMI PAR GAISA PIESĀRŅOJUMA NOVĒRŠANU NO KUĢIEM</w:t>
      </w:r>
    </w:p>
    <w:p w14:paraId="55CB0B4B" w14:textId="77777777" w:rsidR="00A9526B" w:rsidRPr="00D45D5B" w:rsidRDefault="00A9526B" w:rsidP="00D45D5B">
      <w:pPr>
        <w:jc w:val="both"/>
        <w:rPr>
          <w:rFonts w:ascii="Times New Roman" w:eastAsia="Arial" w:hAnsi="Times New Roman" w:cs="Arial"/>
          <w:b/>
          <w:bCs/>
          <w:noProof/>
          <w:sz w:val="24"/>
          <w:szCs w:val="21"/>
        </w:rPr>
      </w:pPr>
    </w:p>
    <w:p w14:paraId="697D2E23" w14:textId="77777777" w:rsidR="00A9526B" w:rsidRPr="00D45D5B" w:rsidRDefault="00A9526B" w:rsidP="00D45D5B">
      <w:pPr>
        <w:jc w:val="both"/>
        <w:rPr>
          <w:rFonts w:ascii="Times New Roman" w:hAnsi="Times New Roman"/>
          <w:b/>
          <w:noProof/>
          <w:sz w:val="24"/>
        </w:rPr>
      </w:pPr>
      <w:r>
        <w:rPr>
          <w:rFonts w:ascii="Times New Roman" w:hAnsi="Times New Roman"/>
          <w:b/>
          <w:sz w:val="24"/>
        </w:rPr>
        <w:t>14. noteikums</w:t>
      </w:r>
    </w:p>
    <w:p w14:paraId="025FD228" w14:textId="77777777" w:rsidR="00A9526B" w:rsidRPr="00D45D5B" w:rsidRDefault="00A9526B" w:rsidP="00D45D5B">
      <w:pPr>
        <w:jc w:val="both"/>
        <w:rPr>
          <w:rFonts w:ascii="Times New Roman" w:eastAsia="Arial" w:hAnsi="Times New Roman" w:cs="Arial"/>
          <w:noProof/>
          <w:sz w:val="24"/>
        </w:rPr>
      </w:pPr>
      <w:r>
        <w:rPr>
          <w:rFonts w:ascii="Times New Roman" w:hAnsi="Times New Roman"/>
          <w:i/>
          <w:sz w:val="24"/>
        </w:rPr>
        <w:t>Sēra oksīdi (SO</w:t>
      </w:r>
      <w:r>
        <w:rPr>
          <w:rFonts w:ascii="Times New Roman" w:hAnsi="Times New Roman"/>
          <w:i/>
          <w:sz w:val="24"/>
          <w:vertAlign w:val="subscript"/>
        </w:rPr>
        <w:t>X</w:t>
      </w:r>
      <w:r>
        <w:rPr>
          <w:rFonts w:ascii="Times New Roman" w:hAnsi="Times New Roman"/>
          <w:i/>
          <w:sz w:val="24"/>
        </w:rPr>
        <w:t>) un cietās daļiņas</w:t>
      </w:r>
    </w:p>
    <w:p w14:paraId="310DE90D" w14:textId="77777777" w:rsidR="00A9526B" w:rsidRPr="00D45D5B" w:rsidRDefault="00A9526B" w:rsidP="00D45D5B">
      <w:pPr>
        <w:jc w:val="both"/>
        <w:rPr>
          <w:rFonts w:ascii="Times New Roman" w:eastAsia="Arial" w:hAnsi="Times New Roman" w:cs="Arial"/>
          <w:i/>
          <w:noProof/>
          <w:sz w:val="24"/>
          <w:szCs w:val="21"/>
        </w:rPr>
      </w:pPr>
    </w:p>
    <w:p w14:paraId="7DB26B1E" w14:textId="77777777" w:rsidR="00A9526B" w:rsidRPr="00D45D5B" w:rsidRDefault="00A9526B" w:rsidP="00D45D5B">
      <w:pPr>
        <w:pStyle w:val="Heading1"/>
        <w:ind w:left="0"/>
        <w:jc w:val="both"/>
        <w:rPr>
          <w:rFonts w:ascii="Times New Roman" w:hAnsi="Times New Roman"/>
          <w:noProof/>
          <w:sz w:val="24"/>
        </w:rPr>
      </w:pPr>
      <w:r>
        <w:rPr>
          <w:rFonts w:ascii="Times New Roman" w:hAnsi="Times New Roman"/>
          <w:sz w:val="24"/>
        </w:rPr>
        <w:t>Galvenās prasības</w:t>
      </w:r>
    </w:p>
    <w:p w14:paraId="40C4551C" w14:textId="77777777" w:rsidR="00A9526B" w:rsidRPr="00D45D5B" w:rsidRDefault="00A9526B" w:rsidP="00D45D5B">
      <w:pPr>
        <w:jc w:val="both"/>
        <w:rPr>
          <w:rFonts w:ascii="Times New Roman" w:eastAsia="Arial" w:hAnsi="Times New Roman" w:cs="Arial"/>
          <w:b/>
          <w:bCs/>
          <w:noProof/>
          <w:sz w:val="24"/>
          <w:szCs w:val="21"/>
        </w:rPr>
      </w:pPr>
    </w:p>
    <w:p w14:paraId="4701ECB6" w14:textId="67A6B7AC" w:rsidR="00A9526B" w:rsidRPr="00D45D5B" w:rsidRDefault="00CD5365" w:rsidP="00831491">
      <w:pPr>
        <w:pStyle w:val="BodyText"/>
        <w:tabs>
          <w:tab w:val="left" w:pos="971"/>
        </w:tabs>
        <w:ind w:left="284"/>
        <w:jc w:val="both"/>
        <w:rPr>
          <w:rFonts w:ascii="Times New Roman" w:hAnsi="Times New Roman"/>
          <w:noProof/>
          <w:sz w:val="24"/>
        </w:rPr>
      </w:pPr>
      <w:r>
        <w:rPr>
          <w:rFonts w:ascii="Times New Roman" w:hAnsi="Times New Roman"/>
          <w:sz w:val="24"/>
        </w:rPr>
        <w:t>1. Šā noteikuma 1. punktu aizstāj ar šādu tekstu:</w:t>
      </w:r>
    </w:p>
    <w:p w14:paraId="2FE2DE48" w14:textId="77777777" w:rsidR="00A9526B" w:rsidRPr="00D45D5B" w:rsidRDefault="00A9526B" w:rsidP="00831491">
      <w:pPr>
        <w:ind w:left="284"/>
        <w:jc w:val="both"/>
        <w:rPr>
          <w:rFonts w:ascii="Times New Roman" w:eastAsia="Arial" w:hAnsi="Times New Roman" w:cs="Arial"/>
          <w:noProof/>
          <w:sz w:val="24"/>
        </w:rPr>
      </w:pPr>
    </w:p>
    <w:p w14:paraId="2D7633AB" w14:textId="77777777" w:rsidR="00A9526B" w:rsidRPr="00D45D5B" w:rsidRDefault="00A9526B" w:rsidP="00831491">
      <w:pPr>
        <w:pStyle w:val="BodyText"/>
        <w:ind w:left="284"/>
        <w:jc w:val="both"/>
        <w:rPr>
          <w:rFonts w:ascii="Times New Roman" w:hAnsi="Times New Roman"/>
          <w:noProof/>
          <w:sz w:val="24"/>
        </w:rPr>
      </w:pPr>
      <w:r>
        <w:rPr>
          <w:rFonts w:ascii="Times New Roman" w:hAnsi="Times New Roman"/>
          <w:sz w:val="24"/>
        </w:rPr>
        <w:t>“1. Sēra saturs degvielā, kas tiek izmantota vai pārvadāta izmantošanai uz kuģa, nedrīkst pārsniegt 0,50 % m/m.”</w:t>
      </w:r>
    </w:p>
    <w:p w14:paraId="2AA8F3D9" w14:textId="77777777" w:rsidR="00A9526B" w:rsidRPr="00D45D5B" w:rsidRDefault="00A9526B" w:rsidP="00831491">
      <w:pPr>
        <w:ind w:left="284"/>
        <w:jc w:val="both"/>
        <w:rPr>
          <w:rFonts w:ascii="Times New Roman" w:eastAsia="Arial" w:hAnsi="Times New Roman" w:cs="Arial"/>
          <w:noProof/>
          <w:sz w:val="24"/>
          <w:szCs w:val="21"/>
        </w:rPr>
      </w:pPr>
    </w:p>
    <w:p w14:paraId="2E9FA5AC" w14:textId="77777777" w:rsidR="00A9526B" w:rsidRPr="00D45D5B" w:rsidRDefault="00A9526B" w:rsidP="00D45D5B">
      <w:pPr>
        <w:pStyle w:val="Heading1"/>
        <w:ind w:left="0"/>
        <w:jc w:val="both"/>
        <w:rPr>
          <w:rFonts w:ascii="Times New Roman" w:hAnsi="Times New Roman"/>
          <w:noProof/>
          <w:sz w:val="24"/>
        </w:rPr>
      </w:pPr>
      <w:r>
        <w:rPr>
          <w:rFonts w:ascii="Times New Roman" w:hAnsi="Times New Roman"/>
          <w:sz w:val="24"/>
        </w:rPr>
        <w:t>Prasības emisijas kontroles zonās</w:t>
      </w:r>
    </w:p>
    <w:p w14:paraId="3DA38928" w14:textId="77777777" w:rsidR="00A9526B" w:rsidRPr="00D45D5B" w:rsidRDefault="00A9526B" w:rsidP="00D45D5B">
      <w:pPr>
        <w:jc w:val="both"/>
        <w:rPr>
          <w:rFonts w:ascii="Times New Roman" w:eastAsia="Arial" w:hAnsi="Times New Roman" w:cs="Arial"/>
          <w:b/>
          <w:bCs/>
          <w:noProof/>
          <w:sz w:val="24"/>
        </w:rPr>
      </w:pPr>
    </w:p>
    <w:p w14:paraId="45D19CEC" w14:textId="3D5AEEA7" w:rsidR="00A9526B" w:rsidRPr="00D45D5B" w:rsidRDefault="00CD5365" w:rsidP="00831491">
      <w:pPr>
        <w:pStyle w:val="BodyText"/>
        <w:tabs>
          <w:tab w:val="left" w:pos="971"/>
        </w:tabs>
        <w:ind w:left="284"/>
        <w:jc w:val="both"/>
        <w:rPr>
          <w:rFonts w:ascii="Times New Roman" w:hAnsi="Times New Roman"/>
          <w:noProof/>
          <w:sz w:val="24"/>
        </w:rPr>
      </w:pPr>
      <w:r>
        <w:rPr>
          <w:rFonts w:ascii="Times New Roman" w:hAnsi="Times New Roman"/>
          <w:sz w:val="24"/>
        </w:rPr>
        <w:t>2. Šā noteikuma 3. punktu aizstāj ar šādu tekstu:</w:t>
      </w:r>
    </w:p>
    <w:p w14:paraId="157DD7F6" w14:textId="77777777" w:rsidR="00A9526B" w:rsidRPr="00D45D5B" w:rsidRDefault="00A9526B" w:rsidP="00831491">
      <w:pPr>
        <w:ind w:left="284"/>
        <w:jc w:val="both"/>
        <w:rPr>
          <w:rFonts w:ascii="Times New Roman" w:eastAsia="Arial" w:hAnsi="Times New Roman" w:cs="Arial"/>
          <w:noProof/>
          <w:sz w:val="24"/>
        </w:rPr>
      </w:pPr>
    </w:p>
    <w:p w14:paraId="17D2C41F" w14:textId="4384BAE9" w:rsidR="00A9526B" w:rsidRPr="00D45D5B" w:rsidRDefault="00A9526B" w:rsidP="00831491">
      <w:pPr>
        <w:pStyle w:val="BodyText"/>
        <w:tabs>
          <w:tab w:val="left" w:pos="1820"/>
        </w:tabs>
        <w:ind w:left="284"/>
        <w:jc w:val="both"/>
        <w:rPr>
          <w:rFonts w:ascii="Times New Roman" w:hAnsi="Times New Roman"/>
          <w:noProof/>
          <w:color w:val="221F1F"/>
          <w:sz w:val="24"/>
        </w:rPr>
      </w:pPr>
      <w:r>
        <w:rPr>
          <w:rFonts w:ascii="Times New Roman" w:hAnsi="Times New Roman"/>
          <w:color w:val="221F1F"/>
          <w:sz w:val="24"/>
        </w:rPr>
        <w:t>“3. Šajā noteikumā emisijas kontroles zona ir jebkurš jūras rajons, tostarp ostas teritorija, ko Organizācija izraudzījusies saskaņā ar šā pielikuma III papildinājumā noteiktajiem kritērijiem un procedūrām. Saskaņā ar šo noteikumu emisijas kontroles zonas ir:</w:t>
      </w:r>
    </w:p>
    <w:p w14:paraId="0BBAA53E" w14:textId="77777777" w:rsidR="00A9526B" w:rsidRPr="00D45D5B" w:rsidRDefault="00A9526B" w:rsidP="00D45D5B">
      <w:pPr>
        <w:jc w:val="both"/>
        <w:rPr>
          <w:rFonts w:ascii="Times New Roman" w:eastAsia="Arial" w:hAnsi="Times New Roman" w:cs="Arial"/>
          <w:noProof/>
          <w:sz w:val="24"/>
        </w:rPr>
      </w:pPr>
    </w:p>
    <w:p w14:paraId="1261F60C" w14:textId="49E6EC71" w:rsidR="00A9526B" w:rsidRPr="00D45D5B" w:rsidRDefault="00C73C24" w:rsidP="00247C51">
      <w:pPr>
        <w:pStyle w:val="BodyText"/>
        <w:tabs>
          <w:tab w:val="left" w:pos="2671"/>
        </w:tabs>
        <w:ind w:left="993"/>
        <w:jc w:val="both"/>
        <w:rPr>
          <w:rFonts w:ascii="Times New Roman" w:hAnsi="Times New Roman"/>
          <w:noProof/>
          <w:color w:val="221F1F"/>
          <w:sz w:val="24"/>
        </w:rPr>
      </w:pPr>
      <w:r>
        <w:rPr>
          <w:rFonts w:ascii="Times New Roman" w:hAnsi="Times New Roman"/>
          <w:color w:val="221F1F"/>
          <w:sz w:val="24"/>
        </w:rPr>
        <w:t>3.1. Baltijas jūras rajons, k</w:t>
      </w:r>
      <w:r w:rsidR="00D401D2">
        <w:rPr>
          <w:rFonts w:ascii="Times New Roman" w:hAnsi="Times New Roman"/>
          <w:color w:val="221F1F"/>
          <w:sz w:val="24"/>
        </w:rPr>
        <w:t>ā</w:t>
      </w:r>
      <w:r>
        <w:rPr>
          <w:rFonts w:ascii="Times New Roman" w:hAnsi="Times New Roman"/>
          <w:color w:val="221F1F"/>
          <w:sz w:val="24"/>
        </w:rPr>
        <w:t xml:space="preserve"> definēts šīs konvencijas I pielikuma 1.11.2. noteikumā;</w:t>
      </w:r>
    </w:p>
    <w:p w14:paraId="5328D884" w14:textId="77777777" w:rsidR="00A9526B" w:rsidRPr="00D45D5B" w:rsidRDefault="00A9526B" w:rsidP="00247C51">
      <w:pPr>
        <w:ind w:left="993"/>
        <w:jc w:val="both"/>
        <w:rPr>
          <w:rFonts w:ascii="Times New Roman" w:eastAsia="Arial" w:hAnsi="Times New Roman" w:cs="Arial"/>
          <w:noProof/>
          <w:sz w:val="24"/>
        </w:rPr>
      </w:pPr>
    </w:p>
    <w:p w14:paraId="61071598" w14:textId="676AED72" w:rsidR="00A9526B" w:rsidRPr="00D45D5B" w:rsidRDefault="00C73C24" w:rsidP="00247C51">
      <w:pPr>
        <w:pStyle w:val="BodyText"/>
        <w:tabs>
          <w:tab w:val="left" w:pos="2671"/>
        </w:tabs>
        <w:ind w:left="993"/>
        <w:jc w:val="both"/>
        <w:rPr>
          <w:rFonts w:ascii="Times New Roman" w:hAnsi="Times New Roman"/>
          <w:noProof/>
          <w:color w:val="221F1F"/>
          <w:sz w:val="24"/>
        </w:rPr>
      </w:pPr>
      <w:r>
        <w:rPr>
          <w:rFonts w:ascii="Times New Roman" w:hAnsi="Times New Roman"/>
          <w:color w:val="221F1F"/>
          <w:sz w:val="24"/>
        </w:rPr>
        <w:t>3.2. Ziemeļjūras rajons, k</w:t>
      </w:r>
      <w:r w:rsidR="00D401D2">
        <w:rPr>
          <w:rFonts w:ascii="Times New Roman" w:hAnsi="Times New Roman"/>
          <w:color w:val="221F1F"/>
          <w:sz w:val="24"/>
        </w:rPr>
        <w:t>ā</w:t>
      </w:r>
      <w:r>
        <w:rPr>
          <w:rFonts w:ascii="Times New Roman" w:hAnsi="Times New Roman"/>
          <w:color w:val="221F1F"/>
          <w:sz w:val="24"/>
        </w:rPr>
        <w:t xml:space="preserve"> definēts šīs konvencijas V pielikuma 1.14.6. noteikumā;</w:t>
      </w:r>
    </w:p>
    <w:p w14:paraId="67D459A8" w14:textId="77777777" w:rsidR="00A9526B" w:rsidRPr="00D45D5B" w:rsidRDefault="00A9526B" w:rsidP="00247C51">
      <w:pPr>
        <w:ind w:left="993"/>
        <w:jc w:val="both"/>
        <w:rPr>
          <w:rFonts w:ascii="Times New Roman" w:eastAsia="Arial" w:hAnsi="Times New Roman" w:cs="Arial"/>
          <w:noProof/>
          <w:sz w:val="24"/>
          <w:szCs w:val="21"/>
        </w:rPr>
      </w:pPr>
    </w:p>
    <w:p w14:paraId="58808262" w14:textId="5D04F335" w:rsidR="00A9526B" w:rsidRPr="00D45D5B" w:rsidRDefault="00C73C24" w:rsidP="00247C51">
      <w:pPr>
        <w:pStyle w:val="BodyText"/>
        <w:tabs>
          <w:tab w:val="left" w:pos="2671"/>
        </w:tabs>
        <w:ind w:left="993"/>
        <w:jc w:val="both"/>
        <w:rPr>
          <w:rFonts w:ascii="Times New Roman" w:hAnsi="Times New Roman"/>
          <w:noProof/>
          <w:color w:val="221F1F"/>
          <w:sz w:val="24"/>
        </w:rPr>
      </w:pPr>
      <w:r>
        <w:rPr>
          <w:rFonts w:ascii="Times New Roman" w:hAnsi="Times New Roman"/>
          <w:color w:val="221F1F"/>
          <w:sz w:val="24"/>
        </w:rPr>
        <w:t>3.3. Ziemeļamerikas emisijas kontroles zona, kuras koordinātas ir noteiktas šā pielikuma VII papildinājumā, un</w:t>
      </w:r>
    </w:p>
    <w:p w14:paraId="5516C936" w14:textId="77777777" w:rsidR="00A9526B" w:rsidRPr="00D45D5B" w:rsidRDefault="00A9526B" w:rsidP="00247C51">
      <w:pPr>
        <w:ind w:left="993"/>
        <w:jc w:val="both"/>
        <w:rPr>
          <w:rFonts w:ascii="Times New Roman" w:eastAsia="Arial" w:hAnsi="Times New Roman" w:cs="Arial"/>
          <w:noProof/>
          <w:sz w:val="24"/>
        </w:rPr>
      </w:pPr>
    </w:p>
    <w:p w14:paraId="6631EDC3" w14:textId="59ACC796" w:rsidR="00A9526B" w:rsidRPr="00D45D5B" w:rsidRDefault="00C73C24" w:rsidP="00247C51">
      <w:pPr>
        <w:pStyle w:val="BodyText"/>
        <w:tabs>
          <w:tab w:val="left" w:pos="2671"/>
        </w:tabs>
        <w:ind w:left="993"/>
        <w:jc w:val="both"/>
        <w:rPr>
          <w:rFonts w:ascii="Times New Roman" w:hAnsi="Times New Roman"/>
          <w:noProof/>
          <w:color w:val="221F1F"/>
          <w:sz w:val="24"/>
        </w:rPr>
      </w:pPr>
      <w:r>
        <w:rPr>
          <w:rFonts w:ascii="Times New Roman" w:hAnsi="Times New Roman"/>
          <w:color w:val="221F1F"/>
          <w:sz w:val="24"/>
        </w:rPr>
        <w:t xml:space="preserve">3.4. </w:t>
      </w:r>
      <w:r w:rsidR="00D401D2">
        <w:rPr>
          <w:rFonts w:ascii="Times New Roman" w:hAnsi="Times New Roman"/>
          <w:color w:val="221F1F"/>
          <w:sz w:val="24"/>
        </w:rPr>
        <w:t>Savienoto Valstu</w:t>
      </w:r>
      <w:r>
        <w:rPr>
          <w:rFonts w:ascii="Times New Roman" w:hAnsi="Times New Roman"/>
          <w:color w:val="221F1F"/>
          <w:sz w:val="24"/>
        </w:rPr>
        <w:t xml:space="preserve"> Karību jūras emisijas kontroles zona, kuras koordinātas ir noteiktas šā pielikuma VII papildinājumā.”</w:t>
      </w:r>
    </w:p>
    <w:p w14:paraId="5F60DE1F" w14:textId="77777777" w:rsidR="00CD5365" w:rsidRDefault="00CD5365" w:rsidP="00247C51">
      <w:pPr>
        <w:pStyle w:val="BodyText"/>
        <w:tabs>
          <w:tab w:val="left" w:pos="971"/>
        </w:tabs>
        <w:ind w:left="993"/>
        <w:jc w:val="both"/>
        <w:rPr>
          <w:rFonts w:ascii="Times New Roman" w:hAnsi="Times New Roman"/>
          <w:noProof/>
          <w:sz w:val="24"/>
        </w:rPr>
      </w:pPr>
    </w:p>
    <w:p w14:paraId="2866746C" w14:textId="12D82F5D" w:rsidR="00A9526B" w:rsidRPr="00D45D5B" w:rsidRDefault="00CD5365" w:rsidP="00831491">
      <w:pPr>
        <w:pStyle w:val="BodyText"/>
        <w:tabs>
          <w:tab w:val="left" w:pos="971"/>
        </w:tabs>
        <w:ind w:left="284"/>
        <w:jc w:val="both"/>
        <w:rPr>
          <w:rFonts w:ascii="Times New Roman" w:hAnsi="Times New Roman"/>
          <w:noProof/>
          <w:sz w:val="24"/>
        </w:rPr>
      </w:pPr>
      <w:r>
        <w:rPr>
          <w:rFonts w:ascii="Times New Roman" w:hAnsi="Times New Roman"/>
          <w:sz w:val="24"/>
        </w:rPr>
        <w:t>3. Šā noteikuma 4. punktu aizstāj ar šādu tekstu:</w:t>
      </w:r>
    </w:p>
    <w:p w14:paraId="7D8D1C5C" w14:textId="77777777" w:rsidR="00A9526B" w:rsidRPr="00D45D5B" w:rsidRDefault="00A9526B" w:rsidP="00831491">
      <w:pPr>
        <w:ind w:left="284"/>
        <w:jc w:val="both"/>
        <w:rPr>
          <w:rFonts w:ascii="Times New Roman" w:eastAsia="Arial" w:hAnsi="Times New Roman" w:cs="Arial"/>
          <w:noProof/>
          <w:sz w:val="24"/>
        </w:rPr>
      </w:pPr>
    </w:p>
    <w:p w14:paraId="2986006A" w14:textId="13F44F8C" w:rsidR="00A9526B" w:rsidRPr="00D45D5B" w:rsidRDefault="00A9526B" w:rsidP="00831491">
      <w:pPr>
        <w:pStyle w:val="BodyText"/>
        <w:tabs>
          <w:tab w:val="left" w:pos="1820"/>
        </w:tabs>
        <w:ind w:left="284"/>
        <w:jc w:val="both"/>
        <w:rPr>
          <w:rFonts w:ascii="Times New Roman" w:hAnsi="Times New Roman"/>
          <w:noProof/>
          <w:sz w:val="24"/>
        </w:rPr>
      </w:pPr>
      <w:r>
        <w:rPr>
          <w:rFonts w:ascii="Times New Roman" w:hAnsi="Times New Roman"/>
          <w:sz w:val="24"/>
        </w:rPr>
        <w:t>“4. Ja kuģis kuģo emisijas kontroles zonā, sēra saturs degvielā, kas tiek izmantota uz</w:t>
      </w:r>
      <w:r w:rsidR="00D401D2">
        <w:rPr>
          <w:rFonts w:ascii="Times New Roman" w:hAnsi="Times New Roman"/>
          <w:sz w:val="24"/>
        </w:rPr>
        <w:t xml:space="preserve"> šī</w:t>
      </w:r>
      <w:r>
        <w:rPr>
          <w:rFonts w:ascii="Times New Roman" w:hAnsi="Times New Roman"/>
          <w:sz w:val="24"/>
        </w:rPr>
        <w:t xml:space="preserve"> kuģa, nedrīkst pārsniegt 0,10 % m/m.”</w:t>
      </w:r>
    </w:p>
    <w:p w14:paraId="14CABA40" w14:textId="77777777" w:rsidR="00A9526B" w:rsidRPr="00D45D5B" w:rsidRDefault="00A9526B" w:rsidP="00831491">
      <w:pPr>
        <w:ind w:left="284"/>
        <w:jc w:val="both"/>
        <w:rPr>
          <w:rFonts w:ascii="Times New Roman" w:eastAsia="Arial" w:hAnsi="Times New Roman" w:cs="Arial"/>
          <w:noProof/>
          <w:sz w:val="24"/>
        </w:rPr>
      </w:pPr>
    </w:p>
    <w:p w14:paraId="4057F7A0" w14:textId="7E331119" w:rsidR="00D21836" w:rsidRDefault="00CD5365" w:rsidP="00831491">
      <w:pPr>
        <w:pStyle w:val="BodyText"/>
        <w:tabs>
          <w:tab w:val="left" w:pos="971"/>
        </w:tabs>
        <w:ind w:left="284"/>
        <w:jc w:val="both"/>
        <w:rPr>
          <w:rFonts w:ascii="Times New Roman" w:hAnsi="Times New Roman"/>
          <w:noProof/>
          <w:sz w:val="24"/>
        </w:rPr>
      </w:pPr>
      <w:r>
        <w:rPr>
          <w:rFonts w:ascii="Times New Roman" w:hAnsi="Times New Roman"/>
          <w:sz w:val="24"/>
        </w:rPr>
        <w:t>4. Svītro apakšvirsrakstu “Pārskatīšanas noteikums”, kā arī 8., 9. un 10. punktu.</w:t>
      </w:r>
      <w:r>
        <w:rPr>
          <w:rFonts w:ascii="Times New Roman" w:hAnsi="Times New Roman"/>
          <w:sz w:val="24"/>
        </w:rPr>
        <w:br w:type="page"/>
      </w:r>
    </w:p>
    <w:p w14:paraId="0823DDFA" w14:textId="77777777" w:rsidR="00CD5365" w:rsidRDefault="00CD5365" w:rsidP="00CD5365">
      <w:pPr>
        <w:pStyle w:val="BodyText"/>
        <w:tabs>
          <w:tab w:val="left" w:pos="971"/>
        </w:tabs>
        <w:ind w:left="0"/>
        <w:jc w:val="both"/>
        <w:rPr>
          <w:rFonts w:ascii="Times New Roman" w:hAnsi="Times New Roman"/>
          <w:noProof/>
          <w:sz w:val="24"/>
        </w:rPr>
      </w:pPr>
    </w:p>
    <w:p w14:paraId="31AC5E05" w14:textId="77777777" w:rsidR="00A9526B" w:rsidRPr="00D45D5B" w:rsidRDefault="00A9526B" w:rsidP="00D21836">
      <w:pPr>
        <w:pStyle w:val="Heading1"/>
        <w:ind w:left="0"/>
        <w:rPr>
          <w:rFonts w:ascii="Times New Roman" w:hAnsi="Times New Roman"/>
          <w:noProof/>
          <w:sz w:val="24"/>
        </w:rPr>
      </w:pPr>
      <w:r>
        <w:rPr>
          <w:rFonts w:ascii="Times New Roman" w:hAnsi="Times New Roman"/>
          <w:sz w:val="24"/>
        </w:rPr>
        <w:t>I papildinājums</w:t>
      </w:r>
    </w:p>
    <w:p w14:paraId="3C9FB89D" w14:textId="77777777" w:rsidR="00A9526B" w:rsidRPr="00D45D5B" w:rsidRDefault="00A9526B" w:rsidP="00D21836">
      <w:pPr>
        <w:rPr>
          <w:rFonts w:ascii="Times New Roman" w:eastAsia="Arial" w:hAnsi="Times New Roman" w:cs="Arial"/>
          <w:b/>
          <w:bCs/>
          <w:noProof/>
          <w:sz w:val="24"/>
        </w:rPr>
      </w:pPr>
    </w:p>
    <w:p w14:paraId="567A395C" w14:textId="77777777" w:rsidR="00A9526B" w:rsidRPr="00D45D5B" w:rsidRDefault="00A9526B" w:rsidP="00D21836">
      <w:pPr>
        <w:rPr>
          <w:rFonts w:ascii="Times New Roman" w:hAnsi="Times New Roman"/>
          <w:b/>
          <w:noProof/>
          <w:sz w:val="24"/>
        </w:rPr>
      </w:pPr>
      <w:r>
        <w:rPr>
          <w:rFonts w:ascii="Times New Roman" w:hAnsi="Times New Roman"/>
          <w:b/>
          <w:sz w:val="24"/>
        </w:rPr>
        <w:t>Starptautiskā gaisa piesārņojuma novēršanas (</w:t>
      </w:r>
      <w:r>
        <w:rPr>
          <w:rFonts w:ascii="Times New Roman" w:hAnsi="Times New Roman"/>
          <w:b/>
          <w:i/>
          <w:iCs/>
          <w:sz w:val="24"/>
        </w:rPr>
        <w:t>IAPP</w:t>
      </w:r>
      <w:r>
        <w:rPr>
          <w:rFonts w:ascii="Times New Roman" w:hAnsi="Times New Roman"/>
          <w:b/>
          <w:sz w:val="24"/>
        </w:rPr>
        <w:t>) apliecības veidlapa (8. noteikums)</w:t>
      </w:r>
    </w:p>
    <w:p w14:paraId="29F76A2C" w14:textId="77777777" w:rsidR="00A9526B" w:rsidRPr="00D45D5B" w:rsidRDefault="00A9526B" w:rsidP="00D21836">
      <w:pPr>
        <w:rPr>
          <w:rFonts w:ascii="Times New Roman" w:eastAsia="Arial" w:hAnsi="Times New Roman" w:cs="Arial"/>
          <w:b/>
          <w:bCs/>
          <w:noProof/>
          <w:sz w:val="24"/>
        </w:rPr>
      </w:pPr>
    </w:p>
    <w:p w14:paraId="13B0D51B" w14:textId="77777777" w:rsidR="00A9526B" w:rsidRPr="00D45D5B" w:rsidRDefault="00A9526B" w:rsidP="00D21836">
      <w:pPr>
        <w:rPr>
          <w:rFonts w:ascii="Times New Roman" w:hAnsi="Times New Roman"/>
          <w:b/>
          <w:i/>
          <w:noProof/>
          <w:sz w:val="24"/>
        </w:rPr>
      </w:pPr>
      <w:r>
        <w:rPr>
          <w:rFonts w:ascii="Times New Roman" w:hAnsi="Times New Roman"/>
          <w:b/>
          <w:i/>
          <w:sz w:val="24"/>
        </w:rPr>
        <w:t>Starptautiskā gaisa piesārņojuma novēršanas apliecības (</w:t>
      </w:r>
      <w:r>
        <w:rPr>
          <w:rFonts w:ascii="Times New Roman" w:hAnsi="Times New Roman"/>
          <w:b/>
          <w:i/>
          <w:iCs/>
          <w:sz w:val="24"/>
        </w:rPr>
        <w:t>IAPP</w:t>
      </w:r>
      <w:r>
        <w:rPr>
          <w:rFonts w:ascii="Times New Roman" w:hAnsi="Times New Roman"/>
          <w:b/>
          <w:i/>
          <w:sz w:val="24"/>
        </w:rPr>
        <w:t xml:space="preserve"> apliecība) papildinājums</w:t>
      </w:r>
    </w:p>
    <w:p w14:paraId="01EC2C5A" w14:textId="77777777" w:rsidR="00A9526B" w:rsidRPr="00D45D5B" w:rsidRDefault="00A9526B" w:rsidP="00D45D5B">
      <w:pPr>
        <w:jc w:val="both"/>
        <w:rPr>
          <w:rFonts w:ascii="Times New Roman" w:eastAsia="Arial" w:hAnsi="Times New Roman" w:cs="Arial"/>
          <w:b/>
          <w:bCs/>
          <w:i/>
          <w:noProof/>
          <w:sz w:val="24"/>
          <w:szCs w:val="21"/>
        </w:rPr>
      </w:pPr>
    </w:p>
    <w:p w14:paraId="5C6E2D5E" w14:textId="29C336E9" w:rsidR="00A9526B" w:rsidRPr="00D45D5B" w:rsidRDefault="00D21836" w:rsidP="00831491">
      <w:pPr>
        <w:pStyle w:val="BodyText"/>
        <w:tabs>
          <w:tab w:val="left" w:pos="971"/>
        </w:tabs>
        <w:ind w:left="0" w:firstLine="284"/>
        <w:jc w:val="both"/>
        <w:rPr>
          <w:rFonts w:ascii="Times New Roman" w:hAnsi="Times New Roman"/>
          <w:noProof/>
          <w:sz w:val="24"/>
        </w:rPr>
      </w:pPr>
      <w:r>
        <w:rPr>
          <w:rFonts w:ascii="Times New Roman" w:hAnsi="Times New Roman"/>
          <w:sz w:val="24"/>
        </w:rPr>
        <w:t>5. Šā papildinājuma 2.3.1. un 2.3.2. punkts tiek aizstāts ar šādu tekstu un tiek pievienots jauns 2.3.3. punkts:</w:t>
      </w:r>
    </w:p>
    <w:p w14:paraId="108CCA8C" w14:textId="77777777" w:rsidR="00C73C24" w:rsidRPr="00D45D5B" w:rsidRDefault="00C73C24" w:rsidP="00831491">
      <w:pPr>
        <w:ind w:firstLine="284"/>
        <w:jc w:val="both"/>
        <w:rPr>
          <w:rFonts w:ascii="Times New Roman" w:eastAsia="Arial" w:hAnsi="Times New Roman" w:cs="Arial"/>
          <w:noProof/>
          <w:sz w:val="24"/>
        </w:rPr>
      </w:pPr>
    </w:p>
    <w:p w14:paraId="742C6CAC" w14:textId="35646505" w:rsidR="00A9526B" w:rsidRPr="00D45D5B" w:rsidRDefault="00A9526B" w:rsidP="00D21836">
      <w:pPr>
        <w:pStyle w:val="BodyText"/>
        <w:ind w:left="0" w:firstLine="709"/>
        <w:jc w:val="both"/>
        <w:rPr>
          <w:rFonts w:ascii="Times New Roman" w:hAnsi="Times New Roman"/>
          <w:noProof/>
          <w:sz w:val="24"/>
        </w:rPr>
      </w:pPr>
      <w:r>
        <w:rPr>
          <w:rFonts w:ascii="Times New Roman" w:hAnsi="Times New Roman"/>
          <w:sz w:val="24"/>
        </w:rPr>
        <w:t xml:space="preserve">“2.3.1. Ja kuģis kuģo ārpus 14.3. noteikumā </w:t>
      </w:r>
      <w:r w:rsidR="00D401D2">
        <w:rPr>
          <w:rFonts w:ascii="Times New Roman" w:hAnsi="Times New Roman"/>
          <w:sz w:val="24"/>
        </w:rPr>
        <w:t>noteiktajām</w:t>
      </w:r>
      <w:r>
        <w:rPr>
          <w:rFonts w:ascii="Times New Roman" w:hAnsi="Times New Roman"/>
          <w:sz w:val="24"/>
        </w:rPr>
        <w:t xml:space="preserve"> emisijas kontroles zon</w:t>
      </w:r>
      <w:r w:rsidR="00D401D2">
        <w:rPr>
          <w:rFonts w:ascii="Times New Roman" w:hAnsi="Times New Roman"/>
          <w:sz w:val="24"/>
        </w:rPr>
        <w:t>ām</w:t>
      </w:r>
      <w:r>
        <w:rPr>
          <w:rFonts w:ascii="Times New Roman" w:hAnsi="Times New Roman"/>
          <w:sz w:val="24"/>
        </w:rPr>
        <w:t xml:space="preserve">, tad </w:t>
      </w:r>
      <w:r w:rsidR="00D401D2">
        <w:rPr>
          <w:rFonts w:ascii="Times New Roman" w:hAnsi="Times New Roman"/>
          <w:sz w:val="24"/>
        </w:rPr>
        <w:t>kuģis</w:t>
      </w:r>
      <w:r>
        <w:rPr>
          <w:rFonts w:ascii="Times New Roman" w:hAnsi="Times New Roman"/>
          <w:sz w:val="24"/>
        </w:rPr>
        <w:t xml:space="preserve"> izmanto:</w:t>
      </w:r>
    </w:p>
    <w:p w14:paraId="6751F400" w14:textId="77777777" w:rsidR="00A9526B" w:rsidRPr="00D45D5B" w:rsidRDefault="00A9526B" w:rsidP="00D45D5B">
      <w:pPr>
        <w:jc w:val="both"/>
        <w:rPr>
          <w:rFonts w:ascii="Times New Roman" w:eastAsia="Arial" w:hAnsi="Times New Roman" w:cs="Arial"/>
          <w:noProof/>
          <w:sz w:val="24"/>
        </w:rPr>
      </w:pPr>
    </w:p>
    <w:p w14:paraId="4E0A8508" w14:textId="5947DFAB" w:rsidR="00A9526B" w:rsidRPr="00D45D5B" w:rsidRDefault="00D21836" w:rsidP="00831491">
      <w:pPr>
        <w:pStyle w:val="BodyText"/>
        <w:tabs>
          <w:tab w:val="left" w:pos="2671"/>
        </w:tabs>
        <w:ind w:left="0" w:firstLine="1134"/>
        <w:jc w:val="both"/>
        <w:rPr>
          <w:rFonts w:ascii="Times New Roman" w:hAnsi="Times New Roman"/>
          <w:noProof/>
          <w:sz w:val="24"/>
        </w:rPr>
      </w:pPr>
      <w:r>
        <w:rPr>
          <w:rFonts w:ascii="Times New Roman" w:hAnsi="Times New Roman"/>
          <w:sz w:val="24"/>
        </w:rPr>
        <w:t>1. degviel</w:t>
      </w:r>
      <w:r w:rsidR="00D401D2">
        <w:rPr>
          <w:rFonts w:ascii="Times New Roman" w:hAnsi="Times New Roman"/>
          <w:sz w:val="24"/>
        </w:rPr>
        <w:t>u</w:t>
      </w:r>
      <w:r>
        <w:rPr>
          <w:rFonts w:ascii="Times New Roman" w:hAnsi="Times New Roman"/>
          <w:sz w:val="24"/>
        </w:rPr>
        <w:t>, kurā sēra saturs atbilstoši norādītajam degvielas piegādes pavaddokumentā nepārsniedz robežlielumu 0,50 % m/m, un/vai</w:t>
      </w:r>
    </w:p>
    <w:p w14:paraId="1AB431FB" w14:textId="6BB3CD3B" w:rsidR="00C73C24" w:rsidRDefault="00C73C24" w:rsidP="00C73C24">
      <w:pPr>
        <w:pStyle w:val="BodyText"/>
        <w:tabs>
          <w:tab w:val="left" w:leader="dot" w:pos="9072"/>
        </w:tabs>
        <w:ind w:left="0" w:firstLine="1134"/>
        <w:jc w:val="both"/>
        <w:rPr>
          <w:rFonts w:ascii="Times New Roman" w:hAnsi="Times New Roman" w:cs="Arial"/>
          <w:noProof/>
          <w:sz w:val="24"/>
        </w:rPr>
      </w:pPr>
      <w:r>
        <w:rPr>
          <w:rFonts w:ascii="Times New Roman" w:hAnsi="Times New Roman"/>
          <w:sz w:val="24"/>
        </w:rPr>
        <w:tab/>
      </w:r>
    </w:p>
    <w:p w14:paraId="020618CE" w14:textId="77777777" w:rsidR="00C73C24" w:rsidRDefault="00C73C24" w:rsidP="00831491">
      <w:pPr>
        <w:pStyle w:val="BodyText"/>
        <w:tabs>
          <w:tab w:val="left" w:pos="2671"/>
        </w:tabs>
        <w:ind w:left="0" w:firstLine="1134"/>
        <w:jc w:val="both"/>
        <w:rPr>
          <w:rFonts w:ascii="Times New Roman" w:hAnsi="Times New Roman"/>
          <w:noProof/>
          <w:sz w:val="24"/>
        </w:rPr>
      </w:pPr>
    </w:p>
    <w:p w14:paraId="4BC9CB30" w14:textId="42D1ACBC" w:rsidR="00A9526B" w:rsidRPr="00D45D5B" w:rsidRDefault="00D21836" w:rsidP="00831491">
      <w:pPr>
        <w:pStyle w:val="BodyText"/>
        <w:tabs>
          <w:tab w:val="left" w:pos="2671"/>
        </w:tabs>
        <w:ind w:left="0" w:firstLine="1134"/>
        <w:jc w:val="both"/>
        <w:rPr>
          <w:rFonts w:ascii="Times New Roman" w:hAnsi="Times New Roman"/>
          <w:noProof/>
          <w:sz w:val="24"/>
        </w:rPr>
      </w:pPr>
      <w:r>
        <w:rPr>
          <w:rFonts w:ascii="Times New Roman" w:hAnsi="Times New Roman"/>
          <w:sz w:val="24"/>
        </w:rPr>
        <w:t>2. līdzvērtīg</w:t>
      </w:r>
      <w:r w:rsidR="00D401D2">
        <w:rPr>
          <w:rFonts w:ascii="Times New Roman" w:hAnsi="Times New Roman"/>
          <w:sz w:val="24"/>
        </w:rPr>
        <w:t>u</w:t>
      </w:r>
      <w:r>
        <w:rPr>
          <w:rFonts w:ascii="Times New Roman" w:hAnsi="Times New Roman"/>
          <w:sz w:val="24"/>
        </w:rPr>
        <w:t xml:space="preserve"> </w:t>
      </w:r>
      <w:r w:rsidR="00D401D2">
        <w:rPr>
          <w:rFonts w:ascii="Times New Roman" w:hAnsi="Times New Roman"/>
          <w:sz w:val="24"/>
        </w:rPr>
        <w:t>tehnoloģiju</w:t>
      </w:r>
      <w:r>
        <w:rPr>
          <w:rFonts w:ascii="Times New Roman" w:hAnsi="Times New Roman"/>
          <w:sz w:val="24"/>
        </w:rPr>
        <w:t>, kas, kā uzskaitīts 2.6. punktā, ir apstiprināta saskaņā ar 4.1. noteikumu un kas SO</w:t>
      </w:r>
      <w:r>
        <w:rPr>
          <w:rFonts w:ascii="Times New Roman" w:hAnsi="Times New Roman"/>
          <w:sz w:val="24"/>
          <w:vertAlign w:val="subscript"/>
        </w:rPr>
        <w:t>X</w:t>
      </w:r>
      <w:r>
        <w:rPr>
          <w:rFonts w:ascii="Times New Roman" w:hAnsi="Times New Roman"/>
          <w:sz w:val="24"/>
        </w:rPr>
        <w:t xml:space="preserve"> emisijas samazināšanā ir tikpat efektīva kā degviela, kuras sēra satura robežlielums ir 0,50 % m/m.</w:t>
      </w:r>
    </w:p>
    <w:p w14:paraId="2FFBB9FE" w14:textId="77777777" w:rsidR="00C73C24" w:rsidRDefault="00C73C24" w:rsidP="00C73C24">
      <w:pPr>
        <w:pStyle w:val="BodyText"/>
        <w:tabs>
          <w:tab w:val="left" w:leader="dot" w:pos="9072"/>
        </w:tabs>
        <w:ind w:left="0" w:firstLine="1134"/>
        <w:jc w:val="both"/>
        <w:rPr>
          <w:rFonts w:ascii="Times New Roman" w:hAnsi="Times New Roman" w:cs="Arial"/>
          <w:noProof/>
          <w:sz w:val="24"/>
        </w:rPr>
      </w:pPr>
      <w:r>
        <w:rPr>
          <w:rFonts w:ascii="Times New Roman" w:hAnsi="Times New Roman"/>
          <w:sz w:val="24"/>
        </w:rPr>
        <w:tab/>
      </w:r>
    </w:p>
    <w:p w14:paraId="3E750BAD" w14:textId="77777777" w:rsidR="00C73C24" w:rsidRDefault="00C73C24" w:rsidP="00831491">
      <w:pPr>
        <w:pStyle w:val="BodyText"/>
        <w:tabs>
          <w:tab w:val="left" w:pos="1821"/>
        </w:tabs>
        <w:ind w:left="0" w:firstLine="709"/>
        <w:jc w:val="both"/>
        <w:rPr>
          <w:rFonts w:ascii="Times New Roman" w:hAnsi="Times New Roman" w:cs="Arial"/>
          <w:noProof/>
          <w:sz w:val="24"/>
        </w:rPr>
      </w:pPr>
    </w:p>
    <w:p w14:paraId="5A374FA6" w14:textId="41B0B7B9" w:rsidR="00A9526B" w:rsidRPr="00D45D5B" w:rsidRDefault="00D21836" w:rsidP="00831491">
      <w:pPr>
        <w:pStyle w:val="BodyText"/>
        <w:tabs>
          <w:tab w:val="left" w:pos="1821"/>
        </w:tabs>
        <w:ind w:left="0" w:firstLine="709"/>
        <w:jc w:val="both"/>
        <w:rPr>
          <w:rFonts w:ascii="Times New Roman" w:hAnsi="Times New Roman"/>
          <w:noProof/>
          <w:sz w:val="24"/>
        </w:rPr>
      </w:pPr>
      <w:r>
        <w:rPr>
          <w:rFonts w:ascii="Times New Roman" w:hAnsi="Times New Roman"/>
          <w:sz w:val="24"/>
        </w:rPr>
        <w:t>2.3.2. Ja kuģis kuģo</w:t>
      </w:r>
      <w:r w:rsidR="00D401D2">
        <w:rPr>
          <w:rFonts w:ascii="Times New Roman" w:hAnsi="Times New Roman"/>
          <w:sz w:val="24"/>
        </w:rPr>
        <w:t xml:space="preserve"> kādā no</w:t>
      </w:r>
      <w:r>
        <w:rPr>
          <w:rFonts w:ascii="Times New Roman" w:hAnsi="Times New Roman"/>
          <w:sz w:val="24"/>
        </w:rPr>
        <w:t xml:space="preserve"> 14.3. noteikumā no</w:t>
      </w:r>
      <w:r w:rsidR="00D401D2">
        <w:rPr>
          <w:rFonts w:ascii="Times New Roman" w:hAnsi="Times New Roman"/>
          <w:sz w:val="24"/>
        </w:rPr>
        <w:t>teiktajām</w:t>
      </w:r>
      <w:r>
        <w:rPr>
          <w:rFonts w:ascii="Times New Roman" w:hAnsi="Times New Roman"/>
          <w:sz w:val="24"/>
        </w:rPr>
        <w:t xml:space="preserve"> emisijas kontroles zonā</w:t>
      </w:r>
      <w:r w:rsidR="00D401D2">
        <w:rPr>
          <w:rFonts w:ascii="Times New Roman" w:hAnsi="Times New Roman"/>
          <w:sz w:val="24"/>
        </w:rPr>
        <w:t>m</w:t>
      </w:r>
      <w:r>
        <w:rPr>
          <w:rFonts w:ascii="Times New Roman" w:hAnsi="Times New Roman"/>
          <w:sz w:val="24"/>
        </w:rPr>
        <w:t xml:space="preserve">, tad </w:t>
      </w:r>
      <w:r w:rsidR="00D401D2">
        <w:rPr>
          <w:rFonts w:ascii="Times New Roman" w:hAnsi="Times New Roman"/>
          <w:sz w:val="24"/>
        </w:rPr>
        <w:t>kuģis</w:t>
      </w:r>
      <w:r>
        <w:rPr>
          <w:rFonts w:ascii="Times New Roman" w:hAnsi="Times New Roman"/>
          <w:sz w:val="24"/>
        </w:rPr>
        <w:t xml:space="preserve"> izmanto:</w:t>
      </w:r>
    </w:p>
    <w:p w14:paraId="16F77012" w14:textId="77777777" w:rsidR="00A9526B" w:rsidRPr="00D45D5B" w:rsidRDefault="00A9526B" w:rsidP="00D45D5B">
      <w:pPr>
        <w:jc w:val="both"/>
        <w:rPr>
          <w:rFonts w:ascii="Times New Roman" w:eastAsia="Arial" w:hAnsi="Times New Roman" w:cs="Arial"/>
          <w:noProof/>
          <w:sz w:val="24"/>
        </w:rPr>
      </w:pPr>
    </w:p>
    <w:p w14:paraId="2D931112" w14:textId="139B06F9" w:rsidR="00A9526B" w:rsidRPr="00D45D5B" w:rsidRDefault="00D21836" w:rsidP="00831491">
      <w:pPr>
        <w:pStyle w:val="BodyText"/>
        <w:tabs>
          <w:tab w:val="left" w:pos="2671"/>
        </w:tabs>
        <w:ind w:left="0" w:firstLine="709"/>
        <w:jc w:val="both"/>
        <w:rPr>
          <w:rFonts w:ascii="Times New Roman" w:hAnsi="Times New Roman"/>
          <w:noProof/>
          <w:sz w:val="24"/>
        </w:rPr>
      </w:pPr>
      <w:r>
        <w:rPr>
          <w:rFonts w:ascii="Times New Roman" w:hAnsi="Times New Roman"/>
          <w:sz w:val="24"/>
        </w:rPr>
        <w:t>1. degviel</w:t>
      </w:r>
      <w:r w:rsidR="00D401D2">
        <w:rPr>
          <w:rFonts w:ascii="Times New Roman" w:hAnsi="Times New Roman"/>
          <w:sz w:val="24"/>
        </w:rPr>
        <w:t>u</w:t>
      </w:r>
      <w:r>
        <w:rPr>
          <w:rFonts w:ascii="Times New Roman" w:hAnsi="Times New Roman"/>
          <w:sz w:val="24"/>
        </w:rPr>
        <w:t>, kurā sēra saturs atbilstoši norādītajam degvielas piegādes pavaddokumentā nepārsniedz robežlielumu 0,10% m/m, un/vai</w:t>
      </w:r>
    </w:p>
    <w:p w14:paraId="5131B62B" w14:textId="77777777" w:rsidR="00C73C24" w:rsidRDefault="00C73C24" w:rsidP="00C73C24">
      <w:pPr>
        <w:pStyle w:val="BodyText"/>
        <w:tabs>
          <w:tab w:val="left" w:leader="dot" w:pos="9072"/>
        </w:tabs>
        <w:ind w:left="0" w:firstLine="1134"/>
        <w:jc w:val="both"/>
        <w:rPr>
          <w:rFonts w:ascii="Times New Roman" w:hAnsi="Times New Roman" w:cs="Arial"/>
          <w:noProof/>
          <w:sz w:val="24"/>
        </w:rPr>
      </w:pPr>
      <w:r>
        <w:rPr>
          <w:rFonts w:ascii="Times New Roman" w:hAnsi="Times New Roman"/>
          <w:sz w:val="24"/>
        </w:rPr>
        <w:tab/>
      </w:r>
    </w:p>
    <w:p w14:paraId="0B80675A" w14:textId="77777777" w:rsidR="00C73C24" w:rsidRDefault="00C73C24" w:rsidP="00831491">
      <w:pPr>
        <w:pStyle w:val="BodyText"/>
        <w:tabs>
          <w:tab w:val="left" w:pos="2671"/>
        </w:tabs>
        <w:ind w:left="0" w:firstLine="709"/>
        <w:jc w:val="both"/>
        <w:rPr>
          <w:rFonts w:ascii="Times New Roman" w:hAnsi="Times New Roman"/>
          <w:noProof/>
          <w:sz w:val="24"/>
        </w:rPr>
      </w:pPr>
    </w:p>
    <w:p w14:paraId="48667D3B" w14:textId="43589A6F" w:rsidR="00A9526B" w:rsidRPr="00D45D5B" w:rsidRDefault="00D21836" w:rsidP="00831491">
      <w:pPr>
        <w:pStyle w:val="BodyText"/>
        <w:tabs>
          <w:tab w:val="left" w:pos="2671"/>
        </w:tabs>
        <w:ind w:left="0" w:firstLine="709"/>
        <w:jc w:val="both"/>
        <w:rPr>
          <w:rFonts w:ascii="Times New Roman" w:hAnsi="Times New Roman"/>
          <w:noProof/>
          <w:sz w:val="24"/>
        </w:rPr>
      </w:pPr>
      <w:r>
        <w:rPr>
          <w:rFonts w:ascii="Times New Roman" w:hAnsi="Times New Roman"/>
          <w:sz w:val="24"/>
        </w:rPr>
        <w:t>2. līdzvērtīg</w:t>
      </w:r>
      <w:r w:rsidR="00D401D2">
        <w:rPr>
          <w:rFonts w:ascii="Times New Roman" w:hAnsi="Times New Roman"/>
          <w:sz w:val="24"/>
        </w:rPr>
        <w:t>u tehnoloģiju</w:t>
      </w:r>
      <w:r>
        <w:rPr>
          <w:rFonts w:ascii="Times New Roman" w:hAnsi="Times New Roman"/>
          <w:sz w:val="24"/>
        </w:rPr>
        <w:t>, kas, kā uzskaitīts 2.6. punktā, ir apstiprināta saskaņā ar 4.1. noteikumu un kas SO</w:t>
      </w:r>
      <w:r>
        <w:rPr>
          <w:rFonts w:ascii="Times New Roman" w:hAnsi="Times New Roman"/>
          <w:sz w:val="24"/>
          <w:vertAlign w:val="subscript"/>
        </w:rPr>
        <w:t>X</w:t>
      </w:r>
      <w:r>
        <w:rPr>
          <w:rFonts w:ascii="Times New Roman" w:hAnsi="Times New Roman"/>
          <w:sz w:val="24"/>
        </w:rPr>
        <w:t xml:space="preserve"> emisijas samazināšanā ir tikpat efektīva kā degviela, kuras sēra satura robežlielums ir 0,10% m/m.</w:t>
      </w:r>
    </w:p>
    <w:p w14:paraId="3C131ADE" w14:textId="77777777" w:rsidR="00C73C24" w:rsidRDefault="00C73C24" w:rsidP="00C73C24">
      <w:pPr>
        <w:pStyle w:val="BodyText"/>
        <w:tabs>
          <w:tab w:val="left" w:leader="dot" w:pos="9072"/>
        </w:tabs>
        <w:ind w:left="0" w:firstLine="1134"/>
        <w:jc w:val="both"/>
        <w:rPr>
          <w:rFonts w:ascii="Times New Roman" w:hAnsi="Times New Roman" w:cs="Arial"/>
          <w:noProof/>
          <w:sz w:val="24"/>
        </w:rPr>
      </w:pPr>
      <w:r>
        <w:rPr>
          <w:rFonts w:ascii="Times New Roman" w:hAnsi="Times New Roman"/>
          <w:sz w:val="24"/>
        </w:rPr>
        <w:tab/>
      </w:r>
    </w:p>
    <w:p w14:paraId="06671812" w14:textId="77777777" w:rsidR="00C73C24" w:rsidRDefault="00C73C24" w:rsidP="00831491">
      <w:pPr>
        <w:pStyle w:val="BodyText"/>
        <w:tabs>
          <w:tab w:val="left" w:pos="1821"/>
        </w:tabs>
        <w:ind w:left="0" w:firstLine="709"/>
        <w:jc w:val="both"/>
        <w:rPr>
          <w:rFonts w:ascii="Times New Roman" w:hAnsi="Times New Roman" w:cs="Arial"/>
          <w:noProof/>
          <w:sz w:val="24"/>
        </w:rPr>
      </w:pPr>
    </w:p>
    <w:p w14:paraId="70503D7A" w14:textId="06985244" w:rsidR="00A9526B" w:rsidRPr="00D45D5B" w:rsidRDefault="00D21836" w:rsidP="00831491">
      <w:pPr>
        <w:pStyle w:val="BodyText"/>
        <w:tabs>
          <w:tab w:val="left" w:pos="1821"/>
        </w:tabs>
        <w:ind w:left="0" w:firstLine="709"/>
        <w:jc w:val="both"/>
        <w:rPr>
          <w:rFonts w:ascii="Times New Roman" w:hAnsi="Times New Roman"/>
          <w:noProof/>
          <w:sz w:val="24"/>
        </w:rPr>
      </w:pPr>
      <w:r>
        <w:rPr>
          <w:rFonts w:ascii="Times New Roman" w:hAnsi="Times New Roman"/>
          <w:sz w:val="24"/>
        </w:rPr>
        <w:t xml:space="preserve">2.3.3. Kuģim, kam nav līdzvērtīgas </w:t>
      </w:r>
      <w:r w:rsidR="00D401D2">
        <w:rPr>
          <w:rFonts w:ascii="Times New Roman" w:hAnsi="Times New Roman"/>
          <w:sz w:val="24"/>
        </w:rPr>
        <w:t>tehnoloģijas</w:t>
      </w:r>
      <w:r>
        <w:rPr>
          <w:rFonts w:ascii="Times New Roman" w:hAnsi="Times New Roman"/>
          <w:sz w:val="24"/>
        </w:rPr>
        <w:t>, kura, kā uzskaitīts 2.6. punktā, ir apstiprināta saskaņā ar 4.1. noteikumu, sēra saturs degvielā, kas tiek pārvadāta izmantošanai uz kuģa, nedrīkst pārsniegt degvielas piegādes pavaddokumentā norādītos 0,50 % m/m.”</w:t>
      </w:r>
    </w:p>
    <w:p w14:paraId="515370C6" w14:textId="4AF420FC" w:rsidR="00A9526B" w:rsidRPr="00D45D5B" w:rsidRDefault="00C73C24" w:rsidP="00C73C24">
      <w:pPr>
        <w:pStyle w:val="BodyText"/>
        <w:tabs>
          <w:tab w:val="left" w:leader="dot" w:pos="8931"/>
        </w:tabs>
        <w:ind w:left="0" w:firstLine="1134"/>
        <w:jc w:val="both"/>
        <w:rPr>
          <w:rFonts w:ascii="Times New Roman" w:hAnsi="Times New Roman"/>
          <w:noProof/>
          <w:sz w:val="24"/>
        </w:rPr>
      </w:pPr>
      <w:r>
        <w:rPr>
          <w:rFonts w:ascii="Times New Roman" w:hAnsi="Times New Roman"/>
          <w:sz w:val="24"/>
        </w:rPr>
        <w:tab/>
      </w:r>
    </w:p>
    <w:sectPr w:rsidR="00A9526B" w:rsidRPr="00D45D5B" w:rsidSect="005D6CAC">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09928" w14:textId="77777777" w:rsidR="00566054" w:rsidRPr="00A9526B" w:rsidRDefault="00A9526B">
      <w:pPr>
        <w:rPr>
          <w:noProof/>
        </w:rPr>
      </w:pPr>
      <w:r w:rsidRPr="00A9526B">
        <w:rPr>
          <w:noProof/>
        </w:rPr>
        <w:separator/>
      </w:r>
    </w:p>
  </w:endnote>
  <w:endnote w:type="continuationSeparator" w:id="0">
    <w:p w14:paraId="4143A829" w14:textId="77777777" w:rsidR="00566054" w:rsidRPr="00A9526B" w:rsidRDefault="00A9526B">
      <w:pPr>
        <w:rPr>
          <w:noProof/>
        </w:rPr>
      </w:pPr>
      <w:r w:rsidRPr="00A9526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D63DD" w14:textId="77777777" w:rsidR="00C577B9" w:rsidRPr="00864FDC" w:rsidRDefault="00C577B9" w:rsidP="00C577B9">
    <w:pPr>
      <w:pStyle w:val="Header"/>
      <w:tabs>
        <w:tab w:val="left" w:pos="9072"/>
      </w:tabs>
      <w:rPr>
        <w:rStyle w:val="PageNumber"/>
        <w:rFonts w:ascii="Times New Roman" w:hAnsi="Times New Roman" w:cs="Times New Roman"/>
        <w:sz w:val="20"/>
        <w:szCs w:val="18"/>
      </w:rPr>
    </w:pPr>
  </w:p>
  <w:p w14:paraId="45BCDE0A" w14:textId="77777777" w:rsidR="00C577B9" w:rsidRPr="00864FDC" w:rsidRDefault="00C577B9" w:rsidP="00C577B9">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99F0DC8" w14:textId="77777777" w:rsidR="00C577B9" w:rsidRPr="00864FDC" w:rsidRDefault="00C577B9" w:rsidP="00C577B9">
    <w:pPr>
      <w:pStyle w:val="Header"/>
      <w:tabs>
        <w:tab w:val="right" w:pos="9072"/>
      </w:tabs>
      <w:rPr>
        <w:rStyle w:val="PageNumber"/>
        <w:rFonts w:ascii="Times New Roman" w:hAnsi="Times New Roman" w:cs="Times New Roman"/>
        <w:sz w:val="20"/>
        <w:szCs w:val="18"/>
      </w:rPr>
    </w:pPr>
  </w:p>
  <w:p w14:paraId="65E09DED" w14:textId="77777777" w:rsidR="00C577B9" w:rsidRPr="00864FDC" w:rsidRDefault="00C577B9" w:rsidP="00C577B9">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2020</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26E55" w14:textId="77777777" w:rsidR="00C577B9" w:rsidRPr="00864FDC" w:rsidRDefault="00C577B9" w:rsidP="00C577B9">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3D7F70FF" w14:textId="77777777" w:rsidR="00C577B9" w:rsidRPr="00864FDC" w:rsidRDefault="00C577B9" w:rsidP="00C577B9">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5D1EB05D" w14:textId="77777777" w:rsidR="00C577B9" w:rsidRPr="00864FDC" w:rsidRDefault="00C577B9" w:rsidP="00C577B9">
    <w:pPr>
      <w:pStyle w:val="Header"/>
      <w:tabs>
        <w:tab w:val="left" w:pos="9072"/>
      </w:tabs>
      <w:rPr>
        <w:rStyle w:val="PageNumber"/>
        <w:rFonts w:ascii="Times New Roman" w:hAnsi="Times New Roman" w:cs="Times New Roman"/>
        <w:sz w:val="20"/>
        <w:szCs w:val="18"/>
      </w:rPr>
    </w:pPr>
  </w:p>
  <w:p w14:paraId="7D60D5CB" w14:textId="77777777" w:rsidR="00C577B9" w:rsidRPr="00864FDC" w:rsidRDefault="00C577B9" w:rsidP="00C577B9">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4"/>
    <w:bookmarkEnd w:id="15"/>
    <w:bookmarkEnd w:id="16"/>
    <w:r w:rsidRPr="00864FDC">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322F2" w14:textId="77777777" w:rsidR="00566054" w:rsidRPr="00A9526B" w:rsidRDefault="00A9526B">
      <w:pPr>
        <w:rPr>
          <w:noProof/>
        </w:rPr>
      </w:pPr>
      <w:r w:rsidRPr="00A9526B">
        <w:rPr>
          <w:noProof/>
        </w:rPr>
        <w:separator/>
      </w:r>
    </w:p>
  </w:footnote>
  <w:footnote w:type="continuationSeparator" w:id="0">
    <w:p w14:paraId="7716FAE8" w14:textId="77777777" w:rsidR="00566054" w:rsidRPr="00A9526B" w:rsidRDefault="00A9526B">
      <w:pPr>
        <w:rPr>
          <w:noProof/>
        </w:rPr>
      </w:pPr>
      <w:r w:rsidRPr="00A9526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460DA" w14:textId="77777777" w:rsidR="00C577B9" w:rsidRPr="00864FDC" w:rsidRDefault="00C577B9" w:rsidP="00C577B9">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FC4335C" w14:textId="77777777" w:rsidR="00C577B9" w:rsidRPr="00864FDC" w:rsidRDefault="00C577B9" w:rsidP="00C577B9">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44F311AF" w14:textId="77777777" w:rsidR="00C577B9" w:rsidRPr="00864FDC" w:rsidRDefault="00C577B9" w:rsidP="00C577B9">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D75F8" w14:textId="77777777" w:rsidR="00C577B9" w:rsidRPr="00864FDC" w:rsidRDefault="00C577B9" w:rsidP="00C577B9">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06396FF" w14:textId="77777777" w:rsidR="00C577B9" w:rsidRPr="00864FDC" w:rsidRDefault="00C577B9" w:rsidP="00C577B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90D88"/>
    <w:multiLevelType w:val="hybridMultilevel"/>
    <w:tmpl w:val="A752A20E"/>
    <w:lvl w:ilvl="0" w:tplc="8BDE52D8">
      <w:start w:val="2"/>
      <w:numFmt w:val="decimal"/>
      <w:lvlText w:val="%1"/>
      <w:lvlJc w:val="left"/>
      <w:pPr>
        <w:ind w:left="970" w:hanging="850"/>
      </w:pPr>
      <w:rPr>
        <w:rFonts w:hint="default"/>
      </w:rPr>
    </w:lvl>
    <w:lvl w:ilvl="1" w:tplc="B0043E86">
      <w:start w:val="3"/>
      <w:numFmt w:val="decimal"/>
      <w:lvlText w:val="%1.%2"/>
      <w:lvlJc w:val="left"/>
      <w:pPr>
        <w:ind w:left="970" w:hanging="850"/>
      </w:pPr>
      <w:rPr>
        <w:rFonts w:hint="default"/>
      </w:rPr>
    </w:lvl>
    <w:lvl w:ilvl="2" w:tplc="F78C716E">
      <w:start w:val="2"/>
      <w:numFmt w:val="decimal"/>
      <w:lvlText w:val="%1.%2.%3"/>
      <w:lvlJc w:val="left"/>
      <w:pPr>
        <w:ind w:left="970" w:hanging="850"/>
      </w:pPr>
      <w:rPr>
        <w:rFonts w:ascii="Arial" w:eastAsia="Arial" w:hAnsi="Arial" w:hint="default"/>
        <w:sz w:val="22"/>
        <w:szCs w:val="22"/>
      </w:rPr>
    </w:lvl>
    <w:lvl w:ilvl="3" w:tplc="1CC86C1C">
      <w:start w:val="1"/>
      <w:numFmt w:val="decimal"/>
      <w:lvlText w:val=".%4"/>
      <w:lvlJc w:val="left"/>
      <w:pPr>
        <w:ind w:left="2670" w:hanging="851"/>
      </w:pPr>
      <w:rPr>
        <w:rFonts w:ascii="Arial" w:eastAsia="Arial" w:hAnsi="Arial" w:hint="default"/>
        <w:spacing w:val="1"/>
        <w:sz w:val="22"/>
        <w:szCs w:val="22"/>
      </w:rPr>
    </w:lvl>
    <w:lvl w:ilvl="4" w:tplc="D8A497EA">
      <w:start w:val="1"/>
      <w:numFmt w:val="bullet"/>
      <w:lvlText w:val="•"/>
      <w:lvlJc w:val="left"/>
      <w:pPr>
        <w:ind w:left="4882" w:hanging="851"/>
      </w:pPr>
      <w:rPr>
        <w:rFonts w:hint="default"/>
      </w:rPr>
    </w:lvl>
    <w:lvl w:ilvl="5" w:tplc="9B081678">
      <w:start w:val="1"/>
      <w:numFmt w:val="bullet"/>
      <w:lvlText w:val="•"/>
      <w:lvlJc w:val="left"/>
      <w:pPr>
        <w:ind w:left="5619" w:hanging="851"/>
      </w:pPr>
      <w:rPr>
        <w:rFonts w:hint="default"/>
      </w:rPr>
    </w:lvl>
    <w:lvl w:ilvl="6" w:tplc="5888F3FC">
      <w:start w:val="1"/>
      <w:numFmt w:val="bullet"/>
      <w:lvlText w:val="•"/>
      <w:lvlJc w:val="left"/>
      <w:pPr>
        <w:ind w:left="6357" w:hanging="851"/>
      </w:pPr>
      <w:rPr>
        <w:rFonts w:hint="default"/>
      </w:rPr>
    </w:lvl>
    <w:lvl w:ilvl="7" w:tplc="A64C1B86">
      <w:start w:val="1"/>
      <w:numFmt w:val="bullet"/>
      <w:lvlText w:val="•"/>
      <w:lvlJc w:val="left"/>
      <w:pPr>
        <w:ind w:left="7094" w:hanging="851"/>
      </w:pPr>
      <w:rPr>
        <w:rFonts w:hint="default"/>
      </w:rPr>
    </w:lvl>
    <w:lvl w:ilvl="8" w:tplc="6838B2CA">
      <w:start w:val="1"/>
      <w:numFmt w:val="bullet"/>
      <w:lvlText w:val="•"/>
      <w:lvlJc w:val="left"/>
      <w:pPr>
        <w:ind w:left="7831" w:hanging="851"/>
      </w:pPr>
      <w:rPr>
        <w:rFonts w:hint="default"/>
      </w:rPr>
    </w:lvl>
  </w:abstractNum>
  <w:abstractNum w:abstractNumId="1" w15:restartNumberingAfterBreak="0">
    <w:nsid w:val="21F4463E"/>
    <w:multiLevelType w:val="hybridMultilevel"/>
    <w:tmpl w:val="E5244424"/>
    <w:lvl w:ilvl="0" w:tplc="639E13AC">
      <w:start w:val="1"/>
      <w:numFmt w:val="decimal"/>
      <w:lvlText w:val="%1"/>
      <w:lvlJc w:val="left"/>
      <w:pPr>
        <w:ind w:left="118" w:hanging="852"/>
      </w:pPr>
      <w:rPr>
        <w:rFonts w:ascii="Arial" w:eastAsia="Arial" w:hAnsi="Arial" w:hint="default"/>
        <w:sz w:val="22"/>
        <w:szCs w:val="22"/>
      </w:rPr>
    </w:lvl>
    <w:lvl w:ilvl="1" w:tplc="268E7D5E">
      <w:start w:val="1"/>
      <w:numFmt w:val="bullet"/>
      <w:lvlText w:val="•"/>
      <w:lvlJc w:val="left"/>
      <w:pPr>
        <w:ind w:left="1037" w:hanging="852"/>
      </w:pPr>
      <w:rPr>
        <w:rFonts w:hint="default"/>
      </w:rPr>
    </w:lvl>
    <w:lvl w:ilvl="2" w:tplc="EFCE7346">
      <w:start w:val="1"/>
      <w:numFmt w:val="bullet"/>
      <w:lvlText w:val="•"/>
      <w:lvlJc w:val="left"/>
      <w:pPr>
        <w:ind w:left="1956" w:hanging="852"/>
      </w:pPr>
      <w:rPr>
        <w:rFonts w:hint="default"/>
      </w:rPr>
    </w:lvl>
    <w:lvl w:ilvl="3" w:tplc="E56E2C72">
      <w:start w:val="1"/>
      <w:numFmt w:val="bullet"/>
      <w:lvlText w:val="•"/>
      <w:lvlJc w:val="left"/>
      <w:pPr>
        <w:ind w:left="2875" w:hanging="852"/>
      </w:pPr>
      <w:rPr>
        <w:rFonts w:hint="default"/>
      </w:rPr>
    </w:lvl>
    <w:lvl w:ilvl="4" w:tplc="A120C77E">
      <w:start w:val="1"/>
      <w:numFmt w:val="bullet"/>
      <w:lvlText w:val="•"/>
      <w:lvlJc w:val="left"/>
      <w:pPr>
        <w:ind w:left="3793" w:hanging="852"/>
      </w:pPr>
      <w:rPr>
        <w:rFonts w:hint="default"/>
      </w:rPr>
    </w:lvl>
    <w:lvl w:ilvl="5" w:tplc="C756DBD2">
      <w:start w:val="1"/>
      <w:numFmt w:val="bullet"/>
      <w:lvlText w:val="•"/>
      <w:lvlJc w:val="left"/>
      <w:pPr>
        <w:ind w:left="4712" w:hanging="852"/>
      </w:pPr>
      <w:rPr>
        <w:rFonts w:hint="default"/>
      </w:rPr>
    </w:lvl>
    <w:lvl w:ilvl="6" w:tplc="B83C5E98">
      <w:start w:val="1"/>
      <w:numFmt w:val="bullet"/>
      <w:lvlText w:val="•"/>
      <w:lvlJc w:val="left"/>
      <w:pPr>
        <w:ind w:left="5631" w:hanging="852"/>
      </w:pPr>
      <w:rPr>
        <w:rFonts w:hint="default"/>
      </w:rPr>
    </w:lvl>
    <w:lvl w:ilvl="7" w:tplc="7F905714">
      <w:start w:val="1"/>
      <w:numFmt w:val="bullet"/>
      <w:lvlText w:val="•"/>
      <w:lvlJc w:val="left"/>
      <w:pPr>
        <w:ind w:left="6550" w:hanging="852"/>
      </w:pPr>
      <w:rPr>
        <w:rFonts w:hint="default"/>
      </w:rPr>
    </w:lvl>
    <w:lvl w:ilvl="8" w:tplc="F9561C9E">
      <w:start w:val="1"/>
      <w:numFmt w:val="bullet"/>
      <w:lvlText w:val="•"/>
      <w:lvlJc w:val="left"/>
      <w:pPr>
        <w:ind w:left="7468" w:hanging="852"/>
      </w:pPr>
      <w:rPr>
        <w:rFonts w:hint="default"/>
      </w:rPr>
    </w:lvl>
  </w:abstractNum>
  <w:abstractNum w:abstractNumId="2" w15:restartNumberingAfterBreak="0">
    <w:nsid w:val="2C74234C"/>
    <w:multiLevelType w:val="hybridMultilevel"/>
    <w:tmpl w:val="BC5454FE"/>
    <w:lvl w:ilvl="0" w:tplc="F35A68F8">
      <w:start w:val="1"/>
      <w:numFmt w:val="decimal"/>
      <w:lvlText w:val="%1"/>
      <w:lvlJc w:val="left"/>
      <w:pPr>
        <w:ind w:left="118" w:hanging="852"/>
      </w:pPr>
      <w:rPr>
        <w:rFonts w:ascii="Arial" w:eastAsia="Arial" w:hAnsi="Arial" w:hint="default"/>
        <w:sz w:val="22"/>
        <w:szCs w:val="22"/>
      </w:rPr>
    </w:lvl>
    <w:lvl w:ilvl="1" w:tplc="7FC4F04A">
      <w:start w:val="1"/>
      <w:numFmt w:val="decimal"/>
      <w:lvlText w:val=".%2"/>
      <w:lvlJc w:val="left"/>
      <w:pPr>
        <w:ind w:left="2670" w:hanging="851"/>
      </w:pPr>
      <w:rPr>
        <w:rFonts w:ascii="Arial" w:eastAsia="Arial" w:hAnsi="Arial" w:hint="default"/>
        <w:color w:val="221F1F"/>
        <w:spacing w:val="1"/>
        <w:sz w:val="22"/>
        <w:szCs w:val="22"/>
      </w:rPr>
    </w:lvl>
    <w:lvl w:ilvl="2" w:tplc="D6E230CC">
      <w:start w:val="1"/>
      <w:numFmt w:val="bullet"/>
      <w:lvlText w:val="•"/>
      <w:lvlJc w:val="left"/>
      <w:pPr>
        <w:ind w:left="3407" w:hanging="851"/>
      </w:pPr>
      <w:rPr>
        <w:rFonts w:hint="default"/>
      </w:rPr>
    </w:lvl>
    <w:lvl w:ilvl="3" w:tplc="6E74CAF8">
      <w:start w:val="1"/>
      <w:numFmt w:val="bullet"/>
      <w:lvlText w:val="•"/>
      <w:lvlJc w:val="left"/>
      <w:pPr>
        <w:ind w:left="4145" w:hanging="851"/>
      </w:pPr>
      <w:rPr>
        <w:rFonts w:hint="default"/>
      </w:rPr>
    </w:lvl>
    <w:lvl w:ilvl="4" w:tplc="081A3D5C">
      <w:start w:val="1"/>
      <w:numFmt w:val="bullet"/>
      <w:lvlText w:val="•"/>
      <w:lvlJc w:val="left"/>
      <w:pPr>
        <w:ind w:left="4882" w:hanging="851"/>
      </w:pPr>
      <w:rPr>
        <w:rFonts w:hint="default"/>
      </w:rPr>
    </w:lvl>
    <w:lvl w:ilvl="5" w:tplc="7D62989E">
      <w:start w:val="1"/>
      <w:numFmt w:val="bullet"/>
      <w:lvlText w:val="•"/>
      <w:lvlJc w:val="left"/>
      <w:pPr>
        <w:ind w:left="5619" w:hanging="851"/>
      </w:pPr>
      <w:rPr>
        <w:rFonts w:hint="default"/>
      </w:rPr>
    </w:lvl>
    <w:lvl w:ilvl="6" w:tplc="6388C62E">
      <w:start w:val="1"/>
      <w:numFmt w:val="bullet"/>
      <w:lvlText w:val="•"/>
      <w:lvlJc w:val="left"/>
      <w:pPr>
        <w:ind w:left="6357" w:hanging="851"/>
      </w:pPr>
      <w:rPr>
        <w:rFonts w:hint="default"/>
      </w:rPr>
    </w:lvl>
    <w:lvl w:ilvl="7" w:tplc="639CEDDE">
      <w:start w:val="1"/>
      <w:numFmt w:val="bullet"/>
      <w:lvlText w:val="•"/>
      <w:lvlJc w:val="left"/>
      <w:pPr>
        <w:ind w:left="7094" w:hanging="851"/>
      </w:pPr>
      <w:rPr>
        <w:rFonts w:hint="default"/>
      </w:rPr>
    </w:lvl>
    <w:lvl w:ilvl="8" w:tplc="EE8ADCE2">
      <w:start w:val="1"/>
      <w:numFmt w:val="bullet"/>
      <w:lvlText w:val="•"/>
      <w:lvlJc w:val="left"/>
      <w:pPr>
        <w:ind w:left="7831" w:hanging="851"/>
      </w:pPr>
      <w:rPr>
        <w:rFonts w:hint="default"/>
      </w:rPr>
    </w:lvl>
  </w:abstractNum>
  <w:abstractNum w:abstractNumId="3" w15:restartNumberingAfterBreak="0">
    <w:nsid w:val="49E1746A"/>
    <w:multiLevelType w:val="hybridMultilevel"/>
    <w:tmpl w:val="A502B280"/>
    <w:lvl w:ilvl="0" w:tplc="89E6B810">
      <w:start w:val="1"/>
      <w:numFmt w:val="decimal"/>
      <w:lvlText w:val=".%1"/>
      <w:lvlJc w:val="left"/>
      <w:pPr>
        <w:ind w:left="2670" w:hanging="851"/>
      </w:pPr>
      <w:rPr>
        <w:rFonts w:ascii="Arial" w:eastAsia="Arial" w:hAnsi="Arial" w:hint="default"/>
        <w:spacing w:val="1"/>
        <w:sz w:val="22"/>
        <w:szCs w:val="22"/>
      </w:rPr>
    </w:lvl>
    <w:lvl w:ilvl="1" w:tplc="C20A71F0">
      <w:start w:val="1"/>
      <w:numFmt w:val="bullet"/>
      <w:lvlText w:val="•"/>
      <w:lvlJc w:val="left"/>
      <w:pPr>
        <w:ind w:left="3334" w:hanging="851"/>
      </w:pPr>
      <w:rPr>
        <w:rFonts w:hint="default"/>
      </w:rPr>
    </w:lvl>
    <w:lvl w:ilvl="2" w:tplc="6420A924">
      <w:start w:val="1"/>
      <w:numFmt w:val="bullet"/>
      <w:lvlText w:val="•"/>
      <w:lvlJc w:val="left"/>
      <w:pPr>
        <w:ind w:left="3997" w:hanging="851"/>
      </w:pPr>
      <w:rPr>
        <w:rFonts w:hint="default"/>
      </w:rPr>
    </w:lvl>
    <w:lvl w:ilvl="3" w:tplc="58E6C57E">
      <w:start w:val="1"/>
      <w:numFmt w:val="bullet"/>
      <w:lvlText w:val="•"/>
      <w:lvlJc w:val="left"/>
      <w:pPr>
        <w:ind w:left="4661" w:hanging="851"/>
      </w:pPr>
      <w:rPr>
        <w:rFonts w:hint="default"/>
      </w:rPr>
    </w:lvl>
    <w:lvl w:ilvl="4" w:tplc="11E28016">
      <w:start w:val="1"/>
      <w:numFmt w:val="bullet"/>
      <w:lvlText w:val="•"/>
      <w:lvlJc w:val="left"/>
      <w:pPr>
        <w:ind w:left="5324" w:hanging="851"/>
      </w:pPr>
      <w:rPr>
        <w:rFonts w:hint="default"/>
      </w:rPr>
    </w:lvl>
    <w:lvl w:ilvl="5" w:tplc="395847D8">
      <w:start w:val="1"/>
      <w:numFmt w:val="bullet"/>
      <w:lvlText w:val="•"/>
      <w:lvlJc w:val="left"/>
      <w:pPr>
        <w:ind w:left="5988" w:hanging="851"/>
      </w:pPr>
      <w:rPr>
        <w:rFonts w:hint="default"/>
      </w:rPr>
    </w:lvl>
    <w:lvl w:ilvl="6" w:tplc="9878C232">
      <w:start w:val="1"/>
      <w:numFmt w:val="bullet"/>
      <w:lvlText w:val="•"/>
      <w:lvlJc w:val="left"/>
      <w:pPr>
        <w:ind w:left="6652" w:hanging="851"/>
      </w:pPr>
      <w:rPr>
        <w:rFonts w:hint="default"/>
      </w:rPr>
    </w:lvl>
    <w:lvl w:ilvl="7" w:tplc="93C22304">
      <w:start w:val="1"/>
      <w:numFmt w:val="bullet"/>
      <w:lvlText w:val="•"/>
      <w:lvlJc w:val="left"/>
      <w:pPr>
        <w:ind w:left="7315" w:hanging="851"/>
      </w:pPr>
      <w:rPr>
        <w:rFonts w:hint="default"/>
      </w:rPr>
    </w:lvl>
    <w:lvl w:ilvl="8" w:tplc="ABD23DFC">
      <w:start w:val="1"/>
      <w:numFmt w:val="bullet"/>
      <w:lvlText w:val="•"/>
      <w:lvlJc w:val="left"/>
      <w:pPr>
        <w:ind w:left="7979" w:hanging="851"/>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11164"/>
    <w:rsid w:val="00247C51"/>
    <w:rsid w:val="00311164"/>
    <w:rsid w:val="00566054"/>
    <w:rsid w:val="005D6CAC"/>
    <w:rsid w:val="00831491"/>
    <w:rsid w:val="00A9526B"/>
    <w:rsid w:val="00AB5864"/>
    <w:rsid w:val="00B5537B"/>
    <w:rsid w:val="00C577B9"/>
    <w:rsid w:val="00C73C24"/>
    <w:rsid w:val="00CD5365"/>
    <w:rsid w:val="00D21836"/>
    <w:rsid w:val="00D401D2"/>
    <w:rsid w:val="00D45D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7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9526B"/>
    <w:pPr>
      <w:tabs>
        <w:tab w:val="center" w:pos="4513"/>
        <w:tab w:val="right" w:pos="9026"/>
      </w:tabs>
    </w:pPr>
  </w:style>
  <w:style w:type="character" w:customStyle="1" w:styleId="HeaderChar">
    <w:name w:val="Header Char"/>
    <w:basedOn w:val="DefaultParagraphFont"/>
    <w:link w:val="Header"/>
    <w:uiPriority w:val="99"/>
    <w:rsid w:val="00A9526B"/>
  </w:style>
  <w:style w:type="paragraph" w:styleId="Footer">
    <w:name w:val="footer"/>
    <w:basedOn w:val="Normal"/>
    <w:link w:val="FooterChar"/>
    <w:unhideWhenUsed/>
    <w:rsid w:val="00A9526B"/>
    <w:pPr>
      <w:tabs>
        <w:tab w:val="center" w:pos="4513"/>
        <w:tab w:val="right" w:pos="9026"/>
      </w:tabs>
    </w:pPr>
  </w:style>
  <w:style w:type="character" w:customStyle="1" w:styleId="FooterChar">
    <w:name w:val="Footer Char"/>
    <w:basedOn w:val="DefaultParagraphFont"/>
    <w:link w:val="Footer"/>
    <w:uiPriority w:val="99"/>
    <w:rsid w:val="00A9526B"/>
  </w:style>
  <w:style w:type="character" w:styleId="PageNumber">
    <w:name w:val="page number"/>
    <w:basedOn w:val="DefaultParagraphFont"/>
    <w:semiHidden/>
    <w:rsid w:val="00C5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0A35-5F64-42A4-A03C-1EA434D2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3315</Words>
  <Characters>1891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2020-08-04T08:44:00Z</dcterms:created>
  <dcterms:modified xsi:type="dcterms:W3CDTF">2020-12-10T09:04:00Z</dcterms:modified>
</cp:coreProperties>
</file>