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D5EFD" w14:textId="77777777" w:rsidR="000730DB" w:rsidRDefault="000730DB" w:rsidP="000730DB">
      <w:pPr>
        <w:tabs>
          <w:tab w:val="left" w:pos="8237"/>
        </w:tabs>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04"/>
        <w:gridCol w:w="3827"/>
        <w:gridCol w:w="3997"/>
      </w:tblGrid>
      <w:tr w:rsidR="000730DB" w14:paraId="65645794" w14:textId="77777777" w:rsidTr="004B280D">
        <w:tc>
          <w:tcPr>
            <w:tcW w:w="1304" w:type="dxa"/>
          </w:tcPr>
          <w:p w14:paraId="433990B6" w14:textId="77777777" w:rsidR="000730DB" w:rsidRDefault="000730DB" w:rsidP="000730DB">
            <w:pPr>
              <w:tabs>
                <w:tab w:val="left" w:pos="8237"/>
              </w:tabs>
              <w:jc w:val="both"/>
              <w:rPr>
                <w:rFonts w:ascii="Times New Roman" w:hAnsi="Times New Roman"/>
                <w:noProof/>
                <w:sz w:val="24"/>
              </w:rPr>
            </w:pPr>
          </w:p>
        </w:tc>
        <w:tc>
          <w:tcPr>
            <w:tcW w:w="3827" w:type="dxa"/>
          </w:tcPr>
          <w:p w14:paraId="12716B9D" w14:textId="5B19378C" w:rsidR="000730DB" w:rsidRDefault="000730DB" w:rsidP="000730DB">
            <w:pPr>
              <w:tabs>
                <w:tab w:val="left" w:pos="8237"/>
              </w:tabs>
              <w:jc w:val="both"/>
              <w:rPr>
                <w:rFonts w:ascii="Times New Roman" w:hAnsi="Times New Roman"/>
                <w:noProof/>
                <w:sz w:val="24"/>
              </w:rPr>
            </w:pPr>
            <w:r>
              <w:rPr>
                <w:rFonts w:ascii="Times New Roman" w:hAnsi="Times New Roman"/>
                <w:sz w:val="24"/>
              </w:rPr>
              <w:t>Apvienoto Nāciju Organizācija</w:t>
            </w:r>
          </w:p>
        </w:tc>
        <w:tc>
          <w:tcPr>
            <w:tcW w:w="3997" w:type="dxa"/>
          </w:tcPr>
          <w:p w14:paraId="243A232E" w14:textId="62881004" w:rsidR="000730DB" w:rsidRPr="000730DB" w:rsidRDefault="000730DB" w:rsidP="000730DB">
            <w:pPr>
              <w:tabs>
                <w:tab w:val="left" w:pos="8237"/>
              </w:tabs>
              <w:jc w:val="right"/>
              <w:rPr>
                <w:rFonts w:ascii="Times New Roman" w:eastAsia="Times New Roman" w:hAnsi="Times New Roman" w:cs="Times New Roman"/>
                <w:noProof/>
                <w:sz w:val="24"/>
                <w:szCs w:val="20"/>
              </w:rPr>
            </w:pPr>
            <w:r>
              <w:rPr>
                <w:rFonts w:ascii="Times New Roman" w:hAnsi="Times New Roman"/>
                <w:sz w:val="24"/>
              </w:rPr>
              <w:t>S/RES/1373 (2001)</w:t>
            </w:r>
          </w:p>
        </w:tc>
      </w:tr>
      <w:tr w:rsidR="000730DB" w14:paraId="27737E37" w14:textId="77777777" w:rsidTr="004B280D">
        <w:tc>
          <w:tcPr>
            <w:tcW w:w="1304" w:type="dxa"/>
          </w:tcPr>
          <w:p w14:paraId="5580A7A0" w14:textId="00749513" w:rsidR="000730DB" w:rsidRDefault="000730DB" w:rsidP="000730DB">
            <w:pPr>
              <w:tabs>
                <w:tab w:val="left" w:pos="8237"/>
              </w:tabs>
              <w:jc w:val="both"/>
              <w:rPr>
                <w:rFonts w:ascii="Times New Roman" w:hAnsi="Times New Roman"/>
                <w:noProof/>
                <w:sz w:val="24"/>
              </w:rPr>
            </w:pPr>
            <w:r>
              <w:rPr>
                <w:rFonts w:ascii="Times New Roman" w:hAnsi="Times New Roman"/>
                <w:noProof/>
                <w:sz w:val="24"/>
              </w:rPr>
              <w:drawing>
                <wp:inline distT="0" distB="0" distL="0" distR="0" wp14:anchorId="3E7623BB" wp14:editId="7CBD2D02">
                  <wp:extent cx="638175" cy="4997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499745"/>
                          </a:xfrm>
                          <a:prstGeom prst="rect">
                            <a:avLst/>
                          </a:prstGeom>
                          <a:noFill/>
                          <a:ln>
                            <a:noFill/>
                          </a:ln>
                        </pic:spPr>
                      </pic:pic>
                    </a:graphicData>
                  </a:graphic>
                </wp:inline>
              </w:drawing>
            </w:r>
          </w:p>
        </w:tc>
        <w:tc>
          <w:tcPr>
            <w:tcW w:w="3827" w:type="dxa"/>
          </w:tcPr>
          <w:p w14:paraId="43AB7D51" w14:textId="70647E49" w:rsidR="000730DB" w:rsidRPr="000730DB" w:rsidRDefault="000730DB" w:rsidP="000730DB">
            <w:pPr>
              <w:tabs>
                <w:tab w:val="left" w:pos="6881"/>
              </w:tabs>
              <w:jc w:val="both"/>
              <w:rPr>
                <w:rFonts w:ascii="Times New Roman" w:hAnsi="Times New Roman"/>
                <w:b/>
                <w:noProof/>
                <w:sz w:val="24"/>
              </w:rPr>
            </w:pPr>
            <w:r>
              <w:rPr>
                <w:rFonts w:ascii="Times New Roman" w:hAnsi="Times New Roman"/>
                <w:b/>
                <w:sz w:val="24"/>
              </w:rPr>
              <w:t>Drošības padome</w:t>
            </w:r>
          </w:p>
        </w:tc>
        <w:tc>
          <w:tcPr>
            <w:tcW w:w="3997" w:type="dxa"/>
          </w:tcPr>
          <w:p w14:paraId="2075C955" w14:textId="42474B62" w:rsidR="000730DB" w:rsidRDefault="000730DB" w:rsidP="000730DB">
            <w:pPr>
              <w:tabs>
                <w:tab w:val="left" w:pos="6881"/>
              </w:tabs>
              <w:jc w:val="both"/>
              <w:rPr>
                <w:rFonts w:ascii="Times New Roman" w:hAnsi="Times New Roman"/>
                <w:noProof/>
                <w:sz w:val="24"/>
              </w:rPr>
            </w:pPr>
            <w:r>
              <w:rPr>
                <w:rFonts w:ascii="Times New Roman" w:hAnsi="Times New Roman"/>
                <w:sz w:val="24"/>
              </w:rPr>
              <w:t>Izpl.: vispārīga informācija</w:t>
            </w:r>
          </w:p>
          <w:p w14:paraId="4423D8B3" w14:textId="77777777" w:rsidR="000730DB" w:rsidRPr="000730DB" w:rsidRDefault="000730DB" w:rsidP="000730DB">
            <w:pPr>
              <w:tabs>
                <w:tab w:val="left" w:pos="6881"/>
              </w:tabs>
              <w:jc w:val="both"/>
              <w:rPr>
                <w:rFonts w:ascii="Times New Roman" w:hAnsi="Times New Roman"/>
                <w:noProof/>
                <w:sz w:val="24"/>
              </w:rPr>
            </w:pPr>
          </w:p>
          <w:p w14:paraId="24F35E40" w14:textId="2287795B" w:rsidR="000730DB" w:rsidRDefault="000730DB" w:rsidP="000730DB">
            <w:pPr>
              <w:pStyle w:val="BodyText"/>
              <w:spacing w:before="0"/>
              <w:ind w:left="0" w:firstLine="0"/>
              <w:jc w:val="both"/>
              <w:rPr>
                <w:noProof/>
                <w:sz w:val="24"/>
              </w:rPr>
            </w:pPr>
            <w:r>
              <w:rPr>
                <w:sz w:val="24"/>
              </w:rPr>
              <w:t>2001. gada 28. septembris</w:t>
            </w:r>
          </w:p>
        </w:tc>
      </w:tr>
    </w:tbl>
    <w:p w14:paraId="31054090" w14:textId="77777777" w:rsidR="000730DB" w:rsidRDefault="000730DB" w:rsidP="000730DB">
      <w:pPr>
        <w:tabs>
          <w:tab w:val="left" w:pos="8237"/>
        </w:tabs>
        <w:jc w:val="both"/>
        <w:rPr>
          <w:rFonts w:ascii="Times New Roman" w:hAnsi="Times New Roman"/>
          <w:noProof/>
          <w:sz w:val="24"/>
        </w:rPr>
      </w:pPr>
    </w:p>
    <w:p w14:paraId="153B5E17" w14:textId="5AE8B02D" w:rsidR="00236989" w:rsidRPr="000730DB" w:rsidRDefault="004B280D" w:rsidP="004B280D">
      <w:pPr>
        <w:tabs>
          <w:tab w:val="left" w:leader="underscore" w:pos="9072"/>
        </w:tabs>
        <w:jc w:val="both"/>
        <w:rPr>
          <w:rFonts w:ascii="Times New Roman" w:eastAsia="Times New Roman" w:hAnsi="Times New Roman" w:cs="Times New Roman"/>
          <w:noProof/>
          <w:sz w:val="24"/>
          <w:szCs w:val="3"/>
        </w:rPr>
      </w:pPr>
      <w:r>
        <w:rPr>
          <w:rFonts w:ascii="Times New Roman" w:eastAsia="Times New Roman" w:hAnsi="Times New Roman" w:cs="Times New Roman"/>
          <w:noProof/>
          <w:sz w:val="24"/>
          <w:szCs w:val="3"/>
        </w:rPr>
        <w:tab/>
      </w:r>
    </w:p>
    <w:p w14:paraId="21956516" w14:textId="77777777" w:rsidR="00236989" w:rsidRPr="000730DB" w:rsidRDefault="00236989" w:rsidP="000730DB">
      <w:pPr>
        <w:jc w:val="both"/>
        <w:rPr>
          <w:rFonts w:ascii="Times New Roman" w:hAnsi="Times New Roman"/>
          <w:b/>
          <w:noProof/>
          <w:sz w:val="24"/>
        </w:rPr>
      </w:pPr>
      <w:r>
        <w:rPr>
          <w:rFonts w:ascii="Times New Roman" w:hAnsi="Times New Roman"/>
          <w:b/>
          <w:sz w:val="24"/>
        </w:rPr>
        <w:t>Rezolūcija 1373 (2001)</w:t>
      </w:r>
    </w:p>
    <w:p w14:paraId="7B53C778" w14:textId="77777777" w:rsidR="00236989" w:rsidRPr="000730DB" w:rsidRDefault="00236989" w:rsidP="000730DB">
      <w:pPr>
        <w:jc w:val="both"/>
        <w:rPr>
          <w:rFonts w:ascii="Times New Roman" w:hAnsi="Times New Roman"/>
          <w:b/>
          <w:noProof/>
          <w:sz w:val="24"/>
        </w:rPr>
      </w:pPr>
      <w:r>
        <w:rPr>
          <w:rFonts w:ascii="Times New Roman" w:hAnsi="Times New Roman"/>
          <w:b/>
          <w:sz w:val="24"/>
        </w:rPr>
        <w:t>Pieņēmusi Drošības padome savā 4385. sanāksmē 2001. gada 28. septembrī</w:t>
      </w:r>
    </w:p>
    <w:p w14:paraId="58183590" w14:textId="77777777" w:rsidR="00236989" w:rsidRPr="000730DB" w:rsidRDefault="00236989" w:rsidP="000730DB">
      <w:pPr>
        <w:jc w:val="both"/>
        <w:rPr>
          <w:rFonts w:ascii="Times New Roman" w:eastAsia="Times New Roman" w:hAnsi="Times New Roman" w:cs="Times New Roman"/>
          <w:b/>
          <w:bCs/>
          <w:noProof/>
          <w:sz w:val="24"/>
          <w:szCs w:val="21"/>
        </w:rPr>
      </w:pPr>
    </w:p>
    <w:p w14:paraId="33CBAF9A" w14:textId="77777777" w:rsidR="00236989" w:rsidRPr="000730DB" w:rsidRDefault="00236989" w:rsidP="000730DB">
      <w:pPr>
        <w:ind w:firstLine="426"/>
        <w:jc w:val="both"/>
        <w:rPr>
          <w:rFonts w:ascii="Times New Roman" w:hAnsi="Times New Roman"/>
          <w:i/>
          <w:noProof/>
          <w:sz w:val="24"/>
        </w:rPr>
      </w:pPr>
      <w:r>
        <w:rPr>
          <w:rFonts w:ascii="Times New Roman" w:hAnsi="Times New Roman"/>
          <w:i/>
          <w:sz w:val="24"/>
        </w:rPr>
        <w:t>Drošības padome,</w:t>
      </w:r>
    </w:p>
    <w:p w14:paraId="143AC219" w14:textId="77777777" w:rsidR="000730DB" w:rsidRDefault="000730DB" w:rsidP="000730DB">
      <w:pPr>
        <w:pStyle w:val="BodyText"/>
        <w:spacing w:before="0"/>
        <w:ind w:left="0" w:firstLine="426"/>
        <w:jc w:val="both"/>
        <w:rPr>
          <w:i/>
          <w:noProof/>
          <w:sz w:val="24"/>
        </w:rPr>
      </w:pPr>
    </w:p>
    <w:p w14:paraId="67D058D6" w14:textId="198B68A8" w:rsidR="00236989" w:rsidRPr="000730DB" w:rsidRDefault="00236989" w:rsidP="000730DB">
      <w:pPr>
        <w:pStyle w:val="BodyText"/>
        <w:spacing w:before="0"/>
        <w:ind w:left="0" w:firstLine="426"/>
        <w:jc w:val="both"/>
        <w:rPr>
          <w:noProof/>
          <w:sz w:val="24"/>
        </w:rPr>
      </w:pPr>
      <w:r>
        <w:rPr>
          <w:i/>
          <w:sz w:val="24"/>
        </w:rPr>
        <w:t>atkārtoti apstiprinot</w:t>
      </w:r>
      <w:r>
        <w:rPr>
          <w:sz w:val="24"/>
        </w:rPr>
        <w:t xml:space="preserve"> savu 1999. gada 19. oktobra rezolūciju 1269 (1999) un savu 2001. gada 12. septembra rezolūciju 1368 (2001),</w:t>
      </w:r>
    </w:p>
    <w:p w14:paraId="6437169B" w14:textId="77777777" w:rsidR="000730DB" w:rsidRDefault="000730DB" w:rsidP="000730DB">
      <w:pPr>
        <w:pStyle w:val="BodyText"/>
        <w:spacing w:before="0"/>
        <w:ind w:left="0" w:firstLine="426"/>
        <w:jc w:val="both"/>
        <w:rPr>
          <w:i/>
          <w:noProof/>
          <w:sz w:val="24"/>
        </w:rPr>
      </w:pPr>
    </w:p>
    <w:p w14:paraId="3EED0094" w14:textId="2D34F8BC" w:rsidR="00236989" w:rsidRPr="000730DB" w:rsidRDefault="00236989" w:rsidP="000730DB">
      <w:pPr>
        <w:pStyle w:val="BodyText"/>
        <w:spacing w:before="0"/>
        <w:ind w:left="0" w:firstLine="426"/>
        <w:jc w:val="both"/>
        <w:rPr>
          <w:noProof/>
          <w:sz w:val="24"/>
        </w:rPr>
      </w:pPr>
      <w:r>
        <w:rPr>
          <w:i/>
          <w:sz w:val="24"/>
        </w:rPr>
        <w:t>atkārtoti apstiprinot arī</w:t>
      </w:r>
      <w:r>
        <w:rPr>
          <w:sz w:val="24"/>
        </w:rPr>
        <w:t xml:space="preserve"> savu nepārprotamo nosodījumu teroristu uzbrukumiem, kas notika Ņujorkā, Vašingtonā, Kolumbijas apgabalā, un Pensilvānijā 2001. gada 11. septembrī, un paužot apņēmību novērst jebkuras šādas darbības,</w:t>
      </w:r>
    </w:p>
    <w:p w14:paraId="16D37B4F" w14:textId="77777777" w:rsidR="000730DB" w:rsidRDefault="000730DB" w:rsidP="000730DB">
      <w:pPr>
        <w:pStyle w:val="BodyText"/>
        <w:spacing w:before="0"/>
        <w:ind w:left="0" w:firstLine="426"/>
        <w:jc w:val="both"/>
        <w:rPr>
          <w:i/>
          <w:noProof/>
          <w:sz w:val="24"/>
        </w:rPr>
      </w:pPr>
    </w:p>
    <w:p w14:paraId="253C0AC1" w14:textId="306B1363" w:rsidR="00236989" w:rsidRPr="000730DB" w:rsidRDefault="00236989" w:rsidP="000730DB">
      <w:pPr>
        <w:pStyle w:val="BodyText"/>
        <w:spacing w:before="0"/>
        <w:ind w:left="0" w:firstLine="426"/>
        <w:jc w:val="both"/>
        <w:rPr>
          <w:noProof/>
          <w:sz w:val="24"/>
        </w:rPr>
      </w:pPr>
      <w:r>
        <w:rPr>
          <w:i/>
          <w:sz w:val="24"/>
        </w:rPr>
        <w:t>atkārtoti apstiprinot arī</w:t>
      </w:r>
      <w:r>
        <w:rPr>
          <w:sz w:val="24"/>
        </w:rPr>
        <w:t xml:space="preserve"> to, ka šādi uzbrukumi, tāpat kā jebkurš starptautiskais terora akts, ir drauds starptautiskajam mieram un drošībai,</w:t>
      </w:r>
    </w:p>
    <w:p w14:paraId="6B0C3CBE" w14:textId="77777777" w:rsidR="000730DB" w:rsidRDefault="000730DB" w:rsidP="000730DB">
      <w:pPr>
        <w:pStyle w:val="BodyText"/>
        <w:spacing w:before="0"/>
        <w:ind w:left="0" w:firstLine="426"/>
        <w:jc w:val="both"/>
        <w:rPr>
          <w:i/>
          <w:noProof/>
          <w:sz w:val="24"/>
        </w:rPr>
      </w:pPr>
    </w:p>
    <w:p w14:paraId="0B75518D" w14:textId="4A2E3DF8" w:rsidR="00236989" w:rsidRPr="000730DB" w:rsidRDefault="00236989" w:rsidP="000730DB">
      <w:pPr>
        <w:pStyle w:val="BodyText"/>
        <w:spacing w:before="0"/>
        <w:ind w:left="0" w:firstLine="426"/>
        <w:jc w:val="both"/>
        <w:rPr>
          <w:noProof/>
          <w:sz w:val="24"/>
        </w:rPr>
      </w:pPr>
      <w:r>
        <w:rPr>
          <w:i/>
          <w:sz w:val="24"/>
        </w:rPr>
        <w:t>atkārtoti apstiprinot</w:t>
      </w:r>
      <w:r>
        <w:rPr>
          <w:sz w:val="24"/>
        </w:rPr>
        <w:t xml:space="preserve"> cilvēkiem piemītošās tiesības uz individuālu vai kolektīvu pašaizsardzību, kas atzītas Apvienoto Nāciju Organizācijas Statūtos un atkārtoti uzsvērtas rezolūcijā 1368 (2001),</w:t>
      </w:r>
    </w:p>
    <w:p w14:paraId="74EA8E87" w14:textId="77777777" w:rsidR="000730DB" w:rsidRDefault="000730DB" w:rsidP="000730DB">
      <w:pPr>
        <w:pStyle w:val="BodyText"/>
        <w:spacing w:before="0"/>
        <w:ind w:left="0" w:firstLine="426"/>
        <w:jc w:val="both"/>
        <w:rPr>
          <w:i/>
          <w:noProof/>
          <w:sz w:val="24"/>
        </w:rPr>
      </w:pPr>
    </w:p>
    <w:p w14:paraId="2EC653FB" w14:textId="4F832335" w:rsidR="00236989" w:rsidRPr="000730DB" w:rsidRDefault="00236989" w:rsidP="000730DB">
      <w:pPr>
        <w:pStyle w:val="BodyText"/>
        <w:spacing w:before="0"/>
        <w:ind w:left="0" w:firstLine="426"/>
        <w:jc w:val="both"/>
        <w:rPr>
          <w:noProof/>
          <w:sz w:val="24"/>
        </w:rPr>
      </w:pPr>
      <w:r>
        <w:rPr>
          <w:i/>
          <w:sz w:val="24"/>
        </w:rPr>
        <w:t>atkārtoti apstiprinot</w:t>
      </w:r>
      <w:r>
        <w:rPr>
          <w:sz w:val="24"/>
        </w:rPr>
        <w:t xml:space="preserve"> nepieciešamību saskaņā ar Apvienoto Nāciju Organizācijas Statūtiem katrā ziņā apkarot terora aktu radītos draudus starptautiskajam mieram un drošībai,</w:t>
      </w:r>
    </w:p>
    <w:p w14:paraId="4D911391" w14:textId="77777777" w:rsidR="000730DB" w:rsidRDefault="000730DB" w:rsidP="000730DB">
      <w:pPr>
        <w:pStyle w:val="BodyText"/>
        <w:spacing w:before="0"/>
        <w:ind w:left="0" w:firstLine="426"/>
        <w:jc w:val="both"/>
        <w:rPr>
          <w:i/>
          <w:noProof/>
          <w:sz w:val="24"/>
        </w:rPr>
      </w:pPr>
    </w:p>
    <w:p w14:paraId="0990A226" w14:textId="656ACEEC" w:rsidR="00236989" w:rsidRPr="000730DB" w:rsidRDefault="00236989" w:rsidP="000730DB">
      <w:pPr>
        <w:pStyle w:val="BodyText"/>
        <w:spacing w:before="0"/>
        <w:ind w:left="0" w:firstLine="426"/>
        <w:jc w:val="both"/>
        <w:rPr>
          <w:noProof/>
          <w:sz w:val="24"/>
        </w:rPr>
      </w:pPr>
      <w:r>
        <w:rPr>
          <w:i/>
          <w:sz w:val="24"/>
        </w:rPr>
        <w:t>paužot dziļas bažas</w:t>
      </w:r>
      <w:r>
        <w:rPr>
          <w:sz w:val="24"/>
        </w:rPr>
        <w:t xml:space="preserve"> par to, ka dažādos pasaules reģionos pieaug terora aktu skaits, kuru iemesls ir neiecietība vai ekstrēmisms,</w:t>
      </w:r>
    </w:p>
    <w:p w14:paraId="496BD38B" w14:textId="77777777" w:rsidR="000730DB" w:rsidRDefault="000730DB" w:rsidP="000730DB">
      <w:pPr>
        <w:pStyle w:val="BodyText"/>
        <w:spacing w:before="0"/>
        <w:ind w:left="0" w:firstLine="426"/>
        <w:jc w:val="both"/>
        <w:rPr>
          <w:i/>
          <w:noProof/>
          <w:sz w:val="24"/>
        </w:rPr>
      </w:pPr>
    </w:p>
    <w:p w14:paraId="0CA936BE" w14:textId="51A887BA" w:rsidR="00236989" w:rsidRPr="000730DB" w:rsidRDefault="00236989" w:rsidP="000730DB">
      <w:pPr>
        <w:pStyle w:val="BodyText"/>
        <w:spacing w:before="0"/>
        <w:ind w:left="0" w:firstLine="426"/>
        <w:jc w:val="both"/>
        <w:rPr>
          <w:noProof/>
          <w:sz w:val="24"/>
        </w:rPr>
      </w:pPr>
      <w:r>
        <w:rPr>
          <w:i/>
          <w:sz w:val="24"/>
        </w:rPr>
        <w:t>aicinot</w:t>
      </w:r>
      <w:r>
        <w:rPr>
          <w:sz w:val="24"/>
        </w:rPr>
        <w:t xml:space="preserve"> valstis steidzami sadarboties, lai novērstu un apspiestu terora aktus, tostarp pastiprinot sadarbību un pilnībā īstenojot attiecīgās starptautiskās konvencijas, kas attiecas uz terorisma apkarošanu,</w:t>
      </w:r>
    </w:p>
    <w:p w14:paraId="2659D63B" w14:textId="77777777" w:rsidR="000730DB" w:rsidRDefault="000730DB" w:rsidP="000730DB">
      <w:pPr>
        <w:pStyle w:val="BodyText"/>
        <w:spacing w:before="0"/>
        <w:ind w:left="0" w:firstLine="426"/>
        <w:jc w:val="both"/>
        <w:rPr>
          <w:i/>
          <w:noProof/>
          <w:sz w:val="24"/>
        </w:rPr>
      </w:pPr>
    </w:p>
    <w:p w14:paraId="52A5CD92" w14:textId="489F67B1" w:rsidR="00236989" w:rsidRPr="000730DB" w:rsidRDefault="00236989" w:rsidP="000730DB">
      <w:pPr>
        <w:pStyle w:val="BodyText"/>
        <w:spacing w:before="0"/>
        <w:ind w:left="0" w:firstLine="426"/>
        <w:jc w:val="both"/>
        <w:rPr>
          <w:noProof/>
          <w:sz w:val="24"/>
        </w:rPr>
      </w:pPr>
      <w:r>
        <w:rPr>
          <w:i/>
          <w:sz w:val="24"/>
        </w:rPr>
        <w:t>atzīstot</w:t>
      </w:r>
      <w:r>
        <w:rPr>
          <w:sz w:val="24"/>
        </w:rPr>
        <w:t>, ka valstīm ir jāpapildina starptautiskā sadarbība, veicot papildu pasākumus, lai ar visiem likumīgiem līdzekļiem savās teritorijās novērstu un apkarotu terora aktu finansēšanu un sagatavošanu,</w:t>
      </w:r>
    </w:p>
    <w:p w14:paraId="41DFD7F5" w14:textId="77777777" w:rsidR="000730DB" w:rsidRDefault="000730DB" w:rsidP="000730DB">
      <w:pPr>
        <w:pStyle w:val="BodyText"/>
        <w:spacing w:before="0"/>
        <w:ind w:left="0" w:firstLine="426"/>
        <w:jc w:val="both"/>
        <w:rPr>
          <w:i/>
          <w:noProof/>
          <w:sz w:val="24"/>
        </w:rPr>
      </w:pPr>
    </w:p>
    <w:p w14:paraId="3DCC3CDF" w14:textId="5F7C629C" w:rsidR="00236989" w:rsidRPr="000730DB" w:rsidRDefault="00236989" w:rsidP="000730DB">
      <w:pPr>
        <w:pStyle w:val="BodyText"/>
        <w:spacing w:before="0"/>
        <w:ind w:left="0" w:firstLine="426"/>
        <w:jc w:val="both"/>
        <w:rPr>
          <w:noProof/>
          <w:sz w:val="24"/>
        </w:rPr>
      </w:pPr>
      <w:r>
        <w:rPr>
          <w:i/>
          <w:sz w:val="24"/>
        </w:rPr>
        <w:t>atkārtoti apstiprinot</w:t>
      </w:r>
      <w:r>
        <w:rPr>
          <w:sz w:val="24"/>
        </w:rPr>
        <w:t xml:space="preserve"> principu, kuru Ģenerālā asambleja noteikusi savā 1970. gada oktobra deklarācijā (rezolūcija 2625 (XXV)) un kuru Drošības padome atkārtoti norādīja savā 1998. gada 13. augusta rezolūcijā 1189 (1998), proti, ka katras valsts pienākums ir atturēties no terora aktu organizēšanas, provocēšanas un atbalstīšanas citās valstīs un dalības tajos, un nepieļaut savā teritorijā tādas organizētas darbības, kas būtu vērstas uz šādu aktu izdarīšanu,</w:t>
      </w:r>
    </w:p>
    <w:p w14:paraId="3BDB25B3" w14:textId="77777777" w:rsidR="000730DB" w:rsidRDefault="000730DB" w:rsidP="000730DB">
      <w:pPr>
        <w:pStyle w:val="BodyText"/>
        <w:spacing w:before="0"/>
        <w:ind w:left="0" w:firstLine="426"/>
        <w:jc w:val="both"/>
        <w:rPr>
          <w:i/>
          <w:noProof/>
          <w:sz w:val="24"/>
        </w:rPr>
      </w:pPr>
    </w:p>
    <w:p w14:paraId="5F4800E4" w14:textId="436CB150" w:rsidR="00236989" w:rsidRPr="000730DB" w:rsidRDefault="00236989" w:rsidP="000730DB">
      <w:pPr>
        <w:pStyle w:val="BodyText"/>
        <w:spacing w:before="0"/>
        <w:ind w:left="0" w:firstLine="426"/>
        <w:jc w:val="both"/>
        <w:rPr>
          <w:noProof/>
          <w:sz w:val="24"/>
        </w:rPr>
      </w:pPr>
      <w:r>
        <w:rPr>
          <w:i/>
          <w:sz w:val="24"/>
        </w:rPr>
        <w:t>rīkojoties</w:t>
      </w:r>
      <w:r>
        <w:rPr>
          <w:sz w:val="24"/>
        </w:rPr>
        <w:t xml:space="preserve"> saskaņā ar Apvienoto Nāciju Organizācijas Statūtu VII nodaļu,</w:t>
      </w:r>
    </w:p>
    <w:p w14:paraId="2BB4F1F5" w14:textId="77777777" w:rsidR="00236989" w:rsidRPr="000730DB" w:rsidRDefault="00236989" w:rsidP="000730DB">
      <w:pPr>
        <w:jc w:val="both"/>
        <w:rPr>
          <w:rFonts w:ascii="Times New Roman" w:eastAsia="Times New Roman" w:hAnsi="Times New Roman" w:cs="Times New Roman"/>
          <w:b/>
          <w:bCs/>
          <w:noProof/>
          <w:sz w:val="24"/>
          <w:szCs w:val="17"/>
        </w:rPr>
      </w:pPr>
    </w:p>
    <w:p w14:paraId="57B320C4" w14:textId="6122C024" w:rsidR="00236989" w:rsidRPr="000730DB" w:rsidRDefault="000730DB" w:rsidP="000730DB">
      <w:pPr>
        <w:tabs>
          <w:tab w:val="left" w:pos="2354"/>
        </w:tabs>
        <w:jc w:val="both"/>
        <w:rPr>
          <w:rFonts w:ascii="Times New Roman" w:eastAsia="Times New Roman" w:hAnsi="Times New Roman" w:cs="Times New Roman"/>
          <w:noProof/>
          <w:sz w:val="24"/>
          <w:szCs w:val="20"/>
        </w:rPr>
      </w:pPr>
      <w:r>
        <w:rPr>
          <w:rFonts w:ascii="Times New Roman" w:hAnsi="Times New Roman"/>
          <w:sz w:val="24"/>
        </w:rPr>
        <w:t xml:space="preserve">1. </w:t>
      </w:r>
      <w:r>
        <w:rPr>
          <w:rFonts w:ascii="Times New Roman" w:hAnsi="Times New Roman"/>
          <w:i/>
          <w:sz w:val="24"/>
        </w:rPr>
        <w:t>nolemj</w:t>
      </w:r>
      <w:r>
        <w:rPr>
          <w:rFonts w:ascii="Times New Roman" w:hAnsi="Times New Roman"/>
          <w:sz w:val="24"/>
        </w:rPr>
        <w:t>, ka visas valstis:</w:t>
      </w:r>
    </w:p>
    <w:p w14:paraId="0A719898" w14:textId="77777777" w:rsidR="000730DB" w:rsidRDefault="000730DB" w:rsidP="000730DB">
      <w:pPr>
        <w:pStyle w:val="BodyText"/>
        <w:tabs>
          <w:tab w:val="left" w:pos="2354"/>
        </w:tabs>
        <w:spacing w:before="0"/>
        <w:ind w:left="0" w:firstLine="0"/>
        <w:jc w:val="both"/>
        <w:rPr>
          <w:noProof/>
          <w:sz w:val="24"/>
        </w:rPr>
      </w:pPr>
    </w:p>
    <w:p w14:paraId="0DFCD41A" w14:textId="56444217" w:rsidR="00236989" w:rsidRPr="000730DB" w:rsidRDefault="004973F4" w:rsidP="000730DB">
      <w:pPr>
        <w:pStyle w:val="BodyText"/>
        <w:tabs>
          <w:tab w:val="left" w:pos="2354"/>
        </w:tabs>
        <w:spacing w:before="0"/>
        <w:ind w:left="0" w:firstLine="0"/>
        <w:jc w:val="both"/>
        <w:rPr>
          <w:noProof/>
          <w:sz w:val="24"/>
        </w:rPr>
      </w:pPr>
      <w:r>
        <w:rPr>
          <w:sz w:val="24"/>
        </w:rPr>
        <w:t>a) novērš un aptur terora aktu finansēšanu;</w:t>
      </w:r>
    </w:p>
    <w:p w14:paraId="54748E77" w14:textId="77777777" w:rsidR="004973F4" w:rsidRDefault="004973F4" w:rsidP="004973F4">
      <w:pPr>
        <w:pStyle w:val="BodyText"/>
        <w:tabs>
          <w:tab w:val="left" w:pos="2354"/>
        </w:tabs>
        <w:spacing w:before="0"/>
        <w:ind w:left="0" w:firstLine="0"/>
        <w:jc w:val="both"/>
        <w:rPr>
          <w:noProof/>
          <w:sz w:val="24"/>
        </w:rPr>
      </w:pPr>
    </w:p>
    <w:p w14:paraId="37619534" w14:textId="47B1BB2A" w:rsidR="00236989" w:rsidRPr="000730DB" w:rsidRDefault="004973F4" w:rsidP="004973F4">
      <w:pPr>
        <w:pStyle w:val="BodyText"/>
        <w:tabs>
          <w:tab w:val="left" w:pos="2354"/>
        </w:tabs>
        <w:spacing w:before="0"/>
        <w:ind w:left="0" w:firstLine="0"/>
        <w:jc w:val="both"/>
        <w:rPr>
          <w:noProof/>
          <w:sz w:val="24"/>
        </w:rPr>
      </w:pPr>
      <w:r>
        <w:rPr>
          <w:sz w:val="24"/>
        </w:rPr>
        <w:t xml:space="preserve">b) pasludina, ka tās valstspiederīgo vai citu tās teritorijā esošo personu apzināta, tieša vai netieša, līdzekļu piešķiršana vai vākšana jebkādā veidā ar nolūku izmantot šos līdzekļus terora aktu veikšanai vai apzināšanās, ka tie tiks izmantoti šādam mērķim, ir </w:t>
      </w:r>
      <w:r w:rsidR="00591B4C">
        <w:rPr>
          <w:sz w:val="24"/>
        </w:rPr>
        <w:t>noziedzīgs nodarījums</w:t>
      </w:r>
      <w:r>
        <w:rPr>
          <w:sz w:val="24"/>
        </w:rPr>
        <w:t>;</w:t>
      </w:r>
    </w:p>
    <w:p w14:paraId="3ECBDC9E" w14:textId="77777777" w:rsidR="004973F4" w:rsidRDefault="004973F4" w:rsidP="004973F4">
      <w:pPr>
        <w:pStyle w:val="BodyText"/>
        <w:tabs>
          <w:tab w:val="left" w:pos="2354"/>
        </w:tabs>
        <w:spacing w:before="0"/>
        <w:ind w:left="0" w:firstLine="0"/>
        <w:jc w:val="both"/>
        <w:rPr>
          <w:noProof/>
          <w:sz w:val="24"/>
        </w:rPr>
      </w:pPr>
    </w:p>
    <w:p w14:paraId="35A5C8BA" w14:textId="40431ED1" w:rsidR="00236989" w:rsidRPr="000730DB" w:rsidRDefault="004973F4" w:rsidP="004973F4">
      <w:pPr>
        <w:pStyle w:val="BodyText"/>
        <w:tabs>
          <w:tab w:val="left" w:pos="2354"/>
        </w:tabs>
        <w:spacing w:before="0"/>
        <w:ind w:left="0" w:firstLine="0"/>
        <w:jc w:val="both"/>
        <w:rPr>
          <w:noProof/>
          <w:sz w:val="24"/>
        </w:rPr>
      </w:pPr>
      <w:r>
        <w:rPr>
          <w:sz w:val="24"/>
        </w:rPr>
        <w:t>c) nekavējoties iesaldē līdzekļus un citus finanšu aktīvus vai saimnieciskos resursus, personām, kas veic vai mēģina veikt terora aktus, piedalās terora aktu veikšanā vai veicina tos, organizācijām, kas tieši vai netieši pieder šādām personām vai ir to kontrolē, un personām un organizācijām, kas darbojas šādu personu un organizāciju vārdā vai vadībā, tostarp nekavējoties iesaldē līdzekļus, kas iegūti vai radīti no īpašumiem, kas tieši vai netieši pieder šādām personām un ar tām saistītām personām un organizācijām vai ir to kontrolē;</w:t>
      </w:r>
    </w:p>
    <w:p w14:paraId="428E26CF" w14:textId="77777777" w:rsidR="004973F4" w:rsidRDefault="004973F4" w:rsidP="004973F4">
      <w:pPr>
        <w:pStyle w:val="BodyText"/>
        <w:tabs>
          <w:tab w:val="left" w:pos="2354"/>
        </w:tabs>
        <w:spacing w:before="0"/>
        <w:ind w:left="0" w:firstLine="0"/>
        <w:jc w:val="both"/>
        <w:rPr>
          <w:noProof/>
          <w:sz w:val="24"/>
        </w:rPr>
      </w:pPr>
    </w:p>
    <w:p w14:paraId="3412636F" w14:textId="13CA89FF" w:rsidR="00236989" w:rsidRPr="000730DB" w:rsidRDefault="004973F4" w:rsidP="004973F4">
      <w:pPr>
        <w:pStyle w:val="BodyText"/>
        <w:tabs>
          <w:tab w:val="left" w:pos="2354"/>
        </w:tabs>
        <w:spacing w:before="0"/>
        <w:ind w:left="0" w:firstLine="0"/>
        <w:jc w:val="both"/>
        <w:rPr>
          <w:noProof/>
          <w:sz w:val="24"/>
        </w:rPr>
      </w:pPr>
      <w:r>
        <w:rPr>
          <w:sz w:val="24"/>
        </w:rPr>
        <w:t>d) aizliedz saviem valstspiederīgajiem vai jebkurai personai un organizācijai savā teritorijā tieši vai netieši padarīt pieejamus līdzekļus, finanšu aktīvus vai saimnieciskos resursus, vai finanšu vai citus saistītus pakalpojumus, lai no tiem varētu gūt labumu personas, kas veic vai mēģina veikt terora aktus, veicina to veikšanu vai piedalās to veikšanā, organizācijas, kas tieši vai netieši pieder šīm personām vai ir to kontrolē, kā arī personas un organizācijas, kas rīkojas šādu personu vārdā vai vadībā;</w:t>
      </w:r>
    </w:p>
    <w:p w14:paraId="7689ABC7" w14:textId="77777777" w:rsidR="004973F4" w:rsidRDefault="004973F4" w:rsidP="004973F4">
      <w:pPr>
        <w:tabs>
          <w:tab w:val="left" w:pos="2354"/>
        </w:tabs>
        <w:jc w:val="both"/>
        <w:rPr>
          <w:rFonts w:ascii="Times New Roman" w:hAnsi="Times New Roman"/>
          <w:i/>
          <w:noProof/>
          <w:sz w:val="24"/>
        </w:rPr>
      </w:pPr>
    </w:p>
    <w:p w14:paraId="407D6753" w14:textId="666C964D" w:rsidR="00236989" w:rsidRPr="000730DB" w:rsidRDefault="004973F4" w:rsidP="004973F4">
      <w:pPr>
        <w:tabs>
          <w:tab w:val="left" w:pos="2354"/>
        </w:tabs>
        <w:jc w:val="both"/>
        <w:rPr>
          <w:rFonts w:ascii="Times New Roman" w:eastAsia="Times New Roman" w:hAnsi="Times New Roman" w:cs="Times New Roman"/>
          <w:noProof/>
          <w:sz w:val="24"/>
          <w:szCs w:val="20"/>
        </w:rPr>
      </w:pPr>
      <w:r>
        <w:rPr>
          <w:rFonts w:ascii="Times New Roman" w:hAnsi="Times New Roman"/>
          <w:sz w:val="24"/>
        </w:rPr>
        <w:t xml:space="preserve">2. </w:t>
      </w:r>
      <w:r>
        <w:rPr>
          <w:rFonts w:ascii="Times New Roman" w:hAnsi="Times New Roman"/>
          <w:i/>
          <w:sz w:val="24"/>
        </w:rPr>
        <w:t>nolemj arī</w:t>
      </w:r>
      <w:r>
        <w:rPr>
          <w:rFonts w:ascii="Times New Roman" w:hAnsi="Times New Roman"/>
          <w:sz w:val="24"/>
        </w:rPr>
        <w:t>, ka visas valstis:</w:t>
      </w:r>
    </w:p>
    <w:p w14:paraId="6CF0CC59" w14:textId="77777777" w:rsidR="004973F4" w:rsidRDefault="004973F4" w:rsidP="004973F4">
      <w:pPr>
        <w:pStyle w:val="BodyText"/>
        <w:tabs>
          <w:tab w:val="left" w:pos="2354"/>
        </w:tabs>
        <w:spacing w:before="0"/>
        <w:ind w:left="0" w:firstLine="0"/>
        <w:jc w:val="both"/>
        <w:rPr>
          <w:noProof/>
          <w:sz w:val="24"/>
        </w:rPr>
      </w:pPr>
    </w:p>
    <w:p w14:paraId="25F1B85D" w14:textId="53CA73D0" w:rsidR="00236989" w:rsidRPr="000730DB" w:rsidRDefault="004973F4" w:rsidP="004973F4">
      <w:pPr>
        <w:pStyle w:val="BodyText"/>
        <w:tabs>
          <w:tab w:val="left" w:pos="2354"/>
        </w:tabs>
        <w:spacing w:before="0"/>
        <w:ind w:left="0" w:firstLine="0"/>
        <w:jc w:val="both"/>
        <w:rPr>
          <w:noProof/>
          <w:sz w:val="24"/>
        </w:rPr>
      </w:pPr>
      <w:r>
        <w:rPr>
          <w:sz w:val="24"/>
        </w:rPr>
        <w:t xml:space="preserve">a) </w:t>
      </w:r>
      <w:r w:rsidR="00591B4C">
        <w:rPr>
          <w:sz w:val="24"/>
        </w:rPr>
        <w:t>atturas sniegt jebkāda</w:t>
      </w:r>
      <w:r>
        <w:rPr>
          <w:sz w:val="24"/>
        </w:rPr>
        <w:t xml:space="preserve"> veida, aktīvu vai pasīvu, atbalstu organizācijām vai personām, kas ir iesaistītas terora aktos, tostarp apspiež teroristu grupu dalībnieku vervēšanu un izskauž ieroču piegādi teroristiem;</w:t>
      </w:r>
    </w:p>
    <w:p w14:paraId="572DEB4D" w14:textId="77777777" w:rsidR="004973F4" w:rsidRDefault="004973F4" w:rsidP="004973F4">
      <w:pPr>
        <w:pStyle w:val="BodyText"/>
        <w:tabs>
          <w:tab w:val="left" w:pos="2354"/>
        </w:tabs>
        <w:spacing w:before="0"/>
        <w:ind w:left="0" w:firstLine="0"/>
        <w:jc w:val="both"/>
        <w:rPr>
          <w:noProof/>
          <w:sz w:val="24"/>
        </w:rPr>
      </w:pPr>
    </w:p>
    <w:p w14:paraId="453AA020" w14:textId="7C88F167" w:rsidR="00236989" w:rsidRPr="000730DB" w:rsidRDefault="004973F4" w:rsidP="004973F4">
      <w:pPr>
        <w:pStyle w:val="BodyText"/>
        <w:tabs>
          <w:tab w:val="left" w:pos="2354"/>
        </w:tabs>
        <w:spacing w:before="0"/>
        <w:ind w:left="0" w:firstLine="0"/>
        <w:jc w:val="both"/>
        <w:rPr>
          <w:noProof/>
          <w:sz w:val="24"/>
        </w:rPr>
      </w:pPr>
      <w:r>
        <w:rPr>
          <w:sz w:val="24"/>
        </w:rPr>
        <w:t>b) attiecīgi rīkojas, lai novērstu terora aktu izdarīšanu, tostarp nodrošina citu valstu agrīnu brīdināšanu, veicot informācijas apmaiņu;</w:t>
      </w:r>
    </w:p>
    <w:p w14:paraId="61DC41B9" w14:textId="77777777" w:rsidR="004973F4" w:rsidRDefault="004973F4" w:rsidP="004973F4">
      <w:pPr>
        <w:pStyle w:val="BodyText"/>
        <w:tabs>
          <w:tab w:val="left" w:pos="2354"/>
        </w:tabs>
        <w:spacing w:before="0"/>
        <w:ind w:left="0" w:firstLine="0"/>
        <w:jc w:val="both"/>
        <w:rPr>
          <w:noProof/>
          <w:sz w:val="24"/>
        </w:rPr>
      </w:pPr>
    </w:p>
    <w:p w14:paraId="751DCB61" w14:textId="33673752" w:rsidR="00236989" w:rsidRPr="000730DB" w:rsidRDefault="004973F4" w:rsidP="004973F4">
      <w:pPr>
        <w:pStyle w:val="BodyText"/>
        <w:tabs>
          <w:tab w:val="left" w:pos="2354"/>
        </w:tabs>
        <w:spacing w:before="0"/>
        <w:ind w:left="0" w:firstLine="0"/>
        <w:jc w:val="both"/>
        <w:rPr>
          <w:noProof/>
          <w:sz w:val="24"/>
        </w:rPr>
      </w:pPr>
      <w:r>
        <w:rPr>
          <w:sz w:val="24"/>
        </w:rPr>
        <w:t>c) liedz drošu patvērumu tiem, kas finansē, plāno, atbalsta vai veic terora aktus vai sniedz drošu patvērumu šādām personām;</w:t>
      </w:r>
    </w:p>
    <w:p w14:paraId="763374B7" w14:textId="77777777" w:rsidR="004973F4" w:rsidRDefault="004973F4" w:rsidP="004973F4">
      <w:pPr>
        <w:pStyle w:val="BodyText"/>
        <w:tabs>
          <w:tab w:val="left" w:pos="2354"/>
        </w:tabs>
        <w:spacing w:before="0"/>
        <w:ind w:left="0" w:firstLine="0"/>
        <w:jc w:val="both"/>
        <w:rPr>
          <w:noProof/>
          <w:sz w:val="24"/>
        </w:rPr>
      </w:pPr>
    </w:p>
    <w:p w14:paraId="13104DB0" w14:textId="54275441" w:rsidR="00236989" w:rsidRPr="000730DB" w:rsidRDefault="004973F4" w:rsidP="004973F4">
      <w:pPr>
        <w:pStyle w:val="BodyText"/>
        <w:tabs>
          <w:tab w:val="left" w:pos="2354"/>
        </w:tabs>
        <w:spacing w:before="0"/>
        <w:ind w:left="0" w:firstLine="0"/>
        <w:jc w:val="both"/>
        <w:rPr>
          <w:noProof/>
          <w:sz w:val="24"/>
        </w:rPr>
      </w:pPr>
      <w:r>
        <w:rPr>
          <w:sz w:val="24"/>
        </w:rPr>
        <w:t>d) nepieļauj, ka tie, kas finansē, plāno, veicina vai veic terora aktus, izmanto to attiecīgās teritorijas šajos nolūkos pret citām valstīm vai to pilsoņiem;</w:t>
      </w:r>
    </w:p>
    <w:p w14:paraId="7D58DDF3" w14:textId="77777777" w:rsidR="004973F4" w:rsidRDefault="004973F4" w:rsidP="004973F4">
      <w:pPr>
        <w:pStyle w:val="BodyText"/>
        <w:tabs>
          <w:tab w:val="left" w:pos="2354"/>
        </w:tabs>
        <w:spacing w:before="0"/>
        <w:ind w:left="0" w:firstLine="0"/>
        <w:jc w:val="both"/>
        <w:rPr>
          <w:noProof/>
          <w:sz w:val="24"/>
        </w:rPr>
      </w:pPr>
    </w:p>
    <w:p w14:paraId="73811FBE" w14:textId="15AB207E" w:rsidR="00236989" w:rsidRPr="000730DB" w:rsidRDefault="004973F4" w:rsidP="004973F4">
      <w:pPr>
        <w:pStyle w:val="BodyText"/>
        <w:tabs>
          <w:tab w:val="left" w:pos="2354"/>
        </w:tabs>
        <w:spacing w:before="0"/>
        <w:ind w:left="0" w:firstLine="0"/>
        <w:jc w:val="both"/>
        <w:rPr>
          <w:noProof/>
          <w:sz w:val="24"/>
        </w:rPr>
      </w:pPr>
      <w:r>
        <w:rPr>
          <w:sz w:val="24"/>
        </w:rPr>
        <w:t>e) nodrošina, lai visas personas, kas piedalās terora aktu finansēšanā, plānošanā, gatavošanā vai izdarīšanā vai atbalsta terora aktus, tiktu sauktas pie atbildības, un nodrošina, ka papildus visiem citiem pret terora aktiem vērstajiem pasākumiem tie valsts normatīvajos aktos tiek atzīti par smagiem noziedzīgiem nodarījumiem un sods pienācīgi atspoguļo terora aktu nopietnību;</w:t>
      </w:r>
    </w:p>
    <w:p w14:paraId="234BEA0B" w14:textId="77777777" w:rsidR="004973F4" w:rsidRDefault="004973F4" w:rsidP="004973F4">
      <w:pPr>
        <w:pStyle w:val="BodyText"/>
        <w:tabs>
          <w:tab w:val="left" w:pos="2354"/>
        </w:tabs>
        <w:spacing w:before="0"/>
        <w:ind w:left="0" w:firstLine="0"/>
        <w:jc w:val="both"/>
        <w:rPr>
          <w:noProof/>
          <w:sz w:val="24"/>
        </w:rPr>
      </w:pPr>
    </w:p>
    <w:p w14:paraId="3BABAED0" w14:textId="5CF02947" w:rsidR="00236989" w:rsidRPr="000730DB" w:rsidRDefault="004973F4" w:rsidP="004973F4">
      <w:pPr>
        <w:pStyle w:val="BodyText"/>
        <w:tabs>
          <w:tab w:val="left" w:pos="2354"/>
        </w:tabs>
        <w:spacing w:before="0"/>
        <w:ind w:left="0" w:firstLine="0"/>
        <w:jc w:val="both"/>
        <w:rPr>
          <w:noProof/>
          <w:sz w:val="24"/>
        </w:rPr>
      </w:pPr>
      <w:r>
        <w:rPr>
          <w:sz w:val="24"/>
        </w:rPr>
        <w:t>f) cita citai sniedz vislielāko iespējamo palīdzību saistībā ar izmeklēšanām vai kriminālprocesiem attiecībā uz terora aktu finansēšanu vai atbalstīšanu, tostarp palīdzību to rīcībā esošo pierādījumu iegūšanā, kas nepieciešami tiesvedībām;</w:t>
      </w:r>
    </w:p>
    <w:p w14:paraId="7C719884" w14:textId="77777777" w:rsidR="004973F4" w:rsidRDefault="004973F4" w:rsidP="004973F4">
      <w:pPr>
        <w:pStyle w:val="BodyText"/>
        <w:tabs>
          <w:tab w:val="left" w:pos="2354"/>
        </w:tabs>
        <w:spacing w:before="0"/>
        <w:ind w:left="0" w:firstLine="0"/>
        <w:jc w:val="both"/>
        <w:rPr>
          <w:noProof/>
          <w:sz w:val="24"/>
        </w:rPr>
      </w:pPr>
    </w:p>
    <w:p w14:paraId="445E45E4" w14:textId="17989EFA" w:rsidR="00236989" w:rsidRPr="000730DB" w:rsidRDefault="004973F4" w:rsidP="004973F4">
      <w:pPr>
        <w:pStyle w:val="BodyText"/>
        <w:tabs>
          <w:tab w:val="left" w:pos="2354"/>
        </w:tabs>
        <w:spacing w:before="0"/>
        <w:ind w:left="0" w:firstLine="0"/>
        <w:jc w:val="both"/>
        <w:rPr>
          <w:noProof/>
          <w:sz w:val="24"/>
        </w:rPr>
      </w:pPr>
      <w:r>
        <w:rPr>
          <w:sz w:val="24"/>
        </w:rPr>
        <w:t>g) novērš atsevišķu teroristu vai teroristu grupu pārvietošanos, īstenojot efektīvu robežkontroli un personu apliecinošu dokumentu un ceļošanas dokumentu izsniegšanas kontroli, kā arī veicot pasākumus ar mērķi novērst personu apliecinošu dokumentu un ceļošanas dokumentu viltošanu, falsificēšanu vai negodīgu izmantošanu;</w:t>
      </w:r>
    </w:p>
    <w:p w14:paraId="245C10AF" w14:textId="77777777" w:rsidR="00236989" w:rsidRPr="000730DB" w:rsidRDefault="00236989" w:rsidP="000730DB">
      <w:pPr>
        <w:jc w:val="both"/>
        <w:rPr>
          <w:rFonts w:ascii="Times New Roman" w:eastAsia="Times New Roman" w:hAnsi="Times New Roman" w:cs="Times New Roman"/>
          <w:b/>
          <w:bCs/>
          <w:noProof/>
          <w:sz w:val="24"/>
          <w:szCs w:val="17"/>
        </w:rPr>
      </w:pPr>
    </w:p>
    <w:p w14:paraId="7AF8C6DD" w14:textId="4CD1D823" w:rsidR="00236989" w:rsidRPr="000730DB" w:rsidRDefault="004973F4" w:rsidP="004B280D">
      <w:pPr>
        <w:keepNext/>
        <w:tabs>
          <w:tab w:val="left" w:pos="2354"/>
        </w:tabs>
        <w:jc w:val="both"/>
        <w:rPr>
          <w:rFonts w:ascii="Times New Roman" w:eastAsia="Times New Roman" w:hAnsi="Times New Roman" w:cs="Times New Roman"/>
          <w:noProof/>
          <w:sz w:val="24"/>
          <w:szCs w:val="20"/>
        </w:rPr>
      </w:pPr>
      <w:r>
        <w:rPr>
          <w:rFonts w:ascii="Times New Roman" w:hAnsi="Times New Roman"/>
          <w:sz w:val="24"/>
        </w:rPr>
        <w:lastRenderedPageBreak/>
        <w:t xml:space="preserve">3. </w:t>
      </w:r>
      <w:r>
        <w:rPr>
          <w:rFonts w:ascii="Times New Roman" w:hAnsi="Times New Roman"/>
          <w:i/>
          <w:sz w:val="24"/>
        </w:rPr>
        <w:t>aicina</w:t>
      </w:r>
      <w:r>
        <w:rPr>
          <w:rFonts w:ascii="Times New Roman" w:hAnsi="Times New Roman"/>
          <w:sz w:val="24"/>
        </w:rPr>
        <w:t xml:space="preserve"> visas valstis:</w:t>
      </w:r>
    </w:p>
    <w:p w14:paraId="2AC72013" w14:textId="77777777" w:rsidR="004973F4" w:rsidRDefault="004973F4" w:rsidP="004B280D">
      <w:pPr>
        <w:pStyle w:val="BodyText"/>
        <w:keepNext/>
        <w:tabs>
          <w:tab w:val="left" w:pos="2354"/>
        </w:tabs>
        <w:spacing w:before="0"/>
        <w:ind w:left="0" w:firstLine="0"/>
        <w:jc w:val="both"/>
        <w:rPr>
          <w:noProof/>
          <w:sz w:val="24"/>
        </w:rPr>
      </w:pPr>
    </w:p>
    <w:p w14:paraId="34F1FC74" w14:textId="140DE592" w:rsidR="00236989" w:rsidRPr="000730DB" w:rsidRDefault="004973F4" w:rsidP="004B280D">
      <w:pPr>
        <w:pStyle w:val="BodyText"/>
        <w:keepNext/>
        <w:tabs>
          <w:tab w:val="left" w:pos="2354"/>
        </w:tabs>
        <w:spacing w:before="0"/>
        <w:ind w:left="0" w:firstLine="0"/>
        <w:jc w:val="both"/>
        <w:rPr>
          <w:noProof/>
          <w:sz w:val="24"/>
        </w:rPr>
      </w:pPr>
      <w:r>
        <w:rPr>
          <w:sz w:val="24"/>
        </w:rPr>
        <w:t>a) atrast veidus, kā pastiprināt un paātrināt operatīvās informācijas apmaiņu, jo īpaši attiecībā uz atsevišķu teroristu vai teroristu tīklu darbībām vai pārvietošanos, viltotiem vai falsificētiem ceļošanas dokumentiem, ieroču, sprāgstvielu vai slepenu materiālu tirdzniecību, sakaru tehnoloģiju izmantošanu teroristu grupās un draudiem, ko rada masu iznīcināšanas ieroču nonākšana teroristu grupu valdījumā;</w:t>
      </w:r>
    </w:p>
    <w:p w14:paraId="613011D7" w14:textId="77777777" w:rsidR="004973F4" w:rsidRDefault="004973F4" w:rsidP="004973F4">
      <w:pPr>
        <w:pStyle w:val="BodyText"/>
        <w:tabs>
          <w:tab w:val="left" w:pos="2354"/>
        </w:tabs>
        <w:spacing w:before="0"/>
        <w:ind w:left="0" w:firstLine="0"/>
        <w:jc w:val="both"/>
        <w:rPr>
          <w:noProof/>
          <w:sz w:val="24"/>
        </w:rPr>
      </w:pPr>
    </w:p>
    <w:p w14:paraId="426EC4D5" w14:textId="4A15AA03" w:rsidR="00236989" w:rsidRPr="000730DB" w:rsidRDefault="004973F4" w:rsidP="004973F4">
      <w:pPr>
        <w:pStyle w:val="BodyText"/>
        <w:tabs>
          <w:tab w:val="left" w:pos="2354"/>
        </w:tabs>
        <w:spacing w:before="0"/>
        <w:ind w:left="0" w:firstLine="0"/>
        <w:jc w:val="both"/>
        <w:rPr>
          <w:noProof/>
          <w:sz w:val="24"/>
        </w:rPr>
      </w:pPr>
      <w:r>
        <w:rPr>
          <w:sz w:val="24"/>
        </w:rPr>
        <w:t>b) apmainīties ar informāciju saskaņā ar starptautiskajiem un valsts tiesību aktiem un sadarboties administratīvos un tiesiskos jautājumos, lai novērstu terora aktu izdarīšanu;</w:t>
      </w:r>
    </w:p>
    <w:p w14:paraId="41A515E6" w14:textId="77777777" w:rsidR="004973F4" w:rsidRDefault="004973F4" w:rsidP="004973F4">
      <w:pPr>
        <w:pStyle w:val="BodyText"/>
        <w:tabs>
          <w:tab w:val="left" w:pos="2354"/>
        </w:tabs>
        <w:spacing w:before="0"/>
        <w:ind w:left="0" w:firstLine="0"/>
        <w:jc w:val="both"/>
        <w:rPr>
          <w:noProof/>
          <w:sz w:val="24"/>
        </w:rPr>
      </w:pPr>
    </w:p>
    <w:p w14:paraId="2E81FF4A" w14:textId="3FF7E011" w:rsidR="00236989" w:rsidRPr="000730DB" w:rsidRDefault="004973F4" w:rsidP="004973F4">
      <w:pPr>
        <w:pStyle w:val="BodyText"/>
        <w:tabs>
          <w:tab w:val="left" w:pos="2354"/>
        </w:tabs>
        <w:spacing w:before="0"/>
        <w:ind w:left="0" w:firstLine="0"/>
        <w:jc w:val="both"/>
        <w:rPr>
          <w:noProof/>
          <w:sz w:val="24"/>
        </w:rPr>
      </w:pPr>
      <w:r>
        <w:rPr>
          <w:sz w:val="24"/>
        </w:rPr>
        <w:t>c) sadarboties, jo īpaši izmantojot divpusējus un daudzpusējus pasākumus un nolīgumus, lai novērstu un apkarotu teroristu uzbrukumus un veiktu pasākumus, kas vērsti pret šādu aktu izdarītājiem;</w:t>
      </w:r>
    </w:p>
    <w:p w14:paraId="3DA58240" w14:textId="77777777" w:rsidR="004973F4" w:rsidRDefault="004973F4" w:rsidP="004973F4">
      <w:pPr>
        <w:pStyle w:val="BodyText"/>
        <w:tabs>
          <w:tab w:val="left" w:pos="2354"/>
        </w:tabs>
        <w:spacing w:before="0"/>
        <w:ind w:left="0" w:firstLine="0"/>
        <w:jc w:val="both"/>
        <w:rPr>
          <w:noProof/>
          <w:sz w:val="24"/>
        </w:rPr>
      </w:pPr>
    </w:p>
    <w:p w14:paraId="4C2B808A" w14:textId="53ABB37E" w:rsidR="00236989" w:rsidRPr="000730DB" w:rsidRDefault="004973F4" w:rsidP="004973F4">
      <w:pPr>
        <w:pStyle w:val="BodyText"/>
        <w:tabs>
          <w:tab w:val="left" w:pos="2354"/>
        </w:tabs>
        <w:spacing w:before="0"/>
        <w:ind w:left="0" w:firstLine="0"/>
        <w:jc w:val="both"/>
        <w:rPr>
          <w:noProof/>
          <w:sz w:val="24"/>
        </w:rPr>
      </w:pPr>
      <w:r>
        <w:rPr>
          <w:sz w:val="24"/>
        </w:rPr>
        <w:t>d) cik drīz vien iespējams, kļūt par attiecīgo starptautisko konvenciju un protokolu, kas saistīti ar terorisma apkarošanu, tostarp 1999. gada 9. decembra Starptautiskās konvencijas par cīņu pret terorisma finansēšanu, pusēm;</w:t>
      </w:r>
    </w:p>
    <w:p w14:paraId="76C12621" w14:textId="77777777" w:rsidR="004973F4" w:rsidRDefault="004973F4" w:rsidP="004973F4">
      <w:pPr>
        <w:pStyle w:val="BodyText"/>
        <w:tabs>
          <w:tab w:val="left" w:pos="2354"/>
        </w:tabs>
        <w:spacing w:before="0"/>
        <w:ind w:left="0" w:firstLine="0"/>
        <w:jc w:val="both"/>
        <w:rPr>
          <w:noProof/>
          <w:sz w:val="24"/>
        </w:rPr>
      </w:pPr>
    </w:p>
    <w:p w14:paraId="3BEF12FD" w14:textId="065A445D" w:rsidR="00236989" w:rsidRPr="000730DB" w:rsidRDefault="004973F4" w:rsidP="004973F4">
      <w:pPr>
        <w:pStyle w:val="BodyText"/>
        <w:tabs>
          <w:tab w:val="left" w:pos="2354"/>
        </w:tabs>
        <w:spacing w:before="0"/>
        <w:ind w:left="0" w:firstLine="0"/>
        <w:jc w:val="both"/>
        <w:rPr>
          <w:noProof/>
          <w:sz w:val="24"/>
        </w:rPr>
      </w:pPr>
      <w:r>
        <w:rPr>
          <w:sz w:val="24"/>
        </w:rPr>
        <w:t>e) palielināt sadarbību un pilnībā īstenot attiecīgās starptautiskās konvencijas un protokolus, kas saistīti ar terorisma apkarošanu, kā arī Drošības padomes rezolūcijas 1269 (1999) un 1368 (2001);</w:t>
      </w:r>
    </w:p>
    <w:p w14:paraId="0DF5391C" w14:textId="77777777" w:rsidR="004973F4" w:rsidRDefault="004973F4" w:rsidP="004973F4">
      <w:pPr>
        <w:pStyle w:val="BodyText"/>
        <w:tabs>
          <w:tab w:val="left" w:pos="2354"/>
        </w:tabs>
        <w:spacing w:before="0"/>
        <w:ind w:left="0" w:firstLine="0"/>
        <w:jc w:val="both"/>
        <w:rPr>
          <w:noProof/>
          <w:sz w:val="24"/>
        </w:rPr>
      </w:pPr>
    </w:p>
    <w:p w14:paraId="5DB83A1E" w14:textId="7CA0AB46" w:rsidR="00236989" w:rsidRPr="000730DB" w:rsidRDefault="004973F4" w:rsidP="004973F4">
      <w:pPr>
        <w:pStyle w:val="BodyText"/>
        <w:tabs>
          <w:tab w:val="left" w:pos="2354"/>
        </w:tabs>
        <w:spacing w:before="0"/>
        <w:ind w:left="0" w:firstLine="0"/>
        <w:jc w:val="both"/>
        <w:rPr>
          <w:noProof/>
          <w:sz w:val="24"/>
        </w:rPr>
      </w:pPr>
      <w:r>
        <w:rPr>
          <w:sz w:val="24"/>
        </w:rPr>
        <w:t>f) pirms bēgļa statusa piešķiršanas veikt atbilstošus pasākumus saskaņā ar attiecīgajiem valsts un starptautisko tiesību aktu noteikumiem, tostarp saskaņā ar starptautiskajām cilvēktiesību aizsardzības normām, lai pārliecinātos, ka patvēruma meklētājs nav plānojis vai veicinājis terora aktu izdarīšanu vai piedalījies tajos;</w:t>
      </w:r>
    </w:p>
    <w:p w14:paraId="3429CFA1" w14:textId="77777777" w:rsidR="004973F4" w:rsidRDefault="004973F4" w:rsidP="004973F4">
      <w:pPr>
        <w:pStyle w:val="BodyText"/>
        <w:tabs>
          <w:tab w:val="left" w:pos="2354"/>
        </w:tabs>
        <w:spacing w:before="0"/>
        <w:ind w:left="0" w:firstLine="0"/>
        <w:jc w:val="both"/>
        <w:rPr>
          <w:noProof/>
          <w:sz w:val="24"/>
        </w:rPr>
      </w:pPr>
    </w:p>
    <w:p w14:paraId="7F9A724D" w14:textId="6FBC90D7" w:rsidR="00236989" w:rsidRPr="000730DB" w:rsidRDefault="004973F4" w:rsidP="004973F4">
      <w:pPr>
        <w:pStyle w:val="BodyText"/>
        <w:tabs>
          <w:tab w:val="left" w:pos="2354"/>
        </w:tabs>
        <w:spacing w:before="0"/>
        <w:ind w:left="0" w:firstLine="0"/>
        <w:jc w:val="both"/>
        <w:rPr>
          <w:noProof/>
          <w:sz w:val="24"/>
        </w:rPr>
      </w:pPr>
      <w:r>
        <w:rPr>
          <w:sz w:val="24"/>
        </w:rPr>
        <w:t>g) saskaņā ar starptautiskajiem tiesību aktiem nodrošināt, lai terora aktu izdarītāji, organizatori vai veicinātāji ļaunprātīgi neizmanto bēgļa statusu un politiski motivētas prasības netiek atzītas par pamatu iespējamo teroristu izdošanas lūgumu noraidīšanai;</w:t>
      </w:r>
    </w:p>
    <w:p w14:paraId="445F6257" w14:textId="77777777" w:rsidR="004973F4" w:rsidRDefault="004973F4" w:rsidP="004973F4">
      <w:pPr>
        <w:pStyle w:val="BodyText"/>
        <w:tabs>
          <w:tab w:val="left" w:pos="2354"/>
        </w:tabs>
        <w:spacing w:before="0"/>
        <w:ind w:left="0" w:firstLine="0"/>
        <w:jc w:val="both"/>
        <w:rPr>
          <w:i/>
          <w:noProof/>
          <w:sz w:val="24"/>
        </w:rPr>
      </w:pPr>
    </w:p>
    <w:p w14:paraId="631FF945" w14:textId="3C51126C" w:rsidR="00236989" w:rsidRPr="000730DB" w:rsidRDefault="004973F4" w:rsidP="004973F4">
      <w:pPr>
        <w:pStyle w:val="BodyText"/>
        <w:tabs>
          <w:tab w:val="left" w:pos="2354"/>
        </w:tabs>
        <w:spacing w:before="0"/>
        <w:ind w:left="0" w:firstLine="0"/>
        <w:jc w:val="both"/>
        <w:rPr>
          <w:noProof/>
          <w:sz w:val="24"/>
        </w:rPr>
      </w:pPr>
      <w:r>
        <w:rPr>
          <w:sz w:val="24"/>
        </w:rPr>
        <w:t xml:space="preserve">4. ar bažām </w:t>
      </w:r>
      <w:r>
        <w:rPr>
          <w:i/>
          <w:sz w:val="24"/>
        </w:rPr>
        <w:t>norāda</w:t>
      </w:r>
      <w:r>
        <w:rPr>
          <w:sz w:val="24"/>
        </w:rPr>
        <w:t xml:space="preserve"> uz ciešo saikni starp starptautisko terorismu un transnacionālo organizēto noziedzību, neatļautajām narkotikām, noziedzīgi iegūtu līdzekļu legalizāciju, nelegālo ieroču tirdzniecību un kodolmateriālu, ķīmisko, bioloģisko un citu potenciāli nāvējošo materiālu nelegālu pārvietošanu, un šajā saistībā </w:t>
      </w:r>
      <w:r>
        <w:rPr>
          <w:i/>
          <w:sz w:val="24"/>
        </w:rPr>
        <w:t>uzsver</w:t>
      </w:r>
      <w:r>
        <w:rPr>
          <w:sz w:val="24"/>
        </w:rPr>
        <w:t xml:space="preserve"> nepieciešamību uzlabot pasākumu koordinēšanu valsts, apakšreģionālā, reģionālā un starptautiskā līmenī, lai stiprinātu vispārēju reakciju uz šo nopietno problēmu un draudiem starptautiskajai drošībai;</w:t>
      </w:r>
    </w:p>
    <w:p w14:paraId="2C75EAAF" w14:textId="77777777" w:rsidR="004973F4" w:rsidRDefault="004973F4" w:rsidP="004973F4">
      <w:pPr>
        <w:pStyle w:val="BodyText"/>
        <w:tabs>
          <w:tab w:val="left" w:pos="2354"/>
        </w:tabs>
        <w:spacing w:before="0"/>
        <w:ind w:left="0" w:firstLine="0"/>
        <w:jc w:val="both"/>
        <w:rPr>
          <w:i/>
          <w:noProof/>
          <w:sz w:val="24"/>
        </w:rPr>
      </w:pPr>
    </w:p>
    <w:p w14:paraId="5CAAAB4D" w14:textId="11E824FC" w:rsidR="00236989" w:rsidRPr="000730DB" w:rsidRDefault="004973F4" w:rsidP="004973F4">
      <w:pPr>
        <w:pStyle w:val="BodyText"/>
        <w:tabs>
          <w:tab w:val="left" w:pos="2354"/>
        </w:tabs>
        <w:spacing w:before="0"/>
        <w:ind w:left="0" w:firstLine="0"/>
        <w:jc w:val="both"/>
        <w:rPr>
          <w:noProof/>
          <w:sz w:val="24"/>
        </w:rPr>
      </w:pPr>
      <w:r>
        <w:rPr>
          <w:sz w:val="24"/>
        </w:rPr>
        <w:t xml:space="preserve">5. </w:t>
      </w:r>
      <w:r>
        <w:rPr>
          <w:i/>
          <w:sz w:val="24"/>
        </w:rPr>
        <w:t>paziņo</w:t>
      </w:r>
      <w:r>
        <w:rPr>
          <w:sz w:val="24"/>
        </w:rPr>
        <w:t>, ka terora akti, metodes un prakse ir pretrunā Apvienoto Nāciju Organizācijas mērķiem un principiem un ka arī apzināta terora aktu finansēšana, plānošana un kūdīšana ir pretrunā Apvienoto Nāciju Organizācijas mērķiem un principiem;</w:t>
      </w:r>
    </w:p>
    <w:p w14:paraId="3EF61421" w14:textId="77777777" w:rsidR="004973F4" w:rsidRDefault="004973F4" w:rsidP="004973F4">
      <w:pPr>
        <w:pStyle w:val="BodyText"/>
        <w:tabs>
          <w:tab w:val="left" w:pos="2354"/>
        </w:tabs>
        <w:spacing w:before="0"/>
        <w:ind w:left="0" w:firstLine="0"/>
        <w:jc w:val="both"/>
        <w:rPr>
          <w:i/>
          <w:noProof/>
          <w:sz w:val="24"/>
        </w:rPr>
      </w:pPr>
    </w:p>
    <w:p w14:paraId="1A7A7DA5" w14:textId="66790EB1" w:rsidR="00236989" w:rsidRPr="000730DB" w:rsidRDefault="004973F4" w:rsidP="004973F4">
      <w:pPr>
        <w:pStyle w:val="BodyText"/>
        <w:tabs>
          <w:tab w:val="left" w:pos="2354"/>
        </w:tabs>
        <w:spacing w:before="0"/>
        <w:ind w:left="0" w:firstLine="0"/>
        <w:jc w:val="both"/>
        <w:rPr>
          <w:noProof/>
          <w:sz w:val="24"/>
        </w:rPr>
      </w:pPr>
      <w:r>
        <w:rPr>
          <w:sz w:val="24"/>
        </w:rPr>
        <w:t xml:space="preserve">6. </w:t>
      </w:r>
      <w:r>
        <w:rPr>
          <w:i/>
          <w:sz w:val="24"/>
        </w:rPr>
        <w:t>nolemj</w:t>
      </w:r>
      <w:r>
        <w:rPr>
          <w:sz w:val="24"/>
        </w:rPr>
        <w:t xml:space="preserve"> saskaņā ar pagaidu reglamenta 28. noteikumu izveidot Drošības padomes komiteju, kurā darbosies visi Padomes locekļi, lai, izmantojot atbilstošas zināšanas, uzraudzītu šīs rezolūcijas īstenošanu, un </w:t>
      </w:r>
      <w:r>
        <w:rPr>
          <w:i/>
          <w:sz w:val="24"/>
        </w:rPr>
        <w:t>aicina</w:t>
      </w:r>
      <w:r>
        <w:rPr>
          <w:sz w:val="24"/>
        </w:rPr>
        <w:t xml:space="preserve"> visas valstis ne vēlāk kā 90 dienas pēc šīs rezolūcijas pieņemšanas dienas un pēc tam, kad būs noteikts komitejas ierosinātais darba grafiks, ziņot komitejai par pasākumiem, kas veikti, lai īstenotu šo rezolūciju;</w:t>
      </w:r>
    </w:p>
    <w:p w14:paraId="45EEF963" w14:textId="77777777" w:rsidR="004973F4" w:rsidRDefault="004973F4" w:rsidP="004973F4">
      <w:pPr>
        <w:pStyle w:val="BodyText"/>
        <w:tabs>
          <w:tab w:val="left" w:pos="2354"/>
        </w:tabs>
        <w:spacing w:before="0"/>
        <w:ind w:left="0" w:firstLine="0"/>
        <w:jc w:val="both"/>
        <w:rPr>
          <w:i/>
          <w:noProof/>
          <w:sz w:val="24"/>
        </w:rPr>
      </w:pPr>
    </w:p>
    <w:p w14:paraId="6832E028" w14:textId="2ED3D205" w:rsidR="00236989" w:rsidRPr="000730DB" w:rsidRDefault="004973F4" w:rsidP="004973F4">
      <w:pPr>
        <w:pStyle w:val="BodyText"/>
        <w:tabs>
          <w:tab w:val="left" w:pos="2354"/>
        </w:tabs>
        <w:spacing w:before="0"/>
        <w:ind w:left="0" w:firstLine="0"/>
        <w:jc w:val="both"/>
        <w:rPr>
          <w:noProof/>
          <w:sz w:val="24"/>
        </w:rPr>
      </w:pPr>
      <w:r>
        <w:rPr>
          <w:sz w:val="24"/>
        </w:rPr>
        <w:t xml:space="preserve">7. </w:t>
      </w:r>
      <w:r>
        <w:rPr>
          <w:i/>
          <w:sz w:val="24"/>
        </w:rPr>
        <w:t>uzdod</w:t>
      </w:r>
      <w:r>
        <w:rPr>
          <w:sz w:val="24"/>
        </w:rPr>
        <w:t xml:space="preserve"> komitejai 30 dienu laikā pēc šīs rezolūcijas pieņemšanas formulēt savus uzdevumus, iesniegt darba programmu un, apspriežoties ar ģenerālsekretāru, apsvērt, kāds atbalsts tai ir </w:t>
      </w:r>
      <w:r>
        <w:rPr>
          <w:sz w:val="24"/>
        </w:rPr>
        <w:lastRenderedPageBreak/>
        <w:t>nepieciešams;</w:t>
      </w:r>
    </w:p>
    <w:p w14:paraId="4C66EBFF" w14:textId="77777777" w:rsidR="00236989" w:rsidRPr="000730DB" w:rsidRDefault="00236989" w:rsidP="000730DB">
      <w:pPr>
        <w:jc w:val="both"/>
        <w:rPr>
          <w:rFonts w:ascii="Times New Roman" w:eastAsia="Times New Roman" w:hAnsi="Times New Roman" w:cs="Times New Roman"/>
          <w:b/>
          <w:bCs/>
          <w:noProof/>
          <w:sz w:val="24"/>
          <w:szCs w:val="17"/>
        </w:rPr>
      </w:pPr>
    </w:p>
    <w:p w14:paraId="23788330" w14:textId="37057F18" w:rsidR="00236989" w:rsidRPr="000730DB" w:rsidRDefault="004973F4" w:rsidP="004973F4">
      <w:pPr>
        <w:pStyle w:val="BodyText"/>
        <w:tabs>
          <w:tab w:val="left" w:pos="2354"/>
        </w:tabs>
        <w:spacing w:before="0"/>
        <w:ind w:left="0" w:firstLine="0"/>
        <w:jc w:val="both"/>
        <w:rPr>
          <w:noProof/>
          <w:sz w:val="24"/>
        </w:rPr>
      </w:pPr>
      <w:r>
        <w:rPr>
          <w:sz w:val="24"/>
        </w:rPr>
        <w:t xml:space="preserve">8. </w:t>
      </w:r>
      <w:r>
        <w:rPr>
          <w:i/>
          <w:sz w:val="24"/>
        </w:rPr>
        <w:t>pauž</w:t>
      </w:r>
      <w:r>
        <w:rPr>
          <w:sz w:val="24"/>
        </w:rPr>
        <w:t xml:space="preserve"> apņēmību veikt visus nepieciešamos pasākumus, lai nodrošinātu šīs rezolūcijas pilnīgu īstenošanu saskaņā ar Hartā paredzētajiem pienākumiem;</w:t>
      </w:r>
    </w:p>
    <w:p w14:paraId="09ED7DCF" w14:textId="77777777" w:rsidR="004973F4" w:rsidRDefault="004973F4" w:rsidP="004973F4">
      <w:pPr>
        <w:pStyle w:val="BodyText"/>
        <w:tabs>
          <w:tab w:val="left" w:pos="2354"/>
        </w:tabs>
        <w:spacing w:before="0"/>
        <w:ind w:left="0" w:firstLine="0"/>
        <w:jc w:val="both"/>
        <w:rPr>
          <w:i/>
          <w:noProof/>
          <w:sz w:val="24"/>
        </w:rPr>
      </w:pPr>
    </w:p>
    <w:p w14:paraId="305D16EF" w14:textId="39E4AFD2" w:rsidR="00236989" w:rsidRPr="004973F4" w:rsidRDefault="004973F4" w:rsidP="004973F4">
      <w:pPr>
        <w:pStyle w:val="BodyText"/>
        <w:tabs>
          <w:tab w:val="left" w:pos="2354"/>
        </w:tabs>
        <w:spacing w:before="0"/>
        <w:ind w:left="0" w:firstLine="0"/>
        <w:jc w:val="both"/>
        <w:rPr>
          <w:noProof/>
          <w:sz w:val="24"/>
        </w:rPr>
      </w:pPr>
      <w:r>
        <w:rPr>
          <w:sz w:val="24"/>
        </w:rPr>
        <w:t xml:space="preserve">9. </w:t>
      </w:r>
      <w:r>
        <w:rPr>
          <w:i/>
          <w:sz w:val="24"/>
        </w:rPr>
        <w:t>nolemj</w:t>
      </w:r>
      <w:r>
        <w:rPr>
          <w:sz w:val="24"/>
        </w:rPr>
        <w:t xml:space="preserve"> turpināt strādāt šajā jomā.</w:t>
      </w:r>
    </w:p>
    <w:p w14:paraId="6F8B4D1B" w14:textId="7C28878A" w:rsidR="00236989" w:rsidRPr="000730DB" w:rsidRDefault="00236989" w:rsidP="000730DB">
      <w:pPr>
        <w:jc w:val="both"/>
        <w:rPr>
          <w:rFonts w:ascii="Times New Roman" w:hAnsi="Times New Roman"/>
          <w:b/>
          <w:noProof/>
          <w:sz w:val="24"/>
        </w:rPr>
      </w:pPr>
    </w:p>
    <w:sectPr w:rsidR="00236989" w:rsidRPr="000730DB" w:rsidSect="000730DB">
      <w:headerReference w:type="default" r:id="rId8"/>
      <w:footerReference w:type="default" r:id="rId9"/>
      <w:headerReference w:type="first" r:id="rId10"/>
      <w:footerReference w:type="first" r:id="rId11"/>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CF1FE" w14:textId="77777777" w:rsidR="00236989" w:rsidRPr="00236989" w:rsidRDefault="00236989" w:rsidP="00236989">
      <w:pPr>
        <w:rPr>
          <w:noProof/>
        </w:rPr>
      </w:pPr>
      <w:r w:rsidRPr="00236989">
        <w:rPr>
          <w:noProof/>
        </w:rPr>
        <w:separator/>
      </w:r>
    </w:p>
  </w:endnote>
  <w:endnote w:type="continuationSeparator" w:id="0">
    <w:p w14:paraId="07C2A541" w14:textId="77777777" w:rsidR="00236989" w:rsidRPr="00236989" w:rsidRDefault="00236989" w:rsidP="00236989">
      <w:pPr>
        <w:rPr>
          <w:noProof/>
        </w:rPr>
      </w:pPr>
      <w:r w:rsidRPr="00236989">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CC84D" w14:textId="77777777" w:rsidR="004B280D" w:rsidRPr="004B280D" w:rsidRDefault="004B280D" w:rsidP="004B280D">
    <w:pPr>
      <w:pStyle w:val="Header"/>
      <w:tabs>
        <w:tab w:val="left" w:pos="9072"/>
      </w:tabs>
      <w:rPr>
        <w:rStyle w:val="PageNumber"/>
        <w:rFonts w:ascii="Times New Roman" w:hAnsi="Times New Roman" w:cs="Times New Roman"/>
        <w:sz w:val="20"/>
        <w:szCs w:val="18"/>
      </w:rPr>
    </w:pPr>
  </w:p>
  <w:p w14:paraId="449D2B95" w14:textId="4C8FB004" w:rsidR="004B280D" w:rsidRPr="004B280D" w:rsidRDefault="004B280D" w:rsidP="004B280D">
    <w:pPr>
      <w:pStyle w:val="Header"/>
      <w:tabs>
        <w:tab w:val="clear" w:pos="4513"/>
        <w:tab w:val="clear" w:pos="9026"/>
        <w:tab w:val="right" w:leader="underscore" w:pos="9072"/>
      </w:tabs>
      <w:rPr>
        <w:rStyle w:val="PageNumber"/>
        <w:rFonts w:ascii="Times New Roman" w:hAnsi="Times New Roman" w:cs="Times New Roman"/>
        <w:sz w:val="20"/>
        <w:szCs w:val="18"/>
      </w:rPr>
    </w:pPr>
    <w:r w:rsidRPr="004B280D">
      <w:rPr>
        <w:rStyle w:val="PageNumber"/>
        <w:rFonts w:ascii="Times New Roman" w:hAnsi="Times New Roman" w:cs="Times New Roman"/>
        <w:sz w:val="20"/>
        <w:szCs w:val="18"/>
      </w:rPr>
      <w:tab/>
    </w:r>
  </w:p>
  <w:p w14:paraId="5C9DC566" w14:textId="77777777" w:rsidR="004B280D" w:rsidRPr="004B280D" w:rsidRDefault="004B280D" w:rsidP="004B280D">
    <w:pPr>
      <w:pStyle w:val="Header"/>
      <w:tabs>
        <w:tab w:val="right" w:pos="9072"/>
      </w:tabs>
      <w:rPr>
        <w:rStyle w:val="PageNumber"/>
        <w:rFonts w:ascii="Times New Roman" w:hAnsi="Times New Roman" w:cs="Times New Roman"/>
        <w:sz w:val="20"/>
        <w:szCs w:val="18"/>
      </w:rPr>
    </w:pPr>
  </w:p>
  <w:p w14:paraId="2BAAC4D4" w14:textId="77777777" w:rsidR="004B280D" w:rsidRPr="004B280D" w:rsidRDefault="004B280D" w:rsidP="004B280D">
    <w:pPr>
      <w:pStyle w:val="Footer"/>
      <w:tabs>
        <w:tab w:val="clear" w:pos="4513"/>
        <w:tab w:val="clear" w:pos="9026"/>
        <w:tab w:val="center" w:pos="9072"/>
      </w:tabs>
      <w:rPr>
        <w:rFonts w:ascii="Times New Roman" w:hAnsi="Times New Roman" w:cs="Times New Roman"/>
        <w:sz w:val="20"/>
        <w:szCs w:val="18"/>
      </w:rPr>
    </w:pPr>
    <w:r w:rsidRPr="004B280D">
      <w:rPr>
        <w:rFonts w:ascii="Times New Roman" w:hAnsi="Times New Roman" w:cs="Times New Roman"/>
        <w:noProof/>
        <w:sz w:val="20"/>
        <w:szCs w:val="18"/>
      </w:rPr>
      <w:t xml:space="preserve">Tulkojums </w:t>
    </w:r>
    <w:r w:rsidRPr="004B280D">
      <w:rPr>
        <w:rFonts w:ascii="Times New Roman" w:hAnsi="Times New Roman" w:cs="Times New Roman"/>
        <w:noProof/>
        <w:sz w:val="20"/>
        <w:szCs w:val="18"/>
      </w:rPr>
      <w:fldChar w:fldCharType="begin"/>
    </w:r>
    <w:r w:rsidRPr="004B280D">
      <w:rPr>
        <w:rFonts w:ascii="Times New Roman" w:hAnsi="Times New Roman" w:cs="Times New Roman"/>
        <w:noProof/>
        <w:sz w:val="20"/>
        <w:szCs w:val="18"/>
      </w:rPr>
      <w:instrText>symbol 211 \f "Symbol" \s 9</w:instrText>
    </w:r>
    <w:r w:rsidRPr="004B280D">
      <w:rPr>
        <w:rFonts w:ascii="Times New Roman" w:hAnsi="Times New Roman" w:cs="Times New Roman"/>
        <w:noProof/>
        <w:sz w:val="20"/>
        <w:szCs w:val="18"/>
      </w:rPr>
      <w:fldChar w:fldCharType="separate"/>
    </w:r>
    <w:r w:rsidRPr="004B280D">
      <w:rPr>
        <w:rFonts w:ascii="Times New Roman" w:hAnsi="Times New Roman" w:cs="Times New Roman"/>
        <w:noProof/>
        <w:sz w:val="20"/>
        <w:szCs w:val="18"/>
      </w:rPr>
      <w:t>Ó</w:t>
    </w:r>
    <w:r w:rsidRPr="004B280D">
      <w:rPr>
        <w:rFonts w:ascii="Times New Roman" w:hAnsi="Times New Roman" w:cs="Times New Roman"/>
        <w:noProof/>
        <w:sz w:val="20"/>
        <w:szCs w:val="18"/>
      </w:rPr>
      <w:fldChar w:fldCharType="end"/>
    </w:r>
    <w:r w:rsidRPr="004B280D">
      <w:rPr>
        <w:rFonts w:ascii="Times New Roman" w:hAnsi="Times New Roman" w:cs="Times New Roman"/>
        <w:noProof/>
        <w:sz w:val="20"/>
        <w:szCs w:val="18"/>
      </w:rPr>
      <w:t xml:space="preserve"> Valsts valodas centrs, 2020</w:t>
    </w:r>
    <w:r w:rsidRPr="004B280D">
      <w:rPr>
        <w:rFonts w:ascii="Times New Roman" w:hAnsi="Times New Roman" w:cs="Times New Roman"/>
        <w:sz w:val="20"/>
        <w:szCs w:val="18"/>
      </w:rPr>
      <w:tab/>
    </w:r>
    <w:r w:rsidRPr="004B280D">
      <w:rPr>
        <w:rStyle w:val="PageNumber"/>
        <w:rFonts w:ascii="Times New Roman" w:hAnsi="Times New Roman" w:cs="Times New Roman"/>
        <w:sz w:val="20"/>
        <w:szCs w:val="18"/>
      </w:rPr>
      <w:fldChar w:fldCharType="begin"/>
    </w:r>
    <w:r w:rsidRPr="004B280D">
      <w:rPr>
        <w:rStyle w:val="PageNumber"/>
        <w:rFonts w:ascii="Times New Roman" w:hAnsi="Times New Roman" w:cs="Times New Roman"/>
        <w:sz w:val="20"/>
        <w:szCs w:val="18"/>
      </w:rPr>
      <w:instrText xml:space="preserve">page </w:instrText>
    </w:r>
    <w:r w:rsidRPr="004B280D">
      <w:rPr>
        <w:rStyle w:val="PageNumber"/>
        <w:rFonts w:ascii="Times New Roman" w:hAnsi="Times New Roman" w:cs="Times New Roman"/>
        <w:sz w:val="20"/>
        <w:szCs w:val="18"/>
      </w:rPr>
      <w:fldChar w:fldCharType="separate"/>
    </w:r>
    <w:r w:rsidRPr="004B280D">
      <w:rPr>
        <w:rStyle w:val="PageNumber"/>
        <w:rFonts w:ascii="Times New Roman" w:hAnsi="Times New Roman" w:cs="Times New Roman"/>
        <w:sz w:val="20"/>
        <w:szCs w:val="18"/>
      </w:rPr>
      <w:t>2</w:t>
    </w:r>
    <w:r w:rsidRPr="004B280D">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3E6EF" w14:textId="77777777" w:rsidR="004B280D" w:rsidRPr="004B280D" w:rsidRDefault="004B280D" w:rsidP="004B280D">
    <w:pPr>
      <w:pStyle w:val="Header"/>
      <w:tabs>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639F06E9" w14:textId="0D98B291" w:rsidR="004B280D" w:rsidRPr="004B280D" w:rsidRDefault="004B280D" w:rsidP="004B280D">
    <w:pPr>
      <w:pStyle w:val="Header"/>
      <w:tabs>
        <w:tab w:val="clear" w:pos="4513"/>
        <w:tab w:val="clear" w:pos="9026"/>
        <w:tab w:val="left" w:leader="underscore" w:pos="9072"/>
      </w:tabs>
      <w:rPr>
        <w:rStyle w:val="PageNumber"/>
        <w:rFonts w:ascii="Times New Roman" w:hAnsi="Times New Roman" w:cs="Times New Roman"/>
        <w:sz w:val="20"/>
        <w:szCs w:val="18"/>
      </w:rPr>
    </w:pPr>
    <w:r w:rsidRPr="004B280D">
      <w:rPr>
        <w:rStyle w:val="PageNumber"/>
        <w:rFonts w:ascii="Times New Roman" w:hAnsi="Times New Roman" w:cs="Times New Roman"/>
        <w:sz w:val="20"/>
        <w:szCs w:val="18"/>
      </w:rPr>
      <w:tab/>
    </w:r>
  </w:p>
  <w:p w14:paraId="66D904CD" w14:textId="77777777" w:rsidR="004B280D" w:rsidRPr="004B280D" w:rsidRDefault="004B280D" w:rsidP="004B280D">
    <w:pPr>
      <w:pStyle w:val="Header"/>
      <w:tabs>
        <w:tab w:val="left" w:pos="9072"/>
      </w:tabs>
      <w:rPr>
        <w:rStyle w:val="PageNumber"/>
        <w:rFonts w:ascii="Times New Roman" w:hAnsi="Times New Roman" w:cs="Times New Roman"/>
        <w:sz w:val="20"/>
        <w:szCs w:val="18"/>
      </w:rPr>
    </w:pPr>
  </w:p>
  <w:p w14:paraId="2E9A2110" w14:textId="77777777" w:rsidR="004B280D" w:rsidRPr="004B280D" w:rsidRDefault="004B280D" w:rsidP="004B280D">
    <w:pPr>
      <w:pStyle w:val="Footer"/>
      <w:rPr>
        <w:rFonts w:ascii="Times New Roman" w:hAnsi="Times New Roman" w:cs="Times New Roman"/>
        <w:sz w:val="20"/>
        <w:szCs w:val="18"/>
      </w:rPr>
    </w:pPr>
    <w:r w:rsidRPr="004B280D">
      <w:rPr>
        <w:rFonts w:ascii="Times New Roman" w:hAnsi="Times New Roman" w:cs="Times New Roman"/>
        <w:noProof/>
        <w:sz w:val="20"/>
        <w:szCs w:val="18"/>
      </w:rPr>
      <w:t xml:space="preserve">Tulkojums </w:t>
    </w:r>
    <w:r w:rsidRPr="004B280D">
      <w:rPr>
        <w:rFonts w:ascii="Times New Roman" w:hAnsi="Times New Roman" w:cs="Times New Roman"/>
        <w:noProof/>
        <w:sz w:val="20"/>
        <w:szCs w:val="18"/>
      </w:rPr>
      <w:fldChar w:fldCharType="begin"/>
    </w:r>
    <w:r w:rsidRPr="004B280D">
      <w:rPr>
        <w:rFonts w:ascii="Times New Roman" w:hAnsi="Times New Roman" w:cs="Times New Roman"/>
        <w:noProof/>
        <w:sz w:val="20"/>
        <w:szCs w:val="18"/>
      </w:rPr>
      <w:instrText>symbol 211 \f "Symbol" \s 9</w:instrText>
    </w:r>
    <w:r w:rsidRPr="004B280D">
      <w:rPr>
        <w:rFonts w:ascii="Times New Roman" w:hAnsi="Times New Roman" w:cs="Times New Roman"/>
        <w:noProof/>
        <w:sz w:val="20"/>
        <w:szCs w:val="18"/>
      </w:rPr>
      <w:fldChar w:fldCharType="separate"/>
    </w:r>
    <w:r w:rsidRPr="004B280D">
      <w:rPr>
        <w:rFonts w:ascii="Times New Roman" w:hAnsi="Times New Roman" w:cs="Times New Roman"/>
        <w:noProof/>
        <w:sz w:val="20"/>
        <w:szCs w:val="18"/>
      </w:rPr>
      <w:t>Ó</w:t>
    </w:r>
    <w:r w:rsidRPr="004B280D">
      <w:rPr>
        <w:rFonts w:ascii="Times New Roman" w:hAnsi="Times New Roman" w:cs="Times New Roman"/>
        <w:noProof/>
        <w:sz w:val="20"/>
        <w:szCs w:val="18"/>
      </w:rPr>
      <w:fldChar w:fldCharType="end"/>
    </w:r>
    <w:r w:rsidRPr="004B280D">
      <w:rPr>
        <w:rFonts w:ascii="Times New Roman" w:hAnsi="Times New Roman" w:cs="Times New Roman"/>
        <w:noProof/>
        <w:sz w:val="20"/>
        <w:szCs w:val="18"/>
      </w:rPr>
      <w:t xml:space="preserve"> Valsts valodas centrs, 20</w:t>
    </w:r>
    <w:bookmarkEnd w:id="14"/>
    <w:bookmarkEnd w:id="15"/>
    <w:bookmarkEnd w:id="16"/>
    <w:r w:rsidRPr="004B280D">
      <w:rPr>
        <w:rFonts w:ascii="Times New Roman" w:hAnsi="Times New Roman" w:cs="Times New Roman"/>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10A51" w14:textId="77777777" w:rsidR="00236989" w:rsidRPr="00236989" w:rsidRDefault="00236989" w:rsidP="00236989">
      <w:pPr>
        <w:rPr>
          <w:noProof/>
        </w:rPr>
      </w:pPr>
      <w:r w:rsidRPr="00236989">
        <w:rPr>
          <w:noProof/>
        </w:rPr>
        <w:separator/>
      </w:r>
    </w:p>
  </w:footnote>
  <w:footnote w:type="continuationSeparator" w:id="0">
    <w:p w14:paraId="4C238F78" w14:textId="77777777" w:rsidR="00236989" w:rsidRPr="00236989" w:rsidRDefault="00236989" w:rsidP="00236989">
      <w:pPr>
        <w:rPr>
          <w:noProof/>
        </w:rPr>
      </w:pPr>
      <w:r w:rsidRPr="00236989">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FD4D8" w14:textId="77777777" w:rsidR="004B280D" w:rsidRPr="004B280D" w:rsidRDefault="004B280D" w:rsidP="004B280D">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565520BC" w14:textId="47753853" w:rsidR="004B280D" w:rsidRPr="004B280D" w:rsidRDefault="004B280D" w:rsidP="004B280D">
    <w:pPr>
      <w:pStyle w:val="Header"/>
      <w:tabs>
        <w:tab w:val="clear" w:pos="4513"/>
        <w:tab w:val="clear" w:pos="9026"/>
        <w:tab w:val="right" w:leader="underscore" w:pos="9072"/>
      </w:tabs>
      <w:rPr>
        <w:rStyle w:val="PageNumber"/>
        <w:rFonts w:ascii="Times New Roman" w:hAnsi="Times New Roman" w:cs="Times New Roman"/>
        <w:sz w:val="20"/>
        <w:szCs w:val="20"/>
      </w:rPr>
    </w:pPr>
    <w:r w:rsidRPr="004B280D">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1AD5A3F7" w14:textId="77777777" w:rsidR="004B280D" w:rsidRPr="004B280D" w:rsidRDefault="004B280D" w:rsidP="004B280D">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F07BA" w14:textId="77777777" w:rsidR="004B280D" w:rsidRPr="004B280D" w:rsidRDefault="004B280D" w:rsidP="004B280D">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123813B6" w14:textId="77777777" w:rsidR="004B280D" w:rsidRPr="004B280D" w:rsidRDefault="004B280D" w:rsidP="004B280D">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07173"/>
    <w:multiLevelType w:val="hybridMultilevel"/>
    <w:tmpl w:val="547EC6B2"/>
    <w:lvl w:ilvl="0" w:tplc="313E61BE">
      <w:start w:val="1"/>
      <w:numFmt w:val="lowerLetter"/>
      <w:lvlText w:val="(%1)"/>
      <w:lvlJc w:val="left"/>
      <w:pPr>
        <w:ind w:left="1402" w:hanging="477"/>
      </w:pPr>
      <w:rPr>
        <w:rFonts w:ascii="Times New Roman" w:eastAsia="Times New Roman" w:hAnsi="Times New Roman" w:hint="default"/>
        <w:spacing w:val="4"/>
        <w:w w:val="101"/>
        <w:sz w:val="20"/>
        <w:szCs w:val="20"/>
      </w:rPr>
    </w:lvl>
    <w:lvl w:ilvl="1" w:tplc="101E8DD6">
      <w:start w:val="1"/>
      <w:numFmt w:val="bullet"/>
      <w:lvlText w:val="•"/>
      <w:lvlJc w:val="left"/>
      <w:pPr>
        <w:ind w:left="2274" w:hanging="477"/>
      </w:pPr>
      <w:rPr>
        <w:rFonts w:hint="default"/>
      </w:rPr>
    </w:lvl>
    <w:lvl w:ilvl="2" w:tplc="D76CD1FE">
      <w:start w:val="1"/>
      <w:numFmt w:val="bullet"/>
      <w:lvlText w:val="•"/>
      <w:lvlJc w:val="left"/>
      <w:pPr>
        <w:ind w:left="3145" w:hanging="477"/>
      </w:pPr>
      <w:rPr>
        <w:rFonts w:hint="default"/>
      </w:rPr>
    </w:lvl>
    <w:lvl w:ilvl="3" w:tplc="A05ED09A">
      <w:start w:val="1"/>
      <w:numFmt w:val="bullet"/>
      <w:lvlText w:val="•"/>
      <w:lvlJc w:val="left"/>
      <w:pPr>
        <w:ind w:left="4017" w:hanging="477"/>
      </w:pPr>
      <w:rPr>
        <w:rFonts w:hint="default"/>
      </w:rPr>
    </w:lvl>
    <w:lvl w:ilvl="4" w:tplc="5FE40F70">
      <w:start w:val="1"/>
      <w:numFmt w:val="bullet"/>
      <w:lvlText w:val="•"/>
      <w:lvlJc w:val="left"/>
      <w:pPr>
        <w:ind w:left="4889" w:hanging="477"/>
      </w:pPr>
      <w:rPr>
        <w:rFonts w:hint="default"/>
      </w:rPr>
    </w:lvl>
    <w:lvl w:ilvl="5" w:tplc="8F1EF57C">
      <w:start w:val="1"/>
      <w:numFmt w:val="bullet"/>
      <w:lvlText w:val="•"/>
      <w:lvlJc w:val="left"/>
      <w:pPr>
        <w:ind w:left="5761" w:hanging="477"/>
      </w:pPr>
      <w:rPr>
        <w:rFonts w:hint="default"/>
      </w:rPr>
    </w:lvl>
    <w:lvl w:ilvl="6" w:tplc="511E7478">
      <w:start w:val="1"/>
      <w:numFmt w:val="bullet"/>
      <w:lvlText w:val="•"/>
      <w:lvlJc w:val="left"/>
      <w:pPr>
        <w:ind w:left="6632" w:hanging="477"/>
      </w:pPr>
      <w:rPr>
        <w:rFonts w:hint="default"/>
      </w:rPr>
    </w:lvl>
    <w:lvl w:ilvl="7" w:tplc="BAC6D292">
      <w:start w:val="1"/>
      <w:numFmt w:val="bullet"/>
      <w:lvlText w:val="•"/>
      <w:lvlJc w:val="left"/>
      <w:pPr>
        <w:ind w:left="7504" w:hanging="477"/>
      </w:pPr>
      <w:rPr>
        <w:rFonts w:hint="default"/>
      </w:rPr>
    </w:lvl>
    <w:lvl w:ilvl="8" w:tplc="E24C3536">
      <w:start w:val="1"/>
      <w:numFmt w:val="bullet"/>
      <w:lvlText w:val="•"/>
      <w:lvlJc w:val="left"/>
      <w:pPr>
        <w:ind w:left="8376" w:hanging="477"/>
      </w:pPr>
      <w:rPr>
        <w:rFonts w:hint="default"/>
      </w:rPr>
    </w:lvl>
  </w:abstractNum>
  <w:abstractNum w:abstractNumId="1" w15:restartNumberingAfterBreak="0">
    <w:nsid w:val="453D6A9D"/>
    <w:multiLevelType w:val="hybridMultilevel"/>
    <w:tmpl w:val="ADEA7254"/>
    <w:lvl w:ilvl="0" w:tplc="5D12F49C">
      <w:start w:val="1"/>
      <w:numFmt w:val="decimal"/>
      <w:lvlText w:val="%1."/>
      <w:lvlJc w:val="left"/>
      <w:pPr>
        <w:ind w:left="1402" w:hanging="477"/>
      </w:pPr>
      <w:rPr>
        <w:rFonts w:ascii="Times New Roman" w:eastAsia="Times New Roman" w:hAnsi="Times New Roman" w:hint="default"/>
        <w:spacing w:val="4"/>
        <w:w w:val="101"/>
        <w:sz w:val="20"/>
        <w:szCs w:val="20"/>
      </w:rPr>
    </w:lvl>
    <w:lvl w:ilvl="1" w:tplc="CB2CF726">
      <w:start w:val="1"/>
      <w:numFmt w:val="bullet"/>
      <w:lvlText w:val="•"/>
      <w:lvlJc w:val="left"/>
      <w:pPr>
        <w:ind w:left="2274" w:hanging="477"/>
      </w:pPr>
      <w:rPr>
        <w:rFonts w:hint="default"/>
      </w:rPr>
    </w:lvl>
    <w:lvl w:ilvl="2" w:tplc="18502D16">
      <w:start w:val="1"/>
      <w:numFmt w:val="bullet"/>
      <w:lvlText w:val="•"/>
      <w:lvlJc w:val="left"/>
      <w:pPr>
        <w:ind w:left="3145" w:hanging="477"/>
      </w:pPr>
      <w:rPr>
        <w:rFonts w:hint="default"/>
      </w:rPr>
    </w:lvl>
    <w:lvl w:ilvl="3" w:tplc="014AC164">
      <w:start w:val="1"/>
      <w:numFmt w:val="bullet"/>
      <w:lvlText w:val="•"/>
      <w:lvlJc w:val="left"/>
      <w:pPr>
        <w:ind w:left="4017" w:hanging="477"/>
      </w:pPr>
      <w:rPr>
        <w:rFonts w:hint="default"/>
      </w:rPr>
    </w:lvl>
    <w:lvl w:ilvl="4" w:tplc="8E5864D4">
      <w:start w:val="1"/>
      <w:numFmt w:val="bullet"/>
      <w:lvlText w:val="•"/>
      <w:lvlJc w:val="left"/>
      <w:pPr>
        <w:ind w:left="4889" w:hanging="477"/>
      </w:pPr>
      <w:rPr>
        <w:rFonts w:hint="default"/>
      </w:rPr>
    </w:lvl>
    <w:lvl w:ilvl="5" w:tplc="878EF004">
      <w:start w:val="1"/>
      <w:numFmt w:val="bullet"/>
      <w:lvlText w:val="•"/>
      <w:lvlJc w:val="left"/>
      <w:pPr>
        <w:ind w:left="5761" w:hanging="477"/>
      </w:pPr>
      <w:rPr>
        <w:rFonts w:hint="default"/>
      </w:rPr>
    </w:lvl>
    <w:lvl w:ilvl="6" w:tplc="81D43B52">
      <w:start w:val="1"/>
      <w:numFmt w:val="bullet"/>
      <w:lvlText w:val="•"/>
      <w:lvlJc w:val="left"/>
      <w:pPr>
        <w:ind w:left="6632" w:hanging="477"/>
      </w:pPr>
      <w:rPr>
        <w:rFonts w:hint="default"/>
      </w:rPr>
    </w:lvl>
    <w:lvl w:ilvl="7" w:tplc="47D8B992">
      <w:start w:val="1"/>
      <w:numFmt w:val="bullet"/>
      <w:lvlText w:val="•"/>
      <w:lvlJc w:val="left"/>
      <w:pPr>
        <w:ind w:left="7504" w:hanging="477"/>
      </w:pPr>
      <w:rPr>
        <w:rFonts w:hint="default"/>
      </w:rPr>
    </w:lvl>
    <w:lvl w:ilvl="8" w:tplc="AE6016DA">
      <w:start w:val="1"/>
      <w:numFmt w:val="bullet"/>
      <w:lvlText w:val="•"/>
      <w:lvlJc w:val="left"/>
      <w:pPr>
        <w:ind w:left="8376" w:hanging="477"/>
      </w:pPr>
      <w:rPr>
        <w:rFonts w:hint="default"/>
      </w:rPr>
    </w:lvl>
  </w:abstractNum>
  <w:abstractNum w:abstractNumId="2" w15:restartNumberingAfterBreak="0">
    <w:nsid w:val="5779764D"/>
    <w:multiLevelType w:val="hybridMultilevel"/>
    <w:tmpl w:val="543CFBCE"/>
    <w:lvl w:ilvl="0" w:tplc="BCB62B8A">
      <w:start w:val="1"/>
      <w:numFmt w:val="lowerLetter"/>
      <w:lvlText w:val="(%1)"/>
      <w:lvlJc w:val="left"/>
      <w:pPr>
        <w:ind w:left="1402" w:hanging="477"/>
      </w:pPr>
      <w:rPr>
        <w:rFonts w:ascii="Times New Roman" w:eastAsia="Times New Roman" w:hAnsi="Times New Roman" w:hint="default"/>
        <w:spacing w:val="4"/>
        <w:w w:val="101"/>
        <w:sz w:val="20"/>
        <w:szCs w:val="20"/>
      </w:rPr>
    </w:lvl>
    <w:lvl w:ilvl="1" w:tplc="B0A42DBE">
      <w:start w:val="1"/>
      <w:numFmt w:val="bullet"/>
      <w:lvlText w:val="•"/>
      <w:lvlJc w:val="left"/>
      <w:pPr>
        <w:ind w:left="2274" w:hanging="477"/>
      </w:pPr>
      <w:rPr>
        <w:rFonts w:hint="default"/>
      </w:rPr>
    </w:lvl>
    <w:lvl w:ilvl="2" w:tplc="396403AC">
      <w:start w:val="1"/>
      <w:numFmt w:val="bullet"/>
      <w:lvlText w:val="•"/>
      <w:lvlJc w:val="left"/>
      <w:pPr>
        <w:ind w:left="3145" w:hanging="477"/>
      </w:pPr>
      <w:rPr>
        <w:rFonts w:hint="default"/>
      </w:rPr>
    </w:lvl>
    <w:lvl w:ilvl="3" w:tplc="4B48834A">
      <w:start w:val="1"/>
      <w:numFmt w:val="bullet"/>
      <w:lvlText w:val="•"/>
      <w:lvlJc w:val="left"/>
      <w:pPr>
        <w:ind w:left="4017" w:hanging="477"/>
      </w:pPr>
      <w:rPr>
        <w:rFonts w:hint="default"/>
      </w:rPr>
    </w:lvl>
    <w:lvl w:ilvl="4" w:tplc="375C2950">
      <w:start w:val="1"/>
      <w:numFmt w:val="bullet"/>
      <w:lvlText w:val="•"/>
      <w:lvlJc w:val="left"/>
      <w:pPr>
        <w:ind w:left="4889" w:hanging="477"/>
      </w:pPr>
      <w:rPr>
        <w:rFonts w:hint="default"/>
      </w:rPr>
    </w:lvl>
    <w:lvl w:ilvl="5" w:tplc="50CC233A">
      <w:start w:val="1"/>
      <w:numFmt w:val="bullet"/>
      <w:lvlText w:val="•"/>
      <w:lvlJc w:val="left"/>
      <w:pPr>
        <w:ind w:left="5761" w:hanging="477"/>
      </w:pPr>
      <w:rPr>
        <w:rFonts w:hint="default"/>
      </w:rPr>
    </w:lvl>
    <w:lvl w:ilvl="6" w:tplc="E5EAE0F8">
      <w:start w:val="1"/>
      <w:numFmt w:val="bullet"/>
      <w:lvlText w:val="•"/>
      <w:lvlJc w:val="left"/>
      <w:pPr>
        <w:ind w:left="6632" w:hanging="477"/>
      </w:pPr>
      <w:rPr>
        <w:rFonts w:hint="default"/>
      </w:rPr>
    </w:lvl>
    <w:lvl w:ilvl="7" w:tplc="083A0D3A">
      <w:start w:val="1"/>
      <w:numFmt w:val="bullet"/>
      <w:lvlText w:val="•"/>
      <w:lvlJc w:val="left"/>
      <w:pPr>
        <w:ind w:left="7504" w:hanging="477"/>
      </w:pPr>
      <w:rPr>
        <w:rFonts w:hint="default"/>
      </w:rPr>
    </w:lvl>
    <w:lvl w:ilvl="8" w:tplc="C99E6338">
      <w:start w:val="1"/>
      <w:numFmt w:val="bullet"/>
      <w:lvlText w:val="•"/>
      <w:lvlJc w:val="left"/>
      <w:pPr>
        <w:ind w:left="8376" w:hanging="477"/>
      </w:pPr>
      <w:rPr>
        <w:rFonts w:hint="default"/>
      </w:rPr>
    </w:lvl>
  </w:abstractNum>
  <w:abstractNum w:abstractNumId="3" w15:restartNumberingAfterBreak="0">
    <w:nsid w:val="5EAA5EE9"/>
    <w:multiLevelType w:val="hybridMultilevel"/>
    <w:tmpl w:val="A01AA174"/>
    <w:lvl w:ilvl="0" w:tplc="6A2A2F0E">
      <w:start w:val="1"/>
      <w:numFmt w:val="lowerLetter"/>
      <w:lvlText w:val="(%1)"/>
      <w:lvlJc w:val="left"/>
      <w:pPr>
        <w:ind w:left="1402" w:hanging="477"/>
      </w:pPr>
      <w:rPr>
        <w:rFonts w:ascii="Times New Roman" w:eastAsia="Times New Roman" w:hAnsi="Times New Roman" w:hint="default"/>
        <w:spacing w:val="4"/>
        <w:w w:val="101"/>
        <w:sz w:val="20"/>
        <w:szCs w:val="20"/>
      </w:rPr>
    </w:lvl>
    <w:lvl w:ilvl="1" w:tplc="839EBD28">
      <w:start w:val="1"/>
      <w:numFmt w:val="bullet"/>
      <w:lvlText w:val="•"/>
      <w:lvlJc w:val="left"/>
      <w:pPr>
        <w:ind w:left="2274" w:hanging="477"/>
      </w:pPr>
      <w:rPr>
        <w:rFonts w:hint="default"/>
      </w:rPr>
    </w:lvl>
    <w:lvl w:ilvl="2" w:tplc="6062FDA8">
      <w:start w:val="1"/>
      <w:numFmt w:val="bullet"/>
      <w:lvlText w:val="•"/>
      <w:lvlJc w:val="left"/>
      <w:pPr>
        <w:ind w:left="3145" w:hanging="477"/>
      </w:pPr>
      <w:rPr>
        <w:rFonts w:hint="default"/>
      </w:rPr>
    </w:lvl>
    <w:lvl w:ilvl="3" w:tplc="E35E4078">
      <w:start w:val="1"/>
      <w:numFmt w:val="bullet"/>
      <w:lvlText w:val="•"/>
      <w:lvlJc w:val="left"/>
      <w:pPr>
        <w:ind w:left="4017" w:hanging="477"/>
      </w:pPr>
      <w:rPr>
        <w:rFonts w:hint="default"/>
      </w:rPr>
    </w:lvl>
    <w:lvl w:ilvl="4" w:tplc="A00C612C">
      <w:start w:val="1"/>
      <w:numFmt w:val="bullet"/>
      <w:lvlText w:val="•"/>
      <w:lvlJc w:val="left"/>
      <w:pPr>
        <w:ind w:left="4889" w:hanging="477"/>
      </w:pPr>
      <w:rPr>
        <w:rFonts w:hint="default"/>
      </w:rPr>
    </w:lvl>
    <w:lvl w:ilvl="5" w:tplc="4DF8B2DC">
      <w:start w:val="1"/>
      <w:numFmt w:val="bullet"/>
      <w:lvlText w:val="•"/>
      <w:lvlJc w:val="left"/>
      <w:pPr>
        <w:ind w:left="5761" w:hanging="477"/>
      </w:pPr>
      <w:rPr>
        <w:rFonts w:hint="default"/>
      </w:rPr>
    </w:lvl>
    <w:lvl w:ilvl="6" w:tplc="2C66BBB6">
      <w:start w:val="1"/>
      <w:numFmt w:val="bullet"/>
      <w:lvlText w:val="•"/>
      <w:lvlJc w:val="left"/>
      <w:pPr>
        <w:ind w:left="6632" w:hanging="477"/>
      </w:pPr>
      <w:rPr>
        <w:rFonts w:hint="default"/>
      </w:rPr>
    </w:lvl>
    <w:lvl w:ilvl="7" w:tplc="B11E6320">
      <w:start w:val="1"/>
      <w:numFmt w:val="bullet"/>
      <w:lvlText w:val="•"/>
      <w:lvlJc w:val="left"/>
      <w:pPr>
        <w:ind w:left="7504" w:hanging="477"/>
      </w:pPr>
      <w:rPr>
        <w:rFonts w:hint="default"/>
      </w:rPr>
    </w:lvl>
    <w:lvl w:ilvl="8" w:tplc="549EA878">
      <w:start w:val="1"/>
      <w:numFmt w:val="bullet"/>
      <w:lvlText w:val="•"/>
      <w:lvlJc w:val="left"/>
      <w:pPr>
        <w:ind w:left="8376" w:hanging="477"/>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D2ADF"/>
    <w:rsid w:val="000730DB"/>
    <w:rsid w:val="00236989"/>
    <w:rsid w:val="004973F4"/>
    <w:rsid w:val="004B280D"/>
    <w:rsid w:val="00591B4C"/>
    <w:rsid w:val="00FD2A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8E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02" w:firstLine="475"/>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236989"/>
    <w:pPr>
      <w:tabs>
        <w:tab w:val="center" w:pos="4513"/>
        <w:tab w:val="right" w:pos="9026"/>
      </w:tabs>
    </w:pPr>
  </w:style>
  <w:style w:type="character" w:customStyle="1" w:styleId="HeaderChar">
    <w:name w:val="Header Char"/>
    <w:basedOn w:val="DefaultParagraphFont"/>
    <w:link w:val="Header"/>
    <w:uiPriority w:val="99"/>
    <w:rsid w:val="00236989"/>
  </w:style>
  <w:style w:type="paragraph" w:styleId="Footer">
    <w:name w:val="footer"/>
    <w:basedOn w:val="Normal"/>
    <w:link w:val="FooterChar"/>
    <w:unhideWhenUsed/>
    <w:rsid w:val="00236989"/>
    <w:pPr>
      <w:tabs>
        <w:tab w:val="center" w:pos="4513"/>
        <w:tab w:val="right" w:pos="9026"/>
      </w:tabs>
    </w:pPr>
  </w:style>
  <w:style w:type="character" w:customStyle="1" w:styleId="FooterChar">
    <w:name w:val="Footer Char"/>
    <w:basedOn w:val="DefaultParagraphFont"/>
    <w:link w:val="Footer"/>
    <w:uiPriority w:val="99"/>
    <w:rsid w:val="00236989"/>
  </w:style>
  <w:style w:type="table" w:styleId="TableGrid">
    <w:name w:val="Table Grid"/>
    <w:basedOn w:val="TableNormal"/>
    <w:uiPriority w:val="39"/>
    <w:rsid w:val="00073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4B2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5499</Words>
  <Characters>3135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2020-04-21T10:47:00Z</dcterms:created>
  <dcterms:modified xsi:type="dcterms:W3CDTF">2020-10-08T12:53:00Z</dcterms:modified>
</cp:coreProperties>
</file>