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0776" w14:textId="3CC456F8" w:rsidR="00D43EDD" w:rsidRPr="000761E9" w:rsidRDefault="00D43EDD" w:rsidP="00D43EDD">
      <w:pPr>
        <w:spacing w:after="0" w:line="240" w:lineRule="auto"/>
        <w:jc w:val="right"/>
        <w:rPr>
          <w:rFonts w:ascii="Times New Roman" w:eastAsia="Times New Roman" w:hAnsi="Times New Roman" w:cs="Times New Roman"/>
          <w:sz w:val="24"/>
          <w:szCs w:val="24"/>
          <w:lang w:eastAsia="lv-LV"/>
        </w:rPr>
      </w:pPr>
      <w:r w:rsidRPr="000761E9">
        <w:rPr>
          <w:rFonts w:ascii="Times New Roman" w:hAnsi="Times New Roman" w:cs="Times New Roman"/>
          <w:noProof/>
          <w:szCs w:val="20"/>
        </w:rPr>
        <w:drawing>
          <wp:inline distT="0" distB="0" distL="0" distR="0" wp14:anchorId="0C9539FB" wp14:editId="0B404C86">
            <wp:extent cx="1431925" cy="396875"/>
            <wp:effectExtent l="0" t="0" r="0" b="31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25" cy="396875"/>
                    </a:xfrm>
                    <a:prstGeom prst="rect">
                      <a:avLst/>
                    </a:prstGeom>
                    <a:noFill/>
                    <a:ln>
                      <a:noFill/>
                    </a:ln>
                  </pic:spPr>
                </pic:pic>
              </a:graphicData>
            </a:graphic>
          </wp:inline>
        </w:drawing>
      </w:r>
    </w:p>
    <w:p w14:paraId="208DA96B" w14:textId="3B67EB86" w:rsidR="00D43EDD" w:rsidRPr="000761E9" w:rsidRDefault="00D43EDD" w:rsidP="00D43EDD">
      <w:pPr>
        <w:spacing w:after="0" w:line="240" w:lineRule="auto"/>
        <w:jc w:val="right"/>
        <w:rPr>
          <w:rFonts w:ascii="Times New Roman" w:eastAsia="Times New Roman" w:hAnsi="Times New Roman" w:cs="Times New Roman"/>
          <w:i/>
          <w:iCs/>
          <w:sz w:val="24"/>
          <w:szCs w:val="24"/>
          <w:lang w:eastAsia="lv-LV"/>
        </w:rPr>
      </w:pPr>
      <w:r w:rsidRPr="000761E9">
        <w:rPr>
          <w:rFonts w:ascii="Times New Roman" w:eastAsia="Times New Roman" w:hAnsi="Times New Roman" w:cs="Times New Roman"/>
          <w:i/>
          <w:iCs/>
          <w:sz w:val="24"/>
          <w:szCs w:val="24"/>
          <w:lang w:eastAsia="lv-LV"/>
        </w:rPr>
        <w:t>Eurostat</w:t>
      </w:r>
    </w:p>
    <w:p w14:paraId="1CC34CB2" w14:textId="2ADDCE82" w:rsidR="00D43EDD" w:rsidRDefault="00D43EDD" w:rsidP="00D43EDD">
      <w:pPr>
        <w:spacing w:after="0" w:line="240" w:lineRule="auto"/>
        <w:jc w:val="both"/>
        <w:rPr>
          <w:rFonts w:ascii="Times New Roman" w:eastAsia="Times New Roman" w:hAnsi="Times New Roman" w:cs="Times New Roman"/>
          <w:sz w:val="24"/>
          <w:szCs w:val="24"/>
          <w:lang w:eastAsia="lv-LV"/>
        </w:rPr>
      </w:pPr>
    </w:p>
    <w:p w14:paraId="1A482DD7" w14:textId="5E135810" w:rsidR="004C0743" w:rsidRDefault="004C0743" w:rsidP="00D43EDD">
      <w:pPr>
        <w:spacing w:after="0" w:line="240" w:lineRule="auto"/>
        <w:jc w:val="both"/>
        <w:rPr>
          <w:rFonts w:ascii="Times New Roman" w:eastAsia="Times New Roman" w:hAnsi="Times New Roman" w:cs="Times New Roman"/>
          <w:sz w:val="24"/>
          <w:szCs w:val="24"/>
          <w:lang w:eastAsia="lv-LV"/>
        </w:rPr>
      </w:pPr>
    </w:p>
    <w:p w14:paraId="2726382E" w14:textId="0045F270" w:rsidR="004C0743" w:rsidRDefault="004C0743" w:rsidP="00D43EDD">
      <w:pPr>
        <w:spacing w:after="0" w:line="240" w:lineRule="auto"/>
        <w:jc w:val="both"/>
        <w:rPr>
          <w:rFonts w:ascii="Times New Roman" w:eastAsia="Times New Roman" w:hAnsi="Times New Roman" w:cs="Times New Roman"/>
          <w:sz w:val="24"/>
          <w:szCs w:val="24"/>
          <w:lang w:eastAsia="lv-LV"/>
        </w:rPr>
      </w:pPr>
    </w:p>
    <w:p w14:paraId="16726F3C" w14:textId="3F21FB48" w:rsidR="004C0743" w:rsidRDefault="004C0743" w:rsidP="00D43EDD">
      <w:pPr>
        <w:spacing w:after="0" w:line="240" w:lineRule="auto"/>
        <w:jc w:val="both"/>
        <w:rPr>
          <w:rFonts w:ascii="Times New Roman" w:eastAsia="Times New Roman" w:hAnsi="Times New Roman" w:cs="Times New Roman"/>
          <w:sz w:val="24"/>
          <w:szCs w:val="24"/>
          <w:lang w:eastAsia="lv-LV"/>
        </w:rPr>
      </w:pPr>
    </w:p>
    <w:p w14:paraId="15B1E0FE" w14:textId="6411222C" w:rsidR="004C0743" w:rsidRDefault="004C0743" w:rsidP="00D43EDD">
      <w:pPr>
        <w:spacing w:after="0" w:line="240" w:lineRule="auto"/>
        <w:jc w:val="both"/>
        <w:rPr>
          <w:rFonts w:ascii="Times New Roman" w:eastAsia="Times New Roman" w:hAnsi="Times New Roman" w:cs="Times New Roman"/>
          <w:sz w:val="24"/>
          <w:szCs w:val="24"/>
          <w:lang w:eastAsia="lv-LV"/>
        </w:rPr>
      </w:pPr>
    </w:p>
    <w:p w14:paraId="0058F124" w14:textId="77777777" w:rsidR="004C0743" w:rsidRPr="000761E9" w:rsidRDefault="004C0743" w:rsidP="00D43EDD">
      <w:pPr>
        <w:spacing w:after="0" w:line="240" w:lineRule="auto"/>
        <w:jc w:val="both"/>
        <w:rPr>
          <w:rFonts w:ascii="Times New Roman" w:eastAsia="Times New Roman" w:hAnsi="Times New Roman" w:cs="Times New Roman"/>
          <w:sz w:val="24"/>
          <w:szCs w:val="24"/>
          <w:lang w:eastAsia="lv-LV"/>
        </w:rPr>
      </w:pPr>
    </w:p>
    <w:p w14:paraId="4D9C0E80" w14:textId="044FC6D8" w:rsidR="00D43EDD" w:rsidRPr="000761E9" w:rsidRDefault="00D43EDD" w:rsidP="00D43EDD">
      <w:pPr>
        <w:spacing w:after="0" w:line="240" w:lineRule="auto"/>
        <w:jc w:val="right"/>
        <w:rPr>
          <w:rFonts w:ascii="Times New Roman" w:eastAsia="Times New Roman" w:hAnsi="Times New Roman" w:cs="Times New Roman"/>
          <w:sz w:val="24"/>
          <w:szCs w:val="24"/>
          <w:lang w:eastAsia="lv-LV"/>
        </w:rPr>
      </w:pPr>
      <w:r w:rsidRPr="000761E9">
        <w:rPr>
          <w:rFonts w:ascii="Times New Roman" w:hAnsi="Times New Roman" w:cs="Times New Roman"/>
          <w:noProof/>
          <w:szCs w:val="20"/>
        </w:rPr>
        <w:drawing>
          <wp:inline distT="0" distB="0" distL="0" distR="0" wp14:anchorId="027532AA" wp14:editId="47F7B10B">
            <wp:extent cx="4632325" cy="2052955"/>
            <wp:effectExtent l="0" t="0" r="0" b="444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325" cy="2052955"/>
                    </a:xfrm>
                    <a:prstGeom prst="rect">
                      <a:avLst/>
                    </a:prstGeom>
                    <a:noFill/>
                    <a:ln>
                      <a:noFill/>
                    </a:ln>
                  </pic:spPr>
                </pic:pic>
              </a:graphicData>
            </a:graphic>
          </wp:inline>
        </w:drawing>
      </w:r>
    </w:p>
    <w:p w14:paraId="76F22829" w14:textId="77777777" w:rsidR="00D43EDD" w:rsidRPr="004C0743" w:rsidRDefault="00D43EDD" w:rsidP="00D43EDD">
      <w:pPr>
        <w:spacing w:after="0" w:line="240" w:lineRule="auto"/>
        <w:jc w:val="right"/>
        <w:rPr>
          <w:rFonts w:ascii="Times New Roman" w:eastAsia="Times New Roman" w:hAnsi="Times New Roman" w:cs="Times New Roman"/>
          <w:sz w:val="36"/>
          <w:szCs w:val="24"/>
          <w:lang w:eastAsia="lv-LV"/>
        </w:rPr>
      </w:pPr>
      <w:r w:rsidRPr="004C0743">
        <w:rPr>
          <w:rFonts w:ascii="Times New Roman" w:eastAsia="Times New Roman" w:hAnsi="Times New Roman" w:cs="Times New Roman"/>
          <w:color w:val="034694"/>
          <w:sz w:val="36"/>
          <w:szCs w:val="24"/>
          <w:lang w:eastAsia="lv-LV"/>
        </w:rPr>
        <w:t>Publisko un privāto partnerību statistiskās uzskaites rokasgrāmata</w:t>
      </w:r>
    </w:p>
    <w:p w14:paraId="606E5A18" w14:textId="77777777" w:rsidR="004C0743" w:rsidRDefault="004C0743" w:rsidP="00D43EDD">
      <w:pPr>
        <w:spacing w:after="0" w:line="240" w:lineRule="auto"/>
        <w:jc w:val="right"/>
        <w:rPr>
          <w:rFonts w:ascii="Times New Roman" w:eastAsia="Times New Roman" w:hAnsi="Times New Roman" w:cs="Times New Roman"/>
          <w:color w:val="A7A9AC"/>
          <w:sz w:val="24"/>
          <w:szCs w:val="24"/>
          <w:lang w:eastAsia="lv-LV"/>
        </w:rPr>
      </w:pPr>
    </w:p>
    <w:p w14:paraId="4C602780" w14:textId="6F27AEEB" w:rsidR="00D43EDD" w:rsidRPr="000761E9" w:rsidRDefault="00D43EDD" w:rsidP="00D43EDD">
      <w:pPr>
        <w:spacing w:after="0" w:line="240" w:lineRule="auto"/>
        <w:jc w:val="right"/>
        <w:rPr>
          <w:rFonts w:ascii="Times New Roman" w:eastAsia="Times New Roman" w:hAnsi="Times New Roman" w:cs="Times New Roman"/>
          <w:color w:val="A7A9AC"/>
          <w:sz w:val="24"/>
          <w:szCs w:val="24"/>
          <w:lang w:eastAsia="lv-LV"/>
        </w:rPr>
      </w:pPr>
      <w:r w:rsidRPr="000761E9">
        <w:rPr>
          <w:rFonts w:ascii="Times New Roman" w:eastAsia="Times New Roman" w:hAnsi="Times New Roman" w:cs="Times New Roman"/>
          <w:color w:val="A7A9AC"/>
          <w:sz w:val="24"/>
          <w:szCs w:val="24"/>
          <w:lang w:eastAsia="lv-LV"/>
        </w:rPr>
        <w:t>2016. gada septembrī</w:t>
      </w:r>
    </w:p>
    <w:p w14:paraId="2E5F47A5" w14:textId="0483222A" w:rsidR="00D43EDD" w:rsidRDefault="00D43EDD" w:rsidP="00D43EDD">
      <w:pPr>
        <w:spacing w:after="0" w:line="240" w:lineRule="auto"/>
        <w:jc w:val="both"/>
        <w:rPr>
          <w:rFonts w:ascii="Times New Roman" w:eastAsia="Times New Roman" w:hAnsi="Times New Roman" w:cs="Times New Roman"/>
          <w:iCs/>
          <w:sz w:val="24"/>
          <w:szCs w:val="24"/>
          <w:lang w:eastAsia="lv-LV"/>
        </w:rPr>
      </w:pPr>
    </w:p>
    <w:p w14:paraId="35C257C3" w14:textId="7BAD97A6"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4D9FA3E7" w14:textId="005FC4A4"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75077462" w14:textId="3A08C545"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7D84BF0E" w14:textId="68A277DE"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3BDD5C2F" w14:textId="36265D6D"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78DAFD14" w14:textId="042BEA58"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23C9F209" w14:textId="1557025D"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46025B03" w14:textId="7B8DCA0A"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098CD361" w14:textId="77777777"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0446D4C3" w14:textId="2C5CFFD4"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06CF2A55" w14:textId="5497A8D6"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59350F27" w14:textId="63933D35"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22A005A1" w14:textId="7004B020"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7EE5B621" w14:textId="4D890F97"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1E27FA96" w14:textId="7EC50117"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66C7BCD3" w14:textId="17A3D308"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02E38E5C" w14:textId="6ED91897" w:rsidR="004C0743" w:rsidRDefault="004C0743" w:rsidP="00D43EDD">
      <w:pPr>
        <w:spacing w:after="0" w:line="240" w:lineRule="auto"/>
        <w:jc w:val="both"/>
        <w:rPr>
          <w:rFonts w:ascii="Times New Roman" w:eastAsia="Times New Roman" w:hAnsi="Times New Roman" w:cs="Times New Roman"/>
          <w:iCs/>
          <w:sz w:val="24"/>
          <w:szCs w:val="24"/>
          <w:lang w:eastAsia="lv-LV"/>
        </w:rPr>
      </w:pPr>
    </w:p>
    <w:p w14:paraId="19914967" w14:textId="77777777" w:rsidR="004C0743" w:rsidRPr="000761E9" w:rsidRDefault="004C0743" w:rsidP="00D43EDD">
      <w:pPr>
        <w:spacing w:after="0" w:line="240" w:lineRule="auto"/>
        <w:jc w:val="both"/>
        <w:rPr>
          <w:rFonts w:ascii="Times New Roman" w:eastAsia="Times New Roman" w:hAnsi="Times New Roman" w:cs="Times New Roman"/>
          <w:iCs/>
          <w:sz w:val="24"/>
          <w:szCs w:val="24"/>
          <w:lang w:eastAsia="lv-LV"/>
        </w:rPr>
      </w:pPr>
    </w:p>
    <w:tbl>
      <w:tblPr>
        <w:tblW w:w="0" w:type="auto"/>
        <w:tblCellMar>
          <w:top w:w="28" w:type="dxa"/>
          <w:left w:w="28" w:type="dxa"/>
          <w:bottom w:w="28" w:type="dxa"/>
          <w:right w:w="28" w:type="dxa"/>
        </w:tblCellMar>
        <w:tblLook w:val="04A0" w:firstRow="1" w:lastRow="0" w:firstColumn="1" w:lastColumn="0" w:noHBand="0" w:noVBand="1"/>
      </w:tblPr>
      <w:tblGrid>
        <w:gridCol w:w="2245"/>
        <w:gridCol w:w="2197"/>
        <w:gridCol w:w="2433"/>
        <w:gridCol w:w="2196"/>
      </w:tblGrid>
      <w:tr w:rsidR="00D43EDD" w:rsidRPr="000761E9" w14:paraId="053A0F32" w14:textId="77777777" w:rsidTr="004C0743">
        <w:tc>
          <w:tcPr>
            <w:tcW w:w="2266" w:type="dxa"/>
            <w:shd w:val="clear" w:color="auto" w:fill="auto"/>
          </w:tcPr>
          <w:p w14:paraId="46BA9B4B" w14:textId="283A6776" w:rsidR="00D43EDD" w:rsidRPr="000761E9" w:rsidRDefault="00D43EDD" w:rsidP="00D43EDD">
            <w:pPr>
              <w:pStyle w:val="Pamatteksts"/>
              <w:kinsoku w:val="0"/>
              <w:overflowPunct w:val="0"/>
              <w:ind w:left="0"/>
              <w:jc w:val="both"/>
              <w:rPr>
                <w:rFonts w:ascii="Times New Roman" w:hAnsi="Times New Roman" w:cs="Times New Roman"/>
                <w:sz w:val="20"/>
                <w:szCs w:val="20"/>
              </w:rPr>
            </w:pPr>
            <w:r w:rsidRPr="000761E9">
              <w:rPr>
                <w:rFonts w:ascii="Times New Roman" w:hAnsi="Times New Roman" w:cs="Times New Roman"/>
                <w:noProof/>
                <w:sz w:val="20"/>
                <w:szCs w:val="20"/>
              </w:rPr>
              <w:drawing>
                <wp:inline distT="0" distB="0" distL="0" distR="0" wp14:anchorId="59D6E5C3" wp14:editId="7B6336CE">
                  <wp:extent cx="1138555" cy="474345"/>
                  <wp:effectExtent l="0" t="0" r="4445" b="190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8555" cy="474345"/>
                          </a:xfrm>
                          <a:prstGeom prst="rect">
                            <a:avLst/>
                          </a:prstGeom>
                          <a:noFill/>
                          <a:ln>
                            <a:noFill/>
                          </a:ln>
                        </pic:spPr>
                      </pic:pic>
                    </a:graphicData>
                  </a:graphic>
                </wp:inline>
              </w:drawing>
            </w:r>
          </w:p>
        </w:tc>
        <w:tc>
          <w:tcPr>
            <w:tcW w:w="2266" w:type="dxa"/>
            <w:shd w:val="clear" w:color="auto" w:fill="auto"/>
          </w:tcPr>
          <w:p w14:paraId="2AD9BEF8" w14:textId="77777777" w:rsidR="00D43EDD" w:rsidRPr="000761E9" w:rsidRDefault="00D43EDD" w:rsidP="00D43EDD">
            <w:pPr>
              <w:spacing w:after="0" w:line="240" w:lineRule="auto"/>
              <w:jc w:val="both"/>
              <w:rPr>
                <w:rFonts w:ascii="Times New Roman" w:eastAsia="Times New Roman" w:hAnsi="Times New Roman" w:cs="Times New Roman"/>
                <w:sz w:val="20"/>
                <w:szCs w:val="20"/>
                <w:lang w:eastAsia="lv-LV"/>
              </w:rPr>
            </w:pPr>
            <w:r w:rsidRPr="000761E9">
              <w:rPr>
                <w:rFonts w:ascii="Times New Roman" w:eastAsia="Times New Roman" w:hAnsi="Times New Roman" w:cs="Times New Roman"/>
                <w:i/>
                <w:iCs/>
                <w:sz w:val="20"/>
                <w:szCs w:val="20"/>
                <w:lang w:eastAsia="lv-LV"/>
              </w:rPr>
              <w:t>EPEC</w:t>
            </w:r>
          </w:p>
          <w:p w14:paraId="77B47118" w14:textId="0ED0C11B" w:rsidR="00D43EDD" w:rsidRPr="000761E9" w:rsidRDefault="00D43EDD" w:rsidP="004C0743">
            <w:pPr>
              <w:spacing w:after="0" w:line="240" w:lineRule="auto"/>
              <w:rPr>
                <w:rFonts w:ascii="Times New Roman" w:eastAsia="Times New Roman" w:hAnsi="Times New Roman" w:cs="Times New Roman"/>
                <w:sz w:val="20"/>
                <w:szCs w:val="20"/>
                <w:lang w:eastAsia="lv-LV"/>
              </w:rPr>
            </w:pPr>
            <w:r w:rsidRPr="000761E9">
              <w:rPr>
                <w:rFonts w:ascii="Times New Roman" w:eastAsia="Times New Roman" w:hAnsi="Times New Roman" w:cs="Times New Roman"/>
                <w:sz w:val="20"/>
                <w:szCs w:val="20"/>
                <w:lang w:eastAsia="lv-LV"/>
              </w:rPr>
              <w:t>Eiropas Publiskās un privātās partnerības ekspertīzes centrs</w:t>
            </w:r>
          </w:p>
        </w:tc>
        <w:tc>
          <w:tcPr>
            <w:tcW w:w="2266" w:type="dxa"/>
            <w:shd w:val="clear" w:color="auto" w:fill="auto"/>
          </w:tcPr>
          <w:p w14:paraId="606392BD" w14:textId="51EB1E86" w:rsidR="00D43EDD" w:rsidRPr="000761E9" w:rsidRDefault="00D43EDD" w:rsidP="00D43EDD">
            <w:pPr>
              <w:pStyle w:val="Pamatteksts"/>
              <w:kinsoku w:val="0"/>
              <w:overflowPunct w:val="0"/>
              <w:ind w:left="0"/>
              <w:jc w:val="both"/>
              <w:rPr>
                <w:rFonts w:ascii="Times New Roman" w:hAnsi="Times New Roman" w:cs="Times New Roman"/>
                <w:sz w:val="20"/>
                <w:szCs w:val="20"/>
              </w:rPr>
            </w:pPr>
            <w:r w:rsidRPr="000761E9">
              <w:rPr>
                <w:rFonts w:ascii="Times New Roman" w:hAnsi="Times New Roman" w:cs="Times New Roman"/>
                <w:noProof/>
                <w:sz w:val="20"/>
                <w:szCs w:val="20"/>
              </w:rPr>
              <w:drawing>
                <wp:inline distT="0" distB="0" distL="0" distR="0" wp14:anchorId="24395690" wp14:editId="2FB8719B">
                  <wp:extent cx="1509395" cy="603885"/>
                  <wp:effectExtent l="0" t="0" r="0" b="571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95" cy="603885"/>
                          </a:xfrm>
                          <a:prstGeom prst="rect">
                            <a:avLst/>
                          </a:prstGeom>
                          <a:noFill/>
                          <a:ln>
                            <a:noFill/>
                          </a:ln>
                        </pic:spPr>
                      </pic:pic>
                    </a:graphicData>
                  </a:graphic>
                </wp:inline>
              </w:drawing>
            </w:r>
          </w:p>
        </w:tc>
        <w:tc>
          <w:tcPr>
            <w:tcW w:w="2267" w:type="dxa"/>
            <w:shd w:val="clear" w:color="auto" w:fill="auto"/>
          </w:tcPr>
          <w:p w14:paraId="43B7B473" w14:textId="77777777" w:rsidR="00D43EDD" w:rsidRPr="000761E9" w:rsidRDefault="00D43EDD" w:rsidP="004C0743">
            <w:pPr>
              <w:spacing w:after="0" w:line="240" w:lineRule="auto"/>
              <w:rPr>
                <w:rFonts w:ascii="Times New Roman" w:eastAsia="Times New Roman" w:hAnsi="Times New Roman" w:cs="Times New Roman"/>
                <w:sz w:val="20"/>
                <w:szCs w:val="20"/>
                <w:lang w:eastAsia="lv-LV"/>
              </w:rPr>
            </w:pPr>
            <w:r w:rsidRPr="000761E9">
              <w:rPr>
                <w:rFonts w:ascii="Times New Roman" w:eastAsia="Times New Roman" w:hAnsi="Times New Roman" w:cs="Times New Roman"/>
                <w:sz w:val="20"/>
                <w:szCs w:val="20"/>
                <w:lang w:eastAsia="lv-LV"/>
              </w:rPr>
              <w:t>Eiropas Investīciju banka</w:t>
            </w:r>
          </w:p>
          <w:p w14:paraId="363E0B08" w14:textId="02565F53" w:rsidR="00D43EDD" w:rsidRPr="000761E9" w:rsidRDefault="00D43EDD" w:rsidP="00D43EDD">
            <w:pPr>
              <w:spacing w:after="0" w:line="240" w:lineRule="auto"/>
              <w:jc w:val="both"/>
              <w:rPr>
                <w:rFonts w:ascii="Times New Roman" w:eastAsia="Times New Roman" w:hAnsi="Times New Roman" w:cs="Times New Roman"/>
                <w:sz w:val="20"/>
                <w:szCs w:val="20"/>
                <w:lang w:eastAsia="lv-LV"/>
              </w:rPr>
            </w:pPr>
            <w:r w:rsidRPr="000761E9">
              <w:rPr>
                <w:rFonts w:ascii="Times New Roman" w:eastAsia="Times New Roman" w:hAnsi="Times New Roman" w:cs="Times New Roman"/>
                <w:sz w:val="20"/>
                <w:szCs w:val="20"/>
                <w:lang w:eastAsia="lv-LV"/>
              </w:rPr>
              <w:t>ES banka</w:t>
            </w:r>
          </w:p>
        </w:tc>
      </w:tr>
    </w:tbl>
    <w:p w14:paraId="446155E4" w14:textId="160BCF0B" w:rsidR="00D43EDD" w:rsidRPr="000761E9" w:rsidRDefault="00D43EDD" w:rsidP="00D43EDD">
      <w:pPr>
        <w:spacing w:after="0" w:line="240" w:lineRule="auto"/>
        <w:jc w:val="both"/>
        <w:rPr>
          <w:rFonts w:ascii="Times New Roman" w:eastAsia="Times New Roman" w:hAnsi="Times New Roman" w:cs="Times New Roman"/>
          <w:iCs/>
          <w:sz w:val="24"/>
          <w:szCs w:val="24"/>
          <w:lang w:eastAsia="lv-LV"/>
        </w:rPr>
      </w:pPr>
    </w:p>
    <w:p w14:paraId="5E129636" w14:textId="77777777" w:rsidR="00D43EDD" w:rsidRPr="000761E9" w:rsidRDefault="00D43EDD" w:rsidP="00D43EDD">
      <w:pPr>
        <w:jc w:val="both"/>
        <w:rPr>
          <w:rFonts w:ascii="Times New Roman" w:eastAsia="Times New Roman" w:hAnsi="Times New Roman" w:cs="Times New Roman"/>
          <w:iCs/>
          <w:sz w:val="24"/>
          <w:szCs w:val="24"/>
          <w:lang w:eastAsia="lv-LV"/>
        </w:rPr>
      </w:pPr>
      <w:r w:rsidRPr="000761E9">
        <w:rPr>
          <w:rFonts w:ascii="Times New Roman" w:eastAsia="Times New Roman" w:hAnsi="Times New Roman" w:cs="Times New Roman"/>
          <w:iCs/>
          <w:sz w:val="24"/>
          <w:szCs w:val="24"/>
          <w:lang w:eastAsia="lv-LV"/>
        </w:rPr>
        <w:br w:type="page"/>
      </w:r>
    </w:p>
    <w:p w14:paraId="7C6D572E" w14:textId="7A95D985" w:rsidR="00D43EDD" w:rsidRDefault="00D43EDD" w:rsidP="00D43EDD">
      <w:pPr>
        <w:spacing w:after="0" w:line="240" w:lineRule="auto"/>
        <w:jc w:val="both"/>
        <w:rPr>
          <w:rFonts w:ascii="Times New Roman" w:eastAsia="Times New Roman" w:hAnsi="Times New Roman" w:cs="Times New Roman"/>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D43EDD" w:rsidRPr="000761E9" w14:paraId="25E99034" w14:textId="77777777" w:rsidTr="004C0743">
        <w:tc>
          <w:tcPr>
            <w:tcW w:w="9061" w:type="dxa"/>
          </w:tcPr>
          <w:p w14:paraId="057FA073" w14:textId="77777777" w:rsidR="00D43EDD" w:rsidRPr="000761E9" w:rsidRDefault="00D43EDD" w:rsidP="00D43EDD">
            <w:pPr>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Šīs publikācijas konteksts un lietošanas noteikumi</w:t>
            </w:r>
          </w:p>
          <w:p w14:paraId="0C3B0C39" w14:textId="77777777" w:rsidR="00D43EDD" w:rsidRPr="000761E9" w:rsidRDefault="00D43EDD" w:rsidP="00D43EDD">
            <w:pPr>
              <w:jc w:val="both"/>
              <w:rPr>
                <w:rFonts w:ascii="Times New Roman" w:eastAsia="Times New Roman" w:hAnsi="Times New Roman" w:cs="Times New Roman"/>
                <w:color w:val="231F20"/>
                <w:sz w:val="24"/>
                <w:szCs w:val="24"/>
                <w:lang w:eastAsia="lv-LV"/>
              </w:rPr>
            </w:pPr>
          </w:p>
          <w:p w14:paraId="50509786" w14:textId="415A75A3" w:rsidR="00D43EDD" w:rsidRPr="000761E9" w:rsidRDefault="00D43EDD" w:rsidP="00D43EDD">
            <w:pPr>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Šo publikāciju par publisko un privāto partnerību (PPP) statistisko uzskaiti sadarbojoties ir sagatavojuši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Eiropas Publiskās un privātās partnerības ekspertīzes centrs.</w:t>
            </w:r>
            <w:r w:rsidRPr="000761E9">
              <w:rPr>
                <w:rStyle w:val="Vresatsauce"/>
                <w:rFonts w:ascii="Times New Roman" w:eastAsia="Times New Roman" w:hAnsi="Times New Roman" w:cs="Times New Roman"/>
                <w:color w:val="231F20"/>
                <w:sz w:val="24"/>
                <w:szCs w:val="24"/>
                <w:lang w:eastAsia="lv-LV"/>
              </w:rPr>
              <w:footnoteReference w:id="1"/>
            </w:r>
          </w:p>
          <w:p w14:paraId="3ED1C356" w14:textId="77777777" w:rsidR="00D43EDD" w:rsidRPr="000761E9" w:rsidRDefault="00D43EDD" w:rsidP="00D43EDD">
            <w:pPr>
              <w:jc w:val="both"/>
              <w:rPr>
                <w:rFonts w:ascii="Times New Roman" w:eastAsia="Times New Roman" w:hAnsi="Times New Roman" w:cs="Times New Roman"/>
                <w:i/>
                <w:iCs/>
                <w:color w:val="231F20"/>
                <w:sz w:val="24"/>
                <w:szCs w:val="24"/>
                <w:lang w:eastAsia="lv-LV"/>
              </w:rPr>
            </w:pPr>
          </w:p>
          <w:p w14:paraId="103F9FB3" w14:textId="77777777" w:rsidR="00D43EDD" w:rsidRPr="000761E9" w:rsidRDefault="00D43EDD" w:rsidP="00D43EDD">
            <w:pPr>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ir Eiropas Komisijas Statistikas birojs un statistikas iestāde Eiropas Savienībā (ES). Sīkāku informāciju par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lūdzu, sk. tīmekļa vietnē </w:t>
            </w:r>
            <w:r w:rsidRPr="000761E9">
              <w:rPr>
                <w:rFonts w:ascii="Times New Roman" w:eastAsia="Times New Roman" w:hAnsi="Times New Roman" w:cs="Times New Roman"/>
                <w:color w:val="205E9E"/>
                <w:sz w:val="24"/>
                <w:szCs w:val="24"/>
                <w:lang w:eastAsia="lv-LV"/>
              </w:rPr>
              <w:t>ec.europa.eu/eurostat</w:t>
            </w:r>
            <w:r w:rsidRPr="000761E9">
              <w:rPr>
                <w:rFonts w:ascii="Times New Roman" w:eastAsia="Times New Roman" w:hAnsi="Times New Roman" w:cs="Times New Roman"/>
                <w:color w:val="231F20"/>
                <w:sz w:val="24"/>
                <w:szCs w:val="24"/>
                <w:lang w:eastAsia="lv-LV"/>
              </w:rPr>
              <w:t>.</w:t>
            </w:r>
          </w:p>
          <w:p w14:paraId="73DE4741" w14:textId="77777777" w:rsidR="00D43EDD" w:rsidRPr="000761E9" w:rsidRDefault="00D43EDD" w:rsidP="00D43EDD">
            <w:pPr>
              <w:jc w:val="both"/>
              <w:rPr>
                <w:rFonts w:ascii="Times New Roman" w:eastAsia="Times New Roman" w:hAnsi="Times New Roman" w:cs="Times New Roman"/>
                <w:color w:val="231F20"/>
                <w:sz w:val="24"/>
                <w:szCs w:val="24"/>
                <w:lang w:eastAsia="lv-LV"/>
              </w:rPr>
            </w:pPr>
          </w:p>
          <w:p w14:paraId="31606F6B" w14:textId="77777777" w:rsidR="00D43EDD" w:rsidRPr="000761E9" w:rsidRDefault="00D43EDD" w:rsidP="00D43EDD">
            <w:pPr>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color w:val="231F20"/>
                <w:sz w:val="24"/>
                <w:szCs w:val="24"/>
                <w:lang w:eastAsia="lv-LV"/>
              </w:rPr>
              <w:t>Eiropas Publiskās un privātās partnerības ekspertīzes centrs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ir daļa no Eiropas Investīciju bankas (EIB) konsultāciju dienestiem. Tā ir iniciatīva, kurā piedalās arī Eiropas Komisija un ES dalībvalstis, kandidātvalstis un dažas citas valstis. Sīkāku informāciju par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un dalību tajā, lūdzam, sk. tīmekļa vietnē </w:t>
            </w:r>
            <w:r w:rsidRPr="000761E9">
              <w:rPr>
                <w:rFonts w:ascii="Times New Roman" w:eastAsia="Times New Roman" w:hAnsi="Times New Roman" w:cs="Times New Roman"/>
                <w:color w:val="034694"/>
                <w:sz w:val="24"/>
                <w:szCs w:val="24"/>
                <w:lang w:eastAsia="lv-LV"/>
              </w:rPr>
              <w:t>www.eib.org/epec</w:t>
            </w:r>
            <w:r w:rsidRPr="000761E9">
              <w:rPr>
                <w:rFonts w:ascii="Times New Roman" w:eastAsia="Times New Roman" w:hAnsi="Times New Roman" w:cs="Times New Roman"/>
                <w:color w:val="231F20"/>
                <w:sz w:val="24"/>
                <w:szCs w:val="24"/>
                <w:lang w:eastAsia="lv-LV"/>
              </w:rPr>
              <w:t>.</w:t>
            </w:r>
          </w:p>
          <w:p w14:paraId="5B9F1770" w14:textId="77777777" w:rsidR="00D43EDD" w:rsidRPr="000761E9" w:rsidRDefault="00D43EDD" w:rsidP="00D43EDD">
            <w:pPr>
              <w:jc w:val="both"/>
              <w:rPr>
                <w:rFonts w:ascii="Times New Roman" w:eastAsia="Times New Roman" w:hAnsi="Times New Roman" w:cs="Times New Roman"/>
                <w:color w:val="231F20"/>
                <w:sz w:val="24"/>
                <w:szCs w:val="24"/>
                <w:lang w:eastAsia="lv-LV"/>
              </w:rPr>
            </w:pPr>
          </w:p>
          <w:p w14:paraId="01530D0A" w14:textId="77777777" w:rsidR="00D43EDD" w:rsidRPr="000761E9" w:rsidRDefault="00D43EDD" w:rsidP="00D43EDD">
            <w:pPr>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Šajā publikācijā ietvertie konstatējumi, analīze, interpretācija un slēdzieni ne vienmēr atspoguļo Eiropas Investīciju bankas vai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viedokli vai politikas nostādnes. Ne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ne Eiropas Investīciju banka neuzņemas atbildību par šajā publikācijā iekļautās informācijas precizitāti un sekām, kas var rasties, to lietojot. Tāpēc par šajā publikācijā sniegtās informācijas lietošanu ir atbildīgs tikai un vienīgi pats lietotājs.</w:t>
            </w:r>
          </w:p>
          <w:p w14:paraId="6A27FAF1" w14:textId="77777777" w:rsidR="00D43EDD" w:rsidRPr="000761E9" w:rsidRDefault="00D43EDD" w:rsidP="00D43EDD">
            <w:pPr>
              <w:jc w:val="both"/>
              <w:rPr>
                <w:rFonts w:ascii="Times New Roman" w:eastAsia="Times New Roman" w:hAnsi="Times New Roman" w:cs="Times New Roman"/>
                <w:i/>
                <w:iCs/>
                <w:color w:val="231F20"/>
                <w:sz w:val="24"/>
                <w:szCs w:val="24"/>
                <w:lang w:eastAsia="lv-LV"/>
              </w:rPr>
            </w:pPr>
          </w:p>
          <w:p w14:paraId="3A3BDF12" w14:textId="27D78CAD" w:rsidR="00D43EDD" w:rsidRPr="000761E9" w:rsidRDefault="00D43EDD" w:rsidP="00D43EDD">
            <w:pPr>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 xml:space="preserve">Eurostat </w:t>
            </w:r>
            <w:r w:rsidRPr="000761E9">
              <w:rPr>
                <w:rFonts w:ascii="Times New Roman" w:eastAsia="Times New Roman" w:hAnsi="Times New Roman" w:cs="Times New Roman"/>
                <w:color w:val="231F20"/>
                <w:sz w:val="24"/>
                <w:szCs w:val="24"/>
                <w:lang w:eastAsia="lv-LV"/>
              </w:rPr>
              <w:t xml:space="preserve">un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atļauj šīs publikācijas lietotājiem piekļūt tās saturam un to lejupielādēt, parādīt, atveidot un izdrukāt, ja tiek ievēroti šādi nosacījumi: i) izmantojot šīs publikācijas saturu, lietotājiem jānorāda tās avots, un ii) šo publikāciju vai tās saturu nekādā gadījumā nedrīkst izmantot komerciāliem nolūkiem.</w:t>
            </w:r>
          </w:p>
        </w:tc>
      </w:tr>
    </w:tbl>
    <w:p w14:paraId="0F22F2AB" w14:textId="4AC43C53" w:rsidR="00D43EDD" w:rsidRPr="000761E9" w:rsidRDefault="00D43EDD" w:rsidP="00D43EDD">
      <w:pPr>
        <w:spacing w:after="0" w:line="240" w:lineRule="auto"/>
        <w:jc w:val="both"/>
        <w:rPr>
          <w:rFonts w:ascii="Times New Roman" w:eastAsia="Times New Roman" w:hAnsi="Times New Roman" w:cs="Times New Roman"/>
          <w:iCs/>
          <w:sz w:val="24"/>
          <w:szCs w:val="24"/>
          <w:lang w:eastAsia="lv-LV"/>
        </w:rPr>
      </w:pPr>
    </w:p>
    <w:p w14:paraId="654B0A73" w14:textId="59888409" w:rsidR="00D43EDD" w:rsidRPr="000761E9" w:rsidRDefault="00D43EDD">
      <w:pPr>
        <w:rPr>
          <w:rFonts w:ascii="Times New Roman" w:eastAsia="Times New Roman" w:hAnsi="Times New Roman" w:cs="Times New Roman"/>
          <w:iCs/>
          <w:sz w:val="24"/>
          <w:szCs w:val="24"/>
          <w:lang w:eastAsia="lv-LV"/>
        </w:rPr>
      </w:pPr>
      <w:r w:rsidRPr="000761E9">
        <w:rPr>
          <w:rFonts w:ascii="Times New Roman" w:eastAsia="Times New Roman" w:hAnsi="Times New Roman" w:cs="Times New Roman"/>
          <w:iCs/>
          <w:sz w:val="24"/>
          <w:szCs w:val="24"/>
          <w:lang w:eastAsia="lv-LV"/>
        </w:rPr>
        <w:br w:type="page"/>
      </w:r>
    </w:p>
    <w:p w14:paraId="1A78E63E" w14:textId="77777777" w:rsidR="00D43EDD" w:rsidRPr="000761E9" w:rsidRDefault="00D43EDD" w:rsidP="00D43EDD">
      <w:pPr>
        <w:spacing w:after="0" w:line="240" w:lineRule="auto"/>
        <w:jc w:val="both"/>
        <w:rPr>
          <w:rFonts w:ascii="Times New Roman" w:eastAsia="Times New Roman" w:hAnsi="Times New Roman" w:cs="Times New Roman"/>
          <w:iCs/>
          <w:sz w:val="24"/>
          <w:szCs w:val="24"/>
          <w:lang w:eastAsia="lv-LV"/>
        </w:rPr>
      </w:pPr>
    </w:p>
    <w:p w14:paraId="7AEE90CE" w14:textId="77777777" w:rsidR="00D43EDD" w:rsidRPr="004C0743" w:rsidRDefault="00D43EDD" w:rsidP="00D43EDD">
      <w:pPr>
        <w:spacing w:after="0" w:line="240" w:lineRule="auto"/>
        <w:jc w:val="both"/>
        <w:rPr>
          <w:rFonts w:ascii="Times New Roman" w:eastAsia="Times New Roman" w:hAnsi="Times New Roman" w:cs="Times New Roman"/>
          <w:b/>
          <w:bCs/>
          <w:color w:val="005CAB"/>
          <w:sz w:val="28"/>
          <w:szCs w:val="24"/>
          <w:lang w:eastAsia="lv-LV"/>
        </w:rPr>
      </w:pPr>
      <w:r w:rsidRPr="004C0743">
        <w:rPr>
          <w:rFonts w:ascii="Times New Roman" w:eastAsia="Times New Roman" w:hAnsi="Times New Roman" w:cs="Times New Roman"/>
          <w:b/>
          <w:bCs/>
          <w:color w:val="005CAB"/>
          <w:sz w:val="28"/>
          <w:szCs w:val="24"/>
          <w:lang w:eastAsia="lv-LV"/>
        </w:rPr>
        <w:t>Priekšvārds</w:t>
      </w:r>
    </w:p>
    <w:p w14:paraId="25729315"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tbl>
      <w:tblPr>
        <w:tblW w:w="0" w:type="auto"/>
        <w:tblCellMar>
          <w:top w:w="28" w:type="dxa"/>
          <w:left w:w="28" w:type="dxa"/>
          <w:bottom w:w="28" w:type="dxa"/>
          <w:right w:w="28" w:type="dxa"/>
        </w:tblCellMar>
        <w:tblLook w:val="04A0" w:firstRow="1" w:lastRow="0" w:firstColumn="1" w:lastColumn="0" w:noHBand="0" w:noVBand="1"/>
      </w:tblPr>
      <w:tblGrid>
        <w:gridCol w:w="4532"/>
        <w:gridCol w:w="4533"/>
      </w:tblGrid>
      <w:tr w:rsidR="00D43EDD" w:rsidRPr="000761E9" w14:paraId="0EAF93D7" w14:textId="77777777" w:rsidTr="004C0743">
        <w:tc>
          <w:tcPr>
            <w:tcW w:w="4532" w:type="dxa"/>
            <w:shd w:val="clear" w:color="auto" w:fill="auto"/>
          </w:tcPr>
          <w:p w14:paraId="7A5037C4" w14:textId="681CBDAE" w:rsidR="00D43EDD" w:rsidRPr="000761E9" w:rsidRDefault="00D43EDD" w:rsidP="00D43EDD">
            <w:pPr>
              <w:pStyle w:val="Pamatteksts"/>
              <w:kinsoku w:val="0"/>
              <w:overflowPunct w:val="0"/>
              <w:ind w:left="0"/>
              <w:jc w:val="center"/>
              <w:rPr>
                <w:rFonts w:ascii="Times New Roman" w:hAnsi="Times New Roman" w:cs="Times New Roman"/>
                <w:b/>
                <w:bCs/>
                <w:szCs w:val="22"/>
              </w:rPr>
            </w:pPr>
            <w:r w:rsidRPr="000761E9">
              <w:rPr>
                <w:rFonts w:ascii="Times New Roman" w:hAnsi="Times New Roman" w:cs="Times New Roman"/>
                <w:noProof/>
              </w:rPr>
              <w:drawing>
                <wp:inline distT="0" distB="0" distL="0" distR="0" wp14:anchorId="13A3D927" wp14:editId="501C48AC">
                  <wp:extent cx="2596515" cy="3027680"/>
                  <wp:effectExtent l="0" t="0" r="0" b="127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6515" cy="3027680"/>
                          </a:xfrm>
                          <a:prstGeom prst="rect">
                            <a:avLst/>
                          </a:prstGeom>
                          <a:noFill/>
                          <a:ln>
                            <a:noFill/>
                          </a:ln>
                        </pic:spPr>
                      </pic:pic>
                    </a:graphicData>
                  </a:graphic>
                </wp:inline>
              </w:drawing>
            </w:r>
          </w:p>
        </w:tc>
        <w:tc>
          <w:tcPr>
            <w:tcW w:w="4533" w:type="dxa"/>
            <w:shd w:val="clear" w:color="auto" w:fill="auto"/>
          </w:tcPr>
          <w:p w14:paraId="72785DB3" w14:textId="737BDB83" w:rsidR="00D43EDD" w:rsidRPr="000761E9" w:rsidRDefault="00D43EDD" w:rsidP="00D43EDD">
            <w:pPr>
              <w:pStyle w:val="Pamatteksts"/>
              <w:kinsoku w:val="0"/>
              <w:overflowPunct w:val="0"/>
              <w:ind w:left="0"/>
              <w:jc w:val="center"/>
              <w:rPr>
                <w:rFonts w:ascii="Times New Roman" w:hAnsi="Times New Roman" w:cs="Times New Roman"/>
                <w:b/>
                <w:bCs/>
                <w:szCs w:val="22"/>
              </w:rPr>
            </w:pPr>
            <w:r w:rsidRPr="000761E9">
              <w:rPr>
                <w:rFonts w:ascii="Times New Roman" w:hAnsi="Times New Roman" w:cs="Times New Roman"/>
                <w:noProof/>
              </w:rPr>
              <w:drawing>
                <wp:inline distT="0" distB="0" distL="0" distR="0" wp14:anchorId="0FCE599B" wp14:editId="2C8488AB">
                  <wp:extent cx="2596515" cy="3027680"/>
                  <wp:effectExtent l="0" t="0" r="0" b="127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6515" cy="3027680"/>
                          </a:xfrm>
                          <a:prstGeom prst="rect">
                            <a:avLst/>
                          </a:prstGeom>
                          <a:noFill/>
                          <a:ln>
                            <a:noFill/>
                          </a:ln>
                        </pic:spPr>
                      </pic:pic>
                    </a:graphicData>
                  </a:graphic>
                </wp:inline>
              </w:drawing>
            </w:r>
          </w:p>
        </w:tc>
      </w:tr>
    </w:tbl>
    <w:p w14:paraId="1CE2430B"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100B432A" w14:textId="0B10C1AA"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Gandrīz pirms diviem gadiem Eiropas Komisija un Eiropas Investīciju bankas grupa nāca klajā ar Investīciju plānu Eiropai (IPE), lai sekmētu ekonomikas atveseļošanos, veicinot papildu ieguldījumus reālajā ekonomikā. Investīciju plāns Eiropai neattiecas tikai uz publisko līdzekļu ieguldījumiem; tā mērķis ir piesaistīt arī privāto kapitālu un zināšanas.</w:t>
      </w:r>
    </w:p>
    <w:p w14:paraId="3E316091"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278DD06E" w14:textId="31A5BC31"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Tāpēc ir gaidāms, ka publiskajām un privātajām partnerībām (PPP) būs svarīga loma, lai atsāktu ieguldījumus Eiropas infrastruktūrā. Pieredze rāda, ka, ja šīs struktūras pienācīgi izmanto, tās var palielināt publiskajiem ieguldījumiem un pakalpojumiem atbilstošo vērtību. Gadu gaitā Eiropas Komisija un Eiropas Investīciju banka ir atbalstījusi PPP veidošanos. Piemēram, Eiropas Investīciju banka ir lielākais aizdevējs publiskajām un privātajām partnerībām Eiropā, un tās paspārnē darbojas Eiropas Publiskās un privātās partnerības ekspertīzes centrs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kas ir viens no tās konsultāciju dienestiem, kas izveidots 2008. gadā, lai palīdzētu publiskajam sektoram veidot stabilas PPP.</w:t>
      </w:r>
    </w:p>
    <w:p w14:paraId="0315C911"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3D6B7CE6" w14:textId="0752806F"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ir sarežģītas vienošanās. Tām ir nepieciešama skaidra institucionālā sistēma un tiesiskais regulējums, kas sekmē to īstenošanu, kā arī valsts iestādēm ir jāsagatavo augstas kvalitātes projekti, tiem veltot pietiekamus resursus.</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Protams, PPP ir jāīsteno, cita starpā pamatojoties uz ieguldījumam atbilstošu vērtību, pienācīgu risku sadalījumu un darbības efektivitāti, īpašu uzmanību pievēršot cenu pieejamībai un ilgtermiņa fiskālajai atbildībai. Ir jāpārvar daudz grūtību, lai ar PPP starpniecību īstenotu stabilu publisko ieguldījumu.</w:t>
      </w:r>
    </w:p>
    <w:p w14:paraId="2B02726C"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19681BAF" w14:textId="75CF4120"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Dažreiz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noteikumi par PPP statistisko uzskaiti var tikt uzskatīti par šķēršļiem PPP veidošanai, un tāpēc par tiem ir daudz diskutēts. Dažas ieinteresētās personas ir apgalvojušas, ka šo noteikumu dēļ ir grūti saprast, kā PPP var ietekmēt ES dalībvalstu bilanci un kā PPP ietekmē atbilstību Māstrihtas līgumā noteiktajiem fiskālajiem kritērijiem.</w:t>
      </w:r>
    </w:p>
    <w:p w14:paraId="62F0C9A1"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36740936" w14:textId="17EC652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Lai gan mēs brīdinām, ka nevajadzētu veltīt pārmērīgu uzmanību PPP ārpusbilances uzskaitei, ir jāpievēršas ieinteresēto personu aicinājumiem, kas attiecas uz noteikumu skaidrību, šaubām par to, kā šie noteikumi interpretējami, un noteikumu grozīšanas biežumam. Reaģējot uz </w:t>
      </w:r>
      <w:r w:rsidRPr="000761E9">
        <w:rPr>
          <w:rFonts w:ascii="Times New Roman" w:eastAsia="Times New Roman" w:hAnsi="Times New Roman" w:cs="Times New Roman"/>
          <w:color w:val="231F20"/>
          <w:sz w:val="24"/>
          <w:szCs w:val="24"/>
          <w:lang w:eastAsia="lv-LV"/>
        </w:rPr>
        <w:lastRenderedPageBreak/>
        <w:t xml:space="preserve">iepriekš minēto,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ir nesen mobilizējis ievērojamus resursus, lai skatītu PPP jautājumu, kā arī pēdējos deviņus mēnešus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ir kopīgi strādājuši, lai sagatavotu skaidras vadlīnijas par PPP statistisko uzskaiti.</w:t>
      </w:r>
    </w:p>
    <w:p w14:paraId="5EE90D41"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2D06FD4B" w14:textId="2DAE6B9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Eiropas Komisijas un Eiropas Investīciju bankas vārdā mēs ar prieku piesakām šo rokasgrāmatu, kas ir konkrēta, no Investīciju plāna Eiropai izrietoša rīcība. Mēs esam pārliecināti, ka šī rokasgrāmata palīdzēs dalībvalstīm un PPP ieinteresētajām personām labāk izprast PPP ietekmi uz valdību bilancēm, bet valsts iestādēm pieņemt lēmumus, balstoties uz pietiekamu informāciju, kad tās izmanto PPP vienošanās. Iespējams, vissvarīgākais ir tas, ka šīs rokasgrāmatas izmantošanai jāļauj valsts iestādēm ar lielāku pārliecību plānot turpmāku darbību, lai, izmantojot stabilu PPP sniegtās iespējas, piesaistītu lielākus privātā sektora ieguldījumus.</w:t>
      </w:r>
    </w:p>
    <w:p w14:paraId="1761D500" w14:textId="5739BB7B"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5CDA411D" w14:textId="3C00D0CC"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4533"/>
        <w:gridCol w:w="757"/>
        <w:gridCol w:w="3781"/>
      </w:tblGrid>
      <w:tr w:rsidR="00D43EDD" w:rsidRPr="000761E9" w14:paraId="318E572E" w14:textId="77777777" w:rsidTr="00D43EDD">
        <w:trPr>
          <w:trHeight w:hRule="exact" w:val="1391"/>
        </w:trPr>
        <w:tc>
          <w:tcPr>
            <w:tcW w:w="2916" w:type="pct"/>
            <w:gridSpan w:val="2"/>
            <w:tcBorders>
              <w:top w:val="nil"/>
              <w:left w:val="nil"/>
              <w:bottom w:val="nil"/>
              <w:right w:val="nil"/>
            </w:tcBorders>
          </w:tcPr>
          <w:p w14:paraId="67A01453" w14:textId="272AB09E" w:rsidR="00D43EDD" w:rsidRPr="000761E9" w:rsidRDefault="00D43EDD" w:rsidP="00D43EDD">
            <w:pPr>
              <w:pStyle w:val="TableParagraph"/>
              <w:kinsoku w:val="0"/>
              <w:overflowPunct w:val="0"/>
              <w:jc w:val="center"/>
              <w:rPr>
                <w:color w:val="005CAB"/>
                <w:szCs w:val="28"/>
              </w:rPr>
            </w:pPr>
            <w:r w:rsidRPr="000761E9">
              <w:rPr>
                <w:noProof/>
                <w:color w:val="005CAB"/>
                <w:szCs w:val="28"/>
              </w:rPr>
              <w:drawing>
                <wp:inline distT="0" distB="0" distL="0" distR="0" wp14:anchorId="60CB3DF5" wp14:editId="4837FE7C">
                  <wp:extent cx="1017905" cy="88011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880110"/>
                          </a:xfrm>
                          <a:prstGeom prst="rect">
                            <a:avLst/>
                          </a:prstGeom>
                          <a:noFill/>
                          <a:ln>
                            <a:noFill/>
                          </a:ln>
                        </pic:spPr>
                      </pic:pic>
                    </a:graphicData>
                  </a:graphic>
                </wp:inline>
              </w:drawing>
            </w:r>
          </w:p>
        </w:tc>
        <w:tc>
          <w:tcPr>
            <w:tcW w:w="2084" w:type="pct"/>
            <w:tcBorders>
              <w:top w:val="nil"/>
              <w:left w:val="nil"/>
              <w:bottom w:val="nil"/>
              <w:right w:val="nil"/>
            </w:tcBorders>
          </w:tcPr>
          <w:p w14:paraId="0338B542" w14:textId="45CF12C5" w:rsidR="00D43EDD" w:rsidRPr="000761E9" w:rsidRDefault="00D43EDD" w:rsidP="00D43EDD">
            <w:pPr>
              <w:pStyle w:val="TableParagraph"/>
              <w:kinsoku w:val="0"/>
              <w:overflowPunct w:val="0"/>
              <w:jc w:val="center"/>
              <w:rPr>
                <w:color w:val="005CAB"/>
                <w:szCs w:val="28"/>
              </w:rPr>
            </w:pPr>
            <w:r w:rsidRPr="000761E9">
              <w:rPr>
                <w:noProof/>
                <w:color w:val="005CAB"/>
                <w:szCs w:val="28"/>
              </w:rPr>
              <w:drawing>
                <wp:inline distT="0" distB="0" distL="0" distR="0" wp14:anchorId="7014C395" wp14:editId="5F2C6943">
                  <wp:extent cx="1889125" cy="733425"/>
                  <wp:effectExtent l="0" t="0" r="0"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9125" cy="733425"/>
                          </a:xfrm>
                          <a:prstGeom prst="rect">
                            <a:avLst/>
                          </a:prstGeom>
                          <a:noFill/>
                          <a:ln>
                            <a:noFill/>
                          </a:ln>
                        </pic:spPr>
                      </pic:pic>
                    </a:graphicData>
                  </a:graphic>
                </wp:inline>
              </w:drawing>
            </w:r>
          </w:p>
        </w:tc>
      </w:tr>
      <w:tr w:rsidR="00D43EDD" w:rsidRPr="000761E9" w14:paraId="260CBAB8" w14:textId="77777777" w:rsidTr="00D43EDD">
        <w:trPr>
          <w:trHeight w:hRule="exact" w:val="391"/>
        </w:trPr>
        <w:tc>
          <w:tcPr>
            <w:tcW w:w="2916" w:type="pct"/>
            <w:gridSpan w:val="2"/>
            <w:tcBorders>
              <w:top w:val="nil"/>
              <w:left w:val="nil"/>
              <w:bottom w:val="nil"/>
              <w:right w:val="nil"/>
            </w:tcBorders>
          </w:tcPr>
          <w:p w14:paraId="3CB34E04" w14:textId="3C367A42" w:rsidR="00D43EDD" w:rsidRPr="000761E9" w:rsidRDefault="00D43EDD" w:rsidP="00D43EDD">
            <w:pPr>
              <w:pStyle w:val="TableParagraph"/>
              <w:kinsoku w:val="0"/>
              <w:overflowPunct w:val="0"/>
              <w:jc w:val="center"/>
            </w:pPr>
            <w:r w:rsidRPr="000761E9">
              <w:rPr>
                <w:color w:val="005CAB"/>
              </w:rPr>
              <w:t>Marianna Tīsena [</w:t>
            </w:r>
            <w:r w:rsidRPr="000761E9">
              <w:rPr>
                <w:i/>
                <w:iCs/>
                <w:color w:val="005CAB"/>
              </w:rPr>
              <w:t>Marianne Thyssen</w:t>
            </w:r>
            <w:r w:rsidRPr="000761E9">
              <w:rPr>
                <w:color w:val="005CAB"/>
              </w:rPr>
              <w:t>]</w:t>
            </w:r>
          </w:p>
        </w:tc>
        <w:tc>
          <w:tcPr>
            <w:tcW w:w="2084" w:type="pct"/>
            <w:tcBorders>
              <w:top w:val="nil"/>
              <w:left w:val="nil"/>
              <w:bottom w:val="nil"/>
              <w:right w:val="nil"/>
            </w:tcBorders>
          </w:tcPr>
          <w:p w14:paraId="45C4B2D0" w14:textId="5D7D52E7" w:rsidR="00D43EDD" w:rsidRPr="000761E9" w:rsidRDefault="00D43EDD" w:rsidP="00D43EDD">
            <w:pPr>
              <w:pStyle w:val="TableParagraph"/>
              <w:kinsoku w:val="0"/>
              <w:overflowPunct w:val="0"/>
              <w:jc w:val="center"/>
            </w:pPr>
            <w:r w:rsidRPr="000761E9">
              <w:rPr>
                <w:color w:val="005CAB"/>
              </w:rPr>
              <w:t>Jans Vapāvuori [</w:t>
            </w:r>
            <w:r w:rsidRPr="000761E9">
              <w:rPr>
                <w:i/>
                <w:iCs/>
                <w:color w:val="005CAB"/>
              </w:rPr>
              <w:t>Jan Vapaavuori</w:t>
            </w:r>
            <w:r w:rsidRPr="000761E9">
              <w:rPr>
                <w:color w:val="005CAB"/>
              </w:rPr>
              <w:t>]</w:t>
            </w:r>
          </w:p>
        </w:tc>
      </w:tr>
      <w:tr w:rsidR="00D43EDD" w:rsidRPr="000761E9" w14:paraId="555D6F3B" w14:textId="77777777" w:rsidTr="00D43EDD">
        <w:trPr>
          <w:trHeight w:hRule="exact" w:val="971"/>
        </w:trPr>
        <w:tc>
          <w:tcPr>
            <w:tcW w:w="2499" w:type="pct"/>
            <w:tcBorders>
              <w:top w:val="nil"/>
              <w:left w:val="nil"/>
              <w:bottom w:val="nil"/>
              <w:right w:val="nil"/>
            </w:tcBorders>
          </w:tcPr>
          <w:p w14:paraId="5163E090" w14:textId="4D4498EA" w:rsidR="00D43EDD" w:rsidRPr="000761E9" w:rsidRDefault="00D43EDD" w:rsidP="00D43EDD">
            <w:pPr>
              <w:pStyle w:val="TableParagraph"/>
              <w:kinsoku w:val="0"/>
              <w:overflowPunct w:val="0"/>
              <w:jc w:val="center"/>
            </w:pPr>
            <w:r w:rsidRPr="000761E9">
              <w:rPr>
                <w:color w:val="231F20"/>
              </w:rPr>
              <w:t>Eiropas Komisijas nodarbinātības, sociālo lietu, prasmju un darbaspēka mobilitātes komisāre</w:t>
            </w:r>
          </w:p>
        </w:tc>
        <w:tc>
          <w:tcPr>
            <w:tcW w:w="2501" w:type="pct"/>
            <w:gridSpan w:val="2"/>
            <w:tcBorders>
              <w:top w:val="nil"/>
              <w:left w:val="nil"/>
              <w:bottom w:val="nil"/>
              <w:right w:val="nil"/>
            </w:tcBorders>
          </w:tcPr>
          <w:p w14:paraId="7FAAC53B" w14:textId="3FE94702" w:rsidR="00D43EDD" w:rsidRPr="000761E9" w:rsidRDefault="00D43EDD" w:rsidP="00D43EDD">
            <w:pPr>
              <w:pStyle w:val="TableParagraph"/>
              <w:kinsoku w:val="0"/>
              <w:overflowPunct w:val="0"/>
              <w:jc w:val="center"/>
            </w:pPr>
            <w:r w:rsidRPr="000761E9">
              <w:rPr>
                <w:color w:val="231F20"/>
              </w:rPr>
              <w:t>Eiropas Investīciju bankas viceprezidents, kas atbildīgs par konsultāciju dienestiem</w:t>
            </w:r>
          </w:p>
        </w:tc>
      </w:tr>
    </w:tbl>
    <w:p w14:paraId="06570518" w14:textId="536B1B2C"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4EFE3C54" w14:textId="7355DCA8" w:rsidR="00D43EDD" w:rsidRPr="000761E9" w:rsidRDefault="00D43EDD">
      <w:pPr>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br w:type="page"/>
      </w:r>
    </w:p>
    <w:p w14:paraId="72D6AE35" w14:textId="1B239A75"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05C44504"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4C0743">
        <w:rPr>
          <w:rFonts w:ascii="Times New Roman" w:eastAsia="Times New Roman" w:hAnsi="Times New Roman" w:cs="Times New Roman"/>
          <w:b/>
          <w:bCs/>
          <w:color w:val="005CAB"/>
          <w:sz w:val="28"/>
          <w:szCs w:val="24"/>
          <w:lang w:eastAsia="lv-LV"/>
        </w:rPr>
        <w:t>Satura rādītājs</w:t>
      </w:r>
    </w:p>
    <w:sdt>
      <w:sdtPr>
        <w:rPr>
          <w:rFonts w:asciiTheme="minorHAnsi" w:eastAsiaTheme="minorHAnsi" w:hAnsiTheme="minorHAnsi" w:cstheme="minorBidi"/>
          <w:color w:val="auto"/>
          <w:sz w:val="22"/>
          <w:szCs w:val="22"/>
          <w:lang w:eastAsia="en-US"/>
        </w:rPr>
        <w:id w:val="-868296199"/>
        <w:docPartObj>
          <w:docPartGallery w:val="Table of Contents"/>
          <w:docPartUnique/>
        </w:docPartObj>
      </w:sdtPr>
      <w:sdtEndPr>
        <w:rPr>
          <w:rFonts w:ascii="Times New Roman" w:hAnsi="Times New Roman" w:cs="Times New Roman"/>
          <w:b/>
          <w:bCs/>
          <w:sz w:val="24"/>
          <w:szCs w:val="24"/>
        </w:rPr>
      </w:sdtEndPr>
      <w:sdtContent>
        <w:p w14:paraId="1BE748B1" w14:textId="552BAB3D" w:rsidR="00586FD8" w:rsidRPr="00586FD8" w:rsidRDefault="00586FD8">
          <w:pPr>
            <w:pStyle w:val="Saturardtjavirsraksts"/>
            <w:rPr>
              <w:rFonts w:ascii="Times New Roman" w:hAnsi="Times New Roman" w:cs="Times New Roman"/>
              <w:sz w:val="24"/>
              <w:szCs w:val="24"/>
            </w:rPr>
          </w:pPr>
        </w:p>
        <w:p w14:paraId="766C8858" w14:textId="61DCA691" w:rsidR="00586FD8" w:rsidRPr="00586FD8" w:rsidRDefault="00586FD8">
          <w:pPr>
            <w:pStyle w:val="Saturs1"/>
            <w:tabs>
              <w:tab w:val="right" w:leader="dot" w:pos="9061"/>
            </w:tabs>
            <w:rPr>
              <w:rFonts w:ascii="Times New Roman" w:hAnsi="Times New Roman" w:cs="Times New Roman"/>
              <w:noProof/>
              <w:sz w:val="24"/>
              <w:szCs w:val="24"/>
            </w:rPr>
          </w:pPr>
          <w:r w:rsidRPr="00586FD8">
            <w:rPr>
              <w:rFonts w:ascii="Times New Roman" w:hAnsi="Times New Roman" w:cs="Times New Roman"/>
              <w:b/>
              <w:bCs/>
              <w:sz w:val="24"/>
              <w:szCs w:val="24"/>
            </w:rPr>
            <w:fldChar w:fldCharType="begin"/>
          </w:r>
          <w:r w:rsidRPr="00586FD8">
            <w:rPr>
              <w:rFonts w:ascii="Times New Roman" w:hAnsi="Times New Roman" w:cs="Times New Roman"/>
              <w:b/>
              <w:bCs/>
              <w:sz w:val="24"/>
              <w:szCs w:val="24"/>
            </w:rPr>
            <w:instrText xml:space="preserve"> TOC \o "1-3" \h \z \u </w:instrText>
          </w:r>
          <w:r w:rsidRPr="00586FD8">
            <w:rPr>
              <w:rFonts w:ascii="Times New Roman" w:hAnsi="Times New Roman" w:cs="Times New Roman"/>
              <w:b/>
              <w:bCs/>
              <w:sz w:val="24"/>
              <w:szCs w:val="24"/>
            </w:rPr>
            <w:fldChar w:fldCharType="separate"/>
          </w:r>
          <w:hyperlink w:anchor="_Toc528941565" w:history="1">
            <w:r w:rsidRPr="00586FD8">
              <w:rPr>
                <w:rStyle w:val="Hipersaite"/>
                <w:rFonts w:ascii="Times New Roman" w:hAnsi="Times New Roman" w:cs="Times New Roman"/>
                <w:noProof/>
                <w:sz w:val="24"/>
                <w:szCs w:val="24"/>
              </w:rPr>
              <w:t>Galvenie šajā rokasgrāmatā lietotie termini</w:t>
            </w:r>
            <w:r w:rsidRPr="00586FD8">
              <w:rPr>
                <w:rFonts w:ascii="Times New Roman" w:hAnsi="Times New Roman" w:cs="Times New Roman"/>
                <w:noProof/>
                <w:webHidden/>
                <w:sz w:val="24"/>
                <w:szCs w:val="24"/>
              </w:rPr>
              <w:tab/>
            </w:r>
            <w:r w:rsidRPr="00586FD8">
              <w:rPr>
                <w:rFonts w:ascii="Times New Roman" w:hAnsi="Times New Roman" w:cs="Times New Roman"/>
                <w:noProof/>
                <w:webHidden/>
                <w:sz w:val="24"/>
                <w:szCs w:val="24"/>
              </w:rPr>
              <w:fldChar w:fldCharType="begin"/>
            </w:r>
            <w:r w:rsidRPr="00586FD8">
              <w:rPr>
                <w:rFonts w:ascii="Times New Roman" w:hAnsi="Times New Roman" w:cs="Times New Roman"/>
                <w:noProof/>
                <w:webHidden/>
                <w:sz w:val="24"/>
                <w:szCs w:val="24"/>
              </w:rPr>
              <w:instrText xml:space="preserve"> PAGEREF _Toc528941565 \h </w:instrText>
            </w:r>
            <w:r w:rsidRPr="00586FD8">
              <w:rPr>
                <w:rFonts w:ascii="Times New Roman" w:hAnsi="Times New Roman" w:cs="Times New Roman"/>
                <w:noProof/>
                <w:webHidden/>
                <w:sz w:val="24"/>
                <w:szCs w:val="24"/>
              </w:rPr>
            </w:r>
            <w:r w:rsidRPr="00586FD8">
              <w:rPr>
                <w:rFonts w:ascii="Times New Roman" w:hAnsi="Times New Roman" w:cs="Times New Roman"/>
                <w:noProof/>
                <w:webHidden/>
                <w:sz w:val="24"/>
                <w:szCs w:val="24"/>
              </w:rPr>
              <w:fldChar w:fldCharType="separate"/>
            </w:r>
            <w:r w:rsidR="00A756C4">
              <w:rPr>
                <w:rFonts w:ascii="Times New Roman" w:hAnsi="Times New Roman" w:cs="Times New Roman"/>
                <w:noProof/>
                <w:webHidden/>
                <w:sz w:val="24"/>
                <w:szCs w:val="24"/>
              </w:rPr>
              <w:t>6</w:t>
            </w:r>
            <w:r w:rsidRPr="00586FD8">
              <w:rPr>
                <w:rFonts w:ascii="Times New Roman" w:hAnsi="Times New Roman" w:cs="Times New Roman"/>
                <w:noProof/>
                <w:webHidden/>
                <w:sz w:val="24"/>
                <w:szCs w:val="24"/>
              </w:rPr>
              <w:fldChar w:fldCharType="end"/>
            </w:r>
          </w:hyperlink>
        </w:p>
        <w:p w14:paraId="3CB7878A" w14:textId="2A420EC5" w:rsidR="00586FD8" w:rsidRPr="00586FD8" w:rsidRDefault="00A756C4">
          <w:pPr>
            <w:pStyle w:val="Saturs1"/>
            <w:tabs>
              <w:tab w:val="right" w:leader="dot" w:pos="9061"/>
            </w:tabs>
            <w:rPr>
              <w:rFonts w:ascii="Times New Roman" w:hAnsi="Times New Roman" w:cs="Times New Roman"/>
              <w:noProof/>
              <w:sz w:val="24"/>
              <w:szCs w:val="24"/>
            </w:rPr>
          </w:pPr>
          <w:hyperlink w:anchor="_Toc528941566" w:history="1">
            <w:r w:rsidR="00586FD8" w:rsidRPr="00586FD8">
              <w:rPr>
                <w:rStyle w:val="Hipersaite"/>
                <w:rFonts w:ascii="Times New Roman" w:eastAsia="Times New Roman" w:hAnsi="Times New Roman" w:cs="Times New Roman"/>
                <w:noProof/>
                <w:sz w:val="24"/>
                <w:szCs w:val="24"/>
                <w:lang w:eastAsia="lv-LV"/>
              </w:rPr>
              <w:t>Ievads</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_Toc528941566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586FD8" w:rsidRPr="00586FD8">
              <w:rPr>
                <w:rFonts w:ascii="Times New Roman" w:hAnsi="Times New Roman" w:cs="Times New Roman"/>
                <w:noProof/>
                <w:webHidden/>
                <w:sz w:val="24"/>
                <w:szCs w:val="24"/>
              </w:rPr>
              <w:fldChar w:fldCharType="end"/>
            </w:r>
          </w:hyperlink>
        </w:p>
        <w:p w14:paraId="67D77E70" w14:textId="185583A4" w:rsidR="00586FD8" w:rsidRPr="00586FD8" w:rsidRDefault="00A756C4">
          <w:pPr>
            <w:pStyle w:val="Saturs1"/>
            <w:tabs>
              <w:tab w:val="right" w:leader="dot" w:pos="9061"/>
            </w:tabs>
            <w:rPr>
              <w:rFonts w:ascii="Times New Roman" w:hAnsi="Times New Roman" w:cs="Times New Roman"/>
              <w:noProof/>
              <w:sz w:val="24"/>
              <w:szCs w:val="24"/>
            </w:rPr>
          </w:pPr>
          <w:hyperlink w:anchor="_Toc528941567" w:history="1">
            <w:r w:rsidR="00586FD8" w:rsidRPr="00586FD8">
              <w:rPr>
                <w:rStyle w:val="Hipersaite"/>
                <w:rFonts w:ascii="Times New Roman" w:eastAsia="Times New Roman" w:hAnsi="Times New Roman" w:cs="Times New Roman"/>
                <w:bCs/>
                <w:noProof/>
                <w:sz w:val="24"/>
                <w:szCs w:val="24"/>
                <w:lang w:eastAsia="lv-LV"/>
              </w:rPr>
              <w:t xml:space="preserve">1. nodaļa. </w:t>
            </w:r>
            <w:r w:rsidR="00586FD8" w:rsidRPr="00586FD8">
              <w:rPr>
                <w:rStyle w:val="Hipersaite"/>
                <w:rFonts w:ascii="Times New Roman" w:eastAsia="Times New Roman" w:hAnsi="Times New Roman" w:cs="Times New Roman"/>
                <w:noProof/>
                <w:sz w:val="24"/>
                <w:szCs w:val="24"/>
                <w:lang w:eastAsia="lv-LV"/>
              </w:rPr>
              <w:t>Vispārīga informācija par Noteikumiem</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_Toc528941567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586FD8" w:rsidRPr="00586FD8">
              <w:rPr>
                <w:rFonts w:ascii="Times New Roman" w:hAnsi="Times New Roman" w:cs="Times New Roman"/>
                <w:noProof/>
                <w:webHidden/>
                <w:sz w:val="24"/>
                <w:szCs w:val="24"/>
              </w:rPr>
              <w:fldChar w:fldCharType="end"/>
            </w:r>
          </w:hyperlink>
        </w:p>
        <w:p w14:paraId="511A8F90" w14:textId="04670775" w:rsidR="00586FD8" w:rsidRPr="00586FD8" w:rsidRDefault="00A756C4">
          <w:pPr>
            <w:pStyle w:val="Saturs1"/>
            <w:tabs>
              <w:tab w:val="right" w:leader="dot" w:pos="9061"/>
            </w:tabs>
            <w:rPr>
              <w:rFonts w:ascii="Times New Roman" w:hAnsi="Times New Roman" w:cs="Times New Roman"/>
              <w:noProof/>
              <w:sz w:val="24"/>
              <w:szCs w:val="24"/>
            </w:rPr>
          </w:pPr>
          <w:hyperlink w:anchor="_Toc528941568" w:history="1">
            <w:r w:rsidR="00586FD8" w:rsidRPr="00586FD8">
              <w:rPr>
                <w:rStyle w:val="Hipersaite"/>
                <w:rFonts w:ascii="Times New Roman" w:eastAsia="Times New Roman" w:hAnsi="Times New Roman" w:cs="Times New Roman"/>
                <w:bCs/>
                <w:noProof/>
                <w:sz w:val="24"/>
                <w:szCs w:val="24"/>
                <w:lang w:eastAsia="lv-LV"/>
              </w:rPr>
              <w:t xml:space="preserve">2. nodaļa. </w:t>
            </w:r>
            <w:r w:rsidR="00586FD8" w:rsidRPr="00586FD8">
              <w:rPr>
                <w:rStyle w:val="Hipersaite"/>
                <w:rFonts w:ascii="Times New Roman" w:eastAsia="Times New Roman" w:hAnsi="Times New Roman" w:cs="Times New Roman"/>
                <w:noProof/>
                <w:sz w:val="24"/>
                <w:szCs w:val="24"/>
                <w:lang w:eastAsia="lv-LV"/>
              </w:rPr>
              <w:t>PPP elementi</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_Toc528941568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586FD8" w:rsidRPr="00586FD8">
              <w:rPr>
                <w:rFonts w:ascii="Times New Roman" w:hAnsi="Times New Roman" w:cs="Times New Roman"/>
                <w:noProof/>
                <w:webHidden/>
                <w:sz w:val="24"/>
                <w:szCs w:val="24"/>
              </w:rPr>
              <w:fldChar w:fldCharType="end"/>
            </w:r>
          </w:hyperlink>
        </w:p>
        <w:p w14:paraId="03027157" w14:textId="78CB37B7" w:rsidR="00586FD8" w:rsidRPr="00586FD8" w:rsidRDefault="00A756C4">
          <w:pPr>
            <w:pStyle w:val="Saturs1"/>
            <w:tabs>
              <w:tab w:val="right" w:leader="dot" w:pos="9061"/>
            </w:tabs>
            <w:rPr>
              <w:rFonts w:ascii="Times New Roman" w:hAnsi="Times New Roman" w:cs="Times New Roman"/>
              <w:noProof/>
              <w:sz w:val="24"/>
              <w:szCs w:val="24"/>
            </w:rPr>
          </w:pPr>
          <w:hyperlink w:anchor="_Toc528941569" w:history="1">
            <w:r w:rsidR="00586FD8" w:rsidRPr="00586FD8">
              <w:rPr>
                <w:rStyle w:val="Hipersaite"/>
                <w:rFonts w:ascii="Times New Roman" w:eastAsia="Times New Roman" w:hAnsi="Times New Roman" w:cs="Times New Roman"/>
                <w:noProof/>
                <w:sz w:val="24"/>
                <w:szCs w:val="24"/>
                <w:lang w:eastAsia="lv-LV"/>
              </w:rPr>
              <w:t>3. nodaļa. PPP līgums</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_Toc528941569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586FD8" w:rsidRPr="00586FD8">
              <w:rPr>
                <w:rFonts w:ascii="Times New Roman" w:hAnsi="Times New Roman" w:cs="Times New Roman"/>
                <w:noProof/>
                <w:webHidden/>
                <w:sz w:val="24"/>
                <w:szCs w:val="24"/>
              </w:rPr>
              <w:fldChar w:fldCharType="end"/>
            </w:r>
          </w:hyperlink>
        </w:p>
        <w:p w14:paraId="0FC2CAE9" w14:textId="7CA625BE"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0" w:history="1">
            <w:r w:rsidR="00586FD8" w:rsidRPr="00586FD8">
              <w:rPr>
                <w:rStyle w:val="Hipersaite"/>
                <w:rFonts w:ascii="Times New Roman" w:eastAsia="Times New Roman" w:hAnsi="Times New Roman" w:cs="Times New Roman"/>
                <w:noProof/>
                <w:sz w:val="24"/>
                <w:szCs w:val="24"/>
                <w:lang w:eastAsia="lv-LV"/>
              </w:rPr>
              <w:t>1. temats. Projekta īstenošanas vieta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_Toc528941570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586FD8" w:rsidRPr="00586FD8">
              <w:rPr>
                <w:rFonts w:ascii="Times New Roman" w:hAnsi="Times New Roman" w:cs="Times New Roman"/>
                <w:noProof/>
                <w:webHidden/>
                <w:sz w:val="24"/>
                <w:szCs w:val="24"/>
              </w:rPr>
              <w:fldChar w:fldCharType="end"/>
            </w:r>
          </w:hyperlink>
        </w:p>
        <w:p w14:paraId="3EEEF7E2" w14:textId="29A94DEE"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1" w:history="1">
            <w:r w:rsidR="00586FD8" w:rsidRPr="00586FD8">
              <w:rPr>
                <w:rStyle w:val="Hipersaite"/>
                <w:rFonts w:ascii="Times New Roman" w:eastAsia="Times New Roman" w:hAnsi="Times New Roman" w:cs="Times New Roman"/>
                <w:noProof/>
                <w:sz w:val="24"/>
                <w:szCs w:val="24"/>
                <w:lang w:eastAsia="lv-LV"/>
              </w:rPr>
              <w:t>2. temats. Aktīva projektēšana un būvniecība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_Toc528941571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586FD8" w:rsidRPr="00586FD8">
              <w:rPr>
                <w:rFonts w:ascii="Times New Roman" w:hAnsi="Times New Roman" w:cs="Times New Roman"/>
                <w:noProof/>
                <w:webHidden/>
                <w:sz w:val="24"/>
                <w:szCs w:val="24"/>
              </w:rPr>
              <w:fldChar w:fldCharType="end"/>
            </w:r>
          </w:hyperlink>
        </w:p>
        <w:p w14:paraId="70A85C29" w14:textId="4EE50892"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2" w:history="1">
            <w:r w:rsidR="00586FD8" w:rsidRPr="00586FD8">
              <w:rPr>
                <w:rStyle w:val="Hipersaite"/>
                <w:rFonts w:ascii="Times New Roman" w:eastAsia="Times New Roman" w:hAnsi="Times New Roman" w:cs="Times New Roman"/>
                <w:noProof/>
                <w:sz w:val="24"/>
                <w:szCs w:val="24"/>
                <w:lang w:eastAsia="lv-LV"/>
              </w:rPr>
              <w:t>3. temats. Aktīva ekspluatācija un uzturēšana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_Toc528941572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586FD8" w:rsidRPr="00586FD8">
              <w:rPr>
                <w:rFonts w:ascii="Times New Roman" w:hAnsi="Times New Roman" w:cs="Times New Roman"/>
                <w:noProof/>
                <w:webHidden/>
                <w:sz w:val="24"/>
                <w:szCs w:val="24"/>
              </w:rPr>
              <w:fldChar w:fldCharType="end"/>
            </w:r>
          </w:hyperlink>
        </w:p>
        <w:p w14:paraId="05E4808B" w14:textId="4B6E0DBB"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3" w:history="1">
            <w:r w:rsidR="00586FD8" w:rsidRPr="00586FD8">
              <w:rPr>
                <w:rStyle w:val="Hipersaite"/>
                <w:rFonts w:ascii="Times New Roman" w:eastAsia="Times New Roman" w:hAnsi="Times New Roman" w:cs="Times New Roman"/>
                <w:noProof/>
                <w:sz w:val="24"/>
                <w:szCs w:val="24"/>
                <w:lang w:eastAsia="lv-LV"/>
              </w:rPr>
              <w:t>4. temats. Maksājumu mehānisms</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_Toc528941573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586FD8" w:rsidRPr="00586FD8">
              <w:rPr>
                <w:rFonts w:ascii="Times New Roman" w:hAnsi="Times New Roman" w:cs="Times New Roman"/>
                <w:noProof/>
                <w:webHidden/>
                <w:sz w:val="24"/>
                <w:szCs w:val="24"/>
              </w:rPr>
              <w:fldChar w:fldCharType="end"/>
            </w:r>
          </w:hyperlink>
        </w:p>
        <w:p w14:paraId="2A23FA7D" w14:textId="4705A74F"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4" w:history="1">
            <w:r w:rsidR="00586FD8" w:rsidRPr="00586FD8">
              <w:rPr>
                <w:rStyle w:val="Hipersaite"/>
                <w:rFonts w:ascii="Times New Roman" w:eastAsia="Times New Roman" w:hAnsi="Times New Roman" w:cs="Times New Roman"/>
                <w:noProof/>
                <w:sz w:val="24"/>
                <w:szCs w:val="24"/>
                <w:lang w:eastAsia="lv-LV"/>
              </w:rPr>
              <w:t>5. temats. Citas vienošanās par maksājumiem</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_Toc528941574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586FD8" w:rsidRPr="00586FD8">
              <w:rPr>
                <w:rFonts w:ascii="Times New Roman" w:hAnsi="Times New Roman" w:cs="Times New Roman"/>
                <w:noProof/>
                <w:webHidden/>
                <w:sz w:val="24"/>
                <w:szCs w:val="24"/>
              </w:rPr>
              <w:fldChar w:fldCharType="end"/>
            </w:r>
          </w:hyperlink>
        </w:p>
        <w:p w14:paraId="414D4468" w14:textId="23ED4608"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5" w:history="1">
            <w:r w:rsidR="00586FD8" w:rsidRPr="00586FD8">
              <w:rPr>
                <w:rStyle w:val="Hipersaite"/>
                <w:rFonts w:ascii="Times New Roman" w:eastAsia="Times New Roman" w:hAnsi="Times New Roman" w:cs="Times New Roman"/>
                <w:noProof/>
                <w:sz w:val="24"/>
                <w:szCs w:val="24"/>
                <w:lang w:eastAsia="lv-LV"/>
              </w:rPr>
              <w:t>6. temats. Gadījumi, kad izmaksājama kompensācija, kad piešķirams atvieglojums un kad notikusi nepārvarama vara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_Toc528941575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586FD8" w:rsidRPr="00586FD8">
              <w:rPr>
                <w:rFonts w:ascii="Times New Roman" w:hAnsi="Times New Roman" w:cs="Times New Roman"/>
                <w:noProof/>
                <w:webHidden/>
                <w:sz w:val="24"/>
                <w:szCs w:val="24"/>
              </w:rPr>
              <w:fldChar w:fldCharType="end"/>
            </w:r>
          </w:hyperlink>
        </w:p>
        <w:p w14:paraId="4C46300F" w14:textId="4FFD19C5"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6" w:history="1">
            <w:r w:rsidR="00586FD8" w:rsidRPr="00586FD8">
              <w:rPr>
                <w:rStyle w:val="Hipersaite"/>
                <w:rFonts w:ascii="Times New Roman" w:eastAsia="Times New Roman" w:hAnsi="Times New Roman" w:cs="Times New Roman"/>
                <w:noProof/>
                <w:sz w:val="24"/>
                <w:szCs w:val="24"/>
                <w:lang w:eastAsia="lv-LV"/>
              </w:rPr>
              <w:t>7. temats. Izmaiņas PPP līgumā</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_Toc528941576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586FD8" w:rsidRPr="00586FD8">
              <w:rPr>
                <w:rFonts w:ascii="Times New Roman" w:hAnsi="Times New Roman" w:cs="Times New Roman"/>
                <w:noProof/>
                <w:webHidden/>
                <w:sz w:val="24"/>
                <w:szCs w:val="24"/>
              </w:rPr>
              <w:fldChar w:fldCharType="end"/>
            </w:r>
          </w:hyperlink>
        </w:p>
        <w:p w14:paraId="3BAE86F7" w14:textId="2B14FF2D"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7" w:history="1">
            <w:r w:rsidR="00586FD8" w:rsidRPr="00586FD8">
              <w:rPr>
                <w:rStyle w:val="Hipersaite"/>
                <w:rFonts w:ascii="Times New Roman" w:eastAsia="Times New Roman" w:hAnsi="Times New Roman" w:cs="Times New Roman"/>
                <w:noProof/>
                <w:sz w:val="24"/>
                <w:szCs w:val="24"/>
                <w:lang w:eastAsia="lv-LV"/>
              </w:rPr>
              <w:t>8. temats. Izmaiņas tiesību aktos</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_Toc528941577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00586FD8" w:rsidRPr="00586FD8">
              <w:rPr>
                <w:rFonts w:ascii="Times New Roman" w:hAnsi="Times New Roman" w:cs="Times New Roman"/>
                <w:noProof/>
                <w:webHidden/>
                <w:sz w:val="24"/>
                <w:szCs w:val="24"/>
              </w:rPr>
              <w:fldChar w:fldCharType="end"/>
            </w:r>
          </w:hyperlink>
        </w:p>
        <w:p w14:paraId="317C9191" w14:textId="2EF0E7B4"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8" w:history="1">
            <w:r w:rsidR="00586FD8" w:rsidRPr="00586FD8">
              <w:rPr>
                <w:rStyle w:val="Hipersaite"/>
                <w:rFonts w:ascii="Times New Roman" w:eastAsia="Times New Roman" w:hAnsi="Times New Roman" w:cs="Times New Roman"/>
                <w:noProof/>
                <w:sz w:val="24"/>
                <w:szCs w:val="24"/>
                <w:lang w:eastAsia="lv-LV"/>
              </w:rPr>
              <w:t>9. temats. Apdrošināšana</w:t>
            </w:r>
            <w:bookmarkStart w:id="0" w:name="_GoBack"/>
            <w:bookmarkEnd w:id="0"/>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_Toc528941578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00586FD8" w:rsidRPr="00586FD8">
              <w:rPr>
                <w:rFonts w:ascii="Times New Roman" w:hAnsi="Times New Roman" w:cs="Times New Roman"/>
                <w:noProof/>
                <w:webHidden/>
                <w:sz w:val="24"/>
                <w:szCs w:val="24"/>
              </w:rPr>
              <w:fldChar w:fldCharType="end"/>
            </w:r>
          </w:hyperlink>
        </w:p>
        <w:p w14:paraId="12E9275E" w14:textId="598DB5FF"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79" w:history="1">
            <w:r w:rsidR="00586FD8" w:rsidRPr="00586FD8">
              <w:rPr>
                <w:rStyle w:val="Hipersaite"/>
                <w:rFonts w:ascii="Times New Roman" w:eastAsia="Times New Roman" w:hAnsi="Times New Roman" w:cs="Times New Roman"/>
                <w:noProof/>
                <w:sz w:val="24"/>
                <w:szCs w:val="24"/>
                <w:lang w:eastAsia="lv-LV"/>
              </w:rPr>
              <w:t xml:space="preserve">10. temats. Garantijas un </w:t>
            </w:r>
            <w:r w:rsidR="00895EAA">
              <w:rPr>
                <w:rStyle w:val="Hipersaite"/>
                <w:rFonts w:ascii="Times New Roman" w:eastAsia="Times New Roman" w:hAnsi="Times New Roman" w:cs="Times New Roman"/>
                <w:noProof/>
                <w:sz w:val="24"/>
                <w:szCs w:val="24"/>
                <w:lang w:eastAsia="lv-LV"/>
              </w:rPr>
              <w:t>kompensācijas</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_Toc528941579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66</w:t>
            </w:r>
            <w:r w:rsidR="00586FD8" w:rsidRPr="00586FD8">
              <w:rPr>
                <w:rFonts w:ascii="Times New Roman" w:hAnsi="Times New Roman" w:cs="Times New Roman"/>
                <w:noProof/>
                <w:webHidden/>
                <w:sz w:val="24"/>
                <w:szCs w:val="24"/>
              </w:rPr>
              <w:fldChar w:fldCharType="end"/>
            </w:r>
          </w:hyperlink>
        </w:p>
        <w:p w14:paraId="159803C3" w14:textId="348E6906"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0" w:history="1">
            <w:r w:rsidR="00586FD8" w:rsidRPr="00586FD8">
              <w:rPr>
                <w:rStyle w:val="Hipersaite"/>
                <w:rFonts w:ascii="Times New Roman" w:eastAsia="Times New Roman" w:hAnsi="Times New Roman" w:cs="Times New Roman"/>
                <w:noProof/>
                <w:sz w:val="24"/>
                <w:szCs w:val="24"/>
                <w:lang w:eastAsia="lv-LV"/>
              </w:rPr>
              <w:t>11. temats. PPP līguma darbības izbeigšana pirms termiņa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_Toc528941580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586FD8" w:rsidRPr="00586FD8">
              <w:rPr>
                <w:rFonts w:ascii="Times New Roman" w:hAnsi="Times New Roman" w:cs="Times New Roman"/>
                <w:noProof/>
                <w:webHidden/>
                <w:sz w:val="24"/>
                <w:szCs w:val="24"/>
              </w:rPr>
              <w:fldChar w:fldCharType="end"/>
            </w:r>
          </w:hyperlink>
        </w:p>
        <w:p w14:paraId="03D515AD" w14:textId="6F586876"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1" w:history="1">
            <w:r w:rsidR="00586FD8" w:rsidRPr="00586FD8">
              <w:rPr>
                <w:rStyle w:val="Hipersaite"/>
                <w:rFonts w:ascii="Times New Roman" w:eastAsia="Times New Roman" w:hAnsi="Times New Roman" w:cs="Times New Roman"/>
                <w:noProof/>
                <w:sz w:val="24"/>
                <w:szCs w:val="24"/>
                <w:lang w:eastAsia="lv-LV"/>
              </w:rPr>
              <w:t>12. temats. Kompensācija, izbeidzot PPP līguma darbību pirms termiņa</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_Toc528941581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00586FD8" w:rsidRPr="00586FD8">
              <w:rPr>
                <w:rFonts w:ascii="Times New Roman" w:hAnsi="Times New Roman" w:cs="Times New Roman"/>
                <w:noProof/>
                <w:webHidden/>
                <w:sz w:val="24"/>
                <w:szCs w:val="24"/>
              </w:rPr>
              <w:fldChar w:fldCharType="end"/>
            </w:r>
          </w:hyperlink>
        </w:p>
        <w:p w14:paraId="20AD4C6A" w14:textId="21AB672D"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2" w:history="1">
            <w:r w:rsidR="00586FD8" w:rsidRPr="00586FD8">
              <w:rPr>
                <w:rStyle w:val="Hipersaite"/>
                <w:rFonts w:ascii="Times New Roman" w:eastAsia="Times New Roman" w:hAnsi="Times New Roman" w:cs="Times New Roman"/>
                <w:noProof/>
                <w:sz w:val="24"/>
                <w:szCs w:val="24"/>
                <w:lang w:eastAsia="lv-LV"/>
              </w:rPr>
              <w:t>13. temats. PPP līguma darbības termiņš</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_Toc528941582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586FD8" w:rsidRPr="00586FD8">
              <w:rPr>
                <w:rFonts w:ascii="Times New Roman" w:hAnsi="Times New Roman" w:cs="Times New Roman"/>
                <w:noProof/>
                <w:webHidden/>
                <w:sz w:val="24"/>
                <w:szCs w:val="24"/>
              </w:rPr>
              <w:fldChar w:fldCharType="end"/>
            </w:r>
          </w:hyperlink>
        </w:p>
        <w:p w14:paraId="33594BAF" w14:textId="5624C116"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3" w:history="1">
            <w:r w:rsidR="00586FD8" w:rsidRPr="00586FD8">
              <w:rPr>
                <w:rStyle w:val="Hipersaite"/>
                <w:rFonts w:ascii="Times New Roman" w:eastAsia="Times New Roman" w:hAnsi="Times New Roman" w:cs="Times New Roman"/>
                <w:noProof/>
                <w:sz w:val="24"/>
                <w:szCs w:val="24"/>
                <w:lang w:eastAsia="lv-LV"/>
              </w:rPr>
              <w:t>14. temats. Finansēšanas noteikumi</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_Toc528941583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84</w:t>
            </w:r>
            <w:r w:rsidR="00586FD8" w:rsidRPr="00586FD8">
              <w:rPr>
                <w:rFonts w:ascii="Times New Roman" w:hAnsi="Times New Roman" w:cs="Times New Roman"/>
                <w:noProof/>
                <w:webHidden/>
                <w:sz w:val="24"/>
                <w:szCs w:val="24"/>
              </w:rPr>
              <w:fldChar w:fldCharType="end"/>
            </w:r>
          </w:hyperlink>
        </w:p>
        <w:p w14:paraId="03B955DD" w14:textId="5A970BBA"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4" w:history="1">
            <w:r w:rsidR="00586FD8" w:rsidRPr="00586FD8">
              <w:rPr>
                <w:rStyle w:val="Hipersaite"/>
                <w:rFonts w:ascii="Times New Roman" w:eastAsia="Times New Roman" w:hAnsi="Times New Roman" w:cs="Times New Roman"/>
                <w:noProof/>
                <w:sz w:val="24"/>
                <w:szCs w:val="24"/>
                <w:lang w:eastAsia="lv-LV"/>
              </w:rPr>
              <w:t>15. temats. Valdības ietekme</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_Toc528941584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93</w:t>
            </w:r>
            <w:r w:rsidR="00586FD8" w:rsidRPr="00586FD8">
              <w:rPr>
                <w:rFonts w:ascii="Times New Roman" w:hAnsi="Times New Roman" w:cs="Times New Roman"/>
                <w:noProof/>
                <w:webHidden/>
                <w:sz w:val="24"/>
                <w:szCs w:val="24"/>
              </w:rPr>
              <w:fldChar w:fldCharType="end"/>
            </w:r>
          </w:hyperlink>
        </w:p>
        <w:p w14:paraId="781FB83A" w14:textId="15C7CE79" w:rsidR="00586FD8" w:rsidRPr="00586FD8" w:rsidRDefault="00A756C4" w:rsidP="00586FD8">
          <w:pPr>
            <w:pStyle w:val="Saturs1"/>
            <w:tabs>
              <w:tab w:val="right" w:leader="dot" w:pos="9061"/>
            </w:tabs>
            <w:ind w:left="426"/>
            <w:rPr>
              <w:rFonts w:ascii="Times New Roman" w:hAnsi="Times New Roman" w:cs="Times New Roman"/>
              <w:noProof/>
              <w:sz w:val="24"/>
              <w:szCs w:val="24"/>
            </w:rPr>
          </w:pPr>
          <w:hyperlink w:anchor="_Toc528941585" w:history="1">
            <w:r w:rsidR="00586FD8" w:rsidRPr="00586FD8">
              <w:rPr>
                <w:rStyle w:val="Hipersaite"/>
                <w:rFonts w:ascii="Times New Roman" w:eastAsia="Times New Roman" w:hAnsi="Times New Roman" w:cs="Times New Roman"/>
                <w:noProof/>
                <w:sz w:val="24"/>
                <w:szCs w:val="24"/>
                <w:lang w:eastAsia="lv-LV"/>
              </w:rPr>
              <w:t>16. temats. Dažādi noteikumi</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_Toc528941585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97</w:t>
            </w:r>
            <w:r w:rsidR="00586FD8" w:rsidRPr="00586FD8">
              <w:rPr>
                <w:rFonts w:ascii="Times New Roman" w:hAnsi="Times New Roman" w:cs="Times New Roman"/>
                <w:noProof/>
                <w:webHidden/>
                <w:sz w:val="24"/>
                <w:szCs w:val="24"/>
              </w:rPr>
              <w:fldChar w:fldCharType="end"/>
            </w:r>
          </w:hyperlink>
        </w:p>
        <w:p w14:paraId="73EB8B11" w14:textId="1B00DEA5" w:rsidR="00586FD8" w:rsidRPr="00586FD8" w:rsidRDefault="00A756C4">
          <w:pPr>
            <w:pStyle w:val="Saturs1"/>
            <w:tabs>
              <w:tab w:val="right" w:leader="dot" w:pos="9061"/>
            </w:tabs>
            <w:rPr>
              <w:rFonts w:ascii="Times New Roman" w:hAnsi="Times New Roman" w:cs="Times New Roman"/>
              <w:noProof/>
              <w:sz w:val="24"/>
              <w:szCs w:val="24"/>
            </w:rPr>
          </w:pPr>
          <w:hyperlink w:anchor="_Toc528941586" w:history="1">
            <w:r w:rsidR="00586FD8" w:rsidRPr="00586FD8">
              <w:rPr>
                <w:rStyle w:val="Hipersaite"/>
                <w:rFonts w:ascii="Times New Roman" w:eastAsia="Times New Roman" w:hAnsi="Times New Roman" w:cs="Times New Roman"/>
                <w:bCs/>
                <w:noProof/>
                <w:sz w:val="24"/>
                <w:szCs w:val="24"/>
                <w:lang w:eastAsia="lv-LV"/>
              </w:rPr>
              <w:t xml:space="preserve">4. nodaļa. </w:t>
            </w:r>
            <w:r w:rsidR="00586FD8" w:rsidRPr="00586FD8">
              <w:rPr>
                <w:rStyle w:val="Hipersaite"/>
                <w:rFonts w:ascii="Times New Roman" w:eastAsia="Times New Roman" w:hAnsi="Times New Roman" w:cs="Times New Roman"/>
                <w:noProof/>
                <w:sz w:val="24"/>
                <w:szCs w:val="24"/>
                <w:lang w:eastAsia="lv-LV"/>
              </w:rPr>
              <w:t>Slēdziena izdarīšana par statistiskās uzskaites novērtējumu</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_Toc528941586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99</w:t>
            </w:r>
            <w:r w:rsidR="00586FD8" w:rsidRPr="00586FD8">
              <w:rPr>
                <w:rFonts w:ascii="Times New Roman" w:hAnsi="Times New Roman" w:cs="Times New Roman"/>
                <w:noProof/>
                <w:webHidden/>
                <w:sz w:val="24"/>
                <w:szCs w:val="24"/>
              </w:rPr>
              <w:fldChar w:fldCharType="end"/>
            </w:r>
          </w:hyperlink>
        </w:p>
        <w:p w14:paraId="2E431113" w14:textId="537DBCE4" w:rsidR="00586FD8" w:rsidRPr="00586FD8" w:rsidRDefault="00A756C4">
          <w:pPr>
            <w:pStyle w:val="Saturs1"/>
            <w:tabs>
              <w:tab w:val="right" w:leader="dot" w:pos="9061"/>
            </w:tabs>
            <w:rPr>
              <w:rFonts w:ascii="Times New Roman" w:hAnsi="Times New Roman" w:cs="Times New Roman"/>
              <w:noProof/>
              <w:sz w:val="24"/>
              <w:szCs w:val="24"/>
            </w:rPr>
          </w:pPr>
          <w:hyperlink w:anchor="_Toc528941587" w:history="1">
            <w:r w:rsidR="00586FD8" w:rsidRPr="00586FD8">
              <w:rPr>
                <w:rStyle w:val="Hipersaite"/>
                <w:rFonts w:ascii="Times New Roman" w:eastAsia="Times New Roman" w:hAnsi="Times New Roman" w:cs="Times New Roman"/>
                <w:bCs/>
                <w:noProof/>
                <w:sz w:val="24"/>
                <w:szCs w:val="24"/>
                <w:lang w:eastAsia="lv-LV"/>
              </w:rPr>
              <w:t>Pielikums. </w:t>
            </w:r>
            <w:r w:rsidR="00586FD8" w:rsidRPr="00586FD8">
              <w:rPr>
                <w:rStyle w:val="Hipersaite"/>
                <w:rFonts w:ascii="Times New Roman" w:eastAsia="Times New Roman" w:hAnsi="Times New Roman" w:cs="Times New Roman"/>
                <w:noProof/>
                <w:sz w:val="24"/>
                <w:szCs w:val="24"/>
                <w:lang w:eastAsia="lv-LV"/>
              </w:rPr>
              <w:t>Tabula, kurā iekļauti tipiski PPP līguma noteikumi, kas ietekmē statistisko uzskaiti</w:t>
            </w:r>
            <w:r w:rsidR="00586FD8" w:rsidRPr="00586FD8">
              <w:rPr>
                <w:rFonts w:ascii="Times New Roman" w:hAnsi="Times New Roman" w:cs="Times New Roman"/>
                <w:noProof/>
                <w:webHidden/>
                <w:sz w:val="24"/>
                <w:szCs w:val="24"/>
              </w:rPr>
              <w:tab/>
            </w:r>
            <w:r w:rsidR="00586FD8" w:rsidRPr="00586FD8">
              <w:rPr>
                <w:rFonts w:ascii="Times New Roman" w:hAnsi="Times New Roman" w:cs="Times New Roman"/>
                <w:noProof/>
                <w:webHidden/>
                <w:sz w:val="24"/>
                <w:szCs w:val="24"/>
              </w:rPr>
              <w:fldChar w:fldCharType="begin"/>
            </w:r>
            <w:r w:rsidR="00586FD8" w:rsidRPr="00586FD8">
              <w:rPr>
                <w:rFonts w:ascii="Times New Roman" w:hAnsi="Times New Roman" w:cs="Times New Roman"/>
                <w:noProof/>
                <w:webHidden/>
                <w:sz w:val="24"/>
                <w:szCs w:val="24"/>
              </w:rPr>
              <w:instrText xml:space="preserve"> PAGEREF _Toc528941587 \h </w:instrText>
            </w:r>
            <w:r w:rsidR="00586FD8" w:rsidRPr="00586FD8">
              <w:rPr>
                <w:rFonts w:ascii="Times New Roman" w:hAnsi="Times New Roman" w:cs="Times New Roman"/>
                <w:noProof/>
                <w:webHidden/>
                <w:sz w:val="24"/>
                <w:szCs w:val="24"/>
              </w:rPr>
            </w:r>
            <w:r w:rsidR="00586FD8" w:rsidRPr="00586FD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102</w:t>
            </w:r>
            <w:r w:rsidR="00586FD8" w:rsidRPr="00586FD8">
              <w:rPr>
                <w:rFonts w:ascii="Times New Roman" w:hAnsi="Times New Roman" w:cs="Times New Roman"/>
                <w:noProof/>
                <w:webHidden/>
                <w:sz w:val="24"/>
                <w:szCs w:val="24"/>
              </w:rPr>
              <w:fldChar w:fldCharType="end"/>
            </w:r>
          </w:hyperlink>
        </w:p>
        <w:p w14:paraId="12DC7590" w14:textId="5DF93800" w:rsidR="00586FD8" w:rsidRPr="00586FD8" w:rsidRDefault="00586FD8">
          <w:pPr>
            <w:rPr>
              <w:rFonts w:ascii="Times New Roman" w:hAnsi="Times New Roman" w:cs="Times New Roman"/>
              <w:sz w:val="24"/>
              <w:szCs w:val="24"/>
            </w:rPr>
          </w:pPr>
          <w:r w:rsidRPr="00586FD8">
            <w:rPr>
              <w:rFonts w:ascii="Times New Roman" w:hAnsi="Times New Roman" w:cs="Times New Roman"/>
              <w:b/>
              <w:bCs/>
              <w:sz w:val="24"/>
              <w:szCs w:val="24"/>
            </w:rPr>
            <w:fldChar w:fldCharType="end"/>
          </w:r>
        </w:p>
      </w:sdtContent>
    </w:sdt>
    <w:p w14:paraId="5A0CCA37" w14:textId="77777777" w:rsidR="004C0743" w:rsidRPr="004C0743" w:rsidRDefault="004C0743" w:rsidP="004C0743">
      <w:pPr>
        <w:widowControl w:val="0"/>
        <w:spacing w:after="0" w:line="240" w:lineRule="auto"/>
        <w:rPr>
          <w:rFonts w:ascii="Times New Roman" w:eastAsia="Times New Roman" w:hAnsi="Times New Roman" w:cs="Times New Roman"/>
          <w:bCs/>
          <w:sz w:val="24"/>
          <w:szCs w:val="24"/>
          <w:lang w:eastAsia="lv-LV"/>
        </w:rPr>
      </w:pPr>
    </w:p>
    <w:p w14:paraId="6FEA8DC2" w14:textId="77777777" w:rsidR="004C0743" w:rsidRPr="004C0743" w:rsidRDefault="004C0743" w:rsidP="004C0743">
      <w:pPr>
        <w:widowControl w:val="0"/>
        <w:spacing w:after="0" w:line="240" w:lineRule="auto"/>
        <w:rPr>
          <w:rFonts w:ascii="Times New Roman" w:eastAsia="Times New Roman" w:hAnsi="Times New Roman" w:cs="Times New Roman"/>
          <w:bCs/>
          <w:sz w:val="24"/>
          <w:szCs w:val="24"/>
          <w:lang w:eastAsia="lv-LV"/>
        </w:rPr>
      </w:pPr>
    </w:p>
    <w:p w14:paraId="09EEB2BC" w14:textId="37B683C9" w:rsidR="00D43EDD" w:rsidRPr="000761E9" w:rsidRDefault="00D43EDD">
      <w:pPr>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br w:type="page"/>
      </w:r>
    </w:p>
    <w:p w14:paraId="5EBA798C"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p>
    <w:p w14:paraId="4F727AFD" w14:textId="3918DD4D" w:rsidR="00D43EDD" w:rsidRPr="00586FD8" w:rsidRDefault="00D43EDD" w:rsidP="00586FD8">
      <w:pPr>
        <w:pStyle w:val="Virsraksts1"/>
      </w:pPr>
      <w:bookmarkStart w:id="1" w:name="_Toc528941565"/>
      <w:r w:rsidRPr="00586FD8">
        <w:t>Galvenie šajā rokasgrāmatā lietotie termini</w:t>
      </w:r>
      <w:bookmarkEnd w:id="1"/>
    </w:p>
    <w:p w14:paraId="51598AA9" w14:textId="74408C13" w:rsidR="00D43EDD" w:rsidRDefault="00D43EDD" w:rsidP="00D43EDD">
      <w:pPr>
        <w:spacing w:after="0" w:line="240" w:lineRule="auto"/>
        <w:jc w:val="both"/>
        <w:rPr>
          <w:rFonts w:ascii="Times New Roman" w:eastAsia="Times New Roman" w:hAnsi="Times New Roman" w:cs="Times New Roman"/>
          <w:b/>
          <w:bCs/>
          <w:color w:val="005CAB"/>
          <w:sz w:val="24"/>
          <w:szCs w:val="24"/>
          <w:lang w:eastAsia="lv-LV"/>
        </w:rPr>
      </w:pPr>
    </w:p>
    <w:p w14:paraId="6B4AA2AC" w14:textId="77777777" w:rsidR="00586FD8" w:rsidRPr="000761E9" w:rsidRDefault="00586FD8" w:rsidP="00D43EDD">
      <w:pPr>
        <w:spacing w:after="0" w:line="240" w:lineRule="auto"/>
        <w:jc w:val="both"/>
        <w:rPr>
          <w:rFonts w:ascii="Times New Roman" w:eastAsia="Times New Roman" w:hAnsi="Times New Roman" w:cs="Times New Roman"/>
          <w:b/>
          <w:bCs/>
          <w:color w:val="005CAB"/>
          <w:sz w:val="24"/>
          <w:szCs w:val="24"/>
          <w:lang w:eastAsia="lv-LV"/>
        </w:rPr>
      </w:pPr>
    </w:p>
    <w:p w14:paraId="71520EFA" w14:textId="79F20F1B"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Iestāde</w:t>
      </w:r>
      <w:r w:rsidR="000761E9" w:rsidRP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valsts iestāde, kas slēdz PPP līgumu savā un/vai citu valsts iestāžu vārdā</w:t>
      </w:r>
    </w:p>
    <w:p w14:paraId="53C956CB" w14:textId="77777777" w:rsidR="000761E9" w:rsidRP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7AAA6718" w14:textId="7850EE0D"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Būvniecības fāze</w:t>
      </w:r>
      <w:r w:rsidR="000761E9" w:rsidRP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periods, kurā tiek būvēts aktīvs</w:t>
      </w:r>
    </w:p>
    <w:p w14:paraId="7CB4AE48" w14:textId="77777777" w:rsidR="000761E9" w:rsidRP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5DA8C5F6" w14:textId="0A32E473"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EKS 2010</w:t>
      </w:r>
      <w:r w:rsidR="000761E9" w:rsidRP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Eiropas kontu sistēma, kas ir spēkā šīs rokasgrāmatas publicēšanas dienā</w:t>
      </w:r>
      <w:r w:rsidR="000761E9">
        <w:rPr>
          <w:rStyle w:val="Vresatsauce"/>
          <w:rFonts w:ascii="Times New Roman" w:eastAsia="Times New Roman" w:hAnsi="Times New Roman" w:cs="Times New Roman"/>
          <w:color w:val="231F20"/>
          <w:sz w:val="24"/>
          <w:szCs w:val="24"/>
          <w:lang w:eastAsia="lv-LV"/>
        </w:rPr>
        <w:footnoteReference w:id="2"/>
      </w:r>
    </w:p>
    <w:p w14:paraId="5A44CB2D" w14:textId="77777777" w:rsidR="000761E9" w:rsidRPr="000761E9" w:rsidRDefault="000761E9" w:rsidP="00B83963">
      <w:pPr>
        <w:spacing w:after="0" w:line="240" w:lineRule="auto"/>
        <w:ind w:left="3119" w:hanging="3119"/>
        <w:jc w:val="both"/>
        <w:rPr>
          <w:rFonts w:ascii="Times New Roman" w:eastAsia="Times New Roman" w:hAnsi="Times New Roman" w:cs="Times New Roman"/>
          <w:color w:val="231F20"/>
          <w:sz w:val="20"/>
          <w:szCs w:val="20"/>
          <w:lang w:eastAsia="lv-LV"/>
        </w:rPr>
      </w:pPr>
    </w:p>
    <w:p w14:paraId="154919C4" w14:textId="5882711E"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Finanšu izpildes diena</w:t>
      </w:r>
      <w:r w:rsid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diena, kurā par PPP darījumu noslēgtie finansēšanas līgumi kļūst beznosacījuma un kurā kļūst pieejams finansējums.</w:t>
      </w:r>
    </w:p>
    <w:p w14:paraId="213234BE" w14:textId="77777777" w:rsid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0C90746A" w14:textId="7150411E"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Valdība</w:t>
      </w:r>
      <w:r w:rsid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vispārējās valdības sektors, kas definēts Noteikumos</w:t>
      </w:r>
      <w:r w:rsidR="000761E9">
        <w:rPr>
          <w:rStyle w:val="Vresatsauce"/>
          <w:rFonts w:ascii="Times New Roman" w:eastAsia="Times New Roman" w:hAnsi="Times New Roman" w:cs="Times New Roman"/>
          <w:color w:val="231F20"/>
          <w:sz w:val="24"/>
          <w:szCs w:val="24"/>
          <w:lang w:eastAsia="lv-LV"/>
        </w:rPr>
        <w:footnoteReference w:id="3"/>
      </w:r>
    </w:p>
    <w:p w14:paraId="1142CD67" w14:textId="77777777" w:rsidR="000761E9" w:rsidRDefault="000761E9" w:rsidP="00B83963">
      <w:pPr>
        <w:spacing w:after="0" w:line="240" w:lineRule="auto"/>
        <w:ind w:left="3119" w:hanging="3119"/>
        <w:jc w:val="both"/>
        <w:rPr>
          <w:rFonts w:ascii="Times New Roman" w:eastAsia="Times New Roman" w:hAnsi="Times New Roman" w:cs="Times New Roman"/>
          <w:color w:val="231F20"/>
          <w:sz w:val="20"/>
          <w:szCs w:val="20"/>
          <w:lang w:eastAsia="lv-LV"/>
        </w:rPr>
      </w:pPr>
    </w:p>
    <w:p w14:paraId="58C3535D" w14:textId="32854987"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Rokasgrāmata</w:t>
      </w:r>
      <w:r w:rsid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šī rokasgrāmata</w:t>
      </w:r>
    </w:p>
    <w:p w14:paraId="0D05761A" w14:textId="77777777" w:rsidR="000761E9" w:rsidRDefault="000761E9" w:rsidP="00B83963">
      <w:pPr>
        <w:spacing w:after="0" w:line="240" w:lineRule="auto"/>
        <w:ind w:left="3119" w:hanging="3119"/>
        <w:jc w:val="both"/>
        <w:rPr>
          <w:rFonts w:ascii="Times New Roman" w:eastAsia="Times New Roman" w:hAnsi="Times New Roman" w:cs="Times New Roman"/>
          <w:b/>
          <w:bCs/>
          <w:i/>
          <w:iCs/>
          <w:color w:val="005CAB"/>
          <w:sz w:val="24"/>
          <w:szCs w:val="24"/>
          <w:lang w:eastAsia="lv-LV"/>
        </w:rPr>
      </w:pPr>
    </w:p>
    <w:p w14:paraId="43137C5F" w14:textId="7C98E9EC"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i/>
          <w:iCs/>
          <w:color w:val="005CAB"/>
          <w:sz w:val="24"/>
          <w:szCs w:val="24"/>
          <w:lang w:eastAsia="lv-LV"/>
        </w:rPr>
        <w:t>MGDD</w:t>
      </w:r>
      <w:r w:rsidRPr="000761E9">
        <w:rPr>
          <w:rFonts w:ascii="Times New Roman" w:eastAsia="Times New Roman" w:hAnsi="Times New Roman" w:cs="Times New Roman"/>
          <w:b/>
          <w:bCs/>
          <w:color w:val="005CAB"/>
          <w:sz w:val="24"/>
          <w:szCs w:val="24"/>
          <w:lang w:eastAsia="lv-LV"/>
        </w:rPr>
        <w:t> 2016</w:t>
      </w:r>
      <w:r w:rsid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dokumenta “Valdības budžeta deficīta un parāda rokasgrāmata. EKS 2010 īstenošana” jaunākā redakcija, kas publicēta 2016. gada martā, un to papildinošā Paskaidrojošā piezīme par PPP līgumu statistisko uzskaiti</w:t>
      </w:r>
      <w:r w:rsidR="000761E9">
        <w:rPr>
          <w:rStyle w:val="Vresatsauce"/>
          <w:rFonts w:ascii="Times New Roman" w:eastAsia="Times New Roman" w:hAnsi="Times New Roman" w:cs="Times New Roman"/>
          <w:color w:val="231F20"/>
          <w:sz w:val="24"/>
          <w:szCs w:val="24"/>
          <w:lang w:eastAsia="lv-LV"/>
        </w:rPr>
        <w:footnoteReference w:id="4"/>
      </w:r>
    </w:p>
    <w:p w14:paraId="140234C3" w14:textId="77777777" w:rsidR="00D43EDD" w:rsidRPr="000761E9" w:rsidRDefault="00D43EDD" w:rsidP="00B83963">
      <w:pPr>
        <w:spacing w:after="0" w:line="240" w:lineRule="auto"/>
        <w:ind w:left="3119" w:hanging="3119"/>
        <w:jc w:val="both"/>
        <w:rPr>
          <w:rFonts w:ascii="Times New Roman" w:eastAsia="Times New Roman" w:hAnsi="Times New Roman" w:cs="Times New Roman"/>
          <w:color w:val="231F20"/>
          <w:sz w:val="20"/>
          <w:szCs w:val="20"/>
          <w:lang w:eastAsia="lv-LV"/>
        </w:rPr>
      </w:pPr>
    </w:p>
    <w:p w14:paraId="028EBB66" w14:textId="37400572"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Pamatdarbības maksājumi</w:t>
      </w:r>
      <w:r w:rsidR="000761E9">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regulāri maksājumi, kurus Iestāde maksā Partnerim darbības fāzē un kuri ir saistīti ar aktīva pieejamību un/vai pieprasījumu pēc šā aktīva un/vai ar to saistītajiem pakalpojumiem</w:t>
      </w:r>
    </w:p>
    <w:p w14:paraId="386DF87B" w14:textId="77777777" w:rsid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031B6EDA" w14:textId="7D563309"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Darbības fāze</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periods, kurā Partneris uztur vai uztur un ekspluatē aktīvu</w:t>
      </w:r>
    </w:p>
    <w:p w14:paraId="1D732AD3" w14:textId="77777777" w:rsid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78C5629F" w14:textId="2A7E6CAB"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PPP</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publiskā un privātā partnerība</w:t>
      </w:r>
    </w:p>
    <w:p w14:paraId="0B63750A" w14:textId="77777777" w:rsidR="000761E9" w:rsidRDefault="000761E9"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18FC1145" w14:textId="71F014C4"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PPP līgums</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līgums par kāda aktīva projektēšanu, būvniecību, ekspluatāciju/uzturēšanu un finansēšanu saskaņā ar PPP vienošanos</w:t>
      </w:r>
    </w:p>
    <w:p w14:paraId="60F8FFE4" w14:textId="77777777" w:rsidR="00B83963" w:rsidRDefault="00B83963"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46F098F3" w14:textId="069A05CC"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Partneris</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subjekts, kas ar Iestādi slēdz PPP līgumu</w:t>
      </w:r>
    </w:p>
    <w:p w14:paraId="33AC4236" w14:textId="77777777" w:rsidR="00B83963" w:rsidRDefault="00B83963"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04C45861" w14:textId="060306CE"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Noteikumi</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 xml:space="preserve">noteikumi, kurus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izmanto, lai novērtētu PPP vienošanos statistisko uzskaiti</w:t>
      </w:r>
    </w:p>
    <w:p w14:paraId="69F6D170" w14:textId="77777777" w:rsidR="00B83963" w:rsidRDefault="00B83963" w:rsidP="00B83963">
      <w:pPr>
        <w:spacing w:after="0" w:line="240" w:lineRule="auto"/>
        <w:ind w:left="3119" w:hanging="3119"/>
        <w:jc w:val="both"/>
        <w:rPr>
          <w:rFonts w:ascii="Times New Roman" w:eastAsia="Times New Roman" w:hAnsi="Times New Roman" w:cs="Times New Roman"/>
          <w:b/>
          <w:bCs/>
          <w:i/>
          <w:iCs/>
          <w:color w:val="005CAB"/>
          <w:sz w:val="24"/>
          <w:szCs w:val="24"/>
          <w:lang w:eastAsia="lv-LV"/>
        </w:rPr>
      </w:pPr>
    </w:p>
    <w:p w14:paraId="5A91BC97" w14:textId="374571D9" w:rsidR="00D43EDD" w:rsidRPr="000761E9" w:rsidRDefault="007B6FA9" w:rsidP="00B83963">
      <w:pPr>
        <w:spacing w:after="0" w:line="240" w:lineRule="auto"/>
        <w:ind w:left="3119" w:hanging="3119"/>
        <w:jc w:val="both"/>
        <w:rPr>
          <w:rFonts w:ascii="Times New Roman" w:eastAsia="Times New Roman" w:hAnsi="Times New Roman" w:cs="Times New Roman"/>
          <w:sz w:val="24"/>
          <w:szCs w:val="24"/>
          <w:lang w:eastAsia="lv-LV"/>
        </w:rPr>
      </w:pPr>
      <w:r w:rsidRPr="007B6FA9">
        <w:rPr>
          <w:rFonts w:ascii="Times New Roman" w:eastAsia="Times New Roman" w:hAnsi="Times New Roman" w:cs="Times New Roman"/>
          <w:b/>
          <w:bCs/>
          <w:iCs/>
          <w:color w:val="005CAB"/>
          <w:sz w:val="24"/>
          <w:szCs w:val="24"/>
          <w:lang w:eastAsia="lv-LV"/>
        </w:rPr>
        <w:t>ĪNDS</w:t>
      </w:r>
      <w:r w:rsidR="00B83963">
        <w:rPr>
          <w:rFonts w:ascii="Times New Roman" w:eastAsia="Times New Roman" w:hAnsi="Times New Roman" w:cs="Times New Roman"/>
          <w:b/>
          <w:bCs/>
          <w:color w:val="005CAB"/>
          <w:sz w:val="24"/>
          <w:szCs w:val="24"/>
          <w:lang w:eastAsia="lv-LV"/>
        </w:rPr>
        <w:tab/>
      </w:r>
      <w:r>
        <w:rPr>
          <w:rFonts w:ascii="Times New Roman" w:eastAsia="Times New Roman" w:hAnsi="Times New Roman" w:cs="Times New Roman"/>
          <w:color w:val="231F20"/>
          <w:sz w:val="24"/>
          <w:szCs w:val="24"/>
          <w:lang w:eastAsia="lv-LV"/>
        </w:rPr>
        <w:t xml:space="preserve">īpašam nolūkam dibināta </w:t>
      </w:r>
      <w:r w:rsidR="00D43EDD" w:rsidRPr="000761E9">
        <w:rPr>
          <w:rFonts w:ascii="Times New Roman" w:eastAsia="Times New Roman" w:hAnsi="Times New Roman" w:cs="Times New Roman"/>
          <w:color w:val="231F20"/>
          <w:sz w:val="24"/>
          <w:szCs w:val="24"/>
          <w:lang w:eastAsia="lv-LV"/>
        </w:rPr>
        <w:t>sabiedrība</w:t>
      </w:r>
    </w:p>
    <w:p w14:paraId="37A2E1B6" w14:textId="77777777" w:rsidR="00B83963" w:rsidRDefault="00B83963"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358193C4" w14:textId="3BC03047"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lastRenderedPageBreak/>
        <w:t>Statistiskā uzskaite</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PPP reģistrēšana attiecīgās valsts bilancē vai ārpus tās saskaņā ar EKS 2010</w:t>
      </w:r>
    </w:p>
    <w:p w14:paraId="0E7F9B48" w14:textId="77777777" w:rsidR="00B83963" w:rsidRDefault="00B83963" w:rsidP="00B83963">
      <w:pPr>
        <w:spacing w:after="0" w:line="240" w:lineRule="auto"/>
        <w:ind w:left="3119" w:hanging="3119"/>
        <w:jc w:val="both"/>
        <w:rPr>
          <w:rFonts w:ascii="Times New Roman" w:eastAsia="Times New Roman" w:hAnsi="Times New Roman" w:cs="Times New Roman"/>
          <w:b/>
          <w:bCs/>
          <w:color w:val="005CAB"/>
          <w:sz w:val="24"/>
          <w:szCs w:val="24"/>
          <w:lang w:eastAsia="lv-LV"/>
        </w:rPr>
      </w:pPr>
    </w:p>
    <w:p w14:paraId="14B1B39B" w14:textId="2ECC52A4" w:rsidR="00D43EDD" w:rsidRPr="000761E9" w:rsidRDefault="00D43EDD" w:rsidP="00B83963">
      <w:pPr>
        <w:spacing w:after="0" w:line="240" w:lineRule="auto"/>
        <w:ind w:left="3119" w:hanging="3119"/>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color w:val="005CAB"/>
          <w:sz w:val="24"/>
          <w:szCs w:val="24"/>
          <w:lang w:eastAsia="lv-LV"/>
        </w:rPr>
        <w:t>Temati</w:t>
      </w:r>
      <w:r w:rsidR="00B83963">
        <w:rPr>
          <w:rFonts w:ascii="Times New Roman" w:eastAsia="Times New Roman" w:hAnsi="Times New Roman" w:cs="Times New Roman"/>
          <w:b/>
          <w:bCs/>
          <w:color w:val="005CAB"/>
          <w:sz w:val="24"/>
          <w:szCs w:val="24"/>
          <w:lang w:eastAsia="lv-LV"/>
        </w:rPr>
        <w:tab/>
      </w:r>
      <w:r w:rsidRPr="000761E9">
        <w:rPr>
          <w:rFonts w:ascii="Times New Roman" w:eastAsia="Times New Roman" w:hAnsi="Times New Roman" w:cs="Times New Roman"/>
          <w:color w:val="231F20"/>
          <w:sz w:val="24"/>
          <w:szCs w:val="24"/>
          <w:lang w:eastAsia="lv-LV"/>
        </w:rPr>
        <w:t>galvenie tipiska PPP līguma elementi, kas izklāstīti šīs rokasgrāmatas 3. nodaļā</w:t>
      </w:r>
    </w:p>
    <w:p w14:paraId="49F3DFE4" w14:textId="2BE0F7C9" w:rsidR="00B83963" w:rsidRDefault="00B83963">
      <w:pPr>
        <w:rPr>
          <w:rFonts w:ascii="Times New Roman" w:eastAsia="Times New Roman" w:hAnsi="Times New Roman" w:cs="Times New Roman"/>
          <w:b/>
          <w:bCs/>
          <w:color w:val="005CAB"/>
          <w:sz w:val="24"/>
          <w:szCs w:val="24"/>
          <w:lang w:eastAsia="lv-LV"/>
        </w:rPr>
      </w:pPr>
      <w:r>
        <w:rPr>
          <w:rFonts w:ascii="Times New Roman" w:eastAsia="Times New Roman" w:hAnsi="Times New Roman" w:cs="Times New Roman"/>
          <w:b/>
          <w:bCs/>
          <w:color w:val="005CAB"/>
          <w:sz w:val="24"/>
          <w:szCs w:val="24"/>
          <w:lang w:eastAsia="lv-LV"/>
        </w:rPr>
        <w:br w:type="page"/>
      </w:r>
    </w:p>
    <w:p w14:paraId="708E9835" w14:textId="77777777" w:rsidR="00B83963" w:rsidRDefault="00B83963" w:rsidP="00D43EDD">
      <w:pPr>
        <w:spacing w:after="0" w:line="240" w:lineRule="auto"/>
        <w:jc w:val="both"/>
        <w:rPr>
          <w:rFonts w:ascii="Times New Roman" w:eastAsia="Times New Roman" w:hAnsi="Times New Roman" w:cs="Times New Roman"/>
          <w:b/>
          <w:bCs/>
          <w:color w:val="005CAB"/>
          <w:sz w:val="24"/>
          <w:szCs w:val="24"/>
          <w:lang w:eastAsia="lv-LV"/>
        </w:rPr>
      </w:pPr>
    </w:p>
    <w:p w14:paraId="4B2C4804" w14:textId="6F8B316C" w:rsidR="00D43EDD" w:rsidRPr="00586FD8" w:rsidRDefault="00D43EDD" w:rsidP="00586FD8">
      <w:pPr>
        <w:pStyle w:val="Virsraksts1"/>
        <w:rPr>
          <w:rFonts w:eastAsia="Times New Roman"/>
          <w:lang w:eastAsia="lv-LV"/>
        </w:rPr>
      </w:pPr>
      <w:bookmarkStart w:id="2" w:name="_Toc528941566"/>
      <w:r w:rsidRPr="00586FD8">
        <w:rPr>
          <w:rFonts w:eastAsia="Times New Roman"/>
          <w:lang w:eastAsia="lv-LV"/>
        </w:rPr>
        <w:t>Ievads</w:t>
      </w:r>
      <w:bookmarkEnd w:id="2"/>
    </w:p>
    <w:p w14:paraId="1A4E8F08"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5F9FCDC8" w14:textId="29722051"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Publisko un privāto partnerību (PPP) reģistrēšana valdības bilancē vai ārpus tās saskaņā ar Eiropas kontu sistēmu (ko parasti dēvē par PPP statistisko uzskaiti) ir jautājums, kam dažu pēdējo gadu laikā ir tikusi pievērsta pastiprināta uzmanība.</w:t>
      </w:r>
    </w:p>
    <w:p w14:paraId="5922A40A"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59A1F6AA" w14:textId="20FBE76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Pēdējā laikā daudzas ieinteresētās personas gan no publiskā, gan privātā sektora ir aicinājušas ieviest lielāku skaidrību par noteikumiem, kurus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izmanto, lai novērtētu PPP vienošanos statistisko uzskaiti (“Noteikumi”). Lielākoties ieinteresēto personu bažas ir saistītas ar Noteikumu šķietamo sarežģītību un grūtībām izprast, kā tie piemērojami konkrētiem projektiem. Šīs bažas ir radušās, gadu gaitā Eiropas PPP tirgū parādoties jauniem noteikumiem un struktūrām, kuru dēļ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atjaunināja Noteikumus un precizēja šo noteikumu interpretāciju. Publiskā sektora lēmumu iepirkt PPP projektus bieži ietekmē tas, kas tiek gaidīts saistībā ar to statistisko uzskaiti (t. i., kā šie projekti ietekmēs valsts parāda un deficīta datus). Tāpēc nenoteiktība par to, kā novērtēt PPP statistisko uzskaiti, var radīt sarežģījumus un aizkavēšanos dažādos projekta plānošanas, sagatavošanas un īstenošanas posmos.</w:t>
      </w:r>
    </w:p>
    <w:p w14:paraId="7AE9371A" w14:textId="77777777" w:rsidR="00B83963" w:rsidRPr="000761E9"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28C7A29D"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Reaģējot uz PPP ieinteresēto personu bažām un vēloties viest skaidrību,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ir kopīgi sagatavojuši šo rokasgrāmatu (“Rokasgrāmata”).</w:t>
      </w:r>
    </w:p>
    <w:p w14:paraId="2835068B" w14:textId="77777777" w:rsidR="00B83963" w:rsidRDefault="00B83963" w:rsidP="00D43EDD">
      <w:pPr>
        <w:spacing w:after="0" w:line="240" w:lineRule="auto"/>
        <w:jc w:val="both"/>
        <w:rPr>
          <w:rFonts w:ascii="Times New Roman" w:eastAsia="Times New Roman" w:hAnsi="Times New Roman" w:cs="Times New Roman"/>
          <w:b/>
          <w:bCs/>
          <w:color w:val="005CAB"/>
          <w:sz w:val="24"/>
          <w:szCs w:val="24"/>
          <w:lang w:eastAsia="lv-LV"/>
        </w:rPr>
      </w:pPr>
    </w:p>
    <w:p w14:paraId="1F881CE2" w14:textId="5FF3D4BB"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Rokasgrāmatas mērķis</w:t>
      </w:r>
    </w:p>
    <w:p w14:paraId="21DE7E9B"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078AE387" w14:textId="1548B899"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color w:val="231F20"/>
          <w:sz w:val="24"/>
          <w:szCs w:val="24"/>
          <w:lang w:eastAsia="lv-LV"/>
        </w:rPr>
        <w:t>Rokasgrāmata galvenokārt ir paredzēta publiskā sektora PPP ieinteresētajām personām, jo īpaši personām, kuru darbība ir praktiski saistīta ar PPP (piemēram, iestādēm, kas atbildīgas par PPP politiku, lēmumu pieņemšanu, PPP projektu sagatavošanu un iepirkumu). Rokasgrāmatas mērķis ir uzlabot šo personu izpratni par to, kā Noteikumi jāpiemēro PPP. Rokasgrāmatā skaidrots, kā tipisku PPP līguma noteikumu elementi (t. i., tie, kas parāda vispārējo tirgus praksi ES jurisdikcijās) ietekmē Noteikumu piemērošanu un tātad vai tie ietekmē PPP statistisko uzskaiti valdības bilancē vai ārpus tās.</w:t>
      </w:r>
    </w:p>
    <w:p w14:paraId="2A6D4890"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2B847733" w14:textId="6FABBC8C"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Pretstatā pašreizējām </w:t>
      </w:r>
      <w:r w:rsidRPr="000761E9">
        <w:rPr>
          <w:rFonts w:ascii="Times New Roman" w:eastAsia="Times New Roman" w:hAnsi="Times New Roman" w:cs="Times New Roman"/>
          <w:i/>
          <w:iCs/>
          <w:color w:val="231F20"/>
          <w:sz w:val="24"/>
          <w:szCs w:val="24"/>
          <w:lang w:eastAsia="lv-LV"/>
        </w:rPr>
        <w:t xml:space="preserve">Eurostat </w:t>
      </w:r>
      <w:r w:rsidRPr="000761E9">
        <w:rPr>
          <w:rFonts w:ascii="Times New Roman" w:eastAsia="Times New Roman" w:hAnsi="Times New Roman" w:cs="Times New Roman"/>
          <w:color w:val="231F20"/>
          <w:sz w:val="24"/>
          <w:szCs w:val="24"/>
          <w:lang w:eastAsia="lv-LV"/>
        </w:rPr>
        <w:t>publikācijām, kurās PPP statistiskā uzskaite ir aplūkota no statistiskās perspektīvas, Rokasgrāmatā tā ir skatīta no PPP perspektīvas. Tāpēc ir gaidāms, ka personām, kuru darbība ir praktiski saistīta ar PPP, šī rokasgrāmata dos labumu vairākos veidos.</w:t>
      </w:r>
    </w:p>
    <w:p w14:paraId="458B4E1F"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3737D535" w14:textId="3D857FF9" w:rsidR="00D43EDD" w:rsidRPr="00B83963" w:rsidRDefault="00D43EDD" w:rsidP="00B83963">
      <w:pPr>
        <w:pStyle w:val="Sarakstarindkopa"/>
        <w:numPr>
          <w:ilvl w:val="0"/>
          <w:numId w:val="1"/>
        </w:numPr>
        <w:spacing w:after="0" w:line="240" w:lineRule="auto"/>
        <w:ind w:left="709" w:hanging="283"/>
        <w:jc w:val="both"/>
        <w:rPr>
          <w:rFonts w:ascii="Times New Roman" w:eastAsia="Times New Roman" w:hAnsi="Times New Roman" w:cs="Times New Roman"/>
          <w:color w:val="231F20"/>
          <w:sz w:val="24"/>
          <w:szCs w:val="24"/>
          <w:lang w:eastAsia="lv-LV"/>
        </w:rPr>
      </w:pPr>
      <w:r w:rsidRPr="00B83963">
        <w:rPr>
          <w:rFonts w:ascii="Times New Roman" w:eastAsia="Times New Roman" w:hAnsi="Times New Roman" w:cs="Times New Roman"/>
          <w:color w:val="231F20"/>
          <w:sz w:val="24"/>
          <w:szCs w:val="24"/>
          <w:lang w:eastAsia="lv-LV"/>
        </w:rPr>
        <w:t>Praktiskums. Rokasgrāmata ir sakārtota atbilstoši tipiska PPP līguma struktūrai, kas būs labi zināma personām, kuru darbība ir praktiski saistīta ar PPP.</w:t>
      </w:r>
    </w:p>
    <w:p w14:paraId="04D4B209" w14:textId="0C40CCDD" w:rsidR="00D43EDD" w:rsidRPr="00B83963" w:rsidRDefault="00D43EDD" w:rsidP="00B83963">
      <w:pPr>
        <w:pStyle w:val="Sarakstarindkopa"/>
        <w:numPr>
          <w:ilvl w:val="0"/>
          <w:numId w:val="1"/>
        </w:numPr>
        <w:spacing w:after="0" w:line="240" w:lineRule="auto"/>
        <w:ind w:left="709" w:hanging="283"/>
        <w:jc w:val="both"/>
        <w:rPr>
          <w:rFonts w:ascii="Times New Roman" w:eastAsia="Times New Roman" w:hAnsi="Times New Roman" w:cs="Times New Roman"/>
          <w:color w:val="231F20"/>
          <w:sz w:val="24"/>
          <w:szCs w:val="24"/>
          <w:lang w:eastAsia="lv-LV"/>
        </w:rPr>
      </w:pPr>
      <w:r w:rsidRPr="00B83963">
        <w:rPr>
          <w:rFonts w:ascii="Times New Roman" w:eastAsia="Times New Roman" w:hAnsi="Times New Roman" w:cs="Times New Roman"/>
          <w:color w:val="231F20"/>
          <w:sz w:val="24"/>
          <w:szCs w:val="24"/>
          <w:lang w:eastAsia="lv-LV"/>
        </w:rPr>
        <w:t>Vispusīgums. Rokasgrāmatā ir izskaidrota Noteikumu piemērošana ļoti dažādiem PPP līgumu noteikumiem, kas parasti ir sastopami ES tirgū.</w:t>
      </w:r>
    </w:p>
    <w:p w14:paraId="237BA5D2" w14:textId="70349050" w:rsidR="00D43EDD" w:rsidRPr="00B83963" w:rsidRDefault="00D43EDD" w:rsidP="00B83963">
      <w:pPr>
        <w:pStyle w:val="Sarakstarindkopa"/>
        <w:numPr>
          <w:ilvl w:val="0"/>
          <w:numId w:val="1"/>
        </w:numPr>
        <w:spacing w:after="0" w:line="240" w:lineRule="auto"/>
        <w:ind w:left="709" w:hanging="283"/>
        <w:jc w:val="both"/>
        <w:rPr>
          <w:rFonts w:ascii="Times New Roman" w:eastAsia="Times New Roman" w:hAnsi="Times New Roman" w:cs="Times New Roman"/>
          <w:color w:val="231F20"/>
          <w:sz w:val="24"/>
          <w:szCs w:val="24"/>
          <w:lang w:eastAsia="lv-LV"/>
        </w:rPr>
      </w:pPr>
      <w:r w:rsidRPr="00B83963">
        <w:rPr>
          <w:rFonts w:ascii="Times New Roman" w:eastAsia="Times New Roman" w:hAnsi="Times New Roman" w:cs="Times New Roman"/>
          <w:color w:val="231F20"/>
          <w:sz w:val="24"/>
          <w:szCs w:val="24"/>
          <w:lang w:eastAsia="lv-LV"/>
        </w:rPr>
        <w:t>Skaidrība. Rokasgrāmata ir sagatavota tā, lai tā būtu, cik iespējams, galīga un nepārprotama.</w:t>
      </w:r>
    </w:p>
    <w:p w14:paraId="4DA7A162" w14:textId="7E23347B" w:rsidR="00D43EDD" w:rsidRPr="00B83963" w:rsidRDefault="00D43EDD" w:rsidP="00B83963">
      <w:pPr>
        <w:pStyle w:val="Sarakstarindkopa"/>
        <w:numPr>
          <w:ilvl w:val="0"/>
          <w:numId w:val="1"/>
        </w:numPr>
        <w:spacing w:after="0" w:line="240" w:lineRule="auto"/>
        <w:ind w:left="709" w:hanging="283"/>
        <w:jc w:val="both"/>
        <w:rPr>
          <w:rFonts w:ascii="Times New Roman" w:eastAsia="Times New Roman" w:hAnsi="Times New Roman" w:cs="Times New Roman"/>
          <w:color w:val="231F20"/>
          <w:sz w:val="24"/>
          <w:szCs w:val="24"/>
          <w:lang w:eastAsia="lv-LV"/>
        </w:rPr>
      </w:pPr>
      <w:r w:rsidRPr="00B83963">
        <w:rPr>
          <w:rFonts w:ascii="Times New Roman" w:eastAsia="Times New Roman" w:hAnsi="Times New Roman" w:cs="Times New Roman"/>
          <w:color w:val="231F20"/>
          <w:sz w:val="24"/>
          <w:szCs w:val="24"/>
          <w:lang w:eastAsia="lv-LV"/>
        </w:rPr>
        <w:t>Noturība. Tā kā Rokasgrāmata ir sagatavota tā, lai tā aptvertu pēc iespējas dažādākus PPP līgumu noteikumus, kas sastopami ES PPP tirgū, tuvākajā nākotnē nav paredzēts būtiski pārskatīt Noteikumus, ja vien nebūs nepieciešams aplūkot jaunas tirgū parādījušās prakses.</w:t>
      </w:r>
    </w:p>
    <w:p w14:paraId="59E6C125" w14:textId="77777777" w:rsidR="00B83963" w:rsidRDefault="00B83963" w:rsidP="00D43EDD">
      <w:pPr>
        <w:spacing w:after="0" w:line="240" w:lineRule="auto"/>
        <w:jc w:val="both"/>
        <w:rPr>
          <w:rFonts w:ascii="Times New Roman" w:eastAsia="Times New Roman" w:hAnsi="Times New Roman" w:cs="Times New Roman"/>
          <w:b/>
          <w:bCs/>
          <w:color w:val="005CAB"/>
          <w:sz w:val="24"/>
          <w:szCs w:val="24"/>
          <w:lang w:eastAsia="lv-LV"/>
        </w:rPr>
      </w:pPr>
    </w:p>
    <w:p w14:paraId="673C08B3" w14:textId="73713AB9"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Rokasgrāmatas sagatavošanā izmantotā pieeja</w:t>
      </w:r>
    </w:p>
    <w:p w14:paraId="0ED48823" w14:textId="77777777" w:rsidR="00B83963" w:rsidRDefault="00B83963" w:rsidP="00D43EDD">
      <w:pPr>
        <w:spacing w:after="0" w:line="240" w:lineRule="auto"/>
        <w:jc w:val="both"/>
        <w:rPr>
          <w:rFonts w:ascii="Times New Roman" w:eastAsia="Times New Roman" w:hAnsi="Times New Roman" w:cs="Times New Roman"/>
          <w:i/>
          <w:iCs/>
          <w:color w:val="231F20"/>
          <w:sz w:val="24"/>
          <w:szCs w:val="24"/>
          <w:lang w:eastAsia="lv-LV"/>
        </w:rPr>
      </w:pPr>
    </w:p>
    <w:p w14:paraId="367FBF6C" w14:textId="5C24E791"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vadīja Rokasgrāmatas izstrādi. Divi galvenie izstrādes posmi bija:</w:t>
      </w:r>
    </w:p>
    <w:p w14:paraId="1DEEB0F1"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5D36BE1C" w14:textId="5B630072" w:rsidR="00D43EDD" w:rsidRPr="00B83963" w:rsidRDefault="00D43EDD" w:rsidP="00B83963">
      <w:pPr>
        <w:pStyle w:val="Sarakstarindkopa"/>
        <w:numPr>
          <w:ilvl w:val="0"/>
          <w:numId w:val="2"/>
        </w:numPr>
        <w:spacing w:after="0" w:line="240" w:lineRule="auto"/>
        <w:ind w:left="709" w:hanging="283"/>
        <w:jc w:val="both"/>
        <w:rPr>
          <w:rFonts w:ascii="Times New Roman" w:eastAsia="Times New Roman" w:hAnsi="Times New Roman" w:cs="Times New Roman"/>
          <w:sz w:val="24"/>
          <w:szCs w:val="24"/>
          <w:lang w:eastAsia="lv-LV"/>
        </w:rPr>
      </w:pPr>
      <w:r w:rsidRPr="00B83963">
        <w:rPr>
          <w:rFonts w:ascii="Times New Roman" w:eastAsia="Times New Roman" w:hAnsi="Times New Roman" w:cs="Times New Roman"/>
          <w:color w:val="231F20"/>
          <w:sz w:val="24"/>
          <w:szCs w:val="24"/>
          <w:lang w:eastAsia="lv-LV"/>
        </w:rPr>
        <w:lastRenderedPageBreak/>
        <w:t xml:space="preserve">PPP līgumu noteikumu apzināšana ES. PPP līgumi dažādās ES valstīs ievērojami atšķiras, tāpēc pirmajā posmā tika identificētas dažādas pieejas, kas tiek izmantotas ES, lai izskatītu PPP līgumu pamata aspektus (tostarp jautājumus, kas izriet no atbilstošajiem tiesību aktiem). Šo darba daļu vadīja </w:t>
      </w:r>
      <w:r w:rsidRPr="00B83963">
        <w:rPr>
          <w:rFonts w:ascii="Times New Roman" w:eastAsia="Times New Roman" w:hAnsi="Times New Roman" w:cs="Times New Roman"/>
          <w:i/>
          <w:iCs/>
          <w:color w:val="231F20"/>
          <w:sz w:val="24"/>
          <w:szCs w:val="24"/>
          <w:lang w:eastAsia="lv-LV"/>
        </w:rPr>
        <w:t>EPEC</w:t>
      </w:r>
      <w:r w:rsidRPr="00B83963">
        <w:rPr>
          <w:rFonts w:ascii="Times New Roman" w:eastAsia="Times New Roman" w:hAnsi="Times New Roman" w:cs="Times New Roman"/>
          <w:color w:val="231F20"/>
          <w:sz w:val="24"/>
          <w:szCs w:val="24"/>
          <w:lang w:eastAsia="lv-LV"/>
        </w:rPr>
        <w:t>, un to atbalstīja “Allen &amp; Overy LLP”, kas ir starptautiska juridiskā firma, kurai ir plaša pieredze saistībā ar PPP visā ES</w:t>
      </w:r>
      <w:r w:rsidR="00B83963">
        <w:rPr>
          <w:rStyle w:val="Vresatsauce"/>
          <w:rFonts w:ascii="Times New Roman" w:eastAsia="Times New Roman" w:hAnsi="Times New Roman" w:cs="Times New Roman"/>
          <w:color w:val="231F20"/>
          <w:sz w:val="24"/>
          <w:szCs w:val="24"/>
          <w:lang w:eastAsia="lv-LV"/>
        </w:rPr>
        <w:footnoteReference w:id="5"/>
      </w:r>
      <w:r w:rsidRPr="00B83963">
        <w:rPr>
          <w:rFonts w:ascii="Times New Roman" w:eastAsia="Times New Roman" w:hAnsi="Times New Roman" w:cs="Times New Roman"/>
          <w:color w:val="231F20"/>
          <w:sz w:val="24"/>
          <w:szCs w:val="24"/>
          <w:lang w:eastAsia="lv-LV"/>
        </w:rPr>
        <w:t>;</w:t>
      </w:r>
    </w:p>
    <w:p w14:paraId="27C765A0" w14:textId="77777777" w:rsidR="00D43EDD" w:rsidRPr="00B83963" w:rsidRDefault="00D43EDD" w:rsidP="00B83963">
      <w:pPr>
        <w:pStyle w:val="Sarakstarindkopa"/>
        <w:numPr>
          <w:ilvl w:val="0"/>
          <w:numId w:val="2"/>
        </w:numPr>
        <w:spacing w:after="0" w:line="240" w:lineRule="auto"/>
        <w:ind w:left="709" w:hanging="283"/>
        <w:jc w:val="both"/>
        <w:rPr>
          <w:rFonts w:ascii="Times New Roman" w:eastAsia="Times New Roman" w:hAnsi="Times New Roman" w:cs="Times New Roman"/>
          <w:color w:val="231F20"/>
          <w:sz w:val="24"/>
          <w:szCs w:val="24"/>
          <w:lang w:eastAsia="lv-LV"/>
        </w:rPr>
      </w:pPr>
      <w:r w:rsidRPr="00B83963">
        <w:rPr>
          <w:rFonts w:ascii="Times New Roman" w:eastAsia="Times New Roman" w:hAnsi="Times New Roman" w:cs="Times New Roman"/>
          <w:color w:val="231F20"/>
          <w:sz w:val="24"/>
          <w:szCs w:val="24"/>
          <w:lang w:eastAsia="lv-LV"/>
        </w:rPr>
        <w:t xml:space="preserve">Noteikumu piemērošana tipiska PPP līguma noteikumiem. Šajā otrajā posmā </w:t>
      </w:r>
      <w:r w:rsidRPr="00B83963">
        <w:rPr>
          <w:rFonts w:ascii="Times New Roman" w:eastAsia="Times New Roman" w:hAnsi="Times New Roman" w:cs="Times New Roman"/>
          <w:i/>
          <w:iCs/>
          <w:color w:val="231F20"/>
          <w:sz w:val="24"/>
          <w:szCs w:val="24"/>
          <w:lang w:eastAsia="lv-LV"/>
        </w:rPr>
        <w:t>EPEC</w:t>
      </w:r>
      <w:r w:rsidRPr="00B83963">
        <w:rPr>
          <w:rFonts w:ascii="Times New Roman" w:eastAsia="Times New Roman" w:hAnsi="Times New Roman" w:cs="Times New Roman"/>
          <w:color w:val="231F20"/>
          <w:sz w:val="24"/>
          <w:szCs w:val="24"/>
          <w:lang w:eastAsia="lv-LV"/>
        </w:rPr>
        <w:t xml:space="preserve"> lūdza </w:t>
      </w:r>
      <w:r w:rsidRPr="00B83963">
        <w:rPr>
          <w:rFonts w:ascii="Times New Roman" w:eastAsia="Times New Roman" w:hAnsi="Times New Roman" w:cs="Times New Roman"/>
          <w:i/>
          <w:iCs/>
          <w:color w:val="231F20"/>
          <w:sz w:val="24"/>
          <w:szCs w:val="24"/>
          <w:lang w:eastAsia="lv-LV"/>
        </w:rPr>
        <w:t>Eurostat</w:t>
      </w:r>
      <w:r w:rsidRPr="00B83963">
        <w:rPr>
          <w:rFonts w:ascii="Times New Roman" w:eastAsia="Times New Roman" w:hAnsi="Times New Roman" w:cs="Times New Roman"/>
          <w:color w:val="231F20"/>
          <w:sz w:val="24"/>
          <w:szCs w:val="24"/>
          <w:lang w:eastAsia="lv-LV"/>
        </w:rPr>
        <w:t xml:space="preserve"> izskaidrot, kā tas piemērotu Noteikumus tiem PPP līgumu noteikumiem, kas ir uzskatāmi par atbilstošiem tipiskai ES praksei.</w:t>
      </w:r>
    </w:p>
    <w:p w14:paraId="47DF44E6" w14:textId="77777777" w:rsidR="00B83963" w:rsidRDefault="00B83963" w:rsidP="00D43EDD">
      <w:pPr>
        <w:spacing w:after="0" w:line="240" w:lineRule="auto"/>
        <w:jc w:val="both"/>
        <w:rPr>
          <w:rFonts w:ascii="Times New Roman" w:eastAsia="Times New Roman" w:hAnsi="Times New Roman" w:cs="Times New Roman"/>
          <w:b/>
          <w:bCs/>
          <w:color w:val="005CAB"/>
          <w:sz w:val="24"/>
          <w:szCs w:val="24"/>
          <w:lang w:eastAsia="lv-LV"/>
        </w:rPr>
      </w:pPr>
    </w:p>
    <w:p w14:paraId="36F8F7F6" w14:textId="6906E07F"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Rokasgrāmatas struktūra un lietošana</w:t>
      </w:r>
    </w:p>
    <w:p w14:paraId="5FB4764C"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1C2F036E" w14:textId="0EA15E89"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Rokasgrāmatu veido četras nodaļas:</w:t>
      </w:r>
    </w:p>
    <w:p w14:paraId="7A8BA59D" w14:textId="77777777" w:rsidR="00B83963" w:rsidRDefault="00B83963" w:rsidP="00D43EDD">
      <w:pPr>
        <w:spacing w:after="0" w:line="240" w:lineRule="auto"/>
        <w:jc w:val="both"/>
        <w:rPr>
          <w:rFonts w:ascii="Times New Roman" w:eastAsia="Times New Roman" w:hAnsi="Times New Roman" w:cs="Times New Roman"/>
          <w:color w:val="231F20"/>
          <w:sz w:val="24"/>
          <w:szCs w:val="24"/>
          <w:lang w:eastAsia="lv-LV"/>
        </w:rPr>
      </w:pPr>
    </w:p>
    <w:p w14:paraId="60BA5B5A" w14:textId="4BE7066D" w:rsidR="00D43EDD" w:rsidRPr="00883523" w:rsidRDefault="00883523" w:rsidP="00883523">
      <w:pPr>
        <w:pStyle w:val="Sarakstarindkopa"/>
        <w:numPr>
          <w:ilvl w:val="0"/>
          <w:numId w:val="3"/>
        </w:numPr>
        <w:spacing w:after="0" w:line="240" w:lineRule="auto"/>
        <w:ind w:left="709" w:hanging="283"/>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1. </w:t>
      </w:r>
      <w:r w:rsidR="00D43EDD" w:rsidRPr="00883523">
        <w:rPr>
          <w:rFonts w:ascii="Times New Roman" w:eastAsia="Times New Roman" w:hAnsi="Times New Roman" w:cs="Times New Roman"/>
          <w:color w:val="231F20"/>
          <w:sz w:val="24"/>
          <w:szCs w:val="24"/>
          <w:lang w:eastAsia="lv-LV"/>
        </w:rPr>
        <w:t>nodaļā lietotājiem ir sniegta vispārīga informācija, kas ir nepieciešama, lai rastos izpratne par PPP statistisko uzskaiti. Tajā ir sniegts vispārīgs pārskats par Noteikumu izstrādi un to galvenajiem pamatprincipiem. Tajā ir arī izskaidrots, kuros posmos ir jānovērtē PPP statistiskā uzskaite;</w:t>
      </w:r>
    </w:p>
    <w:p w14:paraId="4C72225A" w14:textId="3C7F6A36" w:rsidR="00D43EDD" w:rsidRPr="00883523" w:rsidRDefault="00883523" w:rsidP="00883523">
      <w:pPr>
        <w:pStyle w:val="Sarakstarindkopa"/>
        <w:numPr>
          <w:ilvl w:val="0"/>
          <w:numId w:val="3"/>
        </w:numPr>
        <w:spacing w:after="0" w:line="240" w:lineRule="auto"/>
        <w:ind w:left="709" w:hanging="283"/>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2. </w:t>
      </w:r>
      <w:r w:rsidR="00D43EDD" w:rsidRPr="00883523">
        <w:rPr>
          <w:rFonts w:ascii="Times New Roman" w:eastAsia="Times New Roman" w:hAnsi="Times New Roman" w:cs="Times New Roman"/>
          <w:color w:val="231F20"/>
          <w:sz w:val="24"/>
          <w:szCs w:val="24"/>
          <w:lang w:eastAsia="lv-LV"/>
        </w:rPr>
        <w:t xml:space="preserve">nodaļā ir izskaidroti vispārīgie PPP elementi, kuru dēļ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ieskatā PPP atšķiras no citiem ilgtermiņa vienošanos veidiem, ko valsts iestādes izmanto publiskās infrastruktūras nodrošināšanai. Ja projekts saskaņā ar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definēto ir PPP, tam piemēro Noteikumus (kas izskaidroti šīs rokasgrāmatas nodaļās). Ja projekts saskaņā ar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definēto nav PPP, Noteikumus nepiemēro un projekta statistisko uzskaiti noteiks atsevišķi </w:t>
      </w:r>
      <w:r w:rsidR="00D43EDD" w:rsidRPr="00883523">
        <w:rPr>
          <w:rFonts w:ascii="Times New Roman" w:eastAsia="Times New Roman" w:hAnsi="Times New Roman" w:cs="Times New Roman"/>
          <w:i/>
          <w:iCs/>
          <w:color w:val="231F20"/>
          <w:sz w:val="24"/>
          <w:szCs w:val="24"/>
          <w:lang w:eastAsia="lv-LV"/>
        </w:rPr>
        <w:t xml:space="preserve">Eurostat </w:t>
      </w:r>
      <w:r w:rsidR="00D43EDD" w:rsidRPr="00883523">
        <w:rPr>
          <w:rFonts w:ascii="Times New Roman" w:eastAsia="Times New Roman" w:hAnsi="Times New Roman" w:cs="Times New Roman"/>
          <w:color w:val="231F20"/>
          <w:sz w:val="24"/>
          <w:szCs w:val="24"/>
          <w:lang w:eastAsia="lv-LV"/>
        </w:rPr>
        <w:t>noteikumi, kas neietilpst šīs rokasgrāmatas darbības jomā;</w:t>
      </w:r>
    </w:p>
    <w:p w14:paraId="01615E23" w14:textId="47BEC93A" w:rsidR="00D43EDD" w:rsidRPr="00883523" w:rsidRDefault="00883523" w:rsidP="00883523">
      <w:pPr>
        <w:pStyle w:val="Sarakstarindkopa"/>
        <w:numPr>
          <w:ilvl w:val="0"/>
          <w:numId w:val="3"/>
        </w:numPr>
        <w:spacing w:after="0" w:line="240" w:lineRule="auto"/>
        <w:ind w:left="709" w:hanging="283"/>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3. </w:t>
      </w:r>
      <w:r w:rsidR="00D43EDD" w:rsidRPr="00883523">
        <w:rPr>
          <w:rFonts w:ascii="Times New Roman" w:eastAsia="Times New Roman" w:hAnsi="Times New Roman" w:cs="Times New Roman"/>
          <w:color w:val="231F20"/>
          <w:sz w:val="24"/>
          <w:szCs w:val="24"/>
          <w:lang w:eastAsia="lv-LV"/>
        </w:rPr>
        <w:t xml:space="preserve">nodaļā, kas ir Rokasgrāmatas pamatteksts, tiek aplūkots, kā Noteikumi piemērojami konkrētiem PPP elementiem. Tas tiek darīts, apskatot 16 tematus (“Temati”), kas parasti ir iekļauti PPP līgumos. 3. nodaļā apkopotas tipiskas pieejas, kas ES tiek izmantotas PPP līgumos, lai izskatītu katra temata galvenos jautājumus, un sniegts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viedoklis par to, vai katra attiecīgā pieeja ietekmē statistisko uzskaiti. Ērtības labad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piezīmes ir rakstītas </w:t>
      </w:r>
      <w:r w:rsidR="00D43EDD" w:rsidRPr="00883523">
        <w:rPr>
          <w:rFonts w:ascii="Times New Roman" w:eastAsia="Times New Roman" w:hAnsi="Times New Roman" w:cs="Times New Roman"/>
          <w:i/>
          <w:iCs/>
          <w:color w:val="005CAB"/>
          <w:sz w:val="24"/>
          <w:szCs w:val="24"/>
          <w:lang w:eastAsia="lv-LV"/>
        </w:rPr>
        <w:t>ar krāsainiem burtiem un slīprakstā</w:t>
      </w:r>
      <w:r w:rsidR="00D43EDD" w:rsidRPr="00883523">
        <w:rPr>
          <w:rFonts w:ascii="Times New Roman" w:eastAsia="Times New Roman" w:hAnsi="Times New Roman" w:cs="Times New Roman"/>
          <w:color w:val="231F20"/>
          <w:sz w:val="24"/>
          <w:szCs w:val="24"/>
          <w:lang w:eastAsia="lv-LV"/>
        </w:rPr>
        <w:t>.</w:t>
      </w:r>
      <w:r w:rsidR="00D43EDD" w:rsidRPr="00883523">
        <w:rPr>
          <w:rFonts w:ascii="Times New Roman" w:eastAsia="Times New Roman" w:hAnsi="Times New Roman" w:cs="Times New Roman"/>
          <w:sz w:val="24"/>
          <w:szCs w:val="24"/>
          <w:lang w:eastAsia="lv-LV"/>
        </w:rPr>
        <w:t> </w:t>
      </w:r>
      <w:r w:rsidR="00D43EDD" w:rsidRPr="00883523">
        <w:rPr>
          <w:rFonts w:ascii="Times New Roman" w:eastAsia="Times New Roman" w:hAnsi="Times New Roman" w:cs="Times New Roman"/>
          <w:color w:val="231F20"/>
          <w:sz w:val="24"/>
          <w:szCs w:val="24"/>
          <w:lang w:eastAsia="lv-LV"/>
        </w:rPr>
        <w:t>Ja pieeja patiešām ietekmē statistisko uzskaiti (kas nozīmē, ka tā norāda uz tādu PPP, kas ir iekļauta valdības bilancē), 3. nodaļā ir norādīts, vai attiecīgais jautājums ir ĻOTI SVARĪGS, SVARĪGS vai VIDĒJI SVARĪGS vai arī ar to pietiek, lai projektu reģistrētu valdības BILANCĒ;</w:t>
      </w:r>
    </w:p>
    <w:p w14:paraId="356095D6" w14:textId="2D9180C8" w:rsidR="00D43EDD" w:rsidRPr="00883523" w:rsidRDefault="00883523" w:rsidP="00883523">
      <w:pPr>
        <w:pStyle w:val="Sarakstarindkopa"/>
        <w:numPr>
          <w:ilvl w:val="0"/>
          <w:numId w:val="3"/>
        </w:numPr>
        <w:spacing w:after="0" w:line="240" w:lineRule="auto"/>
        <w:ind w:left="709" w:hanging="283"/>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4. </w:t>
      </w:r>
      <w:r w:rsidR="00D43EDD" w:rsidRPr="00883523">
        <w:rPr>
          <w:rFonts w:ascii="Times New Roman" w:eastAsia="Times New Roman" w:hAnsi="Times New Roman" w:cs="Times New Roman"/>
          <w:color w:val="231F20"/>
          <w:sz w:val="24"/>
          <w:szCs w:val="24"/>
          <w:lang w:eastAsia="lv-LV"/>
        </w:rPr>
        <w:t xml:space="preserve">nodaļā ir izskaidrota metodoloģija, ko </w:t>
      </w:r>
      <w:r w:rsidR="00D43EDD" w:rsidRPr="00883523">
        <w:rPr>
          <w:rFonts w:ascii="Times New Roman" w:eastAsia="Times New Roman" w:hAnsi="Times New Roman" w:cs="Times New Roman"/>
          <w:i/>
          <w:iCs/>
          <w:color w:val="231F20"/>
          <w:sz w:val="24"/>
          <w:szCs w:val="24"/>
          <w:lang w:eastAsia="lv-LV"/>
        </w:rPr>
        <w:t xml:space="preserve">Eurostat </w:t>
      </w:r>
      <w:r w:rsidR="00D43EDD" w:rsidRPr="00883523">
        <w:rPr>
          <w:rFonts w:ascii="Times New Roman" w:eastAsia="Times New Roman" w:hAnsi="Times New Roman" w:cs="Times New Roman"/>
          <w:color w:val="231F20"/>
          <w:sz w:val="24"/>
          <w:szCs w:val="24"/>
          <w:lang w:eastAsia="lv-LV"/>
        </w:rPr>
        <w:t xml:space="preserve">izmanto, lai praksē izdarītu slēdzienu par PPP statistisko uzskaiti, ja tas ir identificējis vienu vai vairākus jautājumus, kas ietekmē statistisko uzskaiti. Lietotājiem šī nodaļa var būt lietderīga, lai saprastu, vai kāds atsevišķs jautājums (vai vairāki jautājumi kopā), ko tie ir identificējuši 3. nodaļā, var būt par pamatu </w:t>
      </w:r>
      <w:r w:rsidR="00D43EDD" w:rsidRPr="00883523">
        <w:rPr>
          <w:rFonts w:ascii="Times New Roman" w:eastAsia="Times New Roman" w:hAnsi="Times New Roman" w:cs="Times New Roman"/>
          <w:i/>
          <w:iCs/>
          <w:color w:val="231F20"/>
          <w:sz w:val="24"/>
          <w:szCs w:val="24"/>
          <w:lang w:eastAsia="lv-LV"/>
        </w:rPr>
        <w:t>Eurostat</w:t>
      </w:r>
      <w:r w:rsidR="00D43EDD" w:rsidRPr="00883523">
        <w:rPr>
          <w:rFonts w:ascii="Times New Roman" w:eastAsia="Times New Roman" w:hAnsi="Times New Roman" w:cs="Times New Roman"/>
          <w:color w:val="231F20"/>
          <w:sz w:val="24"/>
          <w:szCs w:val="24"/>
          <w:lang w:eastAsia="lv-LV"/>
        </w:rPr>
        <w:t xml:space="preserve"> lēmumam par PPP iekļaušanu vai neiekļaušanu valdības bilancē.</w:t>
      </w:r>
    </w:p>
    <w:p w14:paraId="7C3904A2" w14:textId="77777777" w:rsidR="00883523" w:rsidRDefault="00883523" w:rsidP="00D43EDD">
      <w:pPr>
        <w:spacing w:after="0" w:line="240" w:lineRule="auto"/>
        <w:jc w:val="both"/>
        <w:rPr>
          <w:rFonts w:ascii="Times New Roman" w:eastAsia="Times New Roman" w:hAnsi="Times New Roman" w:cs="Times New Roman"/>
          <w:b/>
          <w:bCs/>
          <w:color w:val="005CAB"/>
          <w:sz w:val="24"/>
          <w:szCs w:val="24"/>
          <w:lang w:eastAsia="lv-LV"/>
        </w:rPr>
      </w:pPr>
    </w:p>
    <w:p w14:paraId="04FD6AF5" w14:textId="2EB54C33"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Rokasgrāmatas darbības joma un ierobežojumi</w:t>
      </w:r>
    </w:p>
    <w:p w14:paraId="7E2AB64E" w14:textId="77777777" w:rsidR="00883523"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6C398322" w14:textId="47A0CB0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Izmantojot šo rokasgrāmatu, jāpatur prātā turpmāk izklāstītie apsvērumi.</w:t>
      </w:r>
    </w:p>
    <w:p w14:paraId="7E993BE1" w14:textId="77777777" w:rsidR="00883523" w:rsidRPr="000761E9"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4C60098B"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 xml:space="preserve">Rokasgrāmatas pamatā ir Noteikumi, kas izklāstīti Rokasgrāmatas publicēšanas dienā spēkā esošajā Eiropas kontu sistēmas (EKS 2010) redakcijā un publikācijas “Valdības budžeta deficīta un parāda rokasgrāmata. EKS 2010 īstenošana” jaunākajā redakcijā, </w:t>
      </w:r>
      <w:r w:rsidRPr="00883523">
        <w:rPr>
          <w:rFonts w:ascii="Times New Roman" w:eastAsia="Times New Roman" w:hAnsi="Times New Roman" w:cs="Times New Roman"/>
          <w:color w:val="231F20"/>
          <w:sz w:val="24"/>
          <w:szCs w:val="24"/>
          <w:lang w:eastAsia="lv-LV"/>
        </w:rPr>
        <w:lastRenderedPageBreak/>
        <w:t xml:space="preserve">kas izdota 2016. gada martā un ko papildina </w:t>
      </w:r>
      <w:r w:rsidRPr="00883523">
        <w:rPr>
          <w:rFonts w:ascii="Times New Roman" w:eastAsia="Times New Roman" w:hAnsi="Times New Roman" w:cs="Times New Roman"/>
          <w:i/>
          <w:iCs/>
          <w:color w:val="231F20"/>
          <w:sz w:val="24"/>
          <w:szCs w:val="24"/>
          <w:lang w:eastAsia="lv-LV"/>
        </w:rPr>
        <w:t>Paskaidrojošā piezīme par PPP līgumu statistisko uzskaiti</w:t>
      </w:r>
      <w:r w:rsidRPr="00883523">
        <w:rPr>
          <w:rFonts w:ascii="Times New Roman" w:eastAsia="Times New Roman" w:hAnsi="Times New Roman" w:cs="Times New Roman"/>
          <w:color w:val="231F20"/>
          <w:sz w:val="24"/>
          <w:szCs w:val="24"/>
          <w:lang w:eastAsia="lv-LV"/>
        </w:rPr>
        <w:t xml:space="preserve"> (</w:t>
      </w:r>
      <w:r w:rsidRPr="00883523">
        <w:rPr>
          <w:rFonts w:ascii="Times New Roman" w:eastAsia="Times New Roman" w:hAnsi="Times New Roman" w:cs="Times New Roman"/>
          <w:i/>
          <w:iCs/>
          <w:color w:val="231F20"/>
          <w:sz w:val="24"/>
          <w:szCs w:val="24"/>
          <w:lang w:eastAsia="lv-LV"/>
        </w:rPr>
        <w:t>MGDD</w:t>
      </w:r>
      <w:r w:rsidRPr="00883523">
        <w:rPr>
          <w:rFonts w:ascii="Times New Roman" w:eastAsia="Times New Roman" w:hAnsi="Times New Roman" w:cs="Times New Roman"/>
          <w:color w:val="231F20"/>
          <w:sz w:val="24"/>
          <w:szCs w:val="24"/>
          <w:lang w:eastAsia="lv-LV"/>
        </w:rPr>
        <w:t> 2016).</w:t>
      </w:r>
      <w:r w:rsidRPr="00883523">
        <w:rPr>
          <w:rFonts w:ascii="Times New Roman" w:eastAsia="Times New Roman" w:hAnsi="Times New Roman" w:cs="Times New Roman"/>
          <w:sz w:val="24"/>
          <w:szCs w:val="24"/>
          <w:lang w:eastAsia="lv-LV"/>
        </w:rPr>
        <w:t> </w:t>
      </w:r>
      <w:r w:rsidRPr="00883523">
        <w:rPr>
          <w:rFonts w:ascii="Times New Roman" w:eastAsia="Times New Roman" w:hAnsi="Times New Roman" w:cs="Times New Roman"/>
          <w:color w:val="231F20"/>
          <w:sz w:val="24"/>
          <w:szCs w:val="24"/>
          <w:lang w:eastAsia="lv-LV"/>
        </w:rPr>
        <w:t xml:space="preserve">Lai gan, kā jau minēts iepriekš, tuvākajā nākotnē nav paredzēts būtiski pārskatīt Noteikumus, lietojot šo rokasgrāmatu, ir svarīgi pārliecināties, vai EKS 2010 un </w:t>
      </w:r>
      <w:r w:rsidRPr="00883523">
        <w:rPr>
          <w:rFonts w:ascii="Times New Roman" w:eastAsia="Times New Roman" w:hAnsi="Times New Roman" w:cs="Times New Roman"/>
          <w:i/>
          <w:iCs/>
          <w:color w:val="231F20"/>
          <w:sz w:val="24"/>
          <w:szCs w:val="24"/>
          <w:lang w:eastAsia="lv-LV"/>
        </w:rPr>
        <w:t>MGDD</w:t>
      </w:r>
      <w:r w:rsidRPr="00883523">
        <w:rPr>
          <w:rFonts w:ascii="Times New Roman" w:eastAsia="Times New Roman" w:hAnsi="Times New Roman" w:cs="Times New Roman"/>
          <w:color w:val="231F20"/>
          <w:sz w:val="24"/>
          <w:szCs w:val="24"/>
          <w:lang w:eastAsia="lv-LV"/>
        </w:rPr>
        <w:t> 2016 joprojām ir spēkā.</w:t>
      </w:r>
    </w:p>
    <w:p w14:paraId="09AF0D82"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ir pilnībā apstiprinājusi šo rokasgrāmatu. Tāpēc tās ir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oficiālās vadlīnijas un attiecas uz visiem PPP līgumiem, kuru finanšu izpildes diena ir pēc Rokasgrāmatas publicēšanas dienas.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uzskata, ka rokasgrāmata papildina, interpretē un precizē citas pašreizējās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publikācijas un publicētos atzinumus (jo īpaši </w:t>
      </w:r>
      <w:r w:rsidRPr="00883523">
        <w:rPr>
          <w:rFonts w:ascii="Times New Roman" w:eastAsia="Times New Roman" w:hAnsi="Times New Roman" w:cs="Times New Roman"/>
          <w:i/>
          <w:iCs/>
          <w:color w:val="231F20"/>
          <w:sz w:val="24"/>
          <w:szCs w:val="24"/>
          <w:lang w:eastAsia="lv-LV"/>
        </w:rPr>
        <w:t>MGDD</w:t>
      </w:r>
      <w:r w:rsidRPr="00883523">
        <w:rPr>
          <w:rFonts w:ascii="Times New Roman" w:eastAsia="Times New Roman" w:hAnsi="Times New Roman" w:cs="Times New Roman"/>
          <w:color w:val="231F20"/>
          <w:sz w:val="24"/>
          <w:szCs w:val="24"/>
          <w:lang w:eastAsia="lv-LV"/>
        </w:rPr>
        <w:t xml:space="preserve"> 2016). Lai gan Rokasgrāmata ir saskaņā ar </w:t>
      </w:r>
      <w:r w:rsidRPr="00883523">
        <w:rPr>
          <w:rFonts w:ascii="Times New Roman" w:eastAsia="Times New Roman" w:hAnsi="Times New Roman" w:cs="Times New Roman"/>
          <w:i/>
          <w:iCs/>
          <w:color w:val="231F20"/>
          <w:sz w:val="24"/>
          <w:szCs w:val="24"/>
          <w:lang w:eastAsia="lv-LV"/>
        </w:rPr>
        <w:t>MGDD</w:t>
      </w:r>
      <w:r w:rsidRPr="00883523">
        <w:rPr>
          <w:rFonts w:ascii="Times New Roman" w:eastAsia="Times New Roman" w:hAnsi="Times New Roman" w:cs="Times New Roman"/>
          <w:color w:val="231F20"/>
          <w:sz w:val="24"/>
          <w:szCs w:val="24"/>
          <w:lang w:eastAsia="lv-LV"/>
        </w:rPr>
        <w:t xml:space="preserve"> 2016, ja gadījumā (kas ir maz ticams) Rokasgrāmatā paustais viedoklis šķietami ir pretrunā </w:t>
      </w:r>
      <w:r w:rsidRPr="00883523">
        <w:rPr>
          <w:rFonts w:ascii="Times New Roman" w:eastAsia="Times New Roman" w:hAnsi="Times New Roman" w:cs="Times New Roman"/>
          <w:i/>
          <w:iCs/>
          <w:color w:val="231F20"/>
          <w:sz w:val="24"/>
          <w:szCs w:val="24"/>
          <w:lang w:eastAsia="lv-LV"/>
        </w:rPr>
        <w:t>MGDD</w:t>
      </w:r>
      <w:r w:rsidRPr="00883523">
        <w:rPr>
          <w:rFonts w:ascii="Times New Roman" w:eastAsia="Times New Roman" w:hAnsi="Times New Roman" w:cs="Times New Roman"/>
          <w:color w:val="231F20"/>
          <w:sz w:val="24"/>
          <w:szCs w:val="24"/>
          <w:lang w:eastAsia="lv-LV"/>
        </w:rPr>
        <w:t xml:space="preserve"> 2016, tad Rokasgrāmatā paustais viedoklis prevalē, jo tas parāda jaunāko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nostāju.</w:t>
      </w:r>
    </w:p>
    <w:p w14:paraId="446690B4" w14:textId="579B285D"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 xml:space="preserve">Rokasgrāmatā izskatītas tikai PPP (sk.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definīciju 2. nodaļā), tāpēc to piemērošanas jomā neietilpst ne koncesijas (sk.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definīciju 2. nodaļā), ne institucionālās PPP.</w:t>
      </w:r>
      <w:r w:rsidR="00883523">
        <w:rPr>
          <w:rStyle w:val="Vresatsauce"/>
          <w:rFonts w:ascii="Times New Roman" w:eastAsia="Times New Roman" w:hAnsi="Times New Roman" w:cs="Times New Roman"/>
          <w:color w:val="231F20"/>
          <w:sz w:val="24"/>
          <w:szCs w:val="24"/>
          <w:lang w:eastAsia="lv-LV"/>
        </w:rPr>
        <w:footnoteReference w:id="6"/>
      </w:r>
      <w:r w:rsidRPr="00883523">
        <w:rPr>
          <w:rFonts w:ascii="Times New Roman" w:eastAsia="Times New Roman" w:hAnsi="Times New Roman" w:cs="Times New Roman"/>
          <w:color w:val="231F20"/>
          <w:sz w:val="24"/>
          <w:szCs w:val="24"/>
          <w:lang w:eastAsia="lv-LV"/>
        </w:rPr>
        <w:t xml:space="preserve"> Ir svarīgi uzsvērt, ka koncesiju statistisko uzskaiti novērtē saskaņā ar atsevišķiem noteikumiem, kas neattiecas uz PPP (sk. 2. nodaļu). Ja tas būs lietderīgi un vajadzīgi,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un </w:t>
      </w:r>
      <w:r w:rsidRPr="00883523">
        <w:rPr>
          <w:rFonts w:ascii="Times New Roman" w:eastAsia="Times New Roman" w:hAnsi="Times New Roman" w:cs="Times New Roman"/>
          <w:i/>
          <w:iCs/>
          <w:color w:val="231F20"/>
          <w:sz w:val="24"/>
          <w:szCs w:val="24"/>
          <w:lang w:eastAsia="lv-LV"/>
        </w:rPr>
        <w:t>EPEC</w:t>
      </w:r>
      <w:r w:rsidRPr="00883523">
        <w:rPr>
          <w:rFonts w:ascii="Times New Roman" w:eastAsia="Times New Roman" w:hAnsi="Times New Roman" w:cs="Times New Roman"/>
          <w:color w:val="231F20"/>
          <w:sz w:val="24"/>
          <w:szCs w:val="24"/>
          <w:lang w:eastAsia="lv-LV"/>
        </w:rPr>
        <w:t xml:space="preserve"> apsvērs sadarbošanos, lai sagatavotu līdzīgu rokasgrāmatu par koncesiju statistisko uzskaiti.</w:t>
      </w:r>
    </w:p>
    <w:p w14:paraId="3A29CFEB" w14:textId="11C3C2C4"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Rokasgrāmatā nav izskatīti energoefektivitātes līgumi, pat ne tajos gadījumos, kad šiem līgumiem piemīt daži PPP līgumu elementi.</w:t>
      </w:r>
      <w:r w:rsidR="00883523">
        <w:rPr>
          <w:rStyle w:val="Vresatsauce"/>
          <w:rFonts w:ascii="Times New Roman" w:eastAsia="Times New Roman" w:hAnsi="Times New Roman" w:cs="Times New Roman"/>
          <w:color w:val="231F20"/>
          <w:sz w:val="24"/>
          <w:szCs w:val="24"/>
          <w:lang w:eastAsia="lv-LV"/>
        </w:rPr>
        <w:footnoteReference w:id="7"/>
      </w:r>
    </w:p>
    <w:p w14:paraId="24968D60"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Kā minēts iepriekš, Rokasgrāmata ir balstīta uz PPP līgumu noteikumiem, kas parasti ir sastopami ES valstu tirgos. Lai arī ir ieguldīti vērā ņemami centieni, lai nodrošinātu, ka šī rokasgrāmata ir, cik iespējams, plaša, netiek apgalvots, ka tā aptver visus iespējamos PPP līgumu noteikumus, kas var ietekmēt statistisko uzskaiti, un jebkādus noteikumus, kas turpmāk var parādīties ES PPP tirgū. Tas, ka kādā PPP līgumā vai projektā ir šajā rokasgrāmatā neaplūkoti elementi un/vai noteikumi, nenozīmē, ka šie elementi vai noteikumi nav jāņem vērā, vērtējot statistisko uzskaiti.</w:t>
      </w:r>
    </w:p>
    <w:p w14:paraId="0FA21D6B"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Lai Rokasgrāmata atbilstu paredzētajam mērķim, tā ir sīki izstrādāta un parāda PPP darījumiem raksturīgu sarežģītības pakāpi. Tāpēc tiek pieņemts, ka Rokasgrāmatas lietotājiem ir labas praktiskās zināšanas par PPP darījumu struktūru un galvenajiem nosacījumiem.</w:t>
      </w:r>
    </w:p>
    <w:p w14:paraId="51DC30BA"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 xml:space="preserve">Izmantojot šo rokasgrāmatu un skaidrojot to, kā tā piemērojama konkrētam projektam, lietotājiem ir jāņem vērā aprakstīto tipisko PPP līgumu noteikumu un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piezīmēs minēto principu komerciālā ietekme. Ir svarīgi apzināties, ka Noteikumi attiecas uz PPP darījumus reglamentējošo normu ekonomisko būtību un ietekmi. Lai cik sīki izstrādāta un lietderīga nebūtu šī rokasgrāmata, ievērojami atšķiras dažādu PPP struktūras un līgumi, kā arī ir svarīgi katra PPP darījuma statistisko uzskaiti izvērtēt katrā gadījumā atsevišķi, ņemot vērā visus darījuma aspektus kopumā (tostarp visus noteikumus, kas iekļauti visos ar šo darījumu saistītajos dokumentos). Noteikumu veids atsevišķos projektos var atšķirties no šajā rokasgrāmatā aprakstītajiem veidiem. Dažādos projektos tiek izmantota dažāda terminoloģija un izstrādes mehānismi, noteikumi tiek iekļauti dažādos darījuma dokumentos, un uz projektiem var attiekties noteikumi, kas iekļauti pamata tiesību aktos, nevis pašos PPP līgumos.</w:t>
      </w:r>
    </w:p>
    <w:p w14:paraId="2A562B51"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lastRenderedPageBreak/>
        <w:t>PPP statistiskā uzskaite ietver daudzu, bieži vien savstarpēji atkarīgu darījuma elementu novērtēšanu. Tāpēc lietotājiem Rokasgrāmata ir jāuzskata par vienotu veselumu un jāatturas no atsevišķu iedaļu nošķirtas skatīšanas.</w:t>
      </w:r>
    </w:p>
    <w:p w14:paraId="17BB3E6A"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 xml:space="preserve">Rokasgrāmatas mērķis ir sniegt palīdzību saistībā ar PPP indikatīvo statistisko uzskaiti. Tāpat kā visu ar valdību saistītu statistikas jautājumu gadījumā galīgos lēmumus par PPP statistisko uzskaiti pieņem valsts statistikas iestādes un, visbeidzot,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Ir ieteicamas agrīnas konsultācijas ar valsts statistikas iestādēm, ja pastāv iespējamība, ka no projekta statistiskās uzskaites būs atkarīgs publiskā sektora lēmums veikt iepirkumu vai slēgt PPP līgumu, vai ja ir nepieciešama skaidrība attiecībā uz statistisko uzskaiti. Tas ir īpaši svarīgi, ja projektā ir jauni noteikumi vai struktūras, par kurām nav konkrētu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vadlīniju.</w:t>
      </w:r>
    </w:p>
    <w:p w14:paraId="55428FC9" w14:textId="34671B11"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sz w:val="24"/>
          <w:szCs w:val="24"/>
          <w:lang w:eastAsia="lv-LV"/>
        </w:rPr>
      </w:pPr>
      <w:r w:rsidRPr="00883523">
        <w:rPr>
          <w:rFonts w:ascii="Times New Roman" w:eastAsia="Times New Roman" w:hAnsi="Times New Roman" w:cs="Times New Roman"/>
          <w:color w:val="231F20"/>
          <w:sz w:val="24"/>
          <w:szCs w:val="24"/>
          <w:lang w:eastAsia="lv-LV"/>
        </w:rPr>
        <w:t xml:space="preserve">Ja ir šaubas par to, vai un kā Noteikumi vai Rokasgrāmata piemērojami konkrētam līgumam, ES dalībvalstu statistikas iestādes var lūgt, lai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veic novērtējumu. Šādus lūgumus var iesniegt gan par jau parakstītiem līgumiem, gan par līgumiem, kas vēl tikai tiek gatavoti. Tomēr jānorāda, ka </w:t>
      </w:r>
      <w:r w:rsidRPr="00883523">
        <w:rPr>
          <w:rFonts w:ascii="Times New Roman" w:eastAsia="Times New Roman" w:hAnsi="Times New Roman" w:cs="Times New Roman"/>
          <w:i/>
          <w:iCs/>
          <w:color w:val="231F20"/>
          <w:sz w:val="24"/>
          <w:szCs w:val="24"/>
          <w:lang w:eastAsia="lv-LV"/>
        </w:rPr>
        <w:t>Eurostat</w:t>
      </w:r>
      <w:r w:rsidRPr="00883523">
        <w:rPr>
          <w:rFonts w:ascii="Times New Roman" w:eastAsia="Times New Roman" w:hAnsi="Times New Roman" w:cs="Times New Roman"/>
          <w:color w:val="231F20"/>
          <w:sz w:val="24"/>
          <w:szCs w:val="24"/>
          <w:lang w:eastAsia="lv-LV"/>
        </w:rPr>
        <w:t xml:space="preserve"> sniedz atzinumus tikai par projektiem, kas jau ir strukturēti. Tas nesniedz norādījumus par hipotētiskiem gadījumiem vai dažādiem viena projekta variantiem un nedod padomus par to, kā strukturēt projektus, lai par to statistisko uzskaiti varētu izdarīt kādu noteiktu slēdzienu.</w:t>
      </w:r>
      <w:r w:rsidR="00883523">
        <w:rPr>
          <w:rStyle w:val="Vresatsauce"/>
          <w:rFonts w:ascii="Times New Roman" w:eastAsia="Times New Roman" w:hAnsi="Times New Roman" w:cs="Times New Roman"/>
          <w:color w:val="231F20"/>
          <w:sz w:val="24"/>
          <w:szCs w:val="24"/>
          <w:lang w:eastAsia="lv-LV"/>
        </w:rPr>
        <w:footnoteReference w:id="8"/>
      </w:r>
    </w:p>
    <w:p w14:paraId="3B0BF843" w14:textId="77777777"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color w:val="231F20"/>
          <w:sz w:val="24"/>
          <w:szCs w:val="24"/>
          <w:lang w:eastAsia="lv-LV"/>
        </w:rPr>
      </w:pPr>
      <w:r w:rsidRPr="00883523">
        <w:rPr>
          <w:rFonts w:ascii="Times New Roman" w:eastAsia="Times New Roman" w:hAnsi="Times New Roman" w:cs="Times New Roman"/>
          <w:color w:val="231F20"/>
          <w:sz w:val="24"/>
          <w:szCs w:val="24"/>
          <w:lang w:eastAsia="lv-LV"/>
        </w:rPr>
        <w:t>Rokasgrāmatā nav izskatīti ieguldījumam atbilstošās vērtības un rentabilitātes jautājumi, kas rodas PPP. Rokasgrāmatu nedrīkst interpretēt kā tādu, kas apstiprina tajā aprakstīto PPP līguma noteikumu ieguldījumam atbilstošo vērtību vai rentabilitāti, vai kā tādu, kas dod padomus par ieguldījumam atbilstošo vērtību vai rentabilitāti. Tāpat Rokasgrāmatu nedrīkst interpretēt kā tādu, kas apstiprina jebkādu PPP līguma noteikumu izmantošanas, strukturēšanas vai grozīšanas ietekmi uz ieguldījumam atbilstošo vērtību un rentabilitāti, vai kā tādu, kas dod padomus par ieguldījumam atbilstošo vērtību vai rentabilitāti, lai panāktu uzskaiti ārpus valdības bilances.</w:t>
      </w:r>
    </w:p>
    <w:p w14:paraId="10E89756" w14:textId="667CBEB1" w:rsidR="00D43EDD" w:rsidRPr="00883523" w:rsidRDefault="00D43EDD" w:rsidP="00DC1556">
      <w:pPr>
        <w:pStyle w:val="Sarakstarindkopa"/>
        <w:numPr>
          <w:ilvl w:val="0"/>
          <w:numId w:val="4"/>
        </w:numPr>
        <w:spacing w:after="0" w:line="240" w:lineRule="auto"/>
        <w:ind w:left="709" w:hanging="283"/>
        <w:jc w:val="both"/>
        <w:rPr>
          <w:rFonts w:ascii="Times New Roman" w:eastAsia="Times New Roman" w:hAnsi="Times New Roman" w:cs="Times New Roman"/>
          <w:sz w:val="24"/>
          <w:szCs w:val="24"/>
          <w:lang w:eastAsia="lv-LV"/>
        </w:rPr>
      </w:pPr>
      <w:r w:rsidRPr="00883523">
        <w:rPr>
          <w:rFonts w:ascii="Times New Roman" w:eastAsia="Times New Roman" w:hAnsi="Times New Roman" w:cs="Times New Roman"/>
          <w:color w:val="231F20"/>
          <w:sz w:val="24"/>
          <w:szCs w:val="24"/>
          <w:lang w:eastAsia="lv-LV"/>
        </w:rPr>
        <w:t xml:space="preserve">Rokasgrāmatā iekļautās piezīmes par statistisko uzskaiti ir sniedzis tikai </w:t>
      </w:r>
      <w:r w:rsidRPr="00883523">
        <w:rPr>
          <w:rFonts w:ascii="Times New Roman" w:eastAsia="Times New Roman" w:hAnsi="Times New Roman" w:cs="Times New Roman"/>
          <w:i/>
          <w:iCs/>
          <w:color w:val="231F20"/>
          <w:sz w:val="24"/>
          <w:szCs w:val="24"/>
          <w:lang w:eastAsia="lv-LV"/>
        </w:rPr>
        <w:t>Eurostat</w:t>
      </w:r>
      <w:r w:rsidR="00883523">
        <w:rPr>
          <w:rStyle w:val="Vresatsauce"/>
          <w:rFonts w:ascii="Times New Roman" w:eastAsia="Times New Roman" w:hAnsi="Times New Roman" w:cs="Times New Roman"/>
          <w:i/>
          <w:iCs/>
          <w:color w:val="231F20"/>
          <w:sz w:val="24"/>
          <w:szCs w:val="24"/>
          <w:lang w:eastAsia="lv-LV"/>
        </w:rPr>
        <w:footnoteReference w:id="9"/>
      </w:r>
      <w:r w:rsidRPr="00883523">
        <w:rPr>
          <w:rFonts w:ascii="Times New Roman" w:eastAsia="Times New Roman" w:hAnsi="Times New Roman" w:cs="Times New Roman"/>
          <w:color w:val="231F20"/>
          <w:sz w:val="24"/>
          <w:szCs w:val="24"/>
          <w:lang w:eastAsia="lv-LV"/>
        </w:rPr>
        <w:t xml:space="preserve">, un tās neparāda ne </w:t>
      </w:r>
      <w:r w:rsidRPr="00883523">
        <w:rPr>
          <w:rFonts w:ascii="Times New Roman" w:eastAsia="Times New Roman" w:hAnsi="Times New Roman" w:cs="Times New Roman"/>
          <w:i/>
          <w:iCs/>
          <w:color w:val="231F20"/>
          <w:sz w:val="24"/>
          <w:szCs w:val="24"/>
          <w:lang w:eastAsia="lv-LV"/>
        </w:rPr>
        <w:t>EPEC</w:t>
      </w:r>
      <w:r w:rsidRPr="00883523">
        <w:rPr>
          <w:rFonts w:ascii="Times New Roman" w:eastAsia="Times New Roman" w:hAnsi="Times New Roman" w:cs="Times New Roman"/>
          <w:color w:val="231F20"/>
          <w:sz w:val="24"/>
          <w:szCs w:val="24"/>
          <w:lang w:eastAsia="lv-LV"/>
        </w:rPr>
        <w:t xml:space="preserve"> viedokli, ne Eiropas Investīciju bankas, kas ir aizdevējs PPP projektos, viedokli vai intereses.</w:t>
      </w:r>
    </w:p>
    <w:p w14:paraId="74151985" w14:textId="4436BD7F" w:rsidR="00883523" w:rsidRDefault="00883523">
      <w:pPr>
        <w:rPr>
          <w:rFonts w:ascii="Times New Roman" w:eastAsia="Times New Roman" w:hAnsi="Times New Roman" w:cs="Times New Roman"/>
          <w:color w:val="231F20"/>
          <w:sz w:val="20"/>
          <w:szCs w:val="20"/>
          <w:lang w:eastAsia="lv-LV"/>
        </w:rPr>
      </w:pPr>
      <w:r>
        <w:rPr>
          <w:rFonts w:ascii="Times New Roman" w:eastAsia="Times New Roman" w:hAnsi="Times New Roman" w:cs="Times New Roman"/>
          <w:color w:val="231F20"/>
          <w:sz w:val="20"/>
          <w:szCs w:val="20"/>
          <w:lang w:eastAsia="lv-LV"/>
        </w:rPr>
        <w:br w:type="page"/>
      </w:r>
    </w:p>
    <w:p w14:paraId="03109026" w14:textId="77777777" w:rsidR="00883523" w:rsidRDefault="00883523" w:rsidP="00D43EDD">
      <w:pPr>
        <w:spacing w:after="0" w:line="240" w:lineRule="auto"/>
        <w:jc w:val="both"/>
        <w:rPr>
          <w:rFonts w:ascii="Times New Roman" w:eastAsia="Times New Roman" w:hAnsi="Times New Roman" w:cs="Times New Roman"/>
          <w:color w:val="231F20"/>
          <w:sz w:val="20"/>
          <w:szCs w:val="20"/>
          <w:lang w:eastAsia="lv-LV"/>
        </w:rPr>
      </w:pPr>
    </w:p>
    <w:p w14:paraId="0B57DCC0" w14:textId="2FEB61D6" w:rsidR="00D43EDD" w:rsidRPr="00586FD8" w:rsidRDefault="00D43EDD" w:rsidP="00586FD8">
      <w:pPr>
        <w:pStyle w:val="Virsraksts1"/>
        <w:rPr>
          <w:rFonts w:eastAsia="Times New Roman"/>
          <w:b w:val="0"/>
          <w:color w:val="auto"/>
          <w:lang w:eastAsia="lv-LV"/>
        </w:rPr>
      </w:pPr>
      <w:bookmarkStart w:id="3" w:name="_Toc528941567"/>
      <w:r w:rsidRPr="000761E9">
        <w:rPr>
          <w:rFonts w:eastAsia="Times New Roman"/>
          <w:bCs/>
          <w:lang w:eastAsia="lv-LV"/>
        </w:rPr>
        <w:t xml:space="preserve">1. nodaļa. </w:t>
      </w:r>
      <w:r w:rsidRPr="00586FD8">
        <w:rPr>
          <w:rFonts w:eastAsia="Times New Roman"/>
          <w:b w:val="0"/>
          <w:color w:val="auto"/>
          <w:lang w:eastAsia="lv-LV"/>
        </w:rPr>
        <w:t>Vispārīga informācija par Noteikumiem</w:t>
      </w:r>
      <w:bookmarkEnd w:id="3"/>
    </w:p>
    <w:p w14:paraId="3FECC79F" w14:textId="77777777" w:rsidR="00883523" w:rsidRDefault="00883523" w:rsidP="00D43EDD">
      <w:pPr>
        <w:spacing w:after="0" w:line="240" w:lineRule="auto"/>
        <w:jc w:val="both"/>
        <w:rPr>
          <w:rFonts w:ascii="Times New Roman" w:eastAsia="Times New Roman" w:hAnsi="Times New Roman" w:cs="Times New Roman"/>
          <w:b/>
          <w:bCs/>
          <w:color w:val="005CAB"/>
          <w:sz w:val="24"/>
          <w:szCs w:val="24"/>
          <w:lang w:eastAsia="lv-LV"/>
        </w:rPr>
      </w:pPr>
    </w:p>
    <w:p w14:paraId="0C16A1A4" w14:textId="2D76C192"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Pārskats</w:t>
      </w:r>
    </w:p>
    <w:p w14:paraId="61CCDF8E" w14:textId="77777777" w:rsidR="00883523"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517A621F" w14:textId="79B2F779"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nodaļā lietotājiem ir sniegta vispārīga informācija, kas ir nepieciešama, lai izprastu PPP statistisko uzskaiti. Tajā ir sniegts vispārīgs pārskats par Noteikumu izstrādi un to galvenajiem pamatprincipiem. Tajā ir izskaidrots arī, kuros posmos ir jānovērtē PPP statistiskā uzskaite.</w:t>
      </w:r>
    </w:p>
    <w:p w14:paraId="765C936F" w14:textId="77777777" w:rsidR="00883523" w:rsidRDefault="00883523" w:rsidP="00D43EDD">
      <w:pPr>
        <w:spacing w:after="0" w:line="240" w:lineRule="auto"/>
        <w:jc w:val="both"/>
        <w:rPr>
          <w:rFonts w:ascii="Times New Roman" w:eastAsia="Times New Roman" w:hAnsi="Times New Roman" w:cs="Times New Roman"/>
          <w:b/>
          <w:bCs/>
          <w:color w:val="005CAB"/>
          <w:sz w:val="24"/>
          <w:szCs w:val="24"/>
          <w:lang w:eastAsia="lv-LV"/>
        </w:rPr>
      </w:pPr>
    </w:p>
    <w:p w14:paraId="7974DA99" w14:textId="0BA93B82"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Noteikumu izstrāde</w:t>
      </w:r>
    </w:p>
    <w:p w14:paraId="4E979841" w14:textId="77777777" w:rsidR="00883523"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1433F27A" w14:textId="589105C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Kopš 1994. gada ES ir spēkā Māstrihtas līgumā (104. pants) noteiktā pārmērīga budžeta deficīta novēršanas procedūra. Eiropas Komisija (ar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starpniecību) cenšas garantēt pienācīgu Eiropas kontu sistēmas piemērošanu, lai savāktu ticamus un salīdzināmus statistikas datus par dalībvalstu situāciju parāda un deficīta jomā. No 2014. gada septembra pamatprincipu kopums par šiem datiem ir EKS 2010. Tās lietošana visām ES valstīm ir juridiski saistoša.</w:t>
      </w:r>
    </w:p>
    <w:p w14:paraId="5817A2FD" w14:textId="77777777" w:rsidR="00883523"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53AE6E72" w14:textId="6F36619C"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color w:val="231F20"/>
          <w:sz w:val="24"/>
          <w:szCs w:val="24"/>
          <w:lang w:eastAsia="lv-LV"/>
        </w:rPr>
        <w:t>EKS 2010 mērķis ir sagatavot ekonomisko statistiku un reģistrēt darījumu ekonomisko būtību (nevis to juridisko formu). EKS 2010 ietver noteikumus par PPP statistisko uzskaiti</w:t>
      </w:r>
      <w:r w:rsidR="00883523">
        <w:rPr>
          <w:rStyle w:val="Vresatsauce"/>
          <w:rFonts w:ascii="Times New Roman" w:eastAsia="Times New Roman" w:hAnsi="Times New Roman" w:cs="Times New Roman"/>
          <w:color w:val="231F20"/>
          <w:sz w:val="24"/>
          <w:szCs w:val="24"/>
          <w:lang w:eastAsia="lv-LV"/>
        </w:rPr>
        <w:footnoteReference w:id="10"/>
      </w:r>
      <w:r w:rsidRPr="000761E9">
        <w:rPr>
          <w:rFonts w:ascii="Times New Roman" w:eastAsia="Times New Roman" w:hAnsi="Times New Roman" w:cs="Times New Roman"/>
          <w:color w:val="231F20"/>
          <w:sz w:val="24"/>
          <w:szCs w:val="24"/>
          <w:lang w:eastAsia="lv-LV"/>
        </w:rPr>
        <w:t>,</w:t>
      </w:r>
      <w:r w:rsidRPr="000761E9">
        <w:rPr>
          <w:rFonts w:ascii="Times New Roman" w:eastAsia="Times New Roman" w:hAnsi="Times New Roman" w:cs="Times New Roman"/>
          <w:b/>
          <w:bCs/>
          <w:color w:val="231F20"/>
          <w:sz w:val="24"/>
          <w:szCs w:val="24"/>
          <w:lang w:eastAsia="lv-LV"/>
        </w:rPr>
        <w:t> </w:t>
      </w:r>
      <w:r w:rsidRPr="000761E9">
        <w:rPr>
          <w:rFonts w:ascii="Times New Roman" w:eastAsia="Times New Roman" w:hAnsi="Times New Roman" w:cs="Times New Roman"/>
          <w:color w:val="231F20"/>
          <w:sz w:val="24"/>
          <w:szCs w:val="24"/>
          <w:lang w:eastAsia="lv-LV"/>
        </w:rPr>
        <w:t xml:space="preserve">kas cita starpā parāda darbu, kuru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šajā jomā ir veicis kopš 2004. gada, kā tas skaidrots turpmāk.</w:t>
      </w:r>
    </w:p>
    <w:p w14:paraId="020AB109" w14:textId="77777777" w:rsidR="00883523" w:rsidRDefault="00883523" w:rsidP="00D43EDD">
      <w:pPr>
        <w:spacing w:after="0" w:line="240" w:lineRule="auto"/>
        <w:jc w:val="both"/>
        <w:rPr>
          <w:rFonts w:ascii="Times New Roman" w:eastAsia="Times New Roman" w:hAnsi="Times New Roman" w:cs="Times New Roman"/>
          <w:i/>
          <w:iCs/>
          <w:color w:val="231F20"/>
          <w:sz w:val="24"/>
          <w:szCs w:val="24"/>
          <w:lang w:eastAsia="lv-LV"/>
        </w:rPr>
      </w:pPr>
    </w:p>
    <w:p w14:paraId="6DE25147" w14:textId="426D980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noteikumi par PPP pirmoreiz tika publicēti 2004. gada februārī, iekļaujot tos publikācijā “Jauns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lēmums par deficītu un parādu. Publisko un privāto partnerību uzskaite”.</w:t>
      </w:r>
      <w:r w:rsidR="00883523">
        <w:rPr>
          <w:rStyle w:val="Vresatsauce"/>
          <w:rFonts w:ascii="Times New Roman" w:eastAsia="Times New Roman" w:hAnsi="Times New Roman" w:cs="Times New Roman"/>
          <w:color w:val="231F20"/>
          <w:sz w:val="24"/>
          <w:szCs w:val="24"/>
          <w:lang w:eastAsia="lv-LV"/>
        </w:rPr>
        <w:footnoteReference w:id="11"/>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Šis lēmums attiecās uz to ilgtermiņa partnerību līgumu statistisko uzskaiti, kurās valdība ir galvenais Partnera sniegto pakalpojumu pircējs. Tajā tika sīki aprakstīti galvenie principi, kas attiecas uz PPP statistisko uzskaiti un reģistrēšanu valdības</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deficīta un parāda datos.</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Uz šā lēmuma pamata sagatavoja aprakstošākas vadlīnijas, ko publicēja atsevišķā “Valdības budžeta deficīta un parāda rokasgrāmatas”</w:t>
      </w:r>
      <w:r w:rsidRPr="000761E9">
        <w:rPr>
          <w:rFonts w:ascii="Times New Roman" w:eastAsia="Times New Roman" w:hAnsi="Times New Roman" w:cs="Times New Roman"/>
          <w:i/>
          <w:iCs/>
          <w:color w:val="231F20"/>
          <w:sz w:val="24"/>
          <w:szCs w:val="24"/>
          <w:lang w:eastAsia="lv-LV"/>
        </w:rPr>
        <w:t> </w:t>
      </w:r>
      <w:r w:rsidRPr="000761E9">
        <w:rPr>
          <w:rFonts w:ascii="Times New Roman" w:eastAsia="Times New Roman" w:hAnsi="Times New Roman" w:cs="Times New Roman"/>
          <w:color w:val="231F20"/>
          <w:sz w:val="24"/>
          <w:szCs w:val="24"/>
          <w:lang w:eastAsia="lv-LV"/>
        </w:rPr>
        <w:t>nodaļā.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 xml:space="preserve">Pašreizējā Rokasgrāmatas redakcija, </w:t>
      </w:r>
      <w:r w:rsidRPr="000761E9">
        <w:rPr>
          <w:rFonts w:ascii="Times New Roman" w:eastAsia="Times New Roman" w:hAnsi="Times New Roman" w:cs="Times New Roman"/>
          <w:i/>
          <w:iCs/>
          <w:color w:val="231F20"/>
          <w:sz w:val="24"/>
          <w:szCs w:val="24"/>
          <w:lang w:eastAsia="lv-LV"/>
        </w:rPr>
        <w:t>MGDD</w:t>
      </w:r>
      <w:r w:rsidRPr="000761E9">
        <w:rPr>
          <w:rFonts w:ascii="Times New Roman" w:eastAsia="Times New Roman" w:hAnsi="Times New Roman" w:cs="Times New Roman"/>
          <w:color w:val="231F20"/>
          <w:sz w:val="24"/>
          <w:szCs w:val="24"/>
          <w:lang w:eastAsia="lv-LV"/>
        </w:rPr>
        <w:t xml:space="preserve"> 2016, ir saskaņota ar EKS 2010 un ir tās obligāts papildinājums. Tāpēc Noteikumi ir izstrādāti, pamatojoties gan uz EKS 2010 un </w:t>
      </w:r>
      <w:r w:rsidRPr="000761E9">
        <w:rPr>
          <w:rFonts w:ascii="Times New Roman" w:eastAsia="Times New Roman" w:hAnsi="Times New Roman" w:cs="Times New Roman"/>
          <w:i/>
          <w:iCs/>
          <w:color w:val="231F20"/>
          <w:sz w:val="24"/>
          <w:szCs w:val="24"/>
          <w:lang w:eastAsia="lv-LV"/>
        </w:rPr>
        <w:t>MGDD</w:t>
      </w:r>
      <w:r w:rsidRPr="000761E9">
        <w:rPr>
          <w:rFonts w:ascii="Times New Roman" w:eastAsia="Times New Roman" w:hAnsi="Times New Roman" w:cs="Times New Roman"/>
          <w:color w:val="231F20"/>
          <w:sz w:val="24"/>
          <w:szCs w:val="24"/>
          <w:lang w:eastAsia="lv-LV"/>
        </w:rPr>
        <w:t xml:space="preserve"> 2016, gan arī uz oficiāliem atzinumiem, ko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ir sniedzis par konkrētiem PPP gadījumiem.</w:t>
      </w:r>
    </w:p>
    <w:p w14:paraId="167FDDD3" w14:textId="77777777" w:rsidR="00883523" w:rsidRPr="000761E9"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6A27A05C" w14:textId="6C592E9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Ir svarīgi uzsvērt, ka saskaņā ar EKS 2010 nacionālajos kontos ir jāizmanto bināra ziņošanas sistēma. Attiecīgi PPP aktīvs ir jāreģistrē vai nu pilnībā kā valsts aktīvs, vai pilnībā kā valstij nepiederošs aktīvs (t. i., aktīva ekonomiskās īpašumtiesības nevar tikt dalītas starp valdību un privāto partneri).</w:t>
      </w:r>
      <w:r w:rsidR="006E31BD">
        <w:rPr>
          <w:rStyle w:val="Vresatsauce"/>
          <w:rFonts w:ascii="Times New Roman" w:eastAsia="Times New Roman" w:hAnsi="Times New Roman" w:cs="Times New Roman"/>
          <w:color w:val="231F20"/>
          <w:sz w:val="24"/>
          <w:szCs w:val="24"/>
          <w:lang w:eastAsia="lv-LV"/>
        </w:rPr>
        <w:footnoteReference w:id="12"/>
      </w:r>
      <w:r w:rsidRPr="000761E9">
        <w:rPr>
          <w:rFonts w:ascii="Times New Roman" w:eastAsia="Times New Roman" w:hAnsi="Times New Roman" w:cs="Times New Roman"/>
          <w:color w:val="231F20"/>
          <w:sz w:val="24"/>
          <w:szCs w:val="24"/>
          <w:lang w:eastAsia="lv-LV"/>
        </w:rPr>
        <w:t> Tāpēc, kad tiek konstatēts, ka PPP aktīvs ir reģistrējams valdības bilancē, ir jāreģistrē projekta aktīva (un attiecīgo saistību) kopējā vērtība.</w:t>
      </w:r>
    </w:p>
    <w:p w14:paraId="0D4A717D" w14:textId="77777777" w:rsidR="00883523" w:rsidRPr="000761E9" w:rsidRDefault="00883523" w:rsidP="00D43EDD">
      <w:pPr>
        <w:spacing w:after="0" w:line="240" w:lineRule="auto"/>
        <w:jc w:val="both"/>
        <w:rPr>
          <w:rFonts w:ascii="Times New Roman" w:eastAsia="Times New Roman" w:hAnsi="Times New Roman" w:cs="Times New Roman"/>
          <w:color w:val="231F20"/>
          <w:sz w:val="24"/>
          <w:szCs w:val="24"/>
          <w:lang w:eastAsia="lv-LV"/>
        </w:rPr>
      </w:pPr>
    </w:p>
    <w:p w14:paraId="43892F52"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Finanšu riski publiskajās un privātajās partnerībās</w:t>
      </w:r>
    </w:p>
    <w:p w14:paraId="11E5CAF3" w14:textId="77777777" w:rsidR="006E31BD" w:rsidRDefault="006E31BD" w:rsidP="00D43EDD">
      <w:pPr>
        <w:spacing w:after="0" w:line="240" w:lineRule="auto"/>
        <w:jc w:val="both"/>
        <w:rPr>
          <w:rFonts w:ascii="Times New Roman" w:eastAsia="Times New Roman" w:hAnsi="Times New Roman" w:cs="Times New Roman"/>
          <w:color w:val="231F20"/>
          <w:sz w:val="24"/>
          <w:szCs w:val="24"/>
          <w:lang w:eastAsia="lv-LV"/>
        </w:rPr>
      </w:pPr>
    </w:p>
    <w:p w14:paraId="0C5D819F" w14:textId="37A796F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Lai gan PPP statistiskā uzskaite var būt svarīgs faktors, lemjot, vai izvēlēties PPP vienošanos, veikt iepirkumu vai parakstīt PPP līgumu, ir jāpatur prātā šādas divas svarīgas lietas:</w:t>
      </w:r>
    </w:p>
    <w:p w14:paraId="3357F8B2" w14:textId="77777777" w:rsidR="006E31BD" w:rsidRPr="000761E9" w:rsidRDefault="006E31BD" w:rsidP="00D43EDD">
      <w:pPr>
        <w:spacing w:after="0" w:line="240" w:lineRule="auto"/>
        <w:jc w:val="both"/>
        <w:rPr>
          <w:rFonts w:ascii="Times New Roman" w:eastAsia="Times New Roman" w:hAnsi="Times New Roman" w:cs="Times New Roman"/>
          <w:color w:val="231F20"/>
          <w:sz w:val="24"/>
          <w:szCs w:val="24"/>
          <w:lang w:eastAsia="lv-LV"/>
        </w:rPr>
      </w:pPr>
    </w:p>
    <w:p w14:paraId="62DDD4DF" w14:textId="77777777" w:rsidR="00D43EDD" w:rsidRPr="006E31BD" w:rsidRDefault="00D43EDD" w:rsidP="00DC1556">
      <w:pPr>
        <w:pStyle w:val="Sarakstarindkopa"/>
        <w:numPr>
          <w:ilvl w:val="0"/>
          <w:numId w:val="5"/>
        </w:numPr>
        <w:spacing w:after="0" w:line="240" w:lineRule="auto"/>
        <w:ind w:left="709" w:hanging="283"/>
        <w:jc w:val="both"/>
        <w:rPr>
          <w:rFonts w:ascii="Times New Roman" w:eastAsia="Times New Roman" w:hAnsi="Times New Roman" w:cs="Times New Roman"/>
          <w:color w:val="231F20"/>
          <w:sz w:val="24"/>
          <w:szCs w:val="24"/>
          <w:lang w:eastAsia="lv-LV"/>
        </w:rPr>
      </w:pPr>
      <w:r w:rsidRPr="006E31BD">
        <w:rPr>
          <w:rFonts w:ascii="Times New Roman" w:eastAsia="Times New Roman" w:hAnsi="Times New Roman" w:cs="Times New Roman"/>
          <w:color w:val="231F20"/>
          <w:sz w:val="24"/>
          <w:szCs w:val="24"/>
          <w:lang w:eastAsia="lv-LV"/>
        </w:rPr>
        <w:lastRenderedPageBreak/>
        <w:t>ir novērots, ka, pārmērīgi cenšoties reģistrēt PPP ārpus valsts budžeta bilances, projekts var netikt sagatavots rūpīgi un var mazināties tā ieguldījumam atbilstošā vērtība, kā arī valsts iestādes var tikt mudinātas izmantot PPP gadījumos, kad tas nav atbilstoši;</w:t>
      </w:r>
    </w:p>
    <w:p w14:paraId="6D1F49B5" w14:textId="77777777" w:rsidR="00D43EDD" w:rsidRPr="006E31BD" w:rsidRDefault="00D43EDD" w:rsidP="00DC1556">
      <w:pPr>
        <w:pStyle w:val="Sarakstarindkopa"/>
        <w:numPr>
          <w:ilvl w:val="0"/>
          <w:numId w:val="5"/>
        </w:numPr>
        <w:spacing w:after="0" w:line="240" w:lineRule="auto"/>
        <w:ind w:left="709" w:hanging="283"/>
        <w:jc w:val="both"/>
        <w:rPr>
          <w:rFonts w:ascii="Times New Roman" w:eastAsia="Times New Roman" w:hAnsi="Times New Roman" w:cs="Times New Roman"/>
          <w:color w:val="231F20"/>
          <w:sz w:val="24"/>
          <w:szCs w:val="24"/>
          <w:lang w:eastAsia="lv-LV"/>
        </w:rPr>
      </w:pPr>
      <w:r w:rsidRPr="006E31BD">
        <w:rPr>
          <w:rFonts w:ascii="Times New Roman" w:eastAsia="Times New Roman" w:hAnsi="Times New Roman" w:cs="Times New Roman"/>
          <w:color w:val="231F20"/>
          <w:sz w:val="24"/>
          <w:szCs w:val="24"/>
          <w:lang w:eastAsia="lv-LV"/>
        </w:rPr>
        <w:t>PPP var radīt izmaksu pieejamības ilūziju (galvenokārt tāpēc, ka publiskā sektora maksājumi tiek atlikti un sadalīti ilgākā laikposmā), kas parasti ir izteiktāka, kad projekts tiek atzīts par esošu ārpus bilances. No PPP izrietošās finanšu saistības var kaitīgi ietekmēt attiecīgās valsts fiskālo stabilitāti un tāpēc ir pienācīgi jāpārvalda (piemēram, atzīstot valdības iespējamās finanšu saistības un PPP ieguldījumu apmēra ierobežojumus).</w:t>
      </w:r>
    </w:p>
    <w:p w14:paraId="1EBDA13B" w14:textId="77777777" w:rsidR="006E31BD" w:rsidRDefault="006E31BD" w:rsidP="00D43EDD">
      <w:pPr>
        <w:spacing w:after="0" w:line="240" w:lineRule="auto"/>
        <w:jc w:val="both"/>
        <w:rPr>
          <w:rFonts w:ascii="Times New Roman" w:eastAsia="Times New Roman" w:hAnsi="Times New Roman" w:cs="Times New Roman"/>
          <w:b/>
          <w:bCs/>
          <w:color w:val="005CAB"/>
          <w:sz w:val="24"/>
          <w:szCs w:val="24"/>
          <w:lang w:eastAsia="lv-LV"/>
        </w:rPr>
      </w:pPr>
    </w:p>
    <w:p w14:paraId="278CC284" w14:textId="50EC9284"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PPP statistiskās uzskaites novērtēšanas pamatprincipi</w:t>
      </w:r>
    </w:p>
    <w:p w14:paraId="5EB9334F" w14:textId="77777777" w:rsidR="006E31BD" w:rsidRDefault="006E31BD" w:rsidP="00D43EDD">
      <w:pPr>
        <w:spacing w:after="0" w:line="240" w:lineRule="auto"/>
        <w:jc w:val="both"/>
        <w:rPr>
          <w:rFonts w:ascii="Times New Roman" w:eastAsia="Times New Roman" w:hAnsi="Times New Roman" w:cs="Times New Roman"/>
          <w:color w:val="231F20"/>
          <w:sz w:val="24"/>
          <w:szCs w:val="24"/>
          <w:lang w:eastAsia="lv-LV"/>
        </w:rPr>
      </w:pPr>
    </w:p>
    <w:p w14:paraId="0200CB13" w14:textId="56CF024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Noteikumu mērķis ir PPP reģistrēšana aktīva ekonomiskā īpašnieka bilancē, jo šis īpašnieks ir puse, kas uzņemas visvairāk risku un ir tiesīgs saņemt lielāko daļu atlīdzības</w:t>
      </w:r>
      <w:r w:rsidR="005C785A">
        <w:rPr>
          <w:rStyle w:val="Vresatsauce"/>
          <w:rFonts w:ascii="Times New Roman" w:eastAsia="Times New Roman" w:hAnsi="Times New Roman" w:cs="Times New Roman"/>
          <w:color w:val="231F20"/>
          <w:sz w:val="24"/>
          <w:szCs w:val="24"/>
          <w:lang w:eastAsia="lv-LV"/>
        </w:rPr>
        <w:footnoteReference w:id="13"/>
      </w:r>
      <w:r w:rsidRPr="000761E9">
        <w:rPr>
          <w:rFonts w:ascii="Times New Roman" w:eastAsia="Times New Roman" w:hAnsi="Times New Roman" w:cs="Times New Roman"/>
          <w:color w:val="231F20"/>
          <w:sz w:val="24"/>
          <w:szCs w:val="24"/>
          <w:lang w:eastAsia="lv-LV"/>
        </w:rPr>
        <w:t>, kas saistīta ar konkrēto aktīvu.</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Ja risku un atlīdzības novērtējums nav galīgs, tad saskaņā ar Noteikumiem ir ieteicams novērtēt statistisko uzskaiti, uzmanību pievēršot tam, kura PPP līguma puse kontrolē aktīvu, jo īpaši tā specifikācijas un pakalpojumus, kuru sniegšanai tas tiks izmantots, un kura puse to kontrolēs pēc PPP līguma darbības termiņa beigām.</w:t>
      </w:r>
    </w:p>
    <w:p w14:paraId="46D31D94" w14:textId="2C228585" w:rsidR="006E31BD" w:rsidRDefault="006E31BD" w:rsidP="00D43EDD">
      <w:pPr>
        <w:spacing w:after="0" w:line="240" w:lineRule="auto"/>
        <w:jc w:val="both"/>
        <w:rPr>
          <w:rFonts w:ascii="Times New Roman" w:eastAsia="Times New Roman" w:hAnsi="Times New Roman" w:cs="Times New Roman"/>
          <w:color w:val="231F20"/>
          <w:sz w:val="24"/>
          <w:szCs w:val="24"/>
          <w:lang w:eastAsia="lv-LV"/>
        </w:rPr>
      </w:pPr>
    </w:p>
    <w:p w14:paraId="75824B68"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Rokasgrāmatas 3. un 4. nodaļā skaidrots, kā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praksē piemēro iepriekš minētos pamatprincipus.</w:t>
      </w:r>
    </w:p>
    <w:p w14:paraId="3E5654AE" w14:textId="77777777" w:rsidR="005C785A" w:rsidRDefault="005C785A" w:rsidP="00D43EDD">
      <w:pPr>
        <w:spacing w:after="0" w:line="240" w:lineRule="auto"/>
        <w:jc w:val="both"/>
        <w:rPr>
          <w:rFonts w:ascii="Times New Roman" w:eastAsia="Times New Roman" w:hAnsi="Times New Roman" w:cs="Times New Roman"/>
          <w:b/>
          <w:bCs/>
          <w:color w:val="005CAB"/>
          <w:sz w:val="24"/>
          <w:szCs w:val="24"/>
          <w:lang w:eastAsia="lv-LV"/>
        </w:rPr>
      </w:pPr>
    </w:p>
    <w:p w14:paraId="1A42319C" w14:textId="644ECE89"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PPP statistiskās uzskaites novērtēšanas laika izvēle</w:t>
      </w:r>
    </w:p>
    <w:p w14:paraId="1AB0DFF0" w14:textId="77777777" w:rsidR="005C785A" w:rsidRDefault="005C785A" w:rsidP="00D43EDD">
      <w:pPr>
        <w:spacing w:after="0" w:line="240" w:lineRule="auto"/>
        <w:jc w:val="both"/>
        <w:rPr>
          <w:rFonts w:ascii="Times New Roman" w:eastAsia="Times New Roman" w:hAnsi="Times New Roman" w:cs="Times New Roman"/>
          <w:color w:val="231F20"/>
          <w:sz w:val="24"/>
          <w:szCs w:val="24"/>
          <w:lang w:eastAsia="lv-LV"/>
        </w:rPr>
      </w:pPr>
    </w:p>
    <w:p w14:paraId="5F64C84A" w14:textId="10FB7B2B"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statistisko uzskaiti novērtē, pārbaudot, vai finanšu izpildes dienā PPP vienošanās atbilst tobrīd spēkā esošajiem Noteikumiem. Parasti šajā laikā izdarītā novērtējuma slēdziens būs spēkā, kamēr darbojas PPP līgums.</w:t>
      </w:r>
    </w:p>
    <w:p w14:paraId="225DE43B" w14:textId="77777777" w:rsidR="005C785A" w:rsidRDefault="005C785A" w:rsidP="00D43EDD">
      <w:pPr>
        <w:spacing w:after="0" w:line="240" w:lineRule="auto"/>
        <w:jc w:val="both"/>
        <w:rPr>
          <w:rFonts w:ascii="Times New Roman" w:eastAsia="Times New Roman" w:hAnsi="Times New Roman" w:cs="Times New Roman"/>
          <w:color w:val="231F20"/>
          <w:sz w:val="24"/>
          <w:szCs w:val="24"/>
          <w:lang w:eastAsia="lv-LV"/>
        </w:rPr>
      </w:pPr>
    </w:p>
    <w:p w14:paraId="0B73C722" w14:textId="2A65B18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Tomēr, ja tiek izdarītas izmaiņas PPP līgumā vai ja mainās kādas PPP līguma puses veids vai kontrole,</w:t>
      </w:r>
      <w:r w:rsidR="000D0E10">
        <w:rPr>
          <w:rStyle w:val="Vresatsauce"/>
          <w:rFonts w:ascii="Times New Roman" w:eastAsia="Times New Roman" w:hAnsi="Times New Roman" w:cs="Times New Roman"/>
          <w:color w:val="231F20"/>
          <w:sz w:val="24"/>
          <w:szCs w:val="24"/>
          <w:lang w:eastAsia="lv-LV"/>
        </w:rPr>
        <w:footnoteReference w:id="14"/>
      </w:r>
      <w:r w:rsidRPr="000761E9">
        <w:rPr>
          <w:rFonts w:ascii="Times New Roman" w:eastAsia="Times New Roman" w:hAnsi="Times New Roman" w:cs="Times New Roman"/>
          <w:b/>
          <w:bCs/>
          <w:color w:val="231F20"/>
          <w:sz w:val="24"/>
          <w:szCs w:val="24"/>
          <w:lang w:eastAsia="lv-LV"/>
        </w:rPr>
        <w:t> </w:t>
      </w:r>
      <w:r w:rsidRPr="000761E9">
        <w:rPr>
          <w:rFonts w:ascii="Times New Roman" w:eastAsia="Times New Roman" w:hAnsi="Times New Roman" w:cs="Times New Roman"/>
          <w:color w:val="231F20"/>
          <w:sz w:val="24"/>
          <w:szCs w:val="24"/>
          <w:lang w:eastAsia="lv-LV"/>
        </w:rPr>
        <w:t>ir jāapsver, vai šīs izmaiņas ietekmē sākotnējo slēdzienu par statistisko uzskaiti.</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Pašas izmaiņas novērtē saskaņā ar Noteikumu redakciju, kas ir spēkā izmaiņu izdarīšanas brīdī. Ja saskaņā ar Noteikumiem attiecīgās izmaiņas tieši maina riska un atlīdzības līdzsvaru (vai attiecīgās puses veidu vai kontroli) tā, ka tās maina arī statistisko uzskaiti, ir jāpārskata sākotnējā statistiskā uzskaite.</w:t>
      </w:r>
    </w:p>
    <w:p w14:paraId="0737A718" w14:textId="77777777" w:rsidR="005C785A" w:rsidRDefault="005C785A" w:rsidP="00D43EDD">
      <w:pPr>
        <w:spacing w:after="0" w:line="240" w:lineRule="auto"/>
        <w:jc w:val="both"/>
        <w:rPr>
          <w:rFonts w:ascii="Times New Roman" w:eastAsia="Times New Roman" w:hAnsi="Times New Roman" w:cs="Times New Roman"/>
          <w:color w:val="231F20"/>
          <w:sz w:val="24"/>
          <w:szCs w:val="24"/>
          <w:lang w:eastAsia="lv-LV"/>
        </w:rPr>
      </w:pPr>
    </w:p>
    <w:p w14:paraId="61F5B2CA" w14:textId="2404B99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Piemēram, PPP, kam ir pienākusi finanšu izpildes diena un kas ir reģistrēta ārpus valdības bilances 2013. gada aprīlī (kad piemēroja </w:t>
      </w:r>
      <w:r w:rsidRPr="000761E9">
        <w:rPr>
          <w:rFonts w:ascii="Times New Roman" w:eastAsia="Times New Roman" w:hAnsi="Times New Roman" w:cs="Times New Roman"/>
          <w:i/>
          <w:iCs/>
          <w:color w:val="231F20"/>
          <w:sz w:val="24"/>
          <w:szCs w:val="24"/>
          <w:lang w:eastAsia="lv-LV"/>
        </w:rPr>
        <w:t>MGDD</w:t>
      </w:r>
      <w:r w:rsidRPr="000761E9">
        <w:rPr>
          <w:rFonts w:ascii="Times New Roman" w:eastAsia="Times New Roman" w:hAnsi="Times New Roman" w:cs="Times New Roman"/>
          <w:color w:val="231F20"/>
          <w:sz w:val="24"/>
          <w:szCs w:val="24"/>
          <w:lang w:eastAsia="lv-LV"/>
        </w:rPr>
        <w:t xml:space="preserve"> 2013), tiek izmainīta 2016. gada aprīlī (kad piemēro </w:t>
      </w:r>
      <w:r w:rsidRPr="000761E9">
        <w:rPr>
          <w:rFonts w:ascii="Times New Roman" w:eastAsia="Times New Roman" w:hAnsi="Times New Roman" w:cs="Times New Roman"/>
          <w:i/>
          <w:iCs/>
          <w:color w:val="231F20"/>
          <w:sz w:val="24"/>
          <w:szCs w:val="24"/>
          <w:lang w:eastAsia="lv-LV"/>
        </w:rPr>
        <w:t>MGDD</w:t>
      </w:r>
      <w:r w:rsidRPr="000761E9">
        <w:rPr>
          <w:rFonts w:ascii="Times New Roman" w:eastAsia="Times New Roman" w:hAnsi="Times New Roman" w:cs="Times New Roman"/>
          <w:color w:val="231F20"/>
          <w:sz w:val="24"/>
          <w:szCs w:val="24"/>
          <w:lang w:eastAsia="lv-LV"/>
        </w:rPr>
        <w:t> 2016):</w:t>
      </w:r>
    </w:p>
    <w:p w14:paraId="645085CF"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7FB47E75" w14:textId="491698BB" w:rsidR="00D43EDD" w:rsidRPr="000D0E10" w:rsidRDefault="00D43EDD" w:rsidP="00DC1556">
      <w:pPr>
        <w:pStyle w:val="Sarakstarindkopa"/>
        <w:numPr>
          <w:ilvl w:val="0"/>
          <w:numId w:val="6"/>
        </w:numPr>
        <w:spacing w:after="0" w:line="240" w:lineRule="auto"/>
        <w:ind w:left="709" w:hanging="294"/>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ja sākotnējā PPP līgumā valdībai nav paredzētas tiesības refinansējot gūt peļņu un līgums tiek grozīts tā, lai valdībai pienāktos 60 % no refinansēšanas peļņas, ir jāizdara izmaiņas statistiskajā uzskaitē, lai PPP reģistrētu valdības bilancē.</w:t>
      </w:r>
      <w:r w:rsidRPr="000D0E10">
        <w:rPr>
          <w:rFonts w:ascii="Times New Roman" w:eastAsia="Times New Roman" w:hAnsi="Times New Roman" w:cs="Times New Roman"/>
          <w:sz w:val="24"/>
          <w:szCs w:val="24"/>
          <w:lang w:eastAsia="lv-LV"/>
        </w:rPr>
        <w:t> </w:t>
      </w:r>
      <w:r w:rsidRPr="000D0E10">
        <w:rPr>
          <w:rFonts w:ascii="Times New Roman" w:eastAsia="Times New Roman" w:hAnsi="Times New Roman" w:cs="Times New Roman"/>
          <w:color w:val="231F20"/>
          <w:sz w:val="24"/>
          <w:szCs w:val="24"/>
          <w:lang w:eastAsia="lv-LV"/>
        </w:rPr>
        <w:t>Tas ir jādara tāpēc, ka šie grozījumi ir nozīmīgi mainījuši arī valdības atlīdzības līdzsvaru;</w:t>
      </w:r>
      <w:r w:rsidR="000D0E10">
        <w:rPr>
          <w:rStyle w:val="Vresatsauce"/>
          <w:rFonts w:ascii="Times New Roman" w:eastAsia="Times New Roman" w:hAnsi="Times New Roman" w:cs="Times New Roman"/>
          <w:color w:val="231F20"/>
          <w:sz w:val="24"/>
          <w:szCs w:val="24"/>
          <w:lang w:eastAsia="lv-LV"/>
        </w:rPr>
        <w:footnoteReference w:id="15"/>
      </w:r>
    </w:p>
    <w:p w14:paraId="56B31567" w14:textId="1A1D8F36" w:rsidR="00D43EDD" w:rsidRPr="000D0E10" w:rsidRDefault="00D43EDD" w:rsidP="00DC1556">
      <w:pPr>
        <w:pStyle w:val="Sarakstarindkopa"/>
        <w:numPr>
          <w:ilvl w:val="0"/>
          <w:numId w:val="6"/>
        </w:numPr>
        <w:spacing w:after="0" w:line="240" w:lineRule="auto"/>
        <w:ind w:left="709" w:hanging="294"/>
        <w:jc w:val="both"/>
        <w:rPr>
          <w:rFonts w:ascii="Times New Roman" w:eastAsia="Times New Roman" w:hAnsi="Times New Roman" w:cs="Times New Roman"/>
          <w:sz w:val="24"/>
          <w:szCs w:val="24"/>
          <w:lang w:eastAsia="lv-LV"/>
        </w:rPr>
      </w:pPr>
      <w:r w:rsidRPr="000D0E10">
        <w:rPr>
          <w:rFonts w:ascii="Times New Roman" w:eastAsia="Times New Roman" w:hAnsi="Times New Roman" w:cs="Times New Roman"/>
          <w:color w:val="231F20"/>
          <w:sz w:val="24"/>
          <w:szCs w:val="24"/>
          <w:lang w:eastAsia="lv-LV"/>
        </w:rPr>
        <w:lastRenderedPageBreak/>
        <w:t>ja sākotnējā PPP līgumā ir iekļauta klauzula, saskaņā ar kuru valdībai ir tiesības uz 60 % no refinansējot gūtās peļņas, un šo līgumu groza tikai, lai ņemtu vērā aktīva fiziskās izmaiņas, PPP reģistrācija ārpus valdības bilances netiek mainīta. Iemesls tam ir tas, ka grozījums nav mainījis ne riska un atlīdzības līdzsvaru, ne pušu kontroles mehānismus;</w:t>
      </w:r>
      <w:r w:rsidR="000D0E10">
        <w:rPr>
          <w:rStyle w:val="Vresatsauce"/>
          <w:rFonts w:ascii="Times New Roman" w:eastAsia="Times New Roman" w:hAnsi="Times New Roman" w:cs="Times New Roman"/>
          <w:color w:val="231F20"/>
          <w:sz w:val="24"/>
          <w:szCs w:val="24"/>
          <w:lang w:eastAsia="lv-LV"/>
        </w:rPr>
        <w:footnoteReference w:id="16"/>
      </w:r>
    </w:p>
    <w:p w14:paraId="628BD605" w14:textId="137AFEC5" w:rsidR="00D43EDD" w:rsidRPr="000D0E10" w:rsidRDefault="00D43EDD" w:rsidP="00DC1556">
      <w:pPr>
        <w:pStyle w:val="Sarakstarindkopa"/>
        <w:numPr>
          <w:ilvl w:val="0"/>
          <w:numId w:val="6"/>
        </w:numPr>
        <w:spacing w:after="0" w:line="240" w:lineRule="auto"/>
        <w:ind w:left="709" w:hanging="294"/>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ja sākotnējā PPP līgumā ir iekļauta klauzula, saskaņā ar kuru valdībai ir tiesības uz 60 % no refinansējot gūtās peļņas, un šo līgumu groza tikai, lai samērīgi īsu laiku pēc aktīva nodošanas ekspluatācijā nepiemērotu maksājuma mehānismā paredzētos atskaitījumus, nav jāmaina PPP reģistrācija ārpus valdības bilances. Lai gan izmaiņas ietekmē riska un atlīdzības līdzsvaru, šī ietekme nav nozīmīga (kā paskaidrots 3. nodaļas 4.7.2. tematā).</w:t>
      </w:r>
      <w:r w:rsidR="000D0E10">
        <w:rPr>
          <w:rStyle w:val="Vresatsauce"/>
          <w:rFonts w:ascii="Times New Roman" w:eastAsia="Times New Roman" w:hAnsi="Times New Roman" w:cs="Times New Roman"/>
          <w:color w:val="231F20"/>
          <w:sz w:val="24"/>
          <w:szCs w:val="24"/>
          <w:lang w:eastAsia="lv-LV"/>
        </w:rPr>
        <w:footnoteReference w:id="17"/>
      </w:r>
    </w:p>
    <w:p w14:paraId="23F1EF6D" w14:textId="2A677871" w:rsidR="000D0E10" w:rsidRDefault="000D0E10">
      <w:pPr>
        <w:rPr>
          <w:rFonts w:ascii="Times New Roman" w:eastAsia="Times New Roman" w:hAnsi="Times New Roman" w:cs="Times New Roman"/>
          <w:color w:val="231F20"/>
          <w:sz w:val="20"/>
          <w:szCs w:val="20"/>
          <w:lang w:eastAsia="lv-LV"/>
        </w:rPr>
      </w:pPr>
      <w:r>
        <w:rPr>
          <w:rFonts w:ascii="Times New Roman" w:eastAsia="Times New Roman" w:hAnsi="Times New Roman" w:cs="Times New Roman"/>
          <w:color w:val="231F20"/>
          <w:sz w:val="20"/>
          <w:szCs w:val="20"/>
          <w:lang w:eastAsia="lv-LV"/>
        </w:rPr>
        <w:br w:type="page"/>
      </w:r>
    </w:p>
    <w:p w14:paraId="5E844E02" w14:textId="77777777" w:rsidR="000D0E10" w:rsidRDefault="000D0E10" w:rsidP="00D43EDD">
      <w:pPr>
        <w:spacing w:after="0" w:line="240" w:lineRule="auto"/>
        <w:jc w:val="both"/>
        <w:rPr>
          <w:rFonts w:ascii="Times New Roman" w:eastAsia="Times New Roman" w:hAnsi="Times New Roman" w:cs="Times New Roman"/>
          <w:b/>
          <w:bCs/>
          <w:color w:val="005CAB"/>
          <w:sz w:val="24"/>
          <w:szCs w:val="24"/>
          <w:lang w:eastAsia="lv-LV"/>
        </w:rPr>
      </w:pPr>
    </w:p>
    <w:p w14:paraId="0853712F" w14:textId="1F8A9E91" w:rsidR="00D43EDD" w:rsidRPr="00586FD8" w:rsidRDefault="00D43EDD" w:rsidP="00586FD8">
      <w:pPr>
        <w:pStyle w:val="Virsraksts1"/>
        <w:rPr>
          <w:rFonts w:eastAsia="Times New Roman"/>
          <w:b w:val="0"/>
          <w:color w:val="auto"/>
          <w:lang w:eastAsia="lv-LV"/>
        </w:rPr>
      </w:pPr>
      <w:bookmarkStart w:id="4" w:name="_Toc528941568"/>
      <w:r w:rsidRPr="000761E9">
        <w:rPr>
          <w:rFonts w:eastAsia="Times New Roman"/>
          <w:bCs/>
          <w:lang w:eastAsia="lv-LV"/>
        </w:rPr>
        <w:t xml:space="preserve">2. nodaļa. </w:t>
      </w:r>
      <w:r w:rsidRPr="00586FD8">
        <w:rPr>
          <w:rFonts w:eastAsia="Times New Roman"/>
          <w:b w:val="0"/>
          <w:color w:val="auto"/>
          <w:lang w:eastAsia="lv-LV"/>
        </w:rPr>
        <w:t>PPP elementi</w:t>
      </w:r>
      <w:bookmarkEnd w:id="4"/>
    </w:p>
    <w:p w14:paraId="114FC2A1" w14:textId="77777777" w:rsidR="000D0E10" w:rsidRDefault="000D0E10" w:rsidP="00D43EDD">
      <w:pPr>
        <w:spacing w:after="0" w:line="240" w:lineRule="auto"/>
        <w:jc w:val="both"/>
        <w:rPr>
          <w:rFonts w:ascii="Times New Roman" w:eastAsia="Times New Roman" w:hAnsi="Times New Roman" w:cs="Times New Roman"/>
          <w:b/>
          <w:bCs/>
          <w:color w:val="005CAB"/>
          <w:sz w:val="24"/>
          <w:szCs w:val="24"/>
          <w:lang w:eastAsia="lv-LV"/>
        </w:rPr>
      </w:pPr>
    </w:p>
    <w:p w14:paraId="55415190" w14:textId="38A0F124"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Pārskats</w:t>
      </w:r>
    </w:p>
    <w:p w14:paraId="2841DCF2"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2BC1B00C" w14:textId="01C5F60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Terminu “PPP” parasti lieto, lai aprakstītu ilgtermiņa vienošanos par kāda publiska aktīva un ar to saistīto pakalpojumu nodrošināšanu apmaiņā pret maksājumiem, kuru pamatā ir izpilde un kuri ir saistīti ar šā aktīva pieejamību un/vai saistīto pakalpojumu lietošanu un sniegšanu. Šajā nodaļā ir izskaidroti konkrēti projekta elementi, no kuriem ir atkarīgs, vai projekts atbilst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noteiktajai PPP definīcijai un tātad vai tiek piemēroti Noteikumi (un turpmākās Rokasgrāmatas nodaļas). Šie elementi ir šādi:</w:t>
      </w:r>
    </w:p>
    <w:p w14:paraId="227D04CD"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443C4926" w14:textId="312DE92B"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sz w:val="24"/>
          <w:szCs w:val="24"/>
          <w:lang w:eastAsia="lv-LV"/>
        </w:rPr>
      </w:pPr>
      <w:r w:rsidRPr="000D0E10">
        <w:rPr>
          <w:rFonts w:ascii="Times New Roman" w:eastAsia="Times New Roman" w:hAnsi="Times New Roman" w:cs="Times New Roman"/>
          <w:color w:val="231F20"/>
          <w:sz w:val="24"/>
          <w:szCs w:val="24"/>
          <w:lang w:eastAsia="lv-LV"/>
        </w:rPr>
        <w:t>tās valsts iestādes statistiskā sektora klasifikācija,</w:t>
      </w:r>
      <w:r w:rsidR="000D0E10">
        <w:rPr>
          <w:rStyle w:val="Vresatsauce"/>
          <w:rFonts w:ascii="Times New Roman" w:eastAsia="Times New Roman" w:hAnsi="Times New Roman" w:cs="Times New Roman"/>
          <w:color w:val="231F20"/>
          <w:sz w:val="24"/>
          <w:szCs w:val="24"/>
          <w:lang w:eastAsia="lv-LV"/>
        </w:rPr>
        <w:footnoteReference w:id="18"/>
      </w:r>
      <w:r w:rsidRPr="000D0E10">
        <w:rPr>
          <w:rFonts w:ascii="Times New Roman" w:eastAsia="Times New Roman" w:hAnsi="Times New Roman" w:cs="Times New Roman"/>
          <w:b/>
          <w:bCs/>
          <w:color w:val="231F20"/>
          <w:sz w:val="24"/>
          <w:szCs w:val="24"/>
          <w:lang w:eastAsia="lv-LV"/>
        </w:rPr>
        <w:t> </w:t>
      </w:r>
      <w:r w:rsidRPr="000D0E10">
        <w:rPr>
          <w:rFonts w:ascii="Times New Roman" w:eastAsia="Times New Roman" w:hAnsi="Times New Roman" w:cs="Times New Roman"/>
          <w:color w:val="231F20"/>
          <w:sz w:val="24"/>
          <w:szCs w:val="24"/>
          <w:lang w:eastAsia="lv-LV"/>
        </w:rPr>
        <w:t>kas slēdz PPP līgumu (“Iestāde”);</w:t>
      </w:r>
    </w:p>
    <w:p w14:paraId="59D71F60"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subjekta, kas slēdz PPP līgumu ar Iestādi (“Partneris”), statistiskā sektora klasifikācija;</w:t>
      </w:r>
    </w:p>
    <w:p w14:paraId="7D51CF0B"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Partnera ieņēmumu avots (t. i., atšķirība starp PPP un koncesijām);</w:t>
      </w:r>
    </w:p>
    <w:p w14:paraId="57CE8EA3"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tā aktīva veids, ko Partnerim jānodrošina saskaņā ar līgumu;</w:t>
      </w:r>
    </w:p>
    <w:p w14:paraId="61F09637"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to darbu veids (piemēram, jauni būvdarbi, renovācija, rekonstrukcija, modernizācija), kas Partnerim jāveic saskaņā ar līgumu;</w:t>
      </w:r>
    </w:p>
    <w:p w14:paraId="020E8906"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aktīva saimnieciskās izmantošanas laiks un līguma darbības termiņš;</w:t>
      </w:r>
    </w:p>
    <w:p w14:paraId="0585EBC0"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to pakalpojumu darbības joma, ko Partnerim jāsniedz saskaņā ar līgumu;</w:t>
      </w:r>
    </w:p>
    <w:p w14:paraId="29EC1652" w14:textId="77777777" w:rsidR="00D43EDD" w:rsidRPr="000D0E10" w:rsidRDefault="00D43EDD" w:rsidP="00DC1556">
      <w:pPr>
        <w:pStyle w:val="Sarakstarindkopa"/>
        <w:numPr>
          <w:ilvl w:val="0"/>
          <w:numId w:val="7"/>
        </w:numPr>
        <w:spacing w:after="0" w:line="240" w:lineRule="auto"/>
        <w:ind w:left="709" w:hanging="283"/>
        <w:jc w:val="both"/>
        <w:rPr>
          <w:rFonts w:ascii="Times New Roman" w:eastAsia="Times New Roman" w:hAnsi="Times New Roman" w:cs="Times New Roman"/>
          <w:color w:val="231F20"/>
          <w:sz w:val="24"/>
          <w:szCs w:val="24"/>
          <w:lang w:eastAsia="lv-LV"/>
        </w:rPr>
      </w:pPr>
      <w:r w:rsidRPr="000D0E10">
        <w:rPr>
          <w:rFonts w:ascii="Times New Roman" w:eastAsia="Times New Roman" w:hAnsi="Times New Roman" w:cs="Times New Roman"/>
          <w:color w:val="231F20"/>
          <w:sz w:val="24"/>
          <w:szCs w:val="24"/>
          <w:lang w:eastAsia="lv-LV"/>
        </w:rPr>
        <w:t>ieņēmumi, ko valdība saņēmusi no projekta.</w:t>
      </w:r>
    </w:p>
    <w:p w14:paraId="150FBCFB"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4F1F6EA4" w14:textId="08007832"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Kā jau minēts iepriekš, Noteikumu un Rokasgrāmatas darbības jomā neietilpst to projektu statistiskā uzskaite, kas neatbilst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definīcijai.</w:t>
      </w:r>
    </w:p>
    <w:p w14:paraId="5FF80B1E" w14:textId="77777777" w:rsidR="000D0E10" w:rsidRDefault="000D0E10" w:rsidP="00D43EDD">
      <w:pPr>
        <w:spacing w:after="0" w:line="240" w:lineRule="auto"/>
        <w:jc w:val="both"/>
        <w:rPr>
          <w:rFonts w:ascii="Times New Roman" w:eastAsia="Times New Roman" w:hAnsi="Times New Roman" w:cs="Times New Roman"/>
          <w:b/>
          <w:bCs/>
          <w:color w:val="005CAB"/>
          <w:sz w:val="24"/>
          <w:szCs w:val="24"/>
          <w:lang w:eastAsia="lv-LV"/>
        </w:rPr>
      </w:pPr>
    </w:p>
    <w:p w14:paraId="6EFCEC8E" w14:textId="17D1A01C"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Iestādes statistiskā sektora klasifikācija</w:t>
      </w:r>
    </w:p>
    <w:p w14:paraId="20CC54D7"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7BC15EC1" w14:textId="1688BFF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Saskaņā ar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definīciju statistikas vajadzībām Iestādei ir jābūt klasificētai vispārējās valdības sektorā (piemēram, centrālās valdības ministrija vai departaments, reģionālās vai vietējās pašvaldības iestāde).</w:t>
      </w:r>
      <w:r w:rsidR="000D0E10">
        <w:rPr>
          <w:rStyle w:val="Vresatsauce"/>
          <w:rFonts w:ascii="Times New Roman" w:eastAsia="Times New Roman" w:hAnsi="Times New Roman" w:cs="Times New Roman"/>
          <w:color w:val="231F20"/>
          <w:sz w:val="24"/>
          <w:szCs w:val="24"/>
          <w:lang w:eastAsia="lv-LV"/>
        </w:rPr>
        <w:footnoteReference w:id="19"/>
      </w:r>
    </w:p>
    <w:p w14:paraId="6BC598ED"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52911BA7" w14:textId="31D1219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statistikas vajadzībām Iestāde ir klasificēta ārpus vispārējās valdības sektora (piemēram, uzņēmums pieder valstij, bet statistiski to uzskata par tirgus ražotāju),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neuzskata, ka projekts ir PPP un Noteikumi netiek piemēroti.</w:t>
      </w:r>
      <w:r w:rsidR="000D0E10">
        <w:rPr>
          <w:rStyle w:val="Vresatsauce"/>
          <w:rFonts w:ascii="Times New Roman" w:eastAsia="Times New Roman" w:hAnsi="Times New Roman" w:cs="Times New Roman"/>
          <w:color w:val="231F20"/>
          <w:sz w:val="24"/>
          <w:szCs w:val="24"/>
          <w:lang w:eastAsia="lv-LV"/>
        </w:rPr>
        <w:footnoteReference w:id="20"/>
      </w:r>
    </w:p>
    <w:p w14:paraId="6C7724F1"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20636EA2"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Partnera statistiskā sektora klasifikācija</w:t>
      </w:r>
    </w:p>
    <w:p w14:paraId="0E3B8F4D"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621B9C70" w14:textId="229B416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Saskaņā ar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definīciju Partnerim statistikas vajadzībām ir jābūt klasificētam kā subjektam, kas neietilpst vispārējās valdības sektorā. Pārbaudes, ko veic, lai noteiktu, vai </w:t>
      </w:r>
      <w:r w:rsidRPr="000761E9">
        <w:rPr>
          <w:rFonts w:ascii="Times New Roman" w:eastAsia="Times New Roman" w:hAnsi="Times New Roman" w:cs="Times New Roman"/>
          <w:color w:val="231F20"/>
          <w:sz w:val="24"/>
          <w:szCs w:val="24"/>
          <w:lang w:eastAsia="lv-LV"/>
        </w:rPr>
        <w:lastRenderedPageBreak/>
        <w:t xml:space="preserve">subjekts ir klasificēts vispārējās valdības sektorā, ir atkarīgas no tā, vai šis subjekts ir vai nav </w:t>
      </w:r>
      <w:r w:rsidR="007B6FA9">
        <w:rPr>
          <w:rFonts w:ascii="Times New Roman" w:eastAsia="Times New Roman" w:hAnsi="Times New Roman" w:cs="Times New Roman"/>
          <w:color w:val="231F20"/>
          <w:sz w:val="24"/>
          <w:szCs w:val="24"/>
          <w:lang w:eastAsia="lv-LV"/>
        </w:rPr>
        <w:t>īpašam nolūkam dibināta s</w:t>
      </w:r>
      <w:r w:rsidRPr="000761E9">
        <w:rPr>
          <w:rFonts w:ascii="Times New Roman" w:eastAsia="Times New Roman" w:hAnsi="Times New Roman" w:cs="Times New Roman"/>
          <w:color w:val="231F20"/>
          <w:sz w:val="24"/>
          <w:szCs w:val="24"/>
          <w:lang w:eastAsia="lv-LV"/>
        </w:rPr>
        <w:t>abiedrība. Šīs pārbaudes ir aprakstītas turpmāk.</w:t>
      </w:r>
    </w:p>
    <w:p w14:paraId="6358F18D"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2ADB4AEC" w14:textId="43404D4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Lielākajā daļā PPP projektu Partneris ir </w:t>
      </w:r>
      <w:r w:rsidR="007B6FA9">
        <w:rPr>
          <w:rFonts w:ascii="Times New Roman" w:eastAsia="Times New Roman" w:hAnsi="Times New Roman" w:cs="Times New Roman"/>
          <w:color w:val="231F20"/>
          <w:sz w:val="24"/>
          <w:szCs w:val="24"/>
          <w:lang w:eastAsia="lv-LV"/>
        </w:rPr>
        <w:t xml:space="preserve">īpašam nolūkam dibināta </w:t>
      </w:r>
      <w:r w:rsidRPr="000761E9">
        <w:rPr>
          <w:rFonts w:ascii="Times New Roman" w:eastAsia="Times New Roman" w:hAnsi="Times New Roman" w:cs="Times New Roman"/>
          <w:color w:val="231F20"/>
          <w:sz w:val="24"/>
          <w:szCs w:val="24"/>
          <w:lang w:eastAsia="lv-LV"/>
        </w:rPr>
        <w:t xml:space="preserve">sabiedrība, kas radīta tikai, lai slēgtu PPP līgumu ar Iestādi. Tāpēc, lai noteiktu Partnera sektora klasifikāciju, parasti tiks veiktas tās pašas pārbaudes, kas attiecas uz </w:t>
      </w:r>
      <w:r w:rsidR="007B6FA9">
        <w:rPr>
          <w:rFonts w:ascii="Times New Roman" w:eastAsia="Times New Roman" w:hAnsi="Times New Roman" w:cs="Times New Roman"/>
          <w:color w:val="231F20"/>
          <w:sz w:val="24"/>
          <w:szCs w:val="24"/>
          <w:lang w:eastAsia="lv-LV"/>
        </w:rPr>
        <w:t xml:space="preserve">īpašam nolūkam dibinātām </w:t>
      </w:r>
      <w:r w:rsidRPr="000761E9">
        <w:rPr>
          <w:rFonts w:ascii="Times New Roman" w:eastAsia="Times New Roman" w:hAnsi="Times New Roman" w:cs="Times New Roman"/>
          <w:color w:val="231F20"/>
          <w:sz w:val="24"/>
          <w:szCs w:val="24"/>
          <w:lang w:eastAsia="lv-LV"/>
        </w:rPr>
        <w:t>sabiedrībām.</w:t>
      </w:r>
    </w:p>
    <w:p w14:paraId="7C06D87F"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6127E18B" w14:textId="1FBAB048"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 xml:space="preserve">Gadījumi, kad Partneris ir </w:t>
      </w:r>
      <w:r w:rsidR="007B6FA9">
        <w:rPr>
          <w:rFonts w:ascii="Times New Roman" w:eastAsia="Times New Roman" w:hAnsi="Times New Roman" w:cs="Times New Roman"/>
          <w:b/>
          <w:bCs/>
          <w:color w:val="888A8C"/>
          <w:sz w:val="24"/>
          <w:szCs w:val="24"/>
          <w:lang w:eastAsia="lv-LV"/>
        </w:rPr>
        <w:t xml:space="preserve">īpašam nolūkam dibināta </w:t>
      </w:r>
      <w:r w:rsidRPr="000761E9">
        <w:rPr>
          <w:rFonts w:ascii="Times New Roman" w:eastAsia="Times New Roman" w:hAnsi="Times New Roman" w:cs="Times New Roman"/>
          <w:b/>
          <w:bCs/>
          <w:color w:val="888A8C"/>
          <w:sz w:val="24"/>
          <w:szCs w:val="24"/>
          <w:lang w:eastAsia="lv-LV"/>
        </w:rPr>
        <w:t>sabiedrība</w:t>
      </w:r>
    </w:p>
    <w:p w14:paraId="4ED84EF0"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12DAE2C6" w14:textId="15741B7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w:t>
      </w:r>
      <w:r w:rsidR="007B6FA9">
        <w:rPr>
          <w:rFonts w:ascii="Times New Roman" w:eastAsia="Times New Roman" w:hAnsi="Times New Roman" w:cs="Times New Roman"/>
          <w:color w:val="231F20"/>
          <w:sz w:val="24"/>
          <w:szCs w:val="24"/>
          <w:lang w:eastAsia="lv-LV"/>
        </w:rPr>
        <w:t xml:space="preserve">īpašam nolūkam dibinātu </w:t>
      </w:r>
      <w:r w:rsidRPr="000761E9">
        <w:rPr>
          <w:rFonts w:ascii="Times New Roman" w:eastAsia="Times New Roman" w:hAnsi="Times New Roman" w:cs="Times New Roman"/>
          <w:color w:val="231F20"/>
          <w:sz w:val="24"/>
          <w:szCs w:val="24"/>
          <w:lang w:eastAsia="lv-LV"/>
        </w:rPr>
        <w:t>sabiedrību kontrolē privāti uzņēmumi,</w:t>
      </w:r>
      <w:r w:rsidR="000D0E10">
        <w:rPr>
          <w:rStyle w:val="Vresatsauce"/>
          <w:rFonts w:ascii="Times New Roman" w:eastAsia="Times New Roman" w:hAnsi="Times New Roman" w:cs="Times New Roman"/>
          <w:color w:val="231F20"/>
          <w:sz w:val="24"/>
          <w:szCs w:val="24"/>
          <w:lang w:eastAsia="lv-LV"/>
        </w:rPr>
        <w:footnoteReference w:id="21"/>
      </w:r>
      <w:r w:rsidRPr="000761E9">
        <w:rPr>
          <w:rFonts w:ascii="Times New Roman" w:eastAsia="Times New Roman" w:hAnsi="Times New Roman" w:cs="Times New Roman"/>
          <w:b/>
          <w:bCs/>
          <w:color w:val="231F20"/>
          <w:sz w:val="24"/>
          <w:szCs w:val="24"/>
          <w:lang w:eastAsia="lv-LV"/>
        </w:rPr>
        <w:t> </w:t>
      </w:r>
      <w:r w:rsidRPr="000761E9">
        <w:rPr>
          <w:rFonts w:ascii="Times New Roman" w:eastAsia="Times New Roman" w:hAnsi="Times New Roman" w:cs="Times New Roman"/>
          <w:color w:val="231F20"/>
          <w:sz w:val="24"/>
          <w:szCs w:val="24"/>
          <w:lang w:eastAsia="lv-LV"/>
        </w:rPr>
        <w:t>statistikas vajadzībām to klasificēs ārpus vispārējās valdības sektora.</w:t>
      </w:r>
      <w:r w:rsidR="000D0E10">
        <w:rPr>
          <w:rStyle w:val="Vresatsauce"/>
          <w:rFonts w:ascii="Times New Roman" w:eastAsia="Times New Roman" w:hAnsi="Times New Roman" w:cs="Times New Roman"/>
          <w:color w:val="231F20"/>
          <w:sz w:val="24"/>
          <w:szCs w:val="24"/>
          <w:lang w:eastAsia="lv-LV"/>
        </w:rPr>
        <w:footnoteReference w:id="22"/>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 xml:space="preserve">Pieņemot, ka projektam ir citi PPP elementi (kā definējis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kā skaidrots šajā nodaļā), projektu uzskatīs par PPP un tā statistisko uzskaiti novērtēs, izmantojot Noteikumus (sk. 3. un 4. nodaļu).</w:t>
      </w:r>
    </w:p>
    <w:p w14:paraId="10272651"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57775253" w14:textId="745B48C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Tomēr, ja </w:t>
      </w:r>
      <w:r w:rsidR="007B6FA9">
        <w:rPr>
          <w:rFonts w:ascii="Times New Roman" w:eastAsia="Times New Roman" w:hAnsi="Times New Roman" w:cs="Times New Roman"/>
          <w:color w:val="231F20"/>
          <w:sz w:val="24"/>
          <w:szCs w:val="24"/>
          <w:lang w:eastAsia="lv-LV"/>
        </w:rPr>
        <w:t xml:space="preserve">īpašam nolūkam dibinātu </w:t>
      </w:r>
      <w:r w:rsidRPr="000761E9">
        <w:rPr>
          <w:rFonts w:ascii="Times New Roman" w:eastAsia="Times New Roman" w:hAnsi="Times New Roman" w:cs="Times New Roman"/>
          <w:color w:val="231F20"/>
          <w:sz w:val="24"/>
          <w:szCs w:val="24"/>
          <w:lang w:eastAsia="lv-LV"/>
        </w:rPr>
        <w:t xml:space="preserve">sabiedrību kontrolē valsts, Partneris statistikas vajadzībām tiks klasificēts vispārējās valdības sektorā. Tāpēc projektu neuzskatīs par PPP (saskaņā ar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definīciju), un to reģistrēs valdības bilancē.</w:t>
      </w:r>
    </w:p>
    <w:p w14:paraId="45B38CCF"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26100D58" w14:textId="1700BCB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Statistikas klasifikācijas vajadzībām valdības kontroli pār </w:t>
      </w:r>
      <w:r w:rsidR="007B6FA9">
        <w:rPr>
          <w:rFonts w:ascii="Times New Roman" w:eastAsia="Times New Roman" w:hAnsi="Times New Roman" w:cs="Times New Roman"/>
          <w:color w:val="231F20"/>
          <w:sz w:val="24"/>
          <w:szCs w:val="24"/>
          <w:lang w:eastAsia="lv-LV"/>
        </w:rPr>
        <w:t xml:space="preserve">īpašam nolūkam dibinātu </w:t>
      </w:r>
      <w:r w:rsidRPr="000761E9">
        <w:rPr>
          <w:rFonts w:ascii="Times New Roman" w:eastAsia="Times New Roman" w:hAnsi="Times New Roman" w:cs="Times New Roman"/>
          <w:color w:val="231F20"/>
          <w:sz w:val="24"/>
          <w:szCs w:val="24"/>
          <w:lang w:eastAsia="lv-LV"/>
        </w:rPr>
        <w:t xml:space="preserve">sabiedrību var konstatēt vairākos veidos, tostarp, piemēram, izpētot īpašumtiesības, līgumiskās tiesības, finansēšanas noteikumus, tiesību aktus, regulējumu vai veto tiesības attiecībā uz svarīgiem </w:t>
      </w:r>
      <w:r w:rsidR="00482047">
        <w:rPr>
          <w:rFonts w:ascii="Times New Roman" w:eastAsia="Times New Roman" w:hAnsi="Times New Roman" w:cs="Times New Roman"/>
          <w:color w:val="231F20"/>
          <w:sz w:val="24"/>
          <w:szCs w:val="24"/>
          <w:lang w:eastAsia="lv-LV"/>
        </w:rPr>
        <w:t xml:space="preserve">īpašam nolūkam dibinātas </w:t>
      </w:r>
      <w:r w:rsidRPr="000761E9">
        <w:rPr>
          <w:rFonts w:ascii="Times New Roman" w:eastAsia="Times New Roman" w:hAnsi="Times New Roman" w:cs="Times New Roman"/>
          <w:color w:val="231F20"/>
          <w:sz w:val="24"/>
          <w:szCs w:val="24"/>
          <w:lang w:eastAsia="lv-LV"/>
        </w:rPr>
        <w:t>sabiedrības lēmumiem.</w:t>
      </w:r>
      <w:r w:rsidR="000D0E10">
        <w:rPr>
          <w:rStyle w:val="Vresatsauce"/>
          <w:rFonts w:ascii="Times New Roman" w:eastAsia="Times New Roman" w:hAnsi="Times New Roman" w:cs="Times New Roman"/>
          <w:color w:val="231F20"/>
          <w:sz w:val="24"/>
          <w:szCs w:val="24"/>
          <w:lang w:eastAsia="lv-LV"/>
        </w:rPr>
        <w:footnoteReference w:id="23"/>
      </w:r>
    </w:p>
    <w:p w14:paraId="38594CB9" w14:textId="77777777" w:rsidR="000D0E10" w:rsidRPr="000761E9"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48721C55" w14:textId="18B0E50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Bieži noteikšana, vai valdība kontrolē</w:t>
      </w:r>
      <w:r w:rsidR="000D0E10">
        <w:rPr>
          <w:rStyle w:val="Vresatsauce"/>
          <w:rFonts w:ascii="Times New Roman" w:eastAsia="Times New Roman" w:hAnsi="Times New Roman" w:cs="Times New Roman"/>
          <w:color w:val="231F20"/>
          <w:sz w:val="24"/>
          <w:szCs w:val="24"/>
          <w:lang w:eastAsia="lv-LV"/>
        </w:rPr>
        <w:footnoteReference w:id="24"/>
      </w:r>
      <w:r w:rsidRPr="000761E9">
        <w:rPr>
          <w:rFonts w:ascii="Times New Roman" w:eastAsia="Times New Roman" w:hAnsi="Times New Roman" w:cs="Times New Roman"/>
          <w:b/>
          <w:bCs/>
          <w:color w:val="231F20"/>
          <w:sz w:val="24"/>
          <w:szCs w:val="24"/>
          <w:lang w:eastAsia="lv-LV"/>
        </w:rPr>
        <w:t> </w:t>
      </w:r>
      <w:r w:rsidR="00482047">
        <w:rPr>
          <w:rFonts w:ascii="Times New Roman" w:eastAsia="Times New Roman" w:hAnsi="Times New Roman" w:cs="Times New Roman"/>
          <w:color w:val="231F20"/>
          <w:sz w:val="24"/>
          <w:szCs w:val="24"/>
          <w:lang w:eastAsia="lv-LV"/>
        </w:rPr>
        <w:t xml:space="preserve">īpašam nolūkam dibinātu </w:t>
      </w:r>
      <w:r w:rsidRPr="000761E9">
        <w:rPr>
          <w:rFonts w:ascii="Times New Roman" w:eastAsia="Times New Roman" w:hAnsi="Times New Roman" w:cs="Times New Roman"/>
          <w:color w:val="231F20"/>
          <w:sz w:val="24"/>
          <w:szCs w:val="24"/>
          <w:lang w:eastAsia="lv-LV"/>
        </w:rPr>
        <w:t>sabiedrību, ir atkarīga no tā, kādā pakāpē šī kontrole tiek īstenota, un ir svarīgi izvērtēt katra konkrētā gadījuma faktus un apstākļus.</w:t>
      </w:r>
      <w:r w:rsidR="0039498B">
        <w:rPr>
          <w:rStyle w:val="Vresatsauce"/>
          <w:rFonts w:ascii="Times New Roman" w:eastAsia="Times New Roman" w:hAnsi="Times New Roman" w:cs="Times New Roman"/>
          <w:color w:val="231F20"/>
          <w:sz w:val="24"/>
          <w:szCs w:val="24"/>
          <w:lang w:eastAsia="lv-LV"/>
        </w:rPr>
        <w:footnoteReference w:id="25"/>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Turpmāk tikai ilustratīvos nolūkos ir minēti daži valdības kontroles piemēri.</w:t>
      </w:r>
    </w:p>
    <w:p w14:paraId="4AA50190" w14:textId="77777777" w:rsidR="000D0E10" w:rsidRDefault="000D0E10" w:rsidP="00D43EDD">
      <w:pPr>
        <w:spacing w:after="0" w:line="240" w:lineRule="auto"/>
        <w:jc w:val="both"/>
        <w:rPr>
          <w:rFonts w:ascii="Times New Roman" w:eastAsia="Times New Roman" w:hAnsi="Times New Roman" w:cs="Times New Roman"/>
          <w:color w:val="231F20"/>
          <w:sz w:val="24"/>
          <w:szCs w:val="24"/>
          <w:lang w:eastAsia="lv-LV"/>
        </w:rPr>
      </w:pPr>
    </w:p>
    <w:p w14:paraId="08BE6447" w14:textId="6405AAAF" w:rsidR="00D43EDD" w:rsidRPr="0039498B" w:rsidRDefault="00D43EDD" w:rsidP="00DC1556">
      <w:pPr>
        <w:pStyle w:val="Sarakstarindkopa"/>
        <w:numPr>
          <w:ilvl w:val="0"/>
          <w:numId w:val="8"/>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Ja valdībai pieder 51 % no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sabiedrības īpašumtiesību daļām un balsstiesībām,</w:t>
      </w:r>
      <w:r w:rsidRPr="0039498B">
        <w:rPr>
          <w:rFonts w:ascii="Times New Roman" w:eastAsia="Times New Roman" w:hAnsi="Times New Roman" w:cs="Times New Roman"/>
          <w:color w:val="000000"/>
          <w:sz w:val="24"/>
          <w:szCs w:val="24"/>
          <w:lang w:eastAsia="lv-LV"/>
        </w:rPr>
        <w:t> </w:t>
      </w:r>
      <w:r w:rsidRPr="0039498B">
        <w:rPr>
          <w:rFonts w:ascii="Times New Roman" w:eastAsia="Times New Roman" w:hAnsi="Times New Roman" w:cs="Times New Roman"/>
          <w:color w:val="231F20"/>
          <w:sz w:val="24"/>
          <w:szCs w:val="24"/>
          <w:lang w:eastAsia="lv-LV"/>
        </w:rPr>
        <w:t xml:space="preserve">tad uzskata, ka valdība kontrolē šo </w:t>
      </w:r>
      <w:r w:rsidR="00482047">
        <w:rPr>
          <w:rFonts w:ascii="Times New Roman" w:eastAsia="Times New Roman" w:hAnsi="Times New Roman" w:cs="Times New Roman"/>
          <w:color w:val="231F20"/>
          <w:sz w:val="24"/>
          <w:szCs w:val="24"/>
          <w:lang w:eastAsia="lv-LV"/>
        </w:rPr>
        <w:t xml:space="preserve">īpašam nolūkam dibināto </w:t>
      </w:r>
      <w:r w:rsidRPr="0039498B">
        <w:rPr>
          <w:rFonts w:ascii="Times New Roman" w:eastAsia="Times New Roman" w:hAnsi="Times New Roman" w:cs="Times New Roman"/>
          <w:color w:val="231F20"/>
          <w:sz w:val="24"/>
          <w:szCs w:val="24"/>
          <w:lang w:eastAsia="lv-LV"/>
        </w:rPr>
        <w:t>sabiedrību, jo ir tās vairākuma akcionārs.</w:t>
      </w:r>
    </w:p>
    <w:p w14:paraId="5CFAC755" w14:textId="77777777" w:rsidR="0039498B" w:rsidRPr="000761E9" w:rsidRDefault="0039498B" w:rsidP="0039498B">
      <w:pPr>
        <w:spacing w:after="0" w:line="240" w:lineRule="auto"/>
        <w:ind w:left="709" w:hanging="283"/>
        <w:jc w:val="both"/>
        <w:rPr>
          <w:rFonts w:ascii="Times New Roman" w:eastAsia="Times New Roman" w:hAnsi="Times New Roman" w:cs="Times New Roman"/>
          <w:sz w:val="24"/>
          <w:szCs w:val="24"/>
          <w:lang w:eastAsia="lv-LV"/>
        </w:rPr>
      </w:pPr>
    </w:p>
    <w:p w14:paraId="7458F5E3" w14:textId="2F3F0E32" w:rsidR="00D43EDD" w:rsidRPr="0039498B" w:rsidRDefault="00D43EDD" w:rsidP="00DC1556">
      <w:pPr>
        <w:pStyle w:val="Sarakstarindkopa"/>
        <w:numPr>
          <w:ilvl w:val="0"/>
          <w:numId w:val="8"/>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Ja valdībai pieder 25 % no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 xml:space="preserve">sabiedrības īpašumtiesību daļām, kas tai dod veto tiesības attiecībā uz svarīgiem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 xml:space="preserve">sabiedrības lēmumiem (piemēram, saskaņā ar akcionāru līgumiem vai vispārējiem uzņēmējdarbības </w:t>
      </w:r>
      <w:r w:rsidRPr="0039498B">
        <w:rPr>
          <w:rFonts w:ascii="Times New Roman" w:eastAsia="Times New Roman" w:hAnsi="Times New Roman" w:cs="Times New Roman"/>
          <w:color w:val="231F20"/>
          <w:sz w:val="24"/>
          <w:szCs w:val="24"/>
          <w:lang w:eastAsia="lv-LV"/>
        </w:rPr>
        <w:lastRenderedPageBreak/>
        <w:t xml:space="preserve">tiesību aktiem), tad uzskata, ka uz šo tiesību pamata valdība kontrolē šo </w:t>
      </w:r>
      <w:r w:rsidR="00482047">
        <w:rPr>
          <w:rFonts w:ascii="Times New Roman" w:eastAsia="Times New Roman" w:hAnsi="Times New Roman" w:cs="Times New Roman"/>
          <w:color w:val="231F20"/>
          <w:sz w:val="24"/>
          <w:szCs w:val="24"/>
          <w:lang w:eastAsia="lv-LV"/>
        </w:rPr>
        <w:t xml:space="preserve">īpašam nolūkam dibināto </w:t>
      </w:r>
      <w:r w:rsidRPr="0039498B">
        <w:rPr>
          <w:rFonts w:ascii="Times New Roman" w:eastAsia="Times New Roman" w:hAnsi="Times New Roman" w:cs="Times New Roman"/>
          <w:color w:val="231F20"/>
          <w:sz w:val="24"/>
          <w:szCs w:val="24"/>
          <w:lang w:eastAsia="lv-LV"/>
        </w:rPr>
        <w:t xml:space="preserve">sabiedrību. Tā tas ir, pat ja veto tiesības ir vienlīdzīgas ar pārējo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sabiedrības īpašnieku veto tiesībām.</w:t>
      </w:r>
    </w:p>
    <w:p w14:paraId="62EFEED1"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87DB801" w14:textId="725A6C13" w:rsidR="00D43EDD" w:rsidRPr="0039498B" w:rsidRDefault="00D43EDD" w:rsidP="00DC1556">
      <w:pPr>
        <w:pStyle w:val="Sarakstarindkopa"/>
        <w:numPr>
          <w:ilvl w:val="0"/>
          <w:numId w:val="8"/>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Ja valdībai nepieder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 xml:space="preserve">sabiedrības īpašumtiesību daļas, bet tai ir veto tiesības attiecībā uz svarīgiem </w:t>
      </w:r>
      <w:r w:rsidR="00482047">
        <w:rPr>
          <w:rFonts w:ascii="Times New Roman" w:eastAsia="Times New Roman" w:hAnsi="Times New Roman" w:cs="Times New Roman"/>
          <w:color w:val="231F20"/>
          <w:sz w:val="24"/>
          <w:szCs w:val="24"/>
          <w:lang w:eastAsia="lv-LV"/>
        </w:rPr>
        <w:t xml:space="preserve">īpašam nolūkam dibinātās </w:t>
      </w:r>
      <w:r w:rsidRPr="0039498B">
        <w:rPr>
          <w:rFonts w:ascii="Times New Roman" w:eastAsia="Times New Roman" w:hAnsi="Times New Roman" w:cs="Times New Roman"/>
          <w:color w:val="231F20"/>
          <w:sz w:val="24"/>
          <w:szCs w:val="24"/>
          <w:lang w:eastAsia="lv-LV"/>
        </w:rPr>
        <w:t xml:space="preserve">sabiedrības lēmumiem, pamatojoties uz finansēšanas vai citu līgumu, tad uzskata, ka uz šo veto tiesību pamata valdība kontrolē šo </w:t>
      </w:r>
      <w:r w:rsidR="00482047">
        <w:rPr>
          <w:rFonts w:ascii="Times New Roman" w:eastAsia="Times New Roman" w:hAnsi="Times New Roman" w:cs="Times New Roman"/>
          <w:color w:val="231F20"/>
          <w:sz w:val="24"/>
          <w:szCs w:val="24"/>
          <w:lang w:eastAsia="lv-LV"/>
        </w:rPr>
        <w:t xml:space="preserve">īpašam nolūkam dibināto </w:t>
      </w:r>
      <w:r w:rsidRPr="0039498B">
        <w:rPr>
          <w:rFonts w:ascii="Times New Roman" w:eastAsia="Times New Roman" w:hAnsi="Times New Roman" w:cs="Times New Roman"/>
          <w:color w:val="231F20"/>
          <w:sz w:val="24"/>
          <w:szCs w:val="24"/>
          <w:lang w:eastAsia="lv-LV"/>
        </w:rPr>
        <w:t>sabiedrību.</w:t>
      </w:r>
    </w:p>
    <w:p w14:paraId="74069C45"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132AADC" w14:textId="22B0B5B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Visos iepriekš minētajos piemēros </w:t>
      </w:r>
      <w:r w:rsidR="00482047">
        <w:rPr>
          <w:rFonts w:ascii="Times New Roman" w:eastAsia="Times New Roman" w:hAnsi="Times New Roman" w:cs="Times New Roman"/>
          <w:color w:val="231F20"/>
          <w:sz w:val="24"/>
          <w:szCs w:val="24"/>
          <w:lang w:eastAsia="lv-LV"/>
        </w:rPr>
        <w:t xml:space="preserve">īpašam nolūkam dibināto </w:t>
      </w:r>
      <w:r w:rsidRPr="000761E9">
        <w:rPr>
          <w:rFonts w:ascii="Times New Roman" w:eastAsia="Times New Roman" w:hAnsi="Times New Roman" w:cs="Times New Roman"/>
          <w:color w:val="231F20"/>
          <w:sz w:val="24"/>
          <w:szCs w:val="24"/>
          <w:lang w:eastAsia="lv-LV"/>
        </w:rPr>
        <w:t>sabiedrību klasificē vispārējās valdības sektorā, un projektu reģistrēs valdības bilancē.</w:t>
      </w:r>
    </w:p>
    <w:p w14:paraId="48E118F7"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B7993D2" w14:textId="6D9DB61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Ir svarīgi uzsvērt, ka, apskatot jautājumu par to, vai valdība kontrolē </w:t>
      </w:r>
      <w:r w:rsidR="00895EAA">
        <w:rPr>
          <w:rFonts w:ascii="Times New Roman" w:eastAsia="Times New Roman" w:hAnsi="Times New Roman" w:cs="Times New Roman"/>
          <w:color w:val="231F20"/>
          <w:sz w:val="24"/>
          <w:szCs w:val="24"/>
          <w:lang w:eastAsia="lv-LV"/>
        </w:rPr>
        <w:t xml:space="preserve">īpašam nolūkam dibinātu </w:t>
      </w:r>
      <w:r w:rsidRPr="000761E9">
        <w:rPr>
          <w:rFonts w:ascii="Times New Roman" w:eastAsia="Times New Roman" w:hAnsi="Times New Roman" w:cs="Times New Roman"/>
          <w:color w:val="231F20"/>
          <w:sz w:val="24"/>
          <w:szCs w:val="24"/>
          <w:lang w:eastAsia="lv-LV"/>
        </w:rPr>
        <w:t xml:space="preserve">sabiedrību, jebkādas attiecības starp šo </w:t>
      </w:r>
      <w:r w:rsidR="00895EAA">
        <w:rPr>
          <w:rFonts w:ascii="Times New Roman" w:eastAsia="Times New Roman" w:hAnsi="Times New Roman" w:cs="Times New Roman"/>
          <w:color w:val="231F20"/>
          <w:sz w:val="24"/>
          <w:szCs w:val="24"/>
          <w:lang w:eastAsia="lv-LV"/>
        </w:rPr>
        <w:t xml:space="preserve">īpašam nolūkam dibināto </w:t>
      </w:r>
      <w:r w:rsidRPr="000761E9">
        <w:rPr>
          <w:rFonts w:ascii="Times New Roman" w:eastAsia="Times New Roman" w:hAnsi="Times New Roman" w:cs="Times New Roman"/>
          <w:color w:val="231F20"/>
          <w:sz w:val="24"/>
          <w:szCs w:val="24"/>
          <w:lang w:eastAsia="lv-LV"/>
        </w:rPr>
        <w:t xml:space="preserve">sabiedrību un jebkuru valsts iestādi, kas ir klasificēta ārpus vispārējās valdības sektora,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uzskatīs par attiecībām starp šo </w:t>
      </w:r>
      <w:r w:rsidR="00895EAA">
        <w:rPr>
          <w:rFonts w:ascii="Times New Roman" w:eastAsia="Times New Roman" w:hAnsi="Times New Roman" w:cs="Times New Roman"/>
          <w:color w:val="231F20"/>
          <w:sz w:val="24"/>
          <w:szCs w:val="24"/>
          <w:lang w:eastAsia="lv-LV"/>
        </w:rPr>
        <w:t xml:space="preserve">īpašam nolūkam dibināto </w:t>
      </w:r>
      <w:r w:rsidRPr="000761E9">
        <w:rPr>
          <w:rFonts w:ascii="Times New Roman" w:eastAsia="Times New Roman" w:hAnsi="Times New Roman" w:cs="Times New Roman"/>
          <w:color w:val="231F20"/>
          <w:sz w:val="24"/>
          <w:szCs w:val="24"/>
          <w:lang w:eastAsia="lv-LV"/>
        </w:rPr>
        <w:t xml:space="preserve">sabiedrību un valdību, ja attiecīgā valsts iestāde rīkojas, pamatojoties uz tiešiem vai netiešiem valdības norādījumiem par konkrēto projektu. Piemēram, ja valdība ir sniegusi norādījumus kādai valsts bankai (kaut arī tā ir klasificēta ārpus vispārējās valdības sektora) iegādāties pašu kapitāla daļas </w:t>
      </w:r>
      <w:r w:rsidR="00895EAA">
        <w:rPr>
          <w:rFonts w:ascii="Times New Roman" w:eastAsia="Times New Roman" w:hAnsi="Times New Roman" w:cs="Times New Roman"/>
          <w:color w:val="231F20"/>
          <w:sz w:val="24"/>
          <w:szCs w:val="24"/>
          <w:lang w:eastAsia="lv-LV"/>
        </w:rPr>
        <w:t xml:space="preserve">īpašam nolūkam dibinātajā </w:t>
      </w:r>
      <w:r w:rsidRPr="000761E9">
        <w:rPr>
          <w:rFonts w:ascii="Times New Roman" w:eastAsia="Times New Roman" w:hAnsi="Times New Roman" w:cs="Times New Roman"/>
          <w:color w:val="231F20"/>
          <w:sz w:val="24"/>
          <w:szCs w:val="24"/>
          <w:lang w:eastAsia="lv-LV"/>
        </w:rPr>
        <w:t xml:space="preserve">sabiedrībā, tad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uzskata, ka šīs pašu kapitāla daļas ir valdības turējumā. Tādēļ jebkuras šīm pašu kapitāla daļām piesaistītas tiesības tiks uzskatītas par valdības turējumā esošām tiesībām un tiks ņemtas vērā, novērtējot, vai valdība kontrolē attiecīgo </w:t>
      </w:r>
      <w:r w:rsidR="00895EAA">
        <w:rPr>
          <w:rFonts w:ascii="Times New Roman" w:eastAsia="Times New Roman" w:hAnsi="Times New Roman" w:cs="Times New Roman"/>
          <w:color w:val="231F20"/>
          <w:sz w:val="24"/>
          <w:szCs w:val="24"/>
          <w:lang w:eastAsia="lv-LV"/>
        </w:rPr>
        <w:t xml:space="preserve">īpašam nolūkam dibināto </w:t>
      </w:r>
      <w:r w:rsidRPr="000761E9">
        <w:rPr>
          <w:rFonts w:ascii="Times New Roman" w:eastAsia="Times New Roman" w:hAnsi="Times New Roman" w:cs="Times New Roman"/>
          <w:color w:val="231F20"/>
          <w:sz w:val="24"/>
          <w:szCs w:val="24"/>
          <w:lang w:eastAsia="lv-LV"/>
        </w:rPr>
        <w:t>sabiedrību.</w:t>
      </w:r>
    </w:p>
    <w:p w14:paraId="30570CAC"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3A2C700" w14:textId="10C44FD2" w:rsidR="00D43EDD" w:rsidRPr="000761E9" w:rsidRDefault="00D43EDD" w:rsidP="00D43EDD">
      <w:pPr>
        <w:spacing w:after="0" w:line="240" w:lineRule="auto"/>
        <w:jc w:val="both"/>
        <w:rPr>
          <w:rFonts w:ascii="Times New Roman" w:eastAsia="Times New Roman" w:hAnsi="Times New Roman" w:cs="Times New Roman"/>
          <w:b/>
          <w:bCs/>
          <w:color w:val="6D6E71"/>
          <w:sz w:val="24"/>
          <w:szCs w:val="24"/>
          <w:lang w:eastAsia="lv-LV"/>
        </w:rPr>
      </w:pPr>
      <w:r w:rsidRPr="000761E9">
        <w:rPr>
          <w:rFonts w:ascii="Times New Roman" w:eastAsia="Times New Roman" w:hAnsi="Times New Roman" w:cs="Times New Roman"/>
          <w:b/>
          <w:bCs/>
          <w:color w:val="6D6E71"/>
          <w:sz w:val="24"/>
          <w:szCs w:val="24"/>
          <w:lang w:eastAsia="lv-LV"/>
        </w:rPr>
        <w:t xml:space="preserve">Gadījumi, kad Partneris nav </w:t>
      </w:r>
      <w:r w:rsidR="00895EAA">
        <w:rPr>
          <w:rFonts w:ascii="Times New Roman" w:eastAsia="Times New Roman" w:hAnsi="Times New Roman" w:cs="Times New Roman"/>
          <w:b/>
          <w:bCs/>
          <w:color w:val="6D6E71"/>
          <w:sz w:val="24"/>
          <w:szCs w:val="24"/>
          <w:lang w:eastAsia="lv-LV"/>
        </w:rPr>
        <w:t xml:space="preserve">īpašam nolūkam dibināta </w:t>
      </w:r>
      <w:r w:rsidRPr="000761E9">
        <w:rPr>
          <w:rFonts w:ascii="Times New Roman" w:eastAsia="Times New Roman" w:hAnsi="Times New Roman" w:cs="Times New Roman"/>
          <w:b/>
          <w:bCs/>
          <w:color w:val="6D6E71"/>
          <w:sz w:val="24"/>
          <w:szCs w:val="24"/>
          <w:lang w:eastAsia="lv-LV"/>
        </w:rPr>
        <w:t>sabiedrība</w:t>
      </w:r>
    </w:p>
    <w:p w14:paraId="5E7DA030"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645EF1C" w14:textId="2D91977B"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Neparastā gadījumā, kad Partneris nav </w:t>
      </w:r>
      <w:r w:rsidR="00895EAA">
        <w:rPr>
          <w:rFonts w:ascii="Times New Roman" w:eastAsia="Times New Roman" w:hAnsi="Times New Roman" w:cs="Times New Roman"/>
          <w:color w:val="231F20"/>
          <w:sz w:val="24"/>
          <w:szCs w:val="24"/>
          <w:lang w:eastAsia="lv-LV"/>
        </w:rPr>
        <w:t xml:space="preserve">īpašam nolūkam dibināta </w:t>
      </w:r>
      <w:r w:rsidRPr="000761E9">
        <w:rPr>
          <w:rFonts w:ascii="Times New Roman" w:eastAsia="Times New Roman" w:hAnsi="Times New Roman" w:cs="Times New Roman"/>
          <w:color w:val="231F20"/>
          <w:sz w:val="24"/>
          <w:szCs w:val="24"/>
          <w:lang w:eastAsia="lv-LV"/>
        </w:rPr>
        <w:t>sabiedrība, Partnera sektora klasifikāciju novērtē mazliet citādi.</w:t>
      </w:r>
    </w:p>
    <w:p w14:paraId="3C28846E"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3D5F0A0" w14:textId="112ECB7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Pirmajā posmā nosaka, vai Partneri kontrolē valdība (izmantojot tās pašas iepriekš aprakstītās pārbaudes, kuras piemēro </w:t>
      </w:r>
      <w:r w:rsidR="00895EAA">
        <w:rPr>
          <w:rFonts w:ascii="Times New Roman" w:eastAsia="Times New Roman" w:hAnsi="Times New Roman" w:cs="Times New Roman"/>
          <w:color w:val="231F20"/>
          <w:sz w:val="24"/>
          <w:szCs w:val="24"/>
          <w:lang w:eastAsia="lv-LV"/>
        </w:rPr>
        <w:t xml:space="preserve">īpašam nolūkam dibinātām </w:t>
      </w:r>
      <w:r w:rsidRPr="000761E9">
        <w:rPr>
          <w:rFonts w:ascii="Times New Roman" w:eastAsia="Times New Roman" w:hAnsi="Times New Roman" w:cs="Times New Roman"/>
          <w:color w:val="231F20"/>
          <w:sz w:val="24"/>
          <w:szCs w:val="24"/>
          <w:lang w:eastAsia="lv-LV"/>
        </w:rPr>
        <w:t>sabiedrībām).</w:t>
      </w:r>
    </w:p>
    <w:p w14:paraId="6ECC6521"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96BEEA8" w14:textId="796D3D0F"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valdība nekontrolē Partneri, to klasificē ārpus vispārējās valdības sektora. Pieņemot, ka projektam ir citi PPP elementi (kā definējis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kā skaidrots šajā nodaļā), projektu uzskatīs par PPP, un tā statistisko uzskaiti novērtēs, izmantojot Noteikumus (sk. 3. un 4. nodaļu).</w:t>
      </w:r>
    </w:p>
    <w:p w14:paraId="56419235"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813521C" w14:textId="39D0F36D"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Partneri kontrolē valdība, tad ir vēl viens posms, proti, tiek noteikts, vai statistiski Partneris ir tirgus ražotājs. Noteikšana ietver gan kvalitatīvu, gan kvantitatīvu novērtējumu:</w:t>
      </w:r>
      <w:r w:rsidR="0039498B">
        <w:rPr>
          <w:rStyle w:val="Vresatsauce"/>
          <w:rFonts w:ascii="Times New Roman" w:eastAsia="Times New Roman" w:hAnsi="Times New Roman" w:cs="Times New Roman"/>
          <w:color w:val="231F20"/>
          <w:sz w:val="24"/>
          <w:szCs w:val="24"/>
          <w:lang w:eastAsia="lv-LV"/>
        </w:rPr>
        <w:footnoteReference w:id="26"/>
      </w:r>
    </w:p>
    <w:p w14:paraId="736580A9"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2AA9DF9" w14:textId="4E7B8336" w:rsidR="00D43EDD" w:rsidRPr="0039498B" w:rsidRDefault="00D43EDD" w:rsidP="00DC1556">
      <w:pPr>
        <w:pStyle w:val="Sarakstarindkopa"/>
        <w:numPr>
          <w:ilvl w:val="0"/>
          <w:numId w:val="9"/>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ja, pamatojoties uz kvalitatīvo un kvantitatīvo novērtējumu, uzskata, ka Partneris ir tirgus ražotājs, to klasificēs ārpus vispārējās valdības sektora. Pieņemot, ka projektam ir citi PPP elementi, kā definējis </w:t>
      </w: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un kā skaidrots šajā nodaļā, projektu uzskatīs par PPP un tā statistisko uzskaiti novērtēs saskaņā ar Noteikumiem (sk. 3. un 4. nodaļu). Šāda situācija var rasties, ja Iestāde slēdz PPP līgumu, piemēram, ar dzelzceļa infrastruktūras pārvaldīšanas uzņēmumu, kas ir valstij piederošs uzņēmums un ir uzskatāms par tirgus ražotāju;</w:t>
      </w:r>
    </w:p>
    <w:p w14:paraId="4E354A3F" w14:textId="77777777" w:rsidR="00D43EDD" w:rsidRPr="0039498B" w:rsidRDefault="00D43EDD" w:rsidP="00DC1556">
      <w:pPr>
        <w:pStyle w:val="Sarakstarindkopa"/>
        <w:numPr>
          <w:ilvl w:val="0"/>
          <w:numId w:val="9"/>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ja, pamatojoties uz kvalitatīvo un kvantitatīvo novērtējumu, uzskata, ka Partneris nav tirgus ražotājs, to klasificēs vispārējās valdības sektorā. Tādā gadījumā projekts nebūs PPP (saskaņā ar </w:t>
      </w: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definīciju) un to reģistrēs valdības bilancē.</w:t>
      </w:r>
    </w:p>
    <w:p w14:paraId="31FB0D42" w14:textId="77777777" w:rsidR="0039498B" w:rsidRDefault="0039498B" w:rsidP="00D43EDD">
      <w:pPr>
        <w:spacing w:after="0" w:line="240" w:lineRule="auto"/>
        <w:jc w:val="both"/>
        <w:rPr>
          <w:rFonts w:ascii="Times New Roman" w:eastAsia="Times New Roman" w:hAnsi="Times New Roman" w:cs="Times New Roman"/>
          <w:b/>
          <w:bCs/>
          <w:color w:val="005CAB"/>
          <w:sz w:val="24"/>
          <w:szCs w:val="24"/>
          <w:lang w:eastAsia="lv-LV"/>
        </w:rPr>
      </w:pPr>
    </w:p>
    <w:p w14:paraId="3A1AC630" w14:textId="1805CFA1"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PPP vai koncesija</w:t>
      </w:r>
    </w:p>
    <w:p w14:paraId="194BA3D5"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59A0879" w14:textId="05D8D6A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Atbilstoši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noteiktajai PPP definīcijai lielāko daļu ieņēmumu, ko Partneris ir tiesīgs gūt saskaņā ar līgumu, tas gūst tieši no valdības iestādes. Tas nav atkarīgs no tā, vai tā ir valdības iestāde, kas rada pieprasījumu pēc aktīva vai to lieto (piemēram, slimnīcai, pamatojoties uz pieejamību, maksājumus veic valdības iestāde), vai lietotāji (piemēram, autoceļš, par kuru, pamatojoties uz pieprasījuma (ēnu ceļa nodeva), maksājumus veic valdības iestāde).</w:t>
      </w:r>
    </w:p>
    <w:p w14:paraId="6AB0A2CE"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E42E2F3" w14:textId="1562B1A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Partneris lielāko ieņēmumu daļu gūst tieši no aktīva lietotājiem,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projektu uzskatīs par koncesiju, un statistisko uzskaiti vērtēs saskaņā ar citiem noteikumiem (kas neietilpst šīs rokasgrāmatas darbības jomā).</w:t>
      </w:r>
    </w:p>
    <w:p w14:paraId="0644F31D"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74548F2" w14:textId="1E2F448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Ir svarīgi uzsvērt, ka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noteiktās PPP un koncesijas definīcijas attiecas tikai uz statistikas vajadzībām un var atšķirties no dalībvalstu lietotajām vai tirgū pieņemtajām definīcijām. Statistikas vajadzībām nosakot, vai līgums ir PPP vai koncesija, nav svarīgi, vai iepirkums ir veikts, līgums ir slēgts noteiktā veidā vai saskaņā ar noteiktiem valsts iekšējiem tiesību aktiem (piemēram, publisko iepirkumu tiesību aktiem vai koncesiju tiesību aktiem). Kā minēts ievadā, ja tas būs lietderīgi un vajadzīgi,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un </w:t>
      </w:r>
      <w:r w:rsidRPr="000761E9">
        <w:rPr>
          <w:rFonts w:ascii="Times New Roman" w:eastAsia="Times New Roman" w:hAnsi="Times New Roman" w:cs="Times New Roman"/>
          <w:i/>
          <w:iCs/>
          <w:color w:val="231F20"/>
          <w:sz w:val="24"/>
          <w:szCs w:val="24"/>
          <w:lang w:eastAsia="lv-LV"/>
        </w:rPr>
        <w:t>EPEC</w:t>
      </w:r>
      <w:r w:rsidRPr="000761E9">
        <w:rPr>
          <w:rFonts w:ascii="Times New Roman" w:eastAsia="Times New Roman" w:hAnsi="Times New Roman" w:cs="Times New Roman"/>
          <w:color w:val="231F20"/>
          <w:sz w:val="24"/>
          <w:szCs w:val="24"/>
          <w:lang w:eastAsia="lv-LV"/>
        </w:rPr>
        <w:t xml:space="preserve"> apsvērs</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turpmāka kopīga darba veikšanu, lai sagatavotu vadlīnijas (līdzīgas šai rokasgrāmatai) par koncesiju statistisko uzskaiti.</w:t>
      </w:r>
    </w:p>
    <w:p w14:paraId="1665A4B9" w14:textId="77777777" w:rsidR="0039498B" w:rsidRPr="000761E9" w:rsidRDefault="0039498B" w:rsidP="00D43EDD">
      <w:pPr>
        <w:spacing w:after="0" w:line="240" w:lineRule="auto"/>
        <w:jc w:val="both"/>
        <w:rPr>
          <w:rFonts w:ascii="Times New Roman" w:eastAsia="Times New Roman" w:hAnsi="Times New Roman" w:cs="Times New Roman"/>
          <w:sz w:val="24"/>
          <w:szCs w:val="24"/>
          <w:lang w:eastAsia="lv-LV"/>
        </w:rPr>
      </w:pPr>
    </w:p>
    <w:p w14:paraId="557A5149"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Aktīva veids</w:t>
      </w:r>
    </w:p>
    <w:p w14:paraId="78E4BB86"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714093A" w14:textId="4BD4758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Noteikumi paredz, ka PPP ietvaros tiek ieguldīts skaidri identificējamā un īpaši projektētā aktīvā. Acīmredzamos piemēros ietilpst ēkas un tādas konstrukcijas kā autoceļi, tilti un dzelzceļa/tramvaja/metro sliežu ceļi.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definīcijā ietvertas arī situācijas, kad PPP aktīvs ir saistīts ar citu infrastruktūru un dažiem citiem neierastākiem projektiem,</w:t>
      </w:r>
      <w:r w:rsidR="0039498B">
        <w:rPr>
          <w:rStyle w:val="Vresatsauce"/>
          <w:rFonts w:ascii="Times New Roman" w:eastAsia="Times New Roman" w:hAnsi="Times New Roman" w:cs="Times New Roman"/>
          <w:color w:val="231F20"/>
          <w:sz w:val="24"/>
          <w:szCs w:val="24"/>
          <w:lang w:eastAsia="lv-LV"/>
        </w:rPr>
        <w:footnoteReference w:id="27"/>
      </w:r>
      <w:r w:rsidRPr="000761E9">
        <w:rPr>
          <w:rFonts w:ascii="Times New Roman" w:eastAsia="Times New Roman" w:hAnsi="Times New Roman" w:cs="Times New Roman"/>
          <w:b/>
          <w:bCs/>
          <w:color w:val="231F20"/>
          <w:sz w:val="24"/>
          <w:szCs w:val="24"/>
          <w:lang w:eastAsia="lv-LV"/>
        </w:rPr>
        <w:t> </w:t>
      </w:r>
      <w:r w:rsidRPr="000761E9">
        <w:rPr>
          <w:rFonts w:ascii="Times New Roman" w:eastAsia="Times New Roman" w:hAnsi="Times New Roman" w:cs="Times New Roman"/>
          <w:color w:val="231F20"/>
          <w:sz w:val="24"/>
          <w:szCs w:val="24"/>
          <w:lang w:eastAsia="lv-LV"/>
        </w:rPr>
        <w:t>tostarp, piemēram:</w:t>
      </w:r>
    </w:p>
    <w:p w14:paraId="2A1391FE" w14:textId="77777777" w:rsidR="0039498B" w:rsidRPr="000761E9" w:rsidRDefault="0039498B" w:rsidP="00D43EDD">
      <w:pPr>
        <w:spacing w:after="0" w:line="240" w:lineRule="auto"/>
        <w:jc w:val="both"/>
        <w:rPr>
          <w:rFonts w:ascii="Times New Roman" w:eastAsia="Times New Roman" w:hAnsi="Times New Roman" w:cs="Times New Roman"/>
          <w:sz w:val="24"/>
          <w:szCs w:val="24"/>
          <w:lang w:eastAsia="lv-LV"/>
        </w:rPr>
      </w:pPr>
    </w:p>
    <w:p w14:paraId="59DF9A73"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autoceļu vai sliežu tīkla paplašināšanu;</w:t>
      </w:r>
    </w:p>
    <w:p w14:paraId="7954F457"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jaunu metro vai tramvaja līniju esošā metro/tramvaja sistēmā;</w:t>
      </w:r>
    </w:p>
    <w:p w14:paraId="587E3391"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sliežu ceļu caur tuneli, par kuru valdība ir noslēgusi atsevišķu standarta valsts būvdarbu līgumu;</w:t>
      </w:r>
    </w:p>
    <w:p w14:paraId="4D6AFCDB"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sliežu ceļu, kas tiks būvēts uz infrastruktūras (piemēram, tilta), par kuru veikts standarta iepirkums;</w:t>
      </w:r>
    </w:p>
    <w:p w14:paraId="0C5D4781"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slūžas un dambjus;</w:t>
      </w:r>
    </w:p>
    <w:p w14:paraId="439176E6"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platjoslas tīklus un informācijas tehnoloģijas sistēmas;</w:t>
      </w:r>
    </w:p>
    <w:p w14:paraId="79FFA5E2" w14:textId="77777777" w:rsidR="00D43EDD" w:rsidRPr="0039498B" w:rsidRDefault="00D43EDD" w:rsidP="00DC1556">
      <w:pPr>
        <w:pStyle w:val="Sarakstarindkopa"/>
        <w:numPr>
          <w:ilvl w:val="0"/>
          <w:numId w:val="1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transportlīdzekļu aprīkojumu (piemēram, ritošās daļas).</w:t>
      </w:r>
    </w:p>
    <w:p w14:paraId="41295188" w14:textId="77777777" w:rsidR="0039498B" w:rsidRDefault="0039498B" w:rsidP="00D43EDD">
      <w:pPr>
        <w:spacing w:after="0" w:line="240" w:lineRule="auto"/>
        <w:jc w:val="both"/>
        <w:rPr>
          <w:rFonts w:ascii="Times New Roman" w:eastAsia="Times New Roman" w:hAnsi="Times New Roman" w:cs="Times New Roman"/>
          <w:i/>
          <w:iCs/>
          <w:color w:val="231F20"/>
          <w:sz w:val="24"/>
          <w:szCs w:val="24"/>
          <w:lang w:eastAsia="lv-LV"/>
        </w:rPr>
      </w:pPr>
    </w:p>
    <w:p w14:paraId="0DD120CC" w14:textId="6929A33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definīcijā tiek pieņemts, ka, būvējot jaunu aktīvu, atjaunojot vai rekonstruējot jau esošu aktīvu, Partnerim rodas ievērojami kapitālizdevumi. Lai gan Noteikumos ir minēti ievērojami kapitālizdevumi,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definīcijā kapitālizdevumiem nav noteicis nekādu minimālo robežvērtību. Tomēr turpmāk ir skaidrotas konkrētas prasības, kas attiecas uz kapitālizdevumu apmēru projektos, kuri ietver aktīvu rekonstrukciju, atjaunošanu vai modernizāciju.</w:t>
      </w:r>
    </w:p>
    <w:p w14:paraId="7D67B338"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6ABBD7C"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lastRenderedPageBreak/>
        <w:t>Esošu aktīvu rekonstrukcija, atjaunošana vai modernizācija</w:t>
      </w:r>
    </w:p>
    <w:p w14:paraId="69D7C28D"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2A8A936" w14:textId="154F897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Projektus, kuros tiek rekonstruēts, atjaunots vai modernizēts kāds jau esošs aktīvs, uzskata par PPP, ja saskaņā ar līgumu Partnera kapitālizdevumu apmērs atbilst</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vismaz 50 % no šā aktīva vērtības pēc darbu pabeigšanas.</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Aktīva vērtību pēc darbu pabeigšanas var aprēķināt, saskaitot:</w:t>
      </w:r>
    </w:p>
    <w:p w14:paraId="2758954F"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AC3B0F3" w14:textId="77777777" w:rsidR="00D43EDD" w:rsidRPr="0039498B" w:rsidRDefault="00D43EDD" w:rsidP="00DC1556">
      <w:pPr>
        <w:pStyle w:val="Sarakstarindkopa"/>
        <w:numPr>
          <w:ilvl w:val="0"/>
          <w:numId w:val="11"/>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kapitālizdevumus, kas radušies esošā aktīva būvniecības laikā (izsakot pašreizējās cenās un atņemot amortizācijas atskaitījumus);</w:t>
      </w:r>
    </w:p>
    <w:p w14:paraId="597BCADF" w14:textId="77777777" w:rsidR="00D43EDD" w:rsidRPr="0039498B" w:rsidRDefault="00D43EDD" w:rsidP="00DC1556">
      <w:pPr>
        <w:pStyle w:val="Sarakstarindkopa"/>
        <w:numPr>
          <w:ilvl w:val="0"/>
          <w:numId w:val="11"/>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visus kapitālizdevumus, kas saistīti ar esošo aktīvu un ir radušies līdz šim brīdim (izsakot pašreizējās cenās un atņemot amortizācijas atskaitījumus);</w:t>
      </w:r>
    </w:p>
    <w:p w14:paraId="35032F65" w14:textId="77777777" w:rsidR="00D43EDD" w:rsidRPr="0039498B" w:rsidRDefault="00D43EDD" w:rsidP="00DC1556">
      <w:pPr>
        <w:pStyle w:val="Sarakstarindkopa"/>
        <w:numPr>
          <w:ilvl w:val="0"/>
          <w:numId w:val="11"/>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visus kapitālizdevumus, kas Partnerim radīsies saskaņā ar līgumu (par rekonstrukciju, renovāciju, modernizāciju vai jebkādiem jauniem komponentiem) līdz darbu pabeigšanai.</w:t>
      </w:r>
    </w:p>
    <w:p w14:paraId="7F6A2B5E"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476B6A2" w14:textId="33312521"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Partnera kapitālizdevumi nesasniedz 50 % robežvērtību, projektu neuzskata par PPP un to reģistrēs valdības bilancē.</w:t>
      </w:r>
    </w:p>
    <w:p w14:paraId="11743C11" w14:textId="77777777" w:rsidR="0039498B" w:rsidRDefault="0039498B" w:rsidP="00D43EDD">
      <w:pPr>
        <w:spacing w:after="0" w:line="240" w:lineRule="auto"/>
        <w:jc w:val="both"/>
        <w:rPr>
          <w:rFonts w:ascii="Times New Roman" w:eastAsia="Times New Roman" w:hAnsi="Times New Roman" w:cs="Times New Roman"/>
          <w:b/>
          <w:bCs/>
          <w:color w:val="005CAB"/>
          <w:sz w:val="24"/>
          <w:szCs w:val="24"/>
          <w:lang w:eastAsia="lv-LV"/>
        </w:rPr>
      </w:pPr>
    </w:p>
    <w:p w14:paraId="0875AF4E" w14:textId="0C64C8B3"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Aktīva saimnieciskās izmantošanas laiks / PPP līguma darbības termiņš</w:t>
      </w:r>
    </w:p>
    <w:p w14:paraId="3629D5F7"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B86C1E3" w14:textId="7E02292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Noteikumos PPP tiek dēvētas par ilgtermiņa līgumiem. Praksē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iespējams, apšaubīs, vai līgumu, kura kopējais darbības termiņš ir mazāks par 10 gadiem, statistikas vajadzībām jāuzskata par PPP. Tas rūpīgi apsvērs, vai šāda līguma būtība nebūs atbilstošāka parastiem valsts izdevumiem, nevis elementiem, kas tiek gaidīti no PPP.</w:t>
      </w:r>
    </w:p>
    <w:p w14:paraId="33F11DB3"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7FBF568" w14:textId="440D2AC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No vienas puses,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PPP definīcija paredz, ka aktīva saimnieciskās izmantošanas laikam ir jābūt ilgākam par līguma darbības termiņu. Projekts, kurā pēc līguma darbības termiņa beigām sākotnējais aktīvs ir pilnībā jānomaina (piemēram, 20 gadu līgums par informācijas tehnoloģijas iekārtām, kuras mainīs ik pēc pieciem gadiem), parasti netiks uzskatīts par PPP, un tā statistiskās uzskaites novērtēšanai piemēros citus noteikumus.</w:t>
      </w:r>
    </w:p>
    <w:p w14:paraId="482EEA76"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E966D3B" w14:textId="4AE5865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No otras puses,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sagaida, ka PPP līguma darbības termiņš aptvers ievērojamu aktīva saimnieciskās izmantošanas laika daļu. Tas nozīmē, ka parasti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gaidīs, ka periods, kurā Partneris uztur vai uztur/ekspluatē aktīvu (darbības fāze), ietver vismaz vienu ciklu, kurā veic aktīva kapitālu apkopi vai nozīmīgu komponentu maiņu (piemēram, autoceļu virsmas vai ēkas apkures katli). Uz šā pamata līgumu, kura darbības fāze ir desmit gadi vai vairāk un kurš attiecas uz aktīvu ar vairāk nekā desmit gadu saimnieciskās izmantošanas laiku,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parasti (lielākajā daļā izmitināšanas, autoceļu vai dzelzceļa projektu) uzskatīs par PPP.</w:t>
      </w:r>
    </w:p>
    <w:p w14:paraId="62605AED"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E690166" w14:textId="258D185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Ir vērts uzsvērt, ka projektos, kurus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uzskata par PPP, attiecība starp PPP līguma darbības termiņu un aktīva saimnieciskās izmantošanas laiku ietekmēs statistisko uzskaiti tikai tādā gadījumā, ja risku un atlīdzības novērtējums nav galīgs (sk. 4. nodaļu).</w:t>
      </w:r>
    </w:p>
    <w:p w14:paraId="30EB2D60"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3E4E56B"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Partnera sniedzamo pakalpojumu darbības joma</w:t>
      </w:r>
    </w:p>
    <w:p w14:paraId="1A952200"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620319A" w14:textId="66461AF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Lai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uzskatītu projektu par PPP, Partnerim vismaz ir jābūt pienākumam uzturēt aktīvu līguma darbības termiņā, lai to darītu pieejamu Iestādei vai citiem galalietotājiem.</w:t>
      </w:r>
    </w:p>
    <w:p w14:paraId="2A853BB7"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947C2D6" w14:textId="5450A7F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Projekti, kuros Partnerim nav jāveic aktīva uzturēšana vai ekspluatācija vai arī kuros šī uzturēšana vai ekspluatācija ir nenozīmīga, katrā atsevišķā gadījumā ir rūpīgi jāizvērtē, jo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parasti uzskatītu, ka šādi projekti ir atbilstošāki parastiem valsts izdevumiem.</w:t>
      </w:r>
    </w:p>
    <w:p w14:paraId="3549337B"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87484F5" w14:textId="5448D3B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Ir pakalpojumi, kurus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uzskata par sekundāriem aktīva uzturēšanā, un tas, ka to sniegšana ietilpst vai neietilpst līgumā noteiktajos Partnera pienākumos, neietekmē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viedokli par to, vai attiecīgais projekts ir PPP.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par sekundāriem uzskata, piemēram, šādus pakalpojumus:</w:t>
      </w:r>
    </w:p>
    <w:p w14:paraId="08EF121D"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7AFE6FE" w14:textId="77777777" w:rsidR="00D43EDD" w:rsidRPr="0039498B" w:rsidRDefault="00D43EDD" w:rsidP="00DC1556">
      <w:pPr>
        <w:pStyle w:val="Sarakstarindkopa"/>
        <w:numPr>
          <w:ilvl w:val="0"/>
          <w:numId w:val="12"/>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izmitināšanas projektos – ēdināšana, tīrīšana, šveicaru pakalpojumi, apsardze, ainavu veidošana, dekorēšana, atkritumu apsaimniekošana, veļas mazgāšana, kaitēkļu apkarošana, autostāvvietu apsaimniekošana un pakalpojumi, kas saistīti ar galveno aktīva lietojumu (piemēram, administratīvie, informācijas tehnoloģiju un sakaru pakalpojumi, izglītības pakalpojumi skolās un augstākajās mācību iestādēs, klīniskie pakalpojumi slimnīcās vai uzraudzības pakalpojumi brīvības atņemšanas iestādēs);</w:t>
      </w:r>
    </w:p>
    <w:p w14:paraId="7D356B42" w14:textId="77777777" w:rsidR="00D43EDD" w:rsidRPr="0039498B" w:rsidRDefault="00D43EDD" w:rsidP="00DC1556">
      <w:pPr>
        <w:pStyle w:val="Sarakstarindkopa"/>
        <w:numPr>
          <w:ilvl w:val="0"/>
          <w:numId w:val="12"/>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autoceļu projektos – reaģēšana ārkārtas situāciju / tehnisku atteiču gadījumā, satiksmes regulēšana, norāžu izvietošana, apgaismojuma apsaimniekošana, ainavu veidošana, satiksmes uzraudzība un pārvaldība, satiksmes negadījumu uzraudzība un pārvaldība, laika apstākļu novērošana un attīrīšana no sniega;</w:t>
      </w:r>
    </w:p>
    <w:p w14:paraId="6C746A26" w14:textId="77777777" w:rsidR="00D43EDD" w:rsidRPr="0039498B" w:rsidRDefault="00D43EDD" w:rsidP="00DC1556">
      <w:pPr>
        <w:pStyle w:val="Sarakstarindkopa"/>
        <w:numPr>
          <w:ilvl w:val="0"/>
          <w:numId w:val="12"/>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citos transporta infrastruktūras projektos (piemēram, dzelzceļa vai tramvaju infrastruktūras projektos) – pārvadājumu pakalpojumu sniegšanas pārvaldība, tostarp pakalpojumu (braucienu biežumu un laiku) plānošana, satiksmes negadījumu uzraudzība un pārvaldība, apsardze un pārraudzība, kā arī soda kvīšu izrakstīšana.</w:t>
      </w:r>
    </w:p>
    <w:p w14:paraId="69DD8492" w14:textId="77777777" w:rsidR="0039498B" w:rsidRDefault="0039498B" w:rsidP="00D43EDD">
      <w:pPr>
        <w:spacing w:after="0" w:line="240" w:lineRule="auto"/>
        <w:jc w:val="both"/>
        <w:rPr>
          <w:rFonts w:ascii="Times New Roman" w:eastAsia="Times New Roman" w:hAnsi="Times New Roman" w:cs="Times New Roman"/>
          <w:b/>
          <w:bCs/>
          <w:color w:val="005CAB"/>
          <w:sz w:val="24"/>
          <w:szCs w:val="24"/>
          <w:lang w:eastAsia="lv-LV"/>
        </w:rPr>
      </w:pPr>
    </w:p>
    <w:p w14:paraId="62EAD0B7" w14:textId="569694F6"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Ieņēmumi, ko valdība saņēmusi no projekta</w:t>
      </w:r>
    </w:p>
    <w:p w14:paraId="29CF9947" w14:textId="77777777" w:rsidR="0039498B" w:rsidRDefault="0039498B" w:rsidP="00D43EDD">
      <w:pPr>
        <w:spacing w:after="0" w:line="240" w:lineRule="auto"/>
        <w:jc w:val="both"/>
        <w:rPr>
          <w:rFonts w:ascii="Times New Roman" w:eastAsia="Times New Roman" w:hAnsi="Times New Roman" w:cs="Times New Roman"/>
          <w:i/>
          <w:iCs/>
          <w:color w:val="231F20"/>
          <w:sz w:val="24"/>
          <w:szCs w:val="24"/>
          <w:lang w:eastAsia="lv-LV"/>
        </w:rPr>
      </w:pPr>
    </w:p>
    <w:p w14:paraId="2D13CB09" w14:textId="1A94FEC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neuzskata, ka projekts ir PPP, ja prognozētie ieņēmumi, ko finanšu izpildes dienā Iestāde (un/vai valdība kopumā) gūs no aktīva lietotājiem,</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pārsniegs 50 % no to maksājumu kopsummas, ko Iestāde prognozējusi samaksāt Partnerim līguma darbības laikā.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 xml:space="preserve">Šādā gadījumā projekts jāreģistrē valdības bilancē. Turpretī, ja prognozētie Iestādes (un/vai valdības) ieņēmumi nesasniedz 50 % robežvērtību,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projektu uzskata par PPP.</w:t>
      </w:r>
      <w:r w:rsidR="0039498B">
        <w:rPr>
          <w:rStyle w:val="Vresatsauce"/>
          <w:rFonts w:ascii="Times New Roman" w:eastAsia="Times New Roman" w:hAnsi="Times New Roman" w:cs="Times New Roman"/>
          <w:color w:val="231F20"/>
          <w:sz w:val="24"/>
          <w:szCs w:val="24"/>
          <w:lang w:eastAsia="lv-LV"/>
        </w:rPr>
        <w:footnoteReference w:id="28"/>
      </w:r>
      <w:r w:rsidRPr="000761E9">
        <w:rPr>
          <w:rFonts w:ascii="Times New Roman" w:eastAsia="Times New Roman" w:hAnsi="Times New Roman" w:cs="Times New Roman"/>
          <w:color w:val="231F20"/>
          <w:sz w:val="24"/>
          <w:szCs w:val="24"/>
          <w:lang w:eastAsia="lv-LV"/>
        </w:rPr>
        <w:t> Piemērojot šo 50 % pārbaudi, ir jāapzinās trīs turpmāk minētās lietas.</w:t>
      </w:r>
    </w:p>
    <w:p w14:paraId="20805FCF"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2E425F6" w14:textId="77E846D6" w:rsidR="0039498B" w:rsidRPr="0039498B" w:rsidRDefault="00D43EDD" w:rsidP="00DC1556">
      <w:pPr>
        <w:pStyle w:val="Sarakstarindkopa"/>
        <w:numPr>
          <w:ilvl w:val="0"/>
          <w:numId w:val="13"/>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Jāsalīdzina prognozēto ieņēmumu un prognozēto maksājumu neto pašreizējā vērtībā (finanšu izpildes dienā). Prognozētajiem ieņēmumiem ir jāatbilst visprecīzākajiem novērtējumiem, kādus Iestāde var veikt finanšu izpildes dienā.</w:t>
      </w:r>
    </w:p>
    <w:p w14:paraId="26AC499F" w14:textId="6D1FAAB0" w:rsidR="00D43EDD" w:rsidRPr="0039498B" w:rsidRDefault="00D43EDD" w:rsidP="00DC1556">
      <w:pPr>
        <w:pStyle w:val="Sarakstarindkopa"/>
        <w:numPr>
          <w:ilvl w:val="0"/>
          <w:numId w:val="13"/>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Ja PPP aktīvs veidos daļu no plašāka tīkla (piemēram, PPP projekts tramvaju līnijas vai metro sistēmas līnijas būvniecībai un uzturēšanai), praksē ieņēmumi, ko Iestāde (un/vai valdība kopumā) gūs no PPP aktīva lietotājiem, var nebūt viegli nodalāmi no ieņēmumiem, ko tā gūst no pārējā tīkla lietotājiem. Piemēram, lietotājiem var būt iespējams nopirkt biļeti vienam braucienam jebkurā tīkla daļā un var nebūt iespējams izsekot, kurā tīkla daļā konkrētā biļete tiek izmantota. Šādos gadījumos ir jāveic novērtējums, lai attiecinātu prognozētos ieņēmumus uz PPP aktīvu un lai piemērotu 50 % pārbaudi. Piemēram, ja pašlaik gada ieņēmumi no tīkla ir 100 miljoni EUR un ir prognozēts, ka pēc PPP aktīva pabeigšanas tie palielināsies līdz 120 miljoniem EUR, tad uz šo PPP aktīvu attiecināmajiem ieņēmumiem jābūt 20 miljoniem EUR.</w:t>
      </w:r>
    </w:p>
    <w:p w14:paraId="6D9183A9" w14:textId="77777777" w:rsidR="00D43EDD" w:rsidRPr="0039498B" w:rsidRDefault="00D43EDD" w:rsidP="00DC1556">
      <w:pPr>
        <w:pStyle w:val="Sarakstarindkopa"/>
        <w:numPr>
          <w:ilvl w:val="0"/>
          <w:numId w:val="13"/>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50 % pārbaudi piemēro tai ieņēmumu daļai, kuru Iestāde (un/vai valdība kopumā) ir prognozējusi gūt no PPP aktīva, nevis tai peļņas daļai, kuru šī Iestāde (un/vai valdība kopumā) ir prognozējusi radīt no šiem ieņēmumiem.</w:t>
      </w:r>
    </w:p>
    <w:p w14:paraId="0548C27E"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D7AD80F" w14:textId="6BD051A0" w:rsidR="0039498B" w:rsidRDefault="00D43EDD" w:rsidP="0039498B">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Ir svarīgi norādīt, ka, ja PPP līguma darbības laikā mainās prognozēto ieņēmumu summa, ko Iestāde (un/vai valdība) plānojusi gūt no attiecīgā aktīva lietotājiem PPP līguma darbības laikā, ir jāapsver, vai šīs prognozēto ieņēmumu izmaiņas ietekmē sākotnējo slēdzienu par statistisko uzskaiti (sk. piezīmes 1. nodaļā par statistiskās uzskaites novērtēšanas laiku). Tas ir jādara, pat ja prognozēto ieņēmumu izmaiņu iemesls nav formālas izmaiņas PPP līgumā.</w:t>
      </w:r>
      <w:r w:rsidR="0039498B">
        <w:rPr>
          <w:rFonts w:ascii="Times New Roman" w:eastAsia="Times New Roman" w:hAnsi="Times New Roman" w:cs="Times New Roman"/>
          <w:color w:val="231F20"/>
          <w:sz w:val="24"/>
          <w:szCs w:val="24"/>
          <w:lang w:eastAsia="lv-LV"/>
        </w:rPr>
        <w:br w:type="page"/>
      </w:r>
    </w:p>
    <w:p w14:paraId="1B833E79"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3C3F4DDD" w14:textId="77777777" w:rsidR="00D43EDD" w:rsidRPr="000761E9" w:rsidRDefault="00D43EDD" w:rsidP="00586FD8">
      <w:pPr>
        <w:pStyle w:val="Virsraksts1"/>
        <w:rPr>
          <w:rFonts w:eastAsia="Times New Roman"/>
          <w:lang w:eastAsia="lv-LV"/>
        </w:rPr>
      </w:pPr>
      <w:bookmarkStart w:id="5" w:name="_Toc528941569"/>
      <w:r w:rsidRPr="000761E9">
        <w:rPr>
          <w:rFonts w:eastAsia="Times New Roman"/>
          <w:lang w:eastAsia="lv-LV"/>
        </w:rPr>
        <w:t xml:space="preserve">3. nodaļa. </w:t>
      </w:r>
      <w:r w:rsidRPr="00586FD8">
        <w:rPr>
          <w:rFonts w:eastAsia="Times New Roman"/>
          <w:b w:val="0"/>
          <w:color w:val="231F20"/>
          <w:lang w:eastAsia="lv-LV"/>
        </w:rPr>
        <w:t>PPP līgums</w:t>
      </w:r>
      <w:bookmarkEnd w:id="5"/>
    </w:p>
    <w:p w14:paraId="105FEBD4" w14:textId="77777777" w:rsidR="0039498B" w:rsidRDefault="0039498B" w:rsidP="00D43EDD">
      <w:pPr>
        <w:spacing w:after="0" w:line="240" w:lineRule="auto"/>
        <w:jc w:val="both"/>
        <w:rPr>
          <w:rFonts w:ascii="Times New Roman" w:eastAsia="Times New Roman" w:hAnsi="Times New Roman" w:cs="Times New Roman"/>
          <w:b/>
          <w:bCs/>
          <w:color w:val="005CAB"/>
          <w:sz w:val="24"/>
          <w:szCs w:val="24"/>
          <w:lang w:eastAsia="lv-LV"/>
        </w:rPr>
      </w:pPr>
    </w:p>
    <w:p w14:paraId="46ABD221" w14:textId="5E12C016"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Pārskats</w:t>
      </w:r>
    </w:p>
    <w:p w14:paraId="16BA595E"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A2472C7" w14:textId="4AE6E3B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Dažādās dalībvalstīs, sektoros un projektos ļoti atšķiras PPP darījumos izmantotās komercstruktūras un līgumu noteikumi, kā arī to dokumentēšanas pieejas un stili.</w:t>
      </w:r>
    </w:p>
    <w:p w14:paraId="437AF21D"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5983072" w14:textId="060330FC"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color w:val="231F20"/>
          <w:sz w:val="24"/>
          <w:szCs w:val="24"/>
          <w:lang w:eastAsia="lv-LV"/>
        </w:rPr>
        <w:t xml:space="preserve">Tā vietā, lai mēģinātu sniegt viedokli par atsevišķām līgumu klauzulām, kas tiek izmantotas saistībā ar PPP darījumiem, šajā nodaļā tiek apskatīti tipiska PPP darījuma pamattemati, sniegts kopsavilkums par tipiskākajām pieejām, kas tiek izmantotas ES, lai risinātu galvenos jautājumus saistībā ar katru no tematiem, un izklāstīts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viedoklis par katras šīs pieejas svarīgumu statistiskajā uzskaitē. Ērtības labad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piezīmes ir rakstītas </w:t>
      </w:r>
      <w:r w:rsidRPr="000761E9">
        <w:rPr>
          <w:rFonts w:ascii="Times New Roman" w:eastAsia="Times New Roman" w:hAnsi="Times New Roman" w:cs="Times New Roman"/>
          <w:i/>
          <w:iCs/>
          <w:color w:val="005CAB"/>
          <w:sz w:val="24"/>
          <w:szCs w:val="24"/>
          <w:lang w:eastAsia="lv-LV"/>
        </w:rPr>
        <w:t>ar krāsainiem burtiem un slīprakstā</w:t>
      </w:r>
      <w:r w:rsidRPr="000761E9">
        <w:rPr>
          <w:rFonts w:ascii="Times New Roman" w:eastAsia="Times New Roman" w:hAnsi="Times New Roman" w:cs="Times New Roman"/>
          <w:color w:val="231F20"/>
          <w:sz w:val="24"/>
          <w:szCs w:val="24"/>
          <w:lang w:eastAsia="lv-LV"/>
        </w:rPr>
        <w:t>.</w:t>
      </w:r>
    </w:p>
    <w:p w14:paraId="4A129667"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732DFB8" w14:textId="4620CCB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Kā jau minēts iepriekš, netiek apgalvots, ka Rokasgrāmata aptver visus iespējamos PPP līgumu noteikumus, kas var būt iekļauti atsevišķos PPP darījumos, taču tā aptver ES visbiežāk sastopamos noteikumus.</w:t>
      </w:r>
    </w:p>
    <w:p w14:paraId="735AD734"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E52EB2E" w14:textId="7EFEEBB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Turklāt ir svarīgi atgādināt, ka, kā tas noteikts ievadā, Noteikumi attiecas uz darījuma būtību, nevis formu. Tas nozīmē, ka:</w:t>
      </w:r>
    </w:p>
    <w:p w14:paraId="14A58ED8"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98ECDBD" w14:textId="77777777" w:rsidR="00D43EDD" w:rsidRPr="0039498B" w:rsidRDefault="00D43EDD" w:rsidP="00DC1556">
      <w:pPr>
        <w:pStyle w:val="Sarakstarindkopa"/>
        <w:numPr>
          <w:ilvl w:val="0"/>
          <w:numId w:val="14"/>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paustais viedoklis par kādu no Rokasgrāmatā aprakstītajiem noteikumiem vienlīdz attieksies arī uz noteikumiem, kuriem ir tāda pati komerciālā ietekme, bet kuriem izmantots cits izstrādes mehānisms vai cita terminoloģija;</w:t>
      </w:r>
    </w:p>
    <w:p w14:paraId="4BC0BB5F" w14:textId="77777777" w:rsidR="00D43EDD" w:rsidRPr="0039498B" w:rsidRDefault="00D43EDD" w:rsidP="00DC1556">
      <w:pPr>
        <w:pStyle w:val="Sarakstarindkopa"/>
        <w:numPr>
          <w:ilvl w:val="0"/>
          <w:numId w:val="14"/>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lai gan Rokasgrāmatā var tikt pieņemts, ka noteikums tiek iekļauts PPP līgumos starp Iestādi un Partneri, </w:t>
      </w: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paustais viedoklis vienlīdz attieksies arī uz noteikumiem, kam ir tāda pati komerciālā ietekme, bet kas ir iekļauti citos dokumentos vai pamata tiesību aktos.</w:t>
      </w:r>
    </w:p>
    <w:p w14:paraId="0E9DACEF"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451CB73" w14:textId="5B861C4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Turklāt, novērtējot PPP aktīva statistisko uzskaiti, ir svarīgi apskatīt visu vispārējās valdības sektorā klasificēto iestāžu riskus un atlīdzību, nevis tikai konkrēto PPP līgumu slēdzošās Iestādes riskus un atlīdzību. Tas ir īpaši norādīts šīs nodaļas 14. tematā, jo finansējums ir joma, kurā</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ir ļoti iespējams, ka PPP projektā ir iesaistīta cita valdības iestāde, kas nav Iestāde.</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Tomēr šis pats princips attiecas uz visiem PPP darījuma aspektiem. Daži piemēri:</w:t>
      </w:r>
    </w:p>
    <w:p w14:paraId="42F76D77"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AD6E595" w14:textId="77777777" w:rsidR="00D43EDD" w:rsidRPr="0039498B" w:rsidRDefault="00D43EDD" w:rsidP="00DC1556">
      <w:pPr>
        <w:pStyle w:val="Sarakstarindkopa"/>
        <w:numPr>
          <w:ilvl w:val="0"/>
          <w:numId w:val="15"/>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kad valdības iestāde ir viens no Partnera apakšuzņēmējiem, kas projektā veic būvniecību vai uzturēšanu (t. i., risku uzņemas valdības iestāde);</w:t>
      </w:r>
    </w:p>
    <w:p w14:paraId="174C40FF" w14:textId="77777777" w:rsidR="00D43EDD" w:rsidRPr="0039498B" w:rsidRDefault="00D43EDD" w:rsidP="00DC1556">
      <w:pPr>
        <w:pStyle w:val="Sarakstarindkopa"/>
        <w:numPr>
          <w:ilvl w:val="0"/>
          <w:numId w:val="15"/>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kad valsts iestāde (kas klasificēta ārpus vispārējās valdības sektora) ir Partnera akcionārs un tai ir īpaša vienošanās par to, ka jebkāda uz PPP līguma pamata saņemtā peļņa tiek novirzīta valdības iestādei (t. i., atlīdzību saņem šī valdības iestāde).</w:t>
      </w:r>
    </w:p>
    <w:p w14:paraId="158530DF"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0C0D3D6" w14:textId="62B9C63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nodaļā ir norādīts, vai PPP līguma noteikums ietekmē statistisko uzskaiti (kas nozīmē, ka PPP ir reģistrējama valdības bilancē), vai arī to neietekmē (kas nozīmē, ka attiecībā uz statistisko uzskaiti tas ir neitrāls noteikums). Ir vērts uzsvērt, ka:</w:t>
      </w:r>
    </w:p>
    <w:p w14:paraId="0BF60992"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7633A34" w14:textId="77777777" w:rsidR="00D43EDD" w:rsidRPr="0039498B" w:rsidRDefault="00D43EDD" w:rsidP="00DC1556">
      <w:pPr>
        <w:pStyle w:val="Sarakstarindkopa"/>
        <w:numPr>
          <w:ilvl w:val="0"/>
          <w:numId w:val="16"/>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 xml:space="preserve">dažos gadījumos </w:t>
      </w: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piezīmēs ir minēts, ka PPP līguma noteikums neietekmē statistisko uzskaiti, ja tas atbilst attiecīgiem nosacījumiem vai ja tam ir noteikti elementi. Tātad noteikums ietekmētu statistisko uzskaiti, ja tas neatbilstu attiecīgajiem nosacījumiem vai ja tam nebūtu attiecīgo elementu;</w:t>
      </w:r>
    </w:p>
    <w:p w14:paraId="3702D260" w14:textId="77777777" w:rsidR="00D43EDD" w:rsidRPr="0039498B" w:rsidRDefault="00D43EDD" w:rsidP="00DC1556">
      <w:pPr>
        <w:pStyle w:val="Sarakstarindkopa"/>
        <w:numPr>
          <w:ilvl w:val="0"/>
          <w:numId w:val="16"/>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lastRenderedPageBreak/>
        <w:t xml:space="preserve">citos gadījumos </w:t>
      </w:r>
      <w:r w:rsidRPr="0039498B">
        <w:rPr>
          <w:rFonts w:ascii="Times New Roman" w:eastAsia="Times New Roman" w:hAnsi="Times New Roman" w:cs="Times New Roman"/>
          <w:i/>
          <w:iCs/>
          <w:color w:val="231F20"/>
          <w:sz w:val="24"/>
          <w:szCs w:val="24"/>
          <w:lang w:eastAsia="lv-LV"/>
        </w:rPr>
        <w:t>Eurostat</w:t>
      </w:r>
      <w:r w:rsidRPr="0039498B">
        <w:rPr>
          <w:rFonts w:ascii="Times New Roman" w:eastAsia="Times New Roman" w:hAnsi="Times New Roman" w:cs="Times New Roman"/>
          <w:color w:val="231F20"/>
          <w:sz w:val="24"/>
          <w:szCs w:val="24"/>
          <w:lang w:eastAsia="lv-LV"/>
        </w:rPr>
        <w:t xml:space="preserve"> piezīmēs ir minēts, ka PPP līguma noteikums ietekmē statistisko uzskaiti, ja tam ir noteikti elementi. Tātad noteikums bez šiem elementiem neietekmētu statistisko uzskaiti.</w:t>
      </w:r>
    </w:p>
    <w:p w14:paraId="57B9D74A"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F33BA52" w14:textId="62132AB9" w:rsidR="0039498B"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Šajā nodaļā iekļautajās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piezīmēs ir norādīts arī tas, vai statistisko uzskaiti ietekmējošais noteikums statistiskajā uzskaitē ir VIDĒJI SVARĪGS, SVARĪGS vai ĻOTI SVARĪGS, vai arī tas pats par sevi ir pietiekams, lai PPP būtu reģistrējama valdības BILANCĒ. 4. nodaļā ir izskaidrots process, kuru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pēc tam īsteno, lai izdarītu slēdzienu par PPP statistisko uzskaiti.</w:t>
      </w:r>
    </w:p>
    <w:p w14:paraId="145AF81E" w14:textId="77777777" w:rsidR="0039498B" w:rsidRDefault="0039498B">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0B088CEE"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p>
    <w:p w14:paraId="765913DD" w14:textId="77777777" w:rsidR="00D43EDD" w:rsidRPr="00586FD8" w:rsidRDefault="00D43EDD" w:rsidP="00586FD8">
      <w:pPr>
        <w:pStyle w:val="Virsraksts1"/>
        <w:rPr>
          <w:rFonts w:eastAsia="Times New Roman"/>
          <w:b w:val="0"/>
          <w:color w:val="auto"/>
          <w:lang w:eastAsia="lv-LV"/>
        </w:rPr>
      </w:pPr>
      <w:bookmarkStart w:id="6" w:name="_Toc528941570"/>
      <w:r w:rsidRPr="0039498B">
        <w:rPr>
          <w:rFonts w:eastAsia="Times New Roman"/>
          <w:color w:val="00B48D"/>
          <w:lang w:eastAsia="lv-LV"/>
        </w:rPr>
        <w:t>1. temats.</w:t>
      </w:r>
      <w:r w:rsidRPr="0039498B">
        <w:rPr>
          <w:rFonts w:eastAsia="Times New Roman"/>
          <w:lang w:eastAsia="lv-LV"/>
        </w:rPr>
        <w:t> </w:t>
      </w:r>
      <w:r w:rsidRPr="00586FD8">
        <w:rPr>
          <w:rFonts w:eastAsia="Times New Roman"/>
          <w:b w:val="0"/>
          <w:color w:val="auto"/>
          <w:lang w:eastAsia="lv-LV"/>
        </w:rPr>
        <w:t>Projekta īstenošanas vieta</w:t>
      </w:r>
      <w:bookmarkEnd w:id="6"/>
    </w:p>
    <w:p w14:paraId="291D4421" w14:textId="77777777" w:rsidR="0039498B" w:rsidRDefault="0039498B" w:rsidP="00D43EDD">
      <w:pPr>
        <w:spacing w:after="0" w:line="240" w:lineRule="auto"/>
        <w:jc w:val="both"/>
        <w:rPr>
          <w:rFonts w:ascii="Times New Roman" w:eastAsia="Times New Roman" w:hAnsi="Times New Roman" w:cs="Times New Roman"/>
          <w:b/>
          <w:bCs/>
          <w:color w:val="231F20"/>
          <w:sz w:val="24"/>
          <w:szCs w:val="24"/>
          <w:lang w:eastAsia="lv-LV"/>
        </w:rPr>
      </w:pPr>
    </w:p>
    <w:p w14:paraId="2B8E294D" w14:textId="00ED4283" w:rsidR="00D43EDD" w:rsidRPr="0039498B"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39498B">
        <w:rPr>
          <w:rFonts w:ascii="Times New Roman" w:eastAsia="Times New Roman" w:hAnsi="Times New Roman" w:cs="Times New Roman"/>
          <w:b/>
          <w:bCs/>
          <w:color w:val="231F20"/>
          <w:sz w:val="24"/>
          <w:szCs w:val="24"/>
          <w:lang w:eastAsia="lv-LV"/>
        </w:rPr>
        <w:t>1.1. Projekta īstenošanas vietas identificēšana un iegūšana</w:t>
      </w:r>
    </w:p>
    <w:p w14:paraId="2FBDD5B0"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A927F4D" w14:textId="62CB63BB"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Vairumā PPP projektu Iestādei ir pienākums</w:t>
      </w:r>
      <w:r w:rsidRPr="000761E9">
        <w:rPr>
          <w:rFonts w:ascii="Times New Roman" w:eastAsia="Times New Roman" w:hAnsi="Times New Roman" w:cs="Times New Roman"/>
          <w:color w:val="231F20"/>
          <w:sz w:val="24"/>
          <w:szCs w:val="24"/>
          <w:lang w:eastAsia="lv-LV"/>
        </w:rPr>
        <w:t xml:space="preserve"> identificēt vietu, kur aktīvs tiks būvēts un ekspluatēts. Ja Iestādei šī vieta (vai tās daļas) nepieder vai tā nav ieguvusi piekļuvi šai vietai (vai tās daļām) līdz PPP līguma parakstīšanas dienai, tad PPP līgumā parasti nosaka, ka Iestādei ir jāiegūst šīs vietas (vai tās daļu) īpašumtiesības vai piekļuve tai (vai tās daļām) noteiktā termiņā, lai Partneris varētu izpildīt savas saistības attiecībā uz projekta īstenošanu.</w:t>
      </w:r>
    </w:p>
    <w:p w14:paraId="5630CCDB"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8C77CA0" w14:textId="292FC77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projekta īstenošanas vietas vai piekļuves tai iegūšana ir Partnera pienākums (piemēram, projekti, kuros Partneris ir uzņēmies veikt īpašuma atsavināšanu) vai Iestādes un Partnera kopīgs pienākums.</w:t>
      </w:r>
    </w:p>
    <w:p w14:paraId="29044599"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776A473"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C4220CC" w14:textId="77777777" w:rsidR="0039498B" w:rsidRDefault="0039498B" w:rsidP="00D43EDD">
      <w:pPr>
        <w:spacing w:after="0" w:line="240" w:lineRule="auto"/>
        <w:jc w:val="both"/>
        <w:rPr>
          <w:rFonts w:ascii="Times New Roman" w:eastAsia="Times New Roman" w:hAnsi="Times New Roman" w:cs="Times New Roman"/>
          <w:i/>
          <w:iCs/>
          <w:color w:val="00B48D"/>
          <w:sz w:val="24"/>
          <w:szCs w:val="24"/>
          <w:lang w:eastAsia="lv-LV"/>
        </w:rPr>
      </w:pPr>
    </w:p>
    <w:p w14:paraId="468B5C33" w14:textId="23EED3DA"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B48D"/>
          <w:sz w:val="24"/>
          <w:szCs w:val="24"/>
          <w:lang w:eastAsia="lv-LV"/>
        </w:rPr>
        <w:t xml:space="preserve">Eurostat uzskata, ka tas, ka Iestāde saskaņā ar PPP līgumu pilnībā vai daļēji uzņemas atbildību un/vai risku par projekta īstenošanai nepieciešamās vietas īpašumtiesību vai piekļuves tai iegūšanu, </w:t>
      </w:r>
      <w:r w:rsidRPr="000761E9">
        <w:rPr>
          <w:rFonts w:ascii="Times New Roman" w:eastAsia="Times New Roman" w:hAnsi="Times New Roman" w:cs="Times New Roman"/>
          <w:b/>
          <w:bCs/>
          <w:i/>
          <w:iCs/>
          <w:color w:val="00B48D"/>
          <w:sz w:val="24"/>
          <w:szCs w:val="24"/>
          <w:lang w:eastAsia="lv-LV"/>
        </w:rPr>
        <w:t>neietekmē statistisko uzskaiti</w:t>
      </w:r>
      <w:r w:rsidRPr="000761E9">
        <w:rPr>
          <w:rFonts w:ascii="Times New Roman" w:eastAsia="Times New Roman" w:hAnsi="Times New Roman" w:cs="Times New Roman"/>
          <w:i/>
          <w:iCs/>
          <w:color w:val="00B48D"/>
          <w:sz w:val="24"/>
          <w:szCs w:val="24"/>
          <w:lang w:eastAsia="lv-LV"/>
        </w:rPr>
        <w:t>.</w:t>
      </w:r>
    </w:p>
    <w:p w14:paraId="4AC0B957" w14:textId="77777777" w:rsidR="0039498B" w:rsidRDefault="0039498B" w:rsidP="00D43EDD">
      <w:pPr>
        <w:spacing w:after="0" w:line="240" w:lineRule="auto"/>
        <w:jc w:val="both"/>
        <w:rPr>
          <w:rFonts w:ascii="Times New Roman" w:eastAsia="Times New Roman" w:hAnsi="Times New Roman" w:cs="Times New Roman"/>
          <w:b/>
          <w:bCs/>
          <w:sz w:val="24"/>
          <w:szCs w:val="24"/>
          <w:lang w:eastAsia="lv-LV"/>
        </w:rPr>
      </w:pPr>
    </w:p>
    <w:p w14:paraId="645903AF" w14:textId="2FF0FA5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1.2. </w:t>
      </w:r>
      <w:r w:rsidRPr="000761E9">
        <w:rPr>
          <w:rFonts w:ascii="Times New Roman" w:eastAsia="Times New Roman" w:hAnsi="Times New Roman" w:cs="Times New Roman"/>
          <w:b/>
          <w:bCs/>
          <w:color w:val="231F20"/>
          <w:sz w:val="24"/>
          <w:szCs w:val="24"/>
          <w:lang w:eastAsia="lv-LV"/>
        </w:rPr>
        <w:t>Projekta īstenošanas vietas īpašumtiesības un Partnera tiesības piekļūt projekta īstenošanas vietai</w:t>
      </w:r>
    </w:p>
    <w:p w14:paraId="4D73AFB2"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5F856A1" w14:textId="0C95B22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gan</w:t>
      </w:r>
      <w:r w:rsidR="00895EAA">
        <w:rPr>
          <w:rFonts w:ascii="Times New Roman" w:eastAsia="Times New Roman" w:hAnsi="Times New Roman" w:cs="Times New Roman"/>
          <w:color w:val="231F20"/>
          <w:sz w:val="24"/>
          <w:szCs w:val="24"/>
          <w:lang w:eastAsia="lv-LV"/>
        </w:rPr>
        <w:t xml:space="preserve"> projekta</w:t>
      </w:r>
      <w:r w:rsidRPr="000761E9">
        <w:rPr>
          <w:rFonts w:ascii="Times New Roman" w:eastAsia="Times New Roman" w:hAnsi="Times New Roman" w:cs="Times New Roman"/>
          <w:color w:val="231F20"/>
          <w:sz w:val="24"/>
          <w:szCs w:val="24"/>
          <w:lang w:eastAsia="lv-LV"/>
        </w:rPr>
        <w:t xml:space="preserve"> īstenošanas vietas, gan aktīva īpašumtiesības PPP līguma darbības laikā (un arī pēc tā beigām) paliek Iestādei, un Iestāde Partnerim piešķir tiesības piekļūt šai vietai un aktīvam. Piekļuves tiesību juridiskā forma dažādos projektos atšķiras, bet visbiežāk ir sastopamas šādas formas:</w:t>
      </w:r>
    </w:p>
    <w:p w14:paraId="20950DF5"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F165126" w14:textId="77777777" w:rsidR="00D43EDD" w:rsidRPr="0039498B" w:rsidRDefault="00D43EDD" w:rsidP="00DC1556">
      <w:pPr>
        <w:pStyle w:val="Sarakstarindkopa"/>
        <w:numPr>
          <w:ilvl w:val="0"/>
          <w:numId w:val="17"/>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nomas;</w:t>
      </w:r>
    </w:p>
    <w:p w14:paraId="7E6FD64E" w14:textId="77777777" w:rsidR="00D43EDD" w:rsidRPr="0039498B" w:rsidRDefault="00D43EDD" w:rsidP="00DC1556">
      <w:pPr>
        <w:pStyle w:val="Sarakstarindkopa"/>
        <w:numPr>
          <w:ilvl w:val="0"/>
          <w:numId w:val="17"/>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atļaujas (piemēram, būvēt tiltu pāri automaģistrālei);</w:t>
      </w:r>
    </w:p>
    <w:p w14:paraId="1E962F6A" w14:textId="77777777" w:rsidR="00D43EDD" w:rsidRPr="0039498B" w:rsidRDefault="00D43EDD" w:rsidP="00DC1556">
      <w:pPr>
        <w:pStyle w:val="Sarakstarindkopa"/>
        <w:numPr>
          <w:ilvl w:val="0"/>
          <w:numId w:val="17"/>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līgumiskās tiesības (piemēram, noteiktas pašā PPP līgumā vai atsevišķā licences līgumā).</w:t>
      </w:r>
    </w:p>
    <w:p w14:paraId="28826869"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CE84853" w14:textId="2D038B5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Partnera atbildība parasti attiecas tikai uz šo vietas/aktīva piekļuves tiesību īstenošanu, ciktāl tas ir nepieciešams, lai Partneris izpildītu savas saistības un īstenotu savas tiesības saskaņā ar PPP līgumu.</w:t>
      </w:r>
    </w:p>
    <w:p w14:paraId="7C0598FD"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2C0EA275" w14:textId="7DCB22E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retos gadījumos Partnerim nodod projekta īstenošanas vietas un aktīva likumīgās īpašumtiesības. Šajos gadījumos Iestādei dažreiz ir iespēja atpirkt vietu/aktīvu, ja PPP līguma darbība tiek izbeigta pirms termiņa vai tad, kad beidzas tā darbība.</w:t>
      </w:r>
    </w:p>
    <w:p w14:paraId="750822EE"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9EC5778"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889B41F" w14:textId="77777777" w:rsidR="0039498B" w:rsidRDefault="0039498B" w:rsidP="00D43EDD">
      <w:pPr>
        <w:spacing w:after="0" w:line="240" w:lineRule="auto"/>
        <w:jc w:val="both"/>
        <w:rPr>
          <w:rFonts w:ascii="Times New Roman" w:eastAsia="Times New Roman" w:hAnsi="Times New Roman" w:cs="Times New Roman"/>
          <w:i/>
          <w:iCs/>
          <w:color w:val="00B48D"/>
          <w:sz w:val="24"/>
          <w:szCs w:val="24"/>
          <w:lang w:eastAsia="lv-LV"/>
        </w:rPr>
      </w:pPr>
    </w:p>
    <w:p w14:paraId="699A59E8" w14:textId="55CFFE99" w:rsidR="00D43EDD" w:rsidRDefault="00D43EDD" w:rsidP="00D43EDD">
      <w:pPr>
        <w:spacing w:after="0" w:line="240" w:lineRule="auto"/>
        <w:jc w:val="both"/>
        <w:rPr>
          <w:rFonts w:ascii="Times New Roman" w:eastAsia="Times New Roman" w:hAnsi="Times New Roman" w:cs="Times New Roman"/>
          <w:i/>
          <w:iCs/>
          <w:color w:val="00B48D"/>
          <w:sz w:val="24"/>
          <w:szCs w:val="24"/>
          <w:lang w:eastAsia="lv-LV"/>
        </w:rPr>
      </w:pPr>
      <w:r w:rsidRPr="000761E9">
        <w:rPr>
          <w:rFonts w:ascii="Times New Roman" w:eastAsia="Times New Roman" w:hAnsi="Times New Roman" w:cs="Times New Roman"/>
          <w:i/>
          <w:iCs/>
          <w:color w:val="00B48D"/>
          <w:sz w:val="24"/>
          <w:szCs w:val="24"/>
          <w:lang w:eastAsia="lv-LV"/>
        </w:rPr>
        <w:t>Eurostat uzskata, ka</w:t>
      </w:r>
    </w:p>
    <w:p w14:paraId="27671ECE" w14:textId="77777777" w:rsidR="0039498B" w:rsidRPr="000761E9" w:rsidRDefault="0039498B" w:rsidP="00D43EDD">
      <w:pPr>
        <w:spacing w:after="0" w:line="240" w:lineRule="auto"/>
        <w:jc w:val="both"/>
        <w:rPr>
          <w:rFonts w:ascii="Times New Roman" w:eastAsia="Times New Roman" w:hAnsi="Times New Roman" w:cs="Times New Roman"/>
          <w:i/>
          <w:iCs/>
          <w:color w:val="00B48D"/>
          <w:sz w:val="24"/>
          <w:szCs w:val="24"/>
          <w:lang w:eastAsia="lv-LV"/>
        </w:rPr>
      </w:pPr>
    </w:p>
    <w:p w14:paraId="55379595" w14:textId="31E4B303" w:rsidR="00D43EDD" w:rsidRPr="0039498B" w:rsidRDefault="00D43EDD" w:rsidP="00DC1556">
      <w:pPr>
        <w:pStyle w:val="Sarakstarindkopa"/>
        <w:numPr>
          <w:ilvl w:val="0"/>
          <w:numId w:val="18"/>
        </w:numPr>
        <w:spacing w:after="0" w:line="240" w:lineRule="auto"/>
        <w:ind w:left="709" w:hanging="283"/>
        <w:jc w:val="both"/>
        <w:rPr>
          <w:rFonts w:ascii="Times New Roman" w:eastAsia="Times New Roman" w:hAnsi="Times New Roman" w:cs="Times New Roman"/>
          <w:i/>
          <w:iCs/>
          <w:color w:val="00B48D"/>
          <w:sz w:val="24"/>
          <w:szCs w:val="24"/>
          <w:lang w:eastAsia="lv-LV"/>
        </w:rPr>
      </w:pPr>
      <w:r w:rsidRPr="0039498B">
        <w:rPr>
          <w:rFonts w:ascii="Times New Roman" w:eastAsia="Times New Roman" w:hAnsi="Times New Roman" w:cs="Times New Roman"/>
          <w:i/>
          <w:iCs/>
          <w:color w:val="00B48D"/>
          <w:sz w:val="24"/>
          <w:szCs w:val="24"/>
          <w:lang w:eastAsia="lv-LV"/>
        </w:rPr>
        <w:t>tas, ka Iestāde PPP līguma darbības laikā saglabā</w:t>
      </w:r>
      <w:r w:rsidR="00895EAA">
        <w:rPr>
          <w:rFonts w:ascii="Times New Roman" w:eastAsia="Times New Roman" w:hAnsi="Times New Roman" w:cs="Times New Roman"/>
          <w:i/>
          <w:iCs/>
          <w:color w:val="00B48D"/>
          <w:sz w:val="24"/>
          <w:szCs w:val="24"/>
          <w:lang w:eastAsia="lv-LV"/>
        </w:rPr>
        <w:t xml:space="preserve"> projekta īstenošanas</w:t>
      </w:r>
      <w:r w:rsidRPr="0039498B">
        <w:rPr>
          <w:rFonts w:ascii="Times New Roman" w:eastAsia="Times New Roman" w:hAnsi="Times New Roman" w:cs="Times New Roman"/>
          <w:i/>
          <w:iCs/>
          <w:color w:val="00B48D"/>
          <w:sz w:val="24"/>
          <w:szCs w:val="24"/>
          <w:lang w:eastAsia="lv-LV"/>
        </w:rPr>
        <w:t xml:space="preserve"> vietas un aktīva likumīgās īpašumtiesības;</w:t>
      </w:r>
    </w:p>
    <w:p w14:paraId="4F03F278" w14:textId="77777777" w:rsidR="00D43EDD" w:rsidRPr="0039498B" w:rsidRDefault="00D43EDD" w:rsidP="00DC1556">
      <w:pPr>
        <w:pStyle w:val="Sarakstarindkopa"/>
        <w:numPr>
          <w:ilvl w:val="0"/>
          <w:numId w:val="18"/>
        </w:numPr>
        <w:spacing w:after="0" w:line="240" w:lineRule="auto"/>
        <w:ind w:left="709" w:hanging="283"/>
        <w:jc w:val="both"/>
        <w:rPr>
          <w:rFonts w:ascii="Times New Roman" w:eastAsia="Times New Roman" w:hAnsi="Times New Roman" w:cs="Times New Roman"/>
          <w:i/>
          <w:iCs/>
          <w:color w:val="00B48D"/>
          <w:sz w:val="24"/>
          <w:szCs w:val="24"/>
          <w:lang w:eastAsia="lv-LV"/>
        </w:rPr>
      </w:pPr>
      <w:r w:rsidRPr="0039498B">
        <w:rPr>
          <w:rFonts w:ascii="Times New Roman" w:eastAsia="Times New Roman" w:hAnsi="Times New Roman" w:cs="Times New Roman"/>
          <w:i/>
          <w:iCs/>
          <w:color w:val="00B48D"/>
          <w:sz w:val="24"/>
          <w:szCs w:val="24"/>
          <w:lang w:eastAsia="lv-LV"/>
        </w:rPr>
        <w:t>Partnerim piešķirto piekļuves tiesību juridiskā forma;</w:t>
      </w:r>
    </w:p>
    <w:p w14:paraId="0AA65784" w14:textId="77777777" w:rsidR="00D43EDD" w:rsidRPr="0039498B" w:rsidRDefault="00D43EDD" w:rsidP="00DC1556">
      <w:pPr>
        <w:pStyle w:val="Sarakstarindkopa"/>
        <w:numPr>
          <w:ilvl w:val="0"/>
          <w:numId w:val="18"/>
        </w:numPr>
        <w:spacing w:after="0" w:line="240" w:lineRule="auto"/>
        <w:ind w:left="709" w:hanging="283"/>
        <w:jc w:val="both"/>
        <w:rPr>
          <w:rFonts w:ascii="Times New Roman" w:eastAsia="Times New Roman" w:hAnsi="Times New Roman" w:cs="Times New Roman"/>
          <w:i/>
          <w:iCs/>
          <w:color w:val="00B48D"/>
          <w:sz w:val="24"/>
          <w:szCs w:val="24"/>
          <w:lang w:eastAsia="lv-LV"/>
        </w:rPr>
      </w:pPr>
      <w:r w:rsidRPr="0039498B">
        <w:rPr>
          <w:rFonts w:ascii="Times New Roman" w:eastAsia="Times New Roman" w:hAnsi="Times New Roman" w:cs="Times New Roman"/>
          <w:i/>
          <w:iCs/>
          <w:color w:val="00B48D"/>
          <w:sz w:val="24"/>
          <w:szCs w:val="24"/>
          <w:lang w:eastAsia="lv-LV"/>
        </w:rPr>
        <w:lastRenderedPageBreak/>
        <w:t>tas, ka Partnerim tiek piešķirtas tikai tādas piekļuves tiesības, kādas tam ir nepieciešamas, lai tas īstenotu savas tiesības un izpildītu savas saistības saskaņā ar PPP līgumu,</w:t>
      </w:r>
    </w:p>
    <w:p w14:paraId="6A0AC94D" w14:textId="77777777" w:rsidR="0039498B" w:rsidRDefault="0039498B" w:rsidP="00D43EDD">
      <w:pPr>
        <w:spacing w:after="0" w:line="240" w:lineRule="auto"/>
        <w:jc w:val="both"/>
        <w:rPr>
          <w:rFonts w:ascii="Times New Roman" w:eastAsia="Times New Roman" w:hAnsi="Times New Roman" w:cs="Times New Roman"/>
          <w:b/>
          <w:bCs/>
          <w:i/>
          <w:iCs/>
          <w:color w:val="00B48D"/>
          <w:sz w:val="24"/>
          <w:szCs w:val="24"/>
          <w:lang w:eastAsia="lv-LV"/>
        </w:rPr>
      </w:pPr>
    </w:p>
    <w:p w14:paraId="5E686FF5" w14:textId="3A159BE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color w:val="00B48D"/>
          <w:sz w:val="24"/>
          <w:szCs w:val="24"/>
          <w:lang w:eastAsia="lv-LV"/>
        </w:rPr>
        <w:t>neietekmē statistisko uzskaiti.</w:t>
      </w:r>
    </w:p>
    <w:p w14:paraId="471FE57A" w14:textId="77777777" w:rsidR="0039498B" w:rsidRDefault="0039498B" w:rsidP="00D43EDD">
      <w:pPr>
        <w:spacing w:after="0" w:line="240" w:lineRule="auto"/>
        <w:jc w:val="both"/>
        <w:rPr>
          <w:rFonts w:ascii="Times New Roman" w:eastAsia="Times New Roman" w:hAnsi="Times New Roman" w:cs="Times New Roman"/>
          <w:i/>
          <w:iCs/>
          <w:color w:val="00B48D"/>
          <w:sz w:val="24"/>
          <w:szCs w:val="24"/>
          <w:lang w:eastAsia="lv-LV"/>
        </w:rPr>
      </w:pPr>
    </w:p>
    <w:p w14:paraId="6280A724" w14:textId="3AD98DC1" w:rsidR="00D43EDD" w:rsidRPr="000761E9" w:rsidRDefault="00D43EDD" w:rsidP="00D43EDD">
      <w:pPr>
        <w:spacing w:after="0" w:line="240" w:lineRule="auto"/>
        <w:jc w:val="both"/>
        <w:rPr>
          <w:rFonts w:ascii="Times New Roman" w:eastAsia="Times New Roman" w:hAnsi="Times New Roman" w:cs="Times New Roman"/>
          <w:i/>
          <w:iCs/>
          <w:color w:val="00B48D"/>
          <w:sz w:val="24"/>
          <w:szCs w:val="24"/>
          <w:lang w:eastAsia="lv-LV"/>
        </w:rPr>
      </w:pPr>
      <w:r w:rsidRPr="000761E9">
        <w:rPr>
          <w:rFonts w:ascii="Times New Roman" w:eastAsia="Times New Roman" w:hAnsi="Times New Roman" w:cs="Times New Roman"/>
          <w:i/>
          <w:iCs/>
          <w:color w:val="00B48D"/>
          <w:sz w:val="24"/>
          <w:szCs w:val="24"/>
          <w:lang w:eastAsia="lv-LV"/>
        </w:rPr>
        <w:t>Eurostat piezīmēs par 13.2. tematu ir paskaidrots, cik svarīgi saistībā ar statistisko uzskaiti ir noteikumi, kas attiecas uz aktīva īpašumtiesībām pēc PPP līguma darbības termiņa beigām.</w:t>
      </w:r>
    </w:p>
    <w:p w14:paraId="559FD525" w14:textId="6FC0C946" w:rsidR="0039498B" w:rsidRDefault="0039498B">
      <w:pPr>
        <w:rPr>
          <w:rFonts w:ascii="Times New Roman" w:eastAsia="Times New Roman" w:hAnsi="Times New Roman" w:cs="Times New Roman"/>
          <w:b/>
          <w:bCs/>
          <w:color w:val="CC6A28"/>
          <w:sz w:val="24"/>
          <w:szCs w:val="24"/>
          <w:lang w:eastAsia="lv-LV"/>
        </w:rPr>
      </w:pPr>
      <w:r>
        <w:rPr>
          <w:rFonts w:ascii="Times New Roman" w:eastAsia="Times New Roman" w:hAnsi="Times New Roman" w:cs="Times New Roman"/>
          <w:b/>
          <w:bCs/>
          <w:color w:val="CC6A28"/>
          <w:sz w:val="24"/>
          <w:szCs w:val="24"/>
          <w:lang w:eastAsia="lv-LV"/>
        </w:rPr>
        <w:br w:type="page"/>
      </w:r>
    </w:p>
    <w:p w14:paraId="51F684A8" w14:textId="77777777" w:rsidR="0039498B" w:rsidRDefault="0039498B" w:rsidP="00D43EDD">
      <w:pPr>
        <w:spacing w:after="0" w:line="240" w:lineRule="auto"/>
        <w:jc w:val="both"/>
        <w:rPr>
          <w:rFonts w:ascii="Times New Roman" w:eastAsia="Times New Roman" w:hAnsi="Times New Roman" w:cs="Times New Roman"/>
          <w:b/>
          <w:bCs/>
          <w:color w:val="CC6A28"/>
          <w:sz w:val="24"/>
          <w:szCs w:val="24"/>
          <w:lang w:eastAsia="lv-LV"/>
        </w:rPr>
      </w:pPr>
    </w:p>
    <w:p w14:paraId="11416ED2" w14:textId="6F6A21CE" w:rsidR="00D43EDD" w:rsidRPr="00586FD8" w:rsidRDefault="00D43EDD" w:rsidP="00586FD8">
      <w:pPr>
        <w:pStyle w:val="Virsraksts1"/>
        <w:rPr>
          <w:rFonts w:eastAsia="Times New Roman"/>
          <w:b w:val="0"/>
          <w:color w:val="auto"/>
          <w:lang w:eastAsia="lv-LV"/>
        </w:rPr>
      </w:pPr>
      <w:bookmarkStart w:id="7" w:name="_Toc528941571"/>
      <w:r w:rsidRPr="000761E9">
        <w:rPr>
          <w:rFonts w:eastAsia="Times New Roman"/>
          <w:color w:val="CC6A28"/>
          <w:lang w:eastAsia="lv-LV"/>
        </w:rPr>
        <w:t>2. </w:t>
      </w:r>
      <w:r w:rsidRPr="0039498B">
        <w:rPr>
          <w:rFonts w:eastAsia="Times New Roman"/>
          <w:color w:val="CC6A28"/>
          <w:lang w:eastAsia="lv-LV"/>
        </w:rPr>
        <w:t xml:space="preserve">temats. </w:t>
      </w:r>
      <w:r w:rsidRPr="00586FD8">
        <w:rPr>
          <w:rFonts w:eastAsia="Times New Roman"/>
          <w:b w:val="0"/>
          <w:color w:val="auto"/>
          <w:lang w:eastAsia="lv-LV"/>
        </w:rPr>
        <w:t>Aktīva projektēšana un būvniecība</w:t>
      </w:r>
      <w:bookmarkEnd w:id="7"/>
    </w:p>
    <w:p w14:paraId="6E121E37" w14:textId="77777777" w:rsidR="0039498B" w:rsidRDefault="0039498B" w:rsidP="00D43EDD">
      <w:pPr>
        <w:spacing w:after="0" w:line="240" w:lineRule="auto"/>
        <w:jc w:val="both"/>
        <w:rPr>
          <w:rFonts w:ascii="Times New Roman" w:eastAsia="Times New Roman" w:hAnsi="Times New Roman" w:cs="Times New Roman"/>
          <w:b/>
          <w:bCs/>
          <w:color w:val="231F20"/>
          <w:sz w:val="24"/>
          <w:szCs w:val="24"/>
          <w:lang w:eastAsia="lv-LV"/>
        </w:rPr>
      </w:pPr>
    </w:p>
    <w:p w14:paraId="78D083F8" w14:textId="3F384DEC" w:rsidR="00D43EDD" w:rsidRPr="0039498B"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39498B">
        <w:rPr>
          <w:rFonts w:ascii="Times New Roman" w:eastAsia="Times New Roman" w:hAnsi="Times New Roman" w:cs="Times New Roman"/>
          <w:b/>
          <w:bCs/>
          <w:color w:val="231F20"/>
          <w:sz w:val="24"/>
          <w:szCs w:val="24"/>
          <w:lang w:eastAsia="lv-LV"/>
        </w:rPr>
        <w:t>2.1. Atbildība par projektēšanu</w:t>
      </w:r>
    </w:p>
    <w:p w14:paraId="4342E028"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9098632" w14:textId="779E24A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gadījumu saskaņā ar PPP līgumu Partneris uzņemas atbildību par aktīva projektēšanu atbilstoši Iestādes specifikācijām. Iestādes specifikācijā var būt iekļauti aktīva plāna aspekti, kas nozīmē, ka praksē Partnera veicamais projektēšanas apjoms ir atkarīgs no tā, cik sīki Iestāde ir izstrādājusi plānu.</w:t>
      </w:r>
    </w:p>
    <w:p w14:paraId="08F16833"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07161EFC"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Retākos gadījumos lielāko daļu projektēšanas veic Iestāde pirms PPP līguma parakstīšanas.</w:t>
      </w:r>
    </w:p>
    <w:p w14:paraId="4F380800"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114BAE7" w14:textId="3397B51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līgums Iestādei dod tiesības pārskatīt, komentēt vai apstiprināt Partnera projektu (vai noteiktus tā aspektus), kad tas ir izstrādāts. Parasti Iestādes piezīmes vai apstiprinājums neatceļ vai nemazina Partnera pienākumu nodrošināt, ka aktīvs tiek būvēts un darīts pieejams atbilstoši PPP līgumā noteiktajiem standartiem.</w:t>
      </w:r>
    </w:p>
    <w:p w14:paraId="5E0B7CC3"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33EF260C"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F1BBA55" w14:textId="77777777" w:rsidR="0039498B"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48798141" w14:textId="35C80BA6" w:rsidR="00D43EDD"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t xml:space="preserve">Eurostat uzskata, ka tas, cik lielā mērā Iestāde izstrādā, pārskata vai apstiprina aktīva projektu, </w:t>
      </w:r>
      <w:r w:rsidRPr="000761E9">
        <w:rPr>
          <w:rFonts w:ascii="Times New Roman" w:eastAsia="Times New Roman" w:hAnsi="Times New Roman" w:cs="Times New Roman"/>
          <w:b/>
          <w:bCs/>
          <w:i/>
          <w:iCs/>
          <w:color w:val="CC6A28"/>
          <w:sz w:val="24"/>
          <w:szCs w:val="24"/>
          <w:lang w:eastAsia="lv-LV"/>
        </w:rPr>
        <w:t>neietekmē statistisko uzskaiti</w:t>
      </w:r>
      <w:r w:rsidRPr="000761E9">
        <w:rPr>
          <w:rFonts w:ascii="Times New Roman" w:eastAsia="Times New Roman" w:hAnsi="Times New Roman" w:cs="Times New Roman"/>
          <w:i/>
          <w:iCs/>
          <w:color w:val="CC6A28"/>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CC6A28"/>
          <w:sz w:val="24"/>
          <w:szCs w:val="24"/>
          <w:lang w:eastAsia="lv-LV"/>
        </w:rPr>
        <w:t>Tomēr jebkāds risks, ko Iestāde saskaņā ar PPP līgumu uzņemas saistībā ar</w:t>
      </w:r>
    </w:p>
    <w:p w14:paraId="56739EB1" w14:textId="77777777" w:rsidR="0039498B" w:rsidRPr="000761E9"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29D8BB5D" w14:textId="77777777" w:rsidR="00D43EDD" w:rsidRPr="0039498B" w:rsidRDefault="00D43EDD" w:rsidP="00DC1556">
      <w:pPr>
        <w:pStyle w:val="Sarakstarindkopa"/>
        <w:numPr>
          <w:ilvl w:val="0"/>
          <w:numId w:val="19"/>
        </w:numPr>
        <w:spacing w:after="0" w:line="240" w:lineRule="auto"/>
        <w:ind w:left="709" w:hanging="283"/>
        <w:jc w:val="both"/>
        <w:rPr>
          <w:rFonts w:ascii="Times New Roman" w:eastAsia="Times New Roman" w:hAnsi="Times New Roman" w:cs="Times New Roman"/>
          <w:i/>
          <w:iCs/>
          <w:color w:val="CC6A28"/>
          <w:sz w:val="24"/>
          <w:szCs w:val="24"/>
          <w:lang w:eastAsia="lv-LV"/>
        </w:rPr>
      </w:pPr>
      <w:r w:rsidRPr="0039498B">
        <w:rPr>
          <w:rFonts w:ascii="Times New Roman" w:eastAsia="Times New Roman" w:hAnsi="Times New Roman" w:cs="Times New Roman"/>
          <w:i/>
          <w:iCs/>
          <w:color w:val="CC6A28"/>
          <w:sz w:val="24"/>
          <w:szCs w:val="24"/>
          <w:lang w:eastAsia="lv-LV"/>
        </w:rPr>
        <w:t>būvdarbu aizkavēšanos vai nepilnībām;</w:t>
      </w:r>
    </w:p>
    <w:p w14:paraId="4C40CE37" w14:textId="77777777" w:rsidR="00D43EDD" w:rsidRPr="0039498B" w:rsidRDefault="00D43EDD" w:rsidP="00DC1556">
      <w:pPr>
        <w:pStyle w:val="Sarakstarindkopa"/>
        <w:numPr>
          <w:ilvl w:val="0"/>
          <w:numId w:val="19"/>
        </w:numPr>
        <w:spacing w:after="0" w:line="240" w:lineRule="auto"/>
        <w:ind w:left="709" w:hanging="283"/>
        <w:jc w:val="both"/>
        <w:rPr>
          <w:rFonts w:ascii="Times New Roman" w:eastAsia="Times New Roman" w:hAnsi="Times New Roman" w:cs="Times New Roman"/>
          <w:i/>
          <w:iCs/>
          <w:color w:val="CC6A28"/>
          <w:sz w:val="24"/>
          <w:szCs w:val="24"/>
          <w:lang w:eastAsia="lv-LV"/>
        </w:rPr>
      </w:pPr>
      <w:r w:rsidRPr="0039498B">
        <w:rPr>
          <w:rFonts w:ascii="Times New Roman" w:eastAsia="Times New Roman" w:hAnsi="Times New Roman" w:cs="Times New Roman"/>
          <w:i/>
          <w:iCs/>
          <w:color w:val="CC6A28"/>
          <w:sz w:val="24"/>
          <w:szCs w:val="24"/>
          <w:lang w:eastAsia="lv-LV"/>
        </w:rPr>
        <w:t>palielinātām būvniecības vai uzturēšanas/pamatdarbības izmaksām;</w:t>
      </w:r>
    </w:p>
    <w:p w14:paraId="7D84D3F5" w14:textId="77777777" w:rsidR="00D43EDD" w:rsidRPr="0039498B" w:rsidRDefault="00D43EDD" w:rsidP="00DC1556">
      <w:pPr>
        <w:pStyle w:val="Sarakstarindkopa"/>
        <w:numPr>
          <w:ilvl w:val="0"/>
          <w:numId w:val="19"/>
        </w:numPr>
        <w:spacing w:after="0" w:line="240" w:lineRule="auto"/>
        <w:ind w:left="709" w:hanging="283"/>
        <w:jc w:val="both"/>
        <w:rPr>
          <w:rFonts w:ascii="Times New Roman" w:eastAsia="Times New Roman" w:hAnsi="Times New Roman" w:cs="Times New Roman"/>
          <w:i/>
          <w:iCs/>
          <w:color w:val="CC6A28"/>
          <w:sz w:val="24"/>
          <w:szCs w:val="24"/>
          <w:lang w:eastAsia="lv-LV"/>
        </w:rPr>
      </w:pPr>
      <w:r w:rsidRPr="0039498B">
        <w:rPr>
          <w:rFonts w:ascii="Times New Roman" w:eastAsia="Times New Roman" w:hAnsi="Times New Roman" w:cs="Times New Roman"/>
          <w:i/>
          <w:iCs/>
          <w:color w:val="CC6A28"/>
          <w:sz w:val="24"/>
          <w:szCs w:val="24"/>
          <w:lang w:eastAsia="lv-LV"/>
        </w:rPr>
        <w:t>darbības traucējumiem,</w:t>
      </w:r>
    </w:p>
    <w:p w14:paraId="72E43885" w14:textId="77777777" w:rsidR="0039498B"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64AD0809" w14:textId="2C9BDFC4"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CC6A28"/>
          <w:sz w:val="24"/>
          <w:szCs w:val="24"/>
          <w:lang w:eastAsia="lv-LV"/>
        </w:rPr>
        <w:t xml:space="preserve">kas var rasties plāna dēļ, </w:t>
      </w:r>
      <w:r w:rsidRPr="000761E9">
        <w:rPr>
          <w:rFonts w:ascii="Times New Roman" w:eastAsia="Times New Roman" w:hAnsi="Times New Roman" w:cs="Times New Roman"/>
          <w:b/>
          <w:bCs/>
          <w:i/>
          <w:iCs/>
          <w:color w:val="CC6A28"/>
          <w:sz w:val="24"/>
          <w:szCs w:val="24"/>
          <w:lang w:eastAsia="lv-LV"/>
        </w:rPr>
        <w:t>ietekmē statistisko uzskaiti</w:t>
      </w:r>
      <w:r w:rsidRPr="000761E9">
        <w:rPr>
          <w:rFonts w:ascii="Times New Roman" w:eastAsia="Times New Roman" w:hAnsi="Times New Roman" w:cs="Times New Roman"/>
          <w:i/>
          <w:iCs/>
          <w:color w:val="CC6A28"/>
          <w:sz w:val="24"/>
          <w:szCs w:val="24"/>
          <w:lang w:eastAsia="lv-LV"/>
        </w:rPr>
        <w:t xml:space="preserve"> un ir SVARĪGS jautājums.</w:t>
      </w:r>
    </w:p>
    <w:p w14:paraId="4FA35FB9" w14:textId="77777777" w:rsidR="0039498B" w:rsidRDefault="0039498B" w:rsidP="00D43EDD">
      <w:pPr>
        <w:spacing w:after="0" w:line="240" w:lineRule="auto"/>
        <w:jc w:val="both"/>
        <w:rPr>
          <w:rFonts w:ascii="Times New Roman" w:eastAsia="Times New Roman" w:hAnsi="Times New Roman" w:cs="Times New Roman"/>
          <w:b/>
          <w:bCs/>
          <w:sz w:val="24"/>
          <w:szCs w:val="24"/>
          <w:lang w:eastAsia="lv-LV"/>
        </w:rPr>
      </w:pPr>
    </w:p>
    <w:p w14:paraId="530993BB" w14:textId="385929BF"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2.2. </w:t>
      </w:r>
      <w:r w:rsidRPr="000761E9">
        <w:rPr>
          <w:rFonts w:ascii="Times New Roman" w:eastAsia="Times New Roman" w:hAnsi="Times New Roman" w:cs="Times New Roman"/>
          <w:b/>
          <w:bCs/>
          <w:color w:val="231F20"/>
          <w:sz w:val="24"/>
          <w:szCs w:val="24"/>
          <w:lang w:eastAsia="lv-LV"/>
        </w:rPr>
        <w:t>Atbildība par būvniecību</w:t>
      </w:r>
    </w:p>
    <w:p w14:paraId="2FA1463F"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E6A8618" w14:textId="5910BAC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PPP līgumā parasti izmantoto pieeju būvniecībai:</w:t>
      </w:r>
    </w:p>
    <w:p w14:paraId="71D93140"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46672858"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Partneris ir atbildīgs par aktīva būvniecības pabeigšanu noteiktā termiņā. Dažos gadījumos Partneris ir tiesīgs saņemt papildu atlīdzību (vai nu maksājuma veidā vai sākot saņemt pamatdarbības maksājumus agrāk, nekā tas bija paredzēts), ja būvniecība tiek pabeigta pirms termiņa. Dažos gadījumos Partnerim ir jāmaksā Iestādei līgumsods, ja būvniecības pabeigšana aizkavējas;</w:t>
      </w:r>
    </w:p>
    <w:p w14:paraId="199A1712"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Partneris uzņemas atbildību par atļauju un pilnvaru iegūšanu, ciktāl tas var ietekmēt šo procesu (Iestāde uzņemas atbildību par atļaujām un pilnvarām, kuru iegūšana ir atkarīga no Iestādes rīcības un/vai kuras nevar iegūt Partneris, un uzņemas ar to iegūšanu saistīto risku);</w:t>
      </w:r>
    </w:p>
    <w:p w14:paraId="40CBB097"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Partneris uzņemas atbildību par aktīva būvniecību atbilstoši Iestādes specifikācijām un saskaņā ar atbilstošajiem tiesību aktiem, nozares standartiem un labu praksi;</w:t>
      </w:r>
    </w:p>
    <w:p w14:paraId="48C82595"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14:paraId="32B026AE"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lastRenderedPageBreak/>
        <w:t>Iestādei ir tiesības uzraudzīt būvdarbu virzību un kvalitāti un pieprasīt, lai Partneris novērš neatbilstības;</w:t>
      </w:r>
    </w:p>
    <w:p w14:paraId="72242EBC"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aktīva pabeigšanu novērtē atbilstoši objektīviem kritērijiem, kas noteikti PPP līgumā (sk. turpmāk 2.3. tematu);</w:t>
      </w:r>
    </w:p>
    <w:p w14:paraId="3CAD523B" w14:textId="77777777" w:rsidR="00D43EDD" w:rsidRPr="0039498B" w:rsidRDefault="00D43EDD" w:rsidP="00DC1556">
      <w:pPr>
        <w:pStyle w:val="Sarakstarindkopa"/>
        <w:numPr>
          <w:ilvl w:val="0"/>
          <w:numId w:val="20"/>
        </w:numPr>
        <w:spacing w:after="0" w:line="240" w:lineRule="auto"/>
        <w:ind w:left="709" w:hanging="283"/>
        <w:jc w:val="both"/>
        <w:rPr>
          <w:rFonts w:ascii="Times New Roman" w:eastAsia="Times New Roman" w:hAnsi="Times New Roman" w:cs="Times New Roman"/>
          <w:color w:val="231F20"/>
          <w:sz w:val="24"/>
          <w:szCs w:val="24"/>
          <w:lang w:eastAsia="lv-LV"/>
        </w:rPr>
      </w:pPr>
      <w:r w:rsidRPr="0039498B">
        <w:rPr>
          <w:rFonts w:ascii="Times New Roman" w:eastAsia="Times New Roman" w:hAnsi="Times New Roman" w:cs="Times New Roman"/>
          <w:color w:val="231F20"/>
          <w:sz w:val="24"/>
          <w:szCs w:val="24"/>
          <w:lang w:eastAsia="lv-LV"/>
        </w:rPr>
        <w:t>parasti ir noteikti daži konkrēti apstākļi, kuros Partneris var lūgt atvieglojumus un/vai kompensāciju par aizkavēšanos un paaugstinātām izmaksām, zaudētiem ieņēmumiem un/vai izmaiņām projekta riska profilā tādu gadījumu dēļ (sk. 6. tematu), kas rodas aktīva būvniecības laikā (būvniecības fāzē).</w:t>
      </w:r>
    </w:p>
    <w:p w14:paraId="15668ADD" w14:textId="77777777" w:rsidR="0039498B" w:rsidRDefault="0039498B" w:rsidP="00D43EDD">
      <w:pPr>
        <w:spacing w:after="0" w:line="240" w:lineRule="auto"/>
        <w:jc w:val="both"/>
        <w:rPr>
          <w:rFonts w:ascii="Times New Roman" w:eastAsia="Times New Roman" w:hAnsi="Times New Roman" w:cs="Times New Roman"/>
          <w:b/>
          <w:bCs/>
          <w:i/>
          <w:iCs/>
          <w:sz w:val="24"/>
          <w:szCs w:val="24"/>
          <w:lang w:eastAsia="lv-LV"/>
        </w:rPr>
      </w:pPr>
    </w:p>
    <w:p w14:paraId="6F0F5E6E" w14:textId="34435026"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FCBEAEB" w14:textId="77777777" w:rsidR="0039498B"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01C2015B" w14:textId="689C2E05" w:rsidR="00D43EDD"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t xml:space="preserve">Eurostat uzskata, ka iepriekš aprakstītā parastā pieeja atbildībai par būvniecību </w:t>
      </w:r>
      <w:r w:rsidRPr="000761E9">
        <w:rPr>
          <w:rFonts w:ascii="Times New Roman" w:eastAsia="Times New Roman" w:hAnsi="Times New Roman" w:cs="Times New Roman"/>
          <w:b/>
          <w:bCs/>
          <w:i/>
          <w:iCs/>
          <w:color w:val="CC6A28"/>
          <w:sz w:val="24"/>
          <w:szCs w:val="24"/>
          <w:lang w:eastAsia="lv-LV"/>
        </w:rPr>
        <w:t>neietekmē statistisko uzskaiti</w:t>
      </w:r>
      <w:r w:rsidRPr="000761E9">
        <w:rPr>
          <w:rFonts w:ascii="Times New Roman" w:eastAsia="Times New Roman" w:hAnsi="Times New Roman" w:cs="Times New Roman"/>
          <w:i/>
          <w:iCs/>
          <w:color w:val="CC6A28"/>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CC6A28"/>
          <w:sz w:val="24"/>
          <w:szCs w:val="24"/>
          <w:lang w:eastAsia="lv-LV"/>
        </w:rPr>
        <w:t>Īpaši Eurostat uzskata, ka:</w:t>
      </w:r>
    </w:p>
    <w:p w14:paraId="4A9E55CD" w14:textId="77777777" w:rsidR="0039498B" w:rsidRPr="000761E9"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362A9018" w14:textId="77777777" w:rsidR="00D43EDD" w:rsidRPr="0039498B" w:rsidRDefault="00D43EDD" w:rsidP="00DC1556">
      <w:pPr>
        <w:pStyle w:val="Sarakstarindkopa"/>
        <w:numPr>
          <w:ilvl w:val="0"/>
          <w:numId w:val="21"/>
        </w:numPr>
        <w:spacing w:after="0" w:line="240" w:lineRule="auto"/>
        <w:ind w:left="709" w:hanging="283"/>
        <w:jc w:val="both"/>
        <w:rPr>
          <w:rFonts w:ascii="Times New Roman" w:eastAsia="Times New Roman" w:hAnsi="Times New Roman" w:cs="Times New Roman"/>
          <w:sz w:val="24"/>
          <w:szCs w:val="24"/>
          <w:lang w:eastAsia="lv-LV"/>
        </w:rPr>
      </w:pPr>
      <w:r w:rsidRPr="0039498B">
        <w:rPr>
          <w:rFonts w:ascii="Times New Roman" w:eastAsia="Times New Roman" w:hAnsi="Times New Roman" w:cs="Times New Roman"/>
          <w:i/>
          <w:iCs/>
          <w:color w:val="CC6A28"/>
          <w:sz w:val="24"/>
          <w:szCs w:val="24"/>
          <w:lang w:eastAsia="lv-LV"/>
        </w:rPr>
        <w:t xml:space="preserve">paredzot (vai neparedzot), ka Partnerim jāmaksā līgumsods Iestādei gadījumā, ja tas savlaicīgi nepabeidz būvniecību, </w:t>
      </w:r>
      <w:r w:rsidRPr="0039498B">
        <w:rPr>
          <w:rFonts w:ascii="Times New Roman" w:eastAsia="Times New Roman" w:hAnsi="Times New Roman" w:cs="Times New Roman"/>
          <w:b/>
          <w:bCs/>
          <w:i/>
          <w:iCs/>
          <w:color w:val="CC6A28"/>
          <w:sz w:val="24"/>
          <w:szCs w:val="24"/>
          <w:lang w:eastAsia="lv-LV"/>
        </w:rPr>
        <w:t>neietekmē statistisko uzskaiti</w:t>
      </w:r>
      <w:r w:rsidRPr="0039498B">
        <w:rPr>
          <w:rFonts w:ascii="Times New Roman" w:eastAsia="Times New Roman" w:hAnsi="Times New Roman" w:cs="Times New Roman"/>
          <w:i/>
          <w:iCs/>
          <w:color w:val="CC6A28"/>
          <w:sz w:val="24"/>
          <w:szCs w:val="24"/>
          <w:lang w:eastAsia="lv-LV"/>
        </w:rPr>
        <w:t>;</w:t>
      </w:r>
    </w:p>
    <w:p w14:paraId="4260F907" w14:textId="77777777" w:rsidR="00D43EDD" w:rsidRPr="0039498B" w:rsidRDefault="00D43EDD" w:rsidP="00DC1556">
      <w:pPr>
        <w:pStyle w:val="Sarakstarindkopa"/>
        <w:numPr>
          <w:ilvl w:val="0"/>
          <w:numId w:val="21"/>
        </w:numPr>
        <w:spacing w:after="0" w:line="240" w:lineRule="auto"/>
        <w:ind w:left="709" w:hanging="283"/>
        <w:jc w:val="both"/>
        <w:rPr>
          <w:rFonts w:ascii="Times New Roman" w:eastAsia="Times New Roman" w:hAnsi="Times New Roman" w:cs="Times New Roman"/>
          <w:sz w:val="24"/>
          <w:szCs w:val="24"/>
          <w:lang w:eastAsia="lv-LV"/>
        </w:rPr>
      </w:pPr>
      <w:r w:rsidRPr="0039498B">
        <w:rPr>
          <w:rFonts w:ascii="Times New Roman" w:eastAsia="Times New Roman" w:hAnsi="Times New Roman" w:cs="Times New Roman"/>
          <w:i/>
          <w:iCs/>
          <w:color w:val="CC6A28"/>
          <w:sz w:val="24"/>
          <w:szCs w:val="24"/>
          <w:lang w:eastAsia="lv-LV"/>
        </w:rPr>
        <w:t xml:space="preserve">paredzot (vai neparedzot), ka Iestādei ir jāmaksā Partnerim (proporcionāla) papildu atlīdzība, ja tas aktīva būvniecību pabeidz pirms termiņa, </w:t>
      </w:r>
      <w:r w:rsidRPr="0039498B">
        <w:rPr>
          <w:rFonts w:ascii="Times New Roman" w:eastAsia="Times New Roman" w:hAnsi="Times New Roman" w:cs="Times New Roman"/>
          <w:b/>
          <w:bCs/>
          <w:i/>
          <w:iCs/>
          <w:color w:val="CC6A28"/>
          <w:sz w:val="24"/>
          <w:szCs w:val="24"/>
          <w:lang w:eastAsia="lv-LV"/>
        </w:rPr>
        <w:t>neietekmē statistisko uzskaiti</w:t>
      </w:r>
      <w:r w:rsidRPr="0039498B">
        <w:rPr>
          <w:rFonts w:ascii="Times New Roman" w:eastAsia="Times New Roman" w:hAnsi="Times New Roman" w:cs="Times New Roman"/>
          <w:i/>
          <w:iCs/>
          <w:color w:val="CC6A28"/>
          <w:sz w:val="24"/>
          <w:szCs w:val="24"/>
          <w:lang w:eastAsia="lv-LV"/>
        </w:rPr>
        <w:t>;</w:t>
      </w:r>
    </w:p>
    <w:p w14:paraId="7A9563AB" w14:textId="77777777" w:rsidR="00D43EDD" w:rsidRPr="0039498B" w:rsidRDefault="00D43EDD" w:rsidP="00DC1556">
      <w:pPr>
        <w:pStyle w:val="Sarakstarindkopa"/>
        <w:numPr>
          <w:ilvl w:val="0"/>
          <w:numId w:val="21"/>
        </w:numPr>
        <w:spacing w:after="0" w:line="240" w:lineRule="auto"/>
        <w:ind w:left="709" w:hanging="283"/>
        <w:jc w:val="both"/>
        <w:rPr>
          <w:rFonts w:ascii="Times New Roman" w:eastAsia="Times New Roman" w:hAnsi="Times New Roman" w:cs="Times New Roman"/>
          <w:sz w:val="24"/>
          <w:szCs w:val="24"/>
          <w:lang w:eastAsia="lv-LV"/>
        </w:rPr>
      </w:pPr>
      <w:r w:rsidRPr="0039498B">
        <w:rPr>
          <w:rFonts w:ascii="Times New Roman" w:eastAsia="Times New Roman" w:hAnsi="Times New Roman" w:cs="Times New Roman"/>
          <w:i/>
          <w:iCs/>
          <w:color w:val="CC6A28"/>
          <w:sz w:val="24"/>
          <w:szCs w:val="24"/>
          <w:lang w:eastAsia="lv-LV"/>
        </w:rPr>
        <w:t xml:space="preserve">noteikumi, saskaņā ar kuriem Iestādei ir jāuzņemas atbildība par atļaujām un pilnvarām, kuru iegūšana atkarīga no Iestādes rīcības un/vai kuras nevar iegūt Partneris (tādu iemeslu dēļ, kas nav saistīti ar neizpildi), un saistītais risks, </w:t>
      </w:r>
      <w:r w:rsidRPr="0039498B">
        <w:rPr>
          <w:rFonts w:ascii="Times New Roman" w:eastAsia="Times New Roman" w:hAnsi="Times New Roman" w:cs="Times New Roman"/>
          <w:b/>
          <w:bCs/>
          <w:i/>
          <w:iCs/>
          <w:color w:val="CC6A28"/>
          <w:sz w:val="24"/>
          <w:szCs w:val="24"/>
          <w:lang w:eastAsia="lv-LV"/>
        </w:rPr>
        <w:t>neietekmē statistisko uzskaiti</w:t>
      </w:r>
      <w:r w:rsidRPr="0039498B">
        <w:rPr>
          <w:rFonts w:ascii="Times New Roman" w:eastAsia="Times New Roman" w:hAnsi="Times New Roman" w:cs="Times New Roman"/>
          <w:i/>
          <w:iCs/>
          <w:color w:val="CC6A28"/>
          <w:sz w:val="24"/>
          <w:szCs w:val="24"/>
          <w:lang w:eastAsia="lv-LV"/>
        </w:rPr>
        <w:t>.</w:t>
      </w:r>
    </w:p>
    <w:p w14:paraId="55D60AD0" w14:textId="77777777" w:rsidR="0039498B"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1AD8962D" w14:textId="374E6719"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CC6A28"/>
          <w:sz w:val="24"/>
          <w:szCs w:val="24"/>
          <w:lang w:eastAsia="lv-LV"/>
        </w:rPr>
        <w:t>Tomēr, apskatot būvniecības risku nodošanu, ir svarīgi ņemt vērā Eurostat viedokli par trīs saistītiem jautājumiem: par 2.3. tematu jeb par būvdarbu pabeigšanas pārbaudēm,</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i/>
          <w:iCs/>
          <w:color w:val="CC6A28"/>
          <w:sz w:val="24"/>
          <w:szCs w:val="24"/>
          <w:lang w:eastAsia="lv-LV"/>
        </w:rPr>
        <w:t>par 5.1. tematu jeb pamatdarbības maksājumu sākšanu un par 6. tematu jeb apstākļiem, kādos Partneris var pieprasīt atvieglojumus un/vai kompensāciju.</w:t>
      </w:r>
    </w:p>
    <w:p w14:paraId="7F54D29D" w14:textId="77777777" w:rsidR="0039498B" w:rsidRDefault="0039498B" w:rsidP="00D43EDD">
      <w:pPr>
        <w:spacing w:after="0" w:line="240" w:lineRule="auto"/>
        <w:jc w:val="both"/>
        <w:rPr>
          <w:rFonts w:ascii="Times New Roman" w:eastAsia="Times New Roman" w:hAnsi="Times New Roman" w:cs="Times New Roman"/>
          <w:b/>
          <w:bCs/>
          <w:sz w:val="24"/>
          <w:szCs w:val="24"/>
          <w:lang w:eastAsia="lv-LV"/>
        </w:rPr>
      </w:pPr>
    </w:p>
    <w:p w14:paraId="3C29BCA8" w14:textId="54A5FFD8"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2.3. </w:t>
      </w:r>
      <w:r w:rsidRPr="000761E9">
        <w:rPr>
          <w:rFonts w:ascii="Times New Roman" w:eastAsia="Times New Roman" w:hAnsi="Times New Roman" w:cs="Times New Roman"/>
          <w:b/>
          <w:bCs/>
          <w:color w:val="231F20"/>
          <w:sz w:val="24"/>
          <w:szCs w:val="24"/>
          <w:lang w:eastAsia="lv-LV"/>
        </w:rPr>
        <w:t>Būvniecības pabeigšana</w:t>
      </w:r>
    </w:p>
    <w:p w14:paraId="286715BC" w14:textId="77777777" w:rsidR="0039498B"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6CB28659" w14:textId="15B9A47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tiek noteikti objektīvi kritēriji, kurus izmanto, lai noteiktu, vai aktīva būvniecība ir pabeigta. Izpildot šos kritērijus, parasti Partneris iegūst tiesības sākt saņemt regulārus maksājumus (pamatdarbības maksājumus) no Iestādes, kuru apmērs ir atkarīgs no aktīva un/vai ar to saistīto pakalpojumu pieejamības un/vai pieprasījuma pēc tiem (sk. 4. tematu). Šie kritēriji var būt ļoti tehniski un ievērojami atšķirties katrā projektā.</w:t>
      </w:r>
    </w:p>
    <w:p w14:paraId="0DE6400C"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7B4510E0" w14:textId="5533BA4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Arī tas, kā nosaka atbilstību būvniecības pabeigšanas kritērijiem, atšķiras katrā projektā. Dažos projektos pabeigšanu apstiprina viena no pusēm (parasti tā ir Iestāde),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Partneris ir uzņēmies par (atbilstoši projektēta un būvēta) aktīva atbilstību līgumā noteiktajiem standartiem attiecībā uz darbības fāzi.</w:t>
      </w:r>
    </w:p>
    <w:p w14:paraId="3C7E8FFC"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1A669EE6" w14:textId="5E668DF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projektos PPP līgumā nosaka, ka aktīva būvniecība tiks pabeigta vairākās fāzēs. Šādā gadījumā Partneris sāk saņemt pamatdarbības maksājumus tad, kad uzskata, ka pirmā fāze atbilst attiecīgajiem pabeigšanas kritērijiem, un pamatdarbības maksājumu apmērs palielinās, kad par pabeigtām uzskata arī turpmākās fāzes.</w:t>
      </w:r>
    </w:p>
    <w:p w14:paraId="1F61FBC7" w14:textId="77777777" w:rsidR="0039498B" w:rsidRPr="000761E9" w:rsidRDefault="0039498B" w:rsidP="00D43EDD">
      <w:pPr>
        <w:spacing w:after="0" w:line="240" w:lineRule="auto"/>
        <w:jc w:val="both"/>
        <w:rPr>
          <w:rFonts w:ascii="Times New Roman" w:eastAsia="Times New Roman" w:hAnsi="Times New Roman" w:cs="Times New Roman"/>
          <w:color w:val="231F20"/>
          <w:sz w:val="24"/>
          <w:szCs w:val="24"/>
          <w:lang w:eastAsia="lv-LV"/>
        </w:rPr>
      </w:pPr>
    </w:p>
    <w:p w14:paraId="5AF5CFA3"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lastRenderedPageBreak/>
        <w:t>Eurostat piezīmes</w:t>
      </w:r>
    </w:p>
    <w:p w14:paraId="0B0A5F0C" w14:textId="77777777" w:rsidR="0039498B"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5823E3AB" w14:textId="27ED18B7" w:rsidR="00D43EDD"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t>Eurostat viedoklis par iepriekš aprakstīto pieeju būvniecības pabeigšanai ir šāds:</w:t>
      </w:r>
    </w:p>
    <w:p w14:paraId="4DD9F7A6" w14:textId="77777777" w:rsidR="0039498B" w:rsidRPr="000761E9" w:rsidRDefault="0039498B" w:rsidP="00D43EDD">
      <w:pPr>
        <w:spacing w:after="0" w:line="240" w:lineRule="auto"/>
        <w:jc w:val="both"/>
        <w:rPr>
          <w:rFonts w:ascii="Times New Roman" w:eastAsia="Times New Roman" w:hAnsi="Times New Roman" w:cs="Times New Roman"/>
          <w:i/>
          <w:iCs/>
          <w:color w:val="CC6A28"/>
          <w:sz w:val="24"/>
          <w:szCs w:val="24"/>
          <w:lang w:eastAsia="lv-LV"/>
        </w:rPr>
      </w:pPr>
    </w:p>
    <w:p w14:paraId="3EC05536" w14:textId="77777777" w:rsidR="00D43EDD" w:rsidRPr="00404D76" w:rsidRDefault="00D43EDD" w:rsidP="00DC1556">
      <w:pPr>
        <w:pStyle w:val="Sarakstarindkopa"/>
        <w:numPr>
          <w:ilvl w:val="0"/>
          <w:numId w:val="22"/>
        </w:numPr>
        <w:spacing w:after="0" w:line="240" w:lineRule="auto"/>
        <w:ind w:left="709" w:hanging="283"/>
        <w:jc w:val="both"/>
        <w:rPr>
          <w:rFonts w:ascii="Times New Roman" w:eastAsia="Times New Roman" w:hAnsi="Times New Roman" w:cs="Times New Roman"/>
          <w:sz w:val="24"/>
          <w:szCs w:val="24"/>
          <w:lang w:eastAsia="lv-LV"/>
        </w:rPr>
      </w:pPr>
      <w:r w:rsidRPr="00404D76">
        <w:rPr>
          <w:rFonts w:ascii="Times New Roman" w:eastAsia="Times New Roman" w:hAnsi="Times New Roman" w:cs="Times New Roman"/>
          <w:i/>
          <w:iCs/>
          <w:color w:val="CC6A28"/>
          <w:sz w:val="24"/>
          <w:szCs w:val="24"/>
          <w:lang w:eastAsia="lv-LV"/>
        </w:rPr>
        <w:t>process, kurā nosaka, vai aktīvs atbilst pabeigšanas kritērijiem (kā arī vai par to jāvienojas vai arī tas jākonstatē pusēm vai arī kādai neatkarīgai trešai pusei),</w:t>
      </w:r>
      <w:r w:rsidRPr="00404D76">
        <w:rPr>
          <w:rFonts w:ascii="Times New Roman" w:eastAsia="Times New Roman" w:hAnsi="Times New Roman" w:cs="Times New Roman"/>
          <w:b/>
          <w:bCs/>
          <w:i/>
          <w:iCs/>
          <w:color w:val="CC6A28"/>
          <w:sz w:val="24"/>
          <w:szCs w:val="24"/>
          <w:lang w:eastAsia="lv-LV"/>
        </w:rPr>
        <w:t xml:space="preserve"> neietekmē statistisko uzskaiti</w:t>
      </w:r>
      <w:r w:rsidRPr="00404D76">
        <w:rPr>
          <w:rFonts w:ascii="Times New Roman" w:eastAsia="Times New Roman" w:hAnsi="Times New Roman" w:cs="Times New Roman"/>
          <w:i/>
          <w:iCs/>
          <w:color w:val="CC6A28"/>
          <w:sz w:val="24"/>
          <w:szCs w:val="24"/>
          <w:lang w:eastAsia="lv-LV"/>
        </w:rPr>
        <w:t>;</w:t>
      </w:r>
    </w:p>
    <w:p w14:paraId="1EE5E487" w14:textId="77777777" w:rsidR="00404D76" w:rsidRDefault="00404D76" w:rsidP="00404D76">
      <w:pPr>
        <w:spacing w:after="0" w:line="240" w:lineRule="auto"/>
        <w:ind w:left="709" w:hanging="283"/>
        <w:jc w:val="both"/>
        <w:rPr>
          <w:rFonts w:ascii="Times New Roman" w:eastAsia="Times New Roman" w:hAnsi="Times New Roman" w:cs="Times New Roman"/>
          <w:i/>
          <w:iCs/>
          <w:color w:val="CC6A28"/>
          <w:sz w:val="24"/>
          <w:szCs w:val="24"/>
          <w:lang w:eastAsia="lv-LV"/>
        </w:rPr>
      </w:pPr>
    </w:p>
    <w:p w14:paraId="3B46AF8F" w14:textId="799687D5" w:rsidR="00D43EDD" w:rsidRPr="00404D76" w:rsidRDefault="00D43EDD" w:rsidP="00DC1556">
      <w:pPr>
        <w:pStyle w:val="Sarakstarindkopa"/>
        <w:numPr>
          <w:ilvl w:val="0"/>
          <w:numId w:val="22"/>
        </w:numPr>
        <w:spacing w:after="0" w:line="240" w:lineRule="auto"/>
        <w:ind w:left="709" w:hanging="283"/>
        <w:jc w:val="both"/>
        <w:rPr>
          <w:rFonts w:ascii="Times New Roman" w:eastAsia="Times New Roman" w:hAnsi="Times New Roman" w:cs="Times New Roman"/>
          <w:i/>
          <w:iCs/>
          <w:color w:val="CC6A28"/>
          <w:sz w:val="24"/>
          <w:szCs w:val="24"/>
          <w:lang w:eastAsia="lv-LV"/>
        </w:rPr>
      </w:pPr>
      <w:r w:rsidRPr="00404D76">
        <w:rPr>
          <w:rFonts w:ascii="Times New Roman" w:eastAsia="Times New Roman" w:hAnsi="Times New Roman" w:cs="Times New Roman"/>
          <w:i/>
          <w:iCs/>
          <w:color w:val="CC6A28"/>
          <w:sz w:val="24"/>
          <w:szCs w:val="24"/>
          <w:lang w:eastAsia="lv-LV"/>
        </w:rPr>
        <w:t>konkrēti kritēriji, kurus izmanto, lai lemtu par to, vai aktīva būvniecība ir pabeigta,</w:t>
      </w:r>
      <w:r w:rsidRPr="00404D76">
        <w:rPr>
          <w:rFonts w:ascii="Times New Roman" w:eastAsia="Times New Roman" w:hAnsi="Times New Roman" w:cs="Times New Roman"/>
          <w:b/>
          <w:bCs/>
          <w:i/>
          <w:iCs/>
          <w:color w:val="CC6A28"/>
          <w:sz w:val="24"/>
          <w:szCs w:val="24"/>
          <w:lang w:eastAsia="lv-LV"/>
        </w:rPr>
        <w:t>neietekmē statistisko uzskaiti, ja</w:t>
      </w:r>
      <w:r w:rsidRPr="00404D76">
        <w:rPr>
          <w:rFonts w:ascii="Times New Roman" w:eastAsia="Times New Roman" w:hAnsi="Times New Roman" w:cs="Times New Roman"/>
          <w:i/>
          <w:iCs/>
          <w:color w:val="CC6A28"/>
          <w:sz w:val="24"/>
          <w:szCs w:val="24"/>
          <w:lang w:eastAsia="lv-LV"/>
        </w:rPr>
        <w:t xml:space="preserve"> šie kritēriji ir i) objektīvi un skaidri noteikti PPP līgumā (t. i., tie nav atstāti atvērti kādas puses ziņā vai turpmākām pušu apspriedēm); ii) pamatoti (t. i., saskaņā ar tiem aktīvam ir jābūt tādā stāvoklī, lai to varētu lietot Iestāde vai galalietotāji).</w:t>
      </w:r>
      <w:r w:rsidRPr="00404D76">
        <w:rPr>
          <w:rFonts w:ascii="Times New Roman" w:eastAsia="Times New Roman" w:hAnsi="Times New Roman" w:cs="Times New Roman"/>
          <w:sz w:val="24"/>
          <w:szCs w:val="24"/>
          <w:lang w:eastAsia="lv-LV"/>
        </w:rPr>
        <w:t> </w:t>
      </w:r>
      <w:r w:rsidRPr="00404D76">
        <w:rPr>
          <w:rFonts w:ascii="Times New Roman" w:eastAsia="Times New Roman" w:hAnsi="Times New Roman" w:cs="Times New Roman"/>
          <w:i/>
          <w:iCs/>
          <w:color w:val="CC6A28"/>
          <w:sz w:val="24"/>
          <w:szCs w:val="24"/>
          <w:lang w:eastAsia="lv-LV"/>
        </w:rPr>
        <w:t>Citos gadījumos šis jautājums ir SVARĪGS statistiskajā uzskaitē;</w:t>
      </w:r>
    </w:p>
    <w:p w14:paraId="6972F4FC" w14:textId="77777777" w:rsidR="0039498B" w:rsidRPr="000761E9" w:rsidRDefault="0039498B" w:rsidP="00404D76">
      <w:pPr>
        <w:spacing w:after="0" w:line="240" w:lineRule="auto"/>
        <w:ind w:left="709" w:hanging="283"/>
        <w:jc w:val="both"/>
        <w:rPr>
          <w:rFonts w:ascii="Times New Roman" w:eastAsia="Times New Roman" w:hAnsi="Times New Roman" w:cs="Times New Roman"/>
          <w:i/>
          <w:iCs/>
          <w:color w:val="CC6A28"/>
          <w:sz w:val="24"/>
          <w:szCs w:val="24"/>
          <w:lang w:eastAsia="lv-LV"/>
        </w:rPr>
      </w:pPr>
    </w:p>
    <w:p w14:paraId="54AAEDC8" w14:textId="77777777" w:rsidR="00D43EDD" w:rsidRPr="00404D76" w:rsidRDefault="00D43EDD" w:rsidP="00DC1556">
      <w:pPr>
        <w:pStyle w:val="Sarakstarindkopa"/>
        <w:numPr>
          <w:ilvl w:val="0"/>
          <w:numId w:val="22"/>
        </w:numPr>
        <w:spacing w:after="0" w:line="240" w:lineRule="auto"/>
        <w:ind w:left="709" w:hanging="283"/>
        <w:jc w:val="both"/>
        <w:rPr>
          <w:rFonts w:ascii="Times New Roman" w:eastAsia="Times New Roman" w:hAnsi="Times New Roman" w:cs="Times New Roman"/>
          <w:i/>
          <w:iCs/>
          <w:color w:val="CC6A28"/>
          <w:sz w:val="24"/>
          <w:szCs w:val="24"/>
          <w:lang w:eastAsia="lv-LV"/>
        </w:rPr>
      </w:pPr>
      <w:r w:rsidRPr="00404D76">
        <w:rPr>
          <w:rFonts w:ascii="Times New Roman" w:eastAsia="Times New Roman" w:hAnsi="Times New Roman" w:cs="Times New Roman"/>
          <w:i/>
          <w:iCs/>
          <w:color w:val="CC6A28"/>
          <w:sz w:val="24"/>
          <w:szCs w:val="24"/>
          <w:lang w:eastAsia="lv-LV"/>
        </w:rPr>
        <w:t xml:space="preserve">noteikumi par aktīva pabeigšanu vairākās fāzēs, kam atbilstoši vairākās fāzēs tiek sākti pamatdarbības maksājumi, </w:t>
      </w:r>
      <w:r w:rsidRPr="00404D76">
        <w:rPr>
          <w:rFonts w:ascii="Times New Roman" w:eastAsia="Times New Roman" w:hAnsi="Times New Roman" w:cs="Times New Roman"/>
          <w:b/>
          <w:bCs/>
          <w:i/>
          <w:iCs/>
          <w:color w:val="CC6A28"/>
          <w:sz w:val="24"/>
          <w:szCs w:val="24"/>
          <w:lang w:eastAsia="lv-LV"/>
        </w:rPr>
        <w:t xml:space="preserve">neietekmē statistisko uzskaiti, ja </w:t>
      </w:r>
      <w:r w:rsidRPr="00404D76">
        <w:rPr>
          <w:rFonts w:ascii="Times New Roman" w:eastAsia="Times New Roman" w:hAnsi="Times New Roman" w:cs="Times New Roman"/>
          <w:i/>
          <w:iCs/>
          <w:color w:val="CC6A28"/>
          <w:sz w:val="24"/>
          <w:szCs w:val="24"/>
          <w:lang w:eastAsia="lv-LV"/>
        </w:rPr>
        <w:t>i) katra fāze ir saistīta ar kādu aktīva komponentu, kuru (Iestāde vai galalietotāji) tiešām var lietot atsevišķi, un ii) ar katru fāzi saistīto pamatdarbības maksājumu daļas attiecība nav lielāka par šīs fāzes kapitālizmaksu daļas attiecība pret visa aktīva kapitālizmaksām.</w:t>
      </w:r>
      <w:r w:rsidRPr="00404D76">
        <w:rPr>
          <w:rFonts w:ascii="Times New Roman" w:eastAsia="Times New Roman" w:hAnsi="Times New Roman" w:cs="Times New Roman"/>
          <w:sz w:val="24"/>
          <w:szCs w:val="24"/>
          <w:lang w:eastAsia="lv-LV"/>
        </w:rPr>
        <w:t> </w:t>
      </w:r>
      <w:r w:rsidRPr="00404D76">
        <w:rPr>
          <w:rFonts w:ascii="Times New Roman" w:eastAsia="Times New Roman" w:hAnsi="Times New Roman" w:cs="Times New Roman"/>
          <w:i/>
          <w:iCs/>
          <w:color w:val="CC6A28"/>
          <w:sz w:val="24"/>
          <w:szCs w:val="24"/>
          <w:lang w:eastAsia="lv-LV"/>
        </w:rPr>
        <w:t>Citos gadījumos šis jautājums ir SVARĪGS statistiskajā uzskaitē.</w:t>
      </w:r>
    </w:p>
    <w:p w14:paraId="715638F3" w14:textId="77777777" w:rsidR="00404D76" w:rsidRDefault="00404D76" w:rsidP="00D43EDD">
      <w:pPr>
        <w:spacing w:after="0" w:line="240" w:lineRule="auto"/>
        <w:jc w:val="both"/>
        <w:rPr>
          <w:rFonts w:ascii="Times New Roman" w:eastAsia="Times New Roman" w:hAnsi="Times New Roman" w:cs="Times New Roman"/>
          <w:i/>
          <w:iCs/>
          <w:color w:val="CC6A28"/>
          <w:sz w:val="24"/>
          <w:szCs w:val="24"/>
          <w:lang w:eastAsia="lv-LV"/>
        </w:rPr>
      </w:pPr>
    </w:p>
    <w:p w14:paraId="55E157F5" w14:textId="747CC31E" w:rsidR="00D43EDD" w:rsidRPr="000761E9"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t>Tomēr, apskatot būvniecības risku nodošanu, ir svarīgi ņemt vērā Eurostat viedokli par diviem saistītiem jautājumiem: par 5.1. tematu jeb pamatdarbības maksājumu sākšanu un 6. tematu jeb apstākļiem, kādos Partneris var pieprasīt atvieglojumus un/vai kompensāciju.</w:t>
      </w:r>
    </w:p>
    <w:p w14:paraId="49ADACA1" w14:textId="77777777" w:rsidR="00404D76" w:rsidRDefault="00404D76" w:rsidP="00D43EDD">
      <w:pPr>
        <w:spacing w:after="0" w:line="240" w:lineRule="auto"/>
        <w:jc w:val="both"/>
        <w:rPr>
          <w:rFonts w:ascii="Times New Roman" w:eastAsia="Times New Roman" w:hAnsi="Times New Roman" w:cs="Times New Roman"/>
          <w:b/>
          <w:bCs/>
          <w:sz w:val="24"/>
          <w:szCs w:val="24"/>
          <w:lang w:eastAsia="lv-LV"/>
        </w:rPr>
      </w:pPr>
    </w:p>
    <w:p w14:paraId="0FC1A096" w14:textId="522DFF72"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2.4. </w:t>
      </w:r>
      <w:r w:rsidRPr="000761E9">
        <w:rPr>
          <w:rFonts w:ascii="Times New Roman" w:eastAsia="Times New Roman" w:hAnsi="Times New Roman" w:cs="Times New Roman"/>
          <w:b/>
          <w:bCs/>
          <w:color w:val="231F20"/>
          <w:sz w:val="24"/>
          <w:szCs w:val="24"/>
          <w:lang w:eastAsia="lv-LV"/>
        </w:rPr>
        <w:t>Nebūtisku nepilnību novēršana</w:t>
      </w:r>
    </w:p>
    <w:p w14:paraId="5A1EC4A2"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39F9FD0" w14:textId="26C4773A"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bieži nosaka, ka var uzskatīt, ka aktīvs atbilst pabeigšanas kritērijiem, pat ja joprojām nav pabeigti nebūtiski būvniecības aspekti (parasti tos dēvē par nebūtiskām nepilnībām).</w:t>
      </w:r>
    </w:p>
    <w:p w14:paraId="3344EDAD"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7ED424B" w14:textId="696A6F8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Partnerim ir pienākums noteiktā termiņā novērst visas nebūtiskās nepilnības.</w:t>
      </w:r>
    </w:p>
    <w:p w14:paraId="2E0653A6"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55E45A2F" w14:textId="765ECDB3"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B53A91D" w14:textId="77777777" w:rsidR="00404D76" w:rsidRDefault="00404D76" w:rsidP="00D43EDD">
      <w:pPr>
        <w:spacing w:after="0" w:line="240" w:lineRule="auto"/>
        <w:jc w:val="both"/>
        <w:rPr>
          <w:rFonts w:ascii="Times New Roman" w:eastAsia="Times New Roman" w:hAnsi="Times New Roman" w:cs="Times New Roman"/>
          <w:i/>
          <w:iCs/>
          <w:color w:val="CC6A28"/>
          <w:sz w:val="24"/>
          <w:szCs w:val="24"/>
          <w:lang w:eastAsia="lv-LV"/>
        </w:rPr>
      </w:pPr>
    </w:p>
    <w:p w14:paraId="114C28B3" w14:textId="43C3D874" w:rsidR="00D43EDD" w:rsidRPr="000761E9"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t xml:space="preserve">Eurostat uzskata, ka noteikumi, saskaņā ar kuriem var konstatēt aktīva atbilstību pabeigšanas kritērijiem arī tad, ja tam vēl nav novērstas nebūtiskas nepilnības, </w:t>
      </w:r>
      <w:r w:rsidRPr="000761E9">
        <w:rPr>
          <w:rFonts w:ascii="Times New Roman" w:eastAsia="Times New Roman" w:hAnsi="Times New Roman" w:cs="Times New Roman"/>
          <w:b/>
          <w:bCs/>
          <w:i/>
          <w:iCs/>
          <w:color w:val="CC6A28"/>
          <w:sz w:val="24"/>
          <w:szCs w:val="24"/>
          <w:lang w:eastAsia="lv-LV"/>
        </w:rPr>
        <w:t xml:space="preserve">neietekmē statistisko uzskaiti, ja </w:t>
      </w:r>
      <w:r w:rsidRPr="000761E9">
        <w:rPr>
          <w:rFonts w:ascii="Times New Roman" w:eastAsia="Times New Roman" w:hAnsi="Times New Roman" w:cs="Times New Roman"/>
          <w:i/>
          <w:iCs/>
          <w:color w:val="CC6A28"/>
          <w:sz w:val="24"/>
          <w:szCs w:val="24"/>
          <w:lang w:eastAsia="lv-LV"/>
        </w:rPr>
        <w:t>šo nebūtisko nepilnību novēršana neietekmē aktīva pieejamību.</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CC6A28"/>
          <w:sz w:val="24"/>
          <w:szCs w:val="24"/>
          <w:lang w:eastAsia="lv-LV"/>
        </w:rPr>
        <w:t>Citos gadījumos šis jautājums ir SVARĪGS statistiskajā uzskaitē.</w:t>
      </w:r>
    </w:p>
    <w:p w14:paraId="7FD031CC" w14:textId="77777777" w:rsidR="00404D76" w:rsidRDefault="00404D76" w:rsidP="00D43EDD">
      <w:pPr>
        <w:spacing w:after="0" w:line="240" w:lineRule="auto"/>
        <w:jc w:val="both"/>
        <w:rPr>
          <w:rFonts w:ascii="Times New Roman" w:eastAsia="Times New Roman" w:hAnsi="Times New Roman" w:cs="Times New Roman"/>
          <w:b/>
          <w:bCs/>
          <w:sz w:val="24"/>
          <w:szCs w:val="24"/>
          <w:lang w:eastAsia="lv-LV"/>
        </w:rPr>
      </w:pPr>
    </w:p>
    <w:p w14:paraId="006D919A" w14:textId="638BA89B"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2.5. </w:t>
      </w:r>
      <w:r w:rsidRPr="000761E9">
        <w:rPr>
          <w:rFonts w:ascii="Times New Roman" w:eastAsia="Times New Roman" w:hAnsi="Times New Roman" w:cs="Times New Roman"/>
          <w:b/>
          <w:bCs/>
          <w:color w:val="231F20"/>
          <w:sz w:val="24"/>
          <w:szCs w:val="24"/>
          <w:lang w:eastAsia="lv-LV"/>
        </w:rPr>
        <w:t>Iestādei radušos izmaksu atlīdzināšana, ko veic Partneris</w:t>
      </w:r>
    </w:p>
    <w:p w14:paraId="10DA3F31"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1974F71" w14:textId="1FB6E2E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projektos PPP līgums paredz, ka Partneris maksā Iestādei summu, kas sedz izmaksas, kuras Iestādei radušās saistībā ar projekta sagatavošanu līdz finanšu izpildes dienai (piemēram, saistībā ar projekta īstenošanas vietas izpēti vai tās sagatavošanas darbu veikšanu).</w:t>
      </w:r>
    </w:p>
    <w:p w14:paraId="462AFF1F"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3AFF182"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21CBC2B" w14:textId="77777777" w:rsidR="00404D76" w:rsidRDefault="00404D76" w:rsidP="00D43EDD">
      <w:pPr>
        <w:spacing w:after="0" w:line="240" w:lineRule="auto"/>
        <w:jc w:val="both"/>
        <w:rPr>
          <w:rFonts w:ascii="Times New Roman" w:eastAsia="Times New Roman" w:hAnsi="Times New Roman" w:cs="Times New Roman"/>
          <w:i/>
          <w:iCs/>
          <w:color w:val="CC6A28"/>
          <w:sz w:val="24"/>
          <w:szCs w:val="24"/>
          <w:lang w:eastAsia="lv-LV"/>
        </w:rPr>
      </w:pPr>
    </w:p>
    <w:p w14:paraId="50898DD4" w14:textId="7A8A2E3C" w:rsidR="00D43EDD" w:rsidRPr="000761E9" w:rsidRDefault="00D43EDD" w:rsidP="00D43EDD">
      <w:pPr>
        <w:spacing w:after="0" w:line="240" w:lineRule="auto"/>
        <w:jc w:val="both"/>
        <w:rPr>
          <w:rFonts w:ascii="Times New Roman" w:eastAsia="Times New Roman" w:hAnsi="Times New Roman" w:cs="Times New Roman"/>
          <w:i/>
          <w:iCs/>
          <w:color w:val="CC6A28"/>
          <w:sz w:val="24"/>
          <w:szCs w:val="24"/>
          <w:lang w:eastAsia="lv-LV"/>
        </w:rPr>
      </w:pPr>
      <w:r w:rsidRPr="000761E9">
        <w:rPr>
          <w:rFonts w:ascii="Times New Roman" w:eastAsia="Times New Roman" w:hAnsi="Times New Roman" w:cs="Times New Roman"/>
          <w:i/>
          <w:iCs/>
          <w:color w:val="CC6A28"/>
          <w:sz w:val="24"/>
          <w:szCs w:val="24"/>
          <w:lang w:eastAsia="lv-LV"/>
        </w:rPr>
        <w:lastRenderedPageBreak/>
        <w:t xml:space="preserve">Eurostat uzskata, ka noteikumi, saskaņā ar kuriem Partnerim ir jāveic šādi maksājumi Iestādei, </w:t>
      </w:r>
      <w:r w:rsidRPr="000761E9">
        <w:rPr>
          <w:rFonts w:ascii="Times New Roman" w:eastAsia="Times New Roman" w:hAnsi="Times New Roman" w:cs="Times New Roman"/>
          <w:b/>
          <w:bCs/>
          <w:i/>
          <w:iCs/>
          <w:color w:val="CC6A28"/>
          <w:sz w:val="24"/>
          <w:szCs w:val="24"/>
          <w:lang w:eastAsia="lv-LV"/>
        </w:rPr>
        <w:t xml:space="preserve">neietekmē statistisko uzskaiti, ja </w:t>
      </w:r>
      <w:r w:rsidRPr="000761E9">
        <w:rPr>
          <w:rFonts w:ascii="Times New Roman" w:eastAsia="Times New Roman" w:hAnsi="Times New Roman" w:cs="Times New Roman"/>
          <w:i/>
          <w:iCs/>
          <w:color w:val="CC6A28"/>
          <w:sz w:val="24"/>
          <w:szCs w:val="24"/>
          <w:lang w:eastAsia="lv-LV"/>
        </w:rPr>
        <w:t>šie maksājumi attiecas uz skaidri identificējamām izmaksām, kas Iestādei radušās tiešā saistībā ar projektu.</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CC6A28"/>
          <w:sz w:val="24"/>
          <w:szCs w:val="24"/>
          <w:lang w:eastAsia="lv-LV"/>
        </w:rPr>
        <w:t>Citos gadījumos šis jautājums ir SVARĪGS statistiskajā uzskaitē.</w:t>
      </w:r>
    </w:p>
    <w:p w14:paraId="0F3CF6F6"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15CA5FEA" w14:textId="436B8793"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2.6. Partnera izpildes garantijas</w:t>
      </w:r>
    </w:p>
    <w:p w14:paraId="58AAF5EB"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9CF783D" w14:textId="30DAE5B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Partnerim ir jāsniedz Iestādei trešās puses garantija par Partnera vai tā galveno apakšuzņēmēju būvniecības saistību izpildi. Šo garantiju var sniegt, piemēram, banka vai uzņēmums, kam pieder Partnera pašu kapitāla daļa.</w:t>
      </w:r>
    </w:p>
    <w:p w14:paraId="3EB66D15"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11FB391F" w14:textId="31A915CF"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D85D064" w14:textId="77777777" w:rsidR="00404D76" w:rsidRDefault="00404D76" w:rsidP="00D43EDD">
      <w:pPr>
        <w:spacing w:after="0" w:line="240" w:lineRule="auto"/>
        <w:jc w:val="both"/>
        <w:rPr>
          <w:rFonts w:ascii="Times New Roman" w:eastAsia="Times New Roman" w:hAnsi="Times New Roman" w:cs="Times New Roman"/>
          <w:i/>
          <w:iCs/>
          <w:color w:val="CC6A28"/>
          <w:sz w:val="24"/>
          <w:szCs w:val="24"/>
          <w:lang w:eastAsia="lv-LV"/>
        </w:rPr>
      </w:pPr>
    </w:p>
    <w:p w14:paraId="21598327" w14:textId="77839205"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CC6A28"/>
          <w:sz w:val="24"/>
          <w:szCs w:val="24"/>
          <w:lang w:eastAsia="lv-LV"/>
        </w:rPr>
        <w:t xml:space="preserve">Eurostat uzskata, ka izpildes garantiju sniegšana Iestādei </w:t>
      </w:r>
      <w:r w:rsidRPr="000761E9">
        <w:rPr>
          <w:rFonts w:ascii="Times New Roman" w:eastAsia="Times New Roman" w:hAnsi="Times New Roman" w:cs="Times New Roman"/>
          <w:b/>
          <w:bCs/>
          <w:i/>
          <w:iCs/>
          <w:color w:val="CC6A28"/>
          <w:sz w:val="24"/>
          <w:szCs w:val="24"/>
          <w:lang w:eastAsia="lv-LV"/>
        </w:rPr>
        <w:t>neietekmē statistisko uzskaiti.</w:t>
      </w:r>
    </w:p>
    <w:p w14:paraId="2A220482" w14:textId="7613B6EE" w:rsidR="00404D76" w:rsidRDefault="00404D76">
      <w:pPr>
        <w:rPr>
          <w:rFonts w:ascii="Times New Roman" w:eastAsia="Times New Roman" w:hAnsi="Times New Roman" w:cs="Times New Roman"/>
          <w:b/>
          <w:bCs/>
          <w:color w:val="A71C20"/>
          <w:sz w:val="24"/>
          <w:szCs w:val="24"/>
          <w:lang w:eastAsia="lv-LV"/>
        </w:rPr>
      </w:pPr>
      <w:r>
        <w:rPr>
          <w:rFonts w:ascii="Times New Roman" w:eastAsia="Times New Roman" w:hAnsi="Times New Roman" w:cs="Times New Roman"/>
          <w:b/>
          <w:bCs/>
          <w:color w:val="A71C20"/>
          <w:sz w:val="24"/>
          <w:szCs w:val="24"/>
          <w:lang w:eastAsia="lv-LV"/>
        </w:rPr>
        <w:br w:type="page"/>
      </w:r>
    </w:p>
    <w:p w14:paraId="6D5DC224" w14:textId="77777777" w:rsidR="00404D76" w:rsidRDefault="00404D76" w:rsidP="00D43EDD">
      <w:pPr>
        <w:spacing w:after="0" w:line="240" w:lineRule="auto"/>
        <w:jc w:val="both"/>
        <w:rPr>
          <w:rFonts w:ascii="Times New Roman" w:eastAsia="Times New Roman" w:hAnsi="Times New Roman" w:cs="Times New Roman"/>
          <w:b/>
          <w:bCs/>
          <w:color w:val="A71C20"/>
          <w:sz w:val="24"/>
          <w:szCs w:val="24"/>
          <w:lang w:eastAsia="lv-LV"/>
        </w:rPr>
      </w:pPr>
    </w:p>
    <w:p w14:paraId="383FEF0A" w14:textId="6198487E" w:rsidR="00D43EDD" w:rsidRPr="00586FD8" w:rsidRDefault="00D43EDD" w:rsidP="00586FD8">
      <w:pPr>
        <w:pStyle w:val="Virsraksts1"/>
        <w:rPr>
          <w:rFonts w:eastAsia="Times New Roman"/>
          <w:b w:val="0"/>
          <w:color w:val="auto"/>
          <w:szCs w:val="28"/>
          <w:lang w:eastAsia="lv-LV"/>
        </w:rPr>
      </w:pPr>
      <w:bookmarkStart w:id="8" w:name="_Toc528941572"/>
      <w:r w:rsidRPr="000761E9">
        <w:rPr>
          <w:rFonts w:eastAsia="Times New Roman"/>
          <w:color w:val="A71C20"/>
          <w:lang w:eastAsia="lv-LV"/>
        </w:rPr>
        <w:t xml:space="preserve">3. temats. </w:t>
      </w:r>
      <w:r w:rsidRPr="00586FD8">
        <w:rPr>
          <w:rFonts w:eastAsia="Times New Roman"/>
          <w:b w:val="0"/>
          <w:color w:val="auto"/>
          <w:szCs w:val="28"/>
          <w:lang w:eastAsia="lv-LV"/>
        </w:rPr>
        <w:t>Aktīva ekspluatācija un uzturēšana</w:t>
      </w:r>
      <w:bookmarkEnd w:id="8"/>
    </w:p>
    <w:p w14:paraId="00849FF1"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3D371D65" w14:textId="40EDDEAE"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3.1. Atbildība par ekspluatāciju un uzturēšanu</w:t>
      </w:r>
    </w:p>
    <w:p w14:paraId="2D7EC047"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D6B7AB5" w14:textId="7AF89526"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Dažādos sektoros un projektos tiek izmantotas ļoti atšķirīgas prakses, lai noteiktu Partnera sniedzamo uzturēšanas un/vai ekspluatācijas pakalpojumu darbības jomu.</w:t>
      </w:r>
    </w:p>
    <w:p w14:paraId="79A8D6BB"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49A43EC" w14:textId="5D42B52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Šīs atšķirības ilustrē šādi piemēri:</w:t>
      </w:r>
    </w:p>
    <w:p w14:paraId="632C5E53"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1BF8B10" w14:textId="77777777" w:rsidR="00D43EDD" w:rsidRPr="00404D76" w:rsidRDefault="00D43EDD" w:rsidP="00DC1556">
      <w:pPr>
        <w:pStyle w:val="Sarakstarindkopa"/>
        <w:numPr>
          <w:ilvl w:val="0"/>
          <w:numId w:val="23"/>
        </w:numPr>
        <w:spacing w:after="0" w:line="240" w:lineRule="auto"/>
        <w:ind w:hanging="294"/>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dažos autoceļu projektos Partnerim ir jābūt pirmajam, kas reaģē gadījumos, kad transportlīdzekļiem rodas tehniskas problēmas, turpretī citos projektos pienākumu sniegt šo pakalpojumu saglabā Iestāde (un iespējams slēdz apakšuzņēmuma līgumu ar kādu trešo pusi);</w:t>
      </w:r>
    </w:p>
    <w:p w14:paraId="14D872A1" w14:textId="77777777" w:rsidR="00D43EDD" w:rsidRPr="00404D76" w:rsidRDefault="00D43EDD" w:rsidP="00DC1556">
      <w:pPr>
        <w:pStyle w:val="Sarakstarindkopa"/>
        <w:numPr>
          <w:ilvl w:val="0"/>
          <w:numId w:val="23"/>
        </w:numPr>
        <w:spacing w:after="0" w:line="240" w:lineRule="auto"/>
        <w:ind w:hanging="294"/>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dažos izmitināšanas projektos (piemēram, skolas un slimnīcas) Partnerim ir jāsniedz ēdināšanas, tīrīšanas, apsardzes un/vai veļas mazgāšanas pakalpojumi (un dažos gadījumos pat klīniskie pakalpojumi), turpretī citos – Partnerim ir tikai jāveic aktīva uzturēšana;</w:t>
      </w:r>
    </w:p>
    <w:p w14:paraId="2AE85166" w14:textId="77777777" w:rsidR="00D43EDD" w:rsidRPr="00404D76" w:rsidRDefault="00D43EDD" w:rsidP="00DC1556">
      <w:pPr>
        <w:pStyle w:val="Sarakstarindkopa"/>
        <w:numPr>
          <w:ilvl w:val="0"/>
          <w:numId w:val="23"/>
        </w:numPr>
        <w:spacing w:after="0" w:line="240" w:lineRule="auto"/>
        <w:ind w:hanging="294"/>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dažos projektos Iestāde uzņemas atbildību par dažu aktīva komponentu vai Partnera nodrošinātā aktīva aprīkojuma (piemēram, ēdināšanas aprīkojuma skolā vai medicīniskā aprīkojuma slimnīcā) uzturēšanu un/vai nomaiņu.</w:t>
      </w:r>
    </w:p>
    <w:p w14:paraId="7937299E"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42636FFD" w14:textId="382B8918"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98C20E3"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5DC5AA1D" w14:textId="1ABFC242" w:rsidR="00D43EDD" w:rsidRPr="000761E9"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Kā norādīts 2. nodaļā, lai projektu Noteikumu vajadzībām uzskatītu par PPP, Partnerim vismaz ir jābūt pienākumam uzturēt aktīvu atbilstošā stāvoklī līguma darbības laikā, lai to darītu pieejamu Iestādei vai citiem galalietotājiem.</w:t>
      </w:r>
    </w:p>
    <w:p w14:paraId="03E61A6F"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63834CA6" w14:textId="2D90BCA3" w:rsidR="00D43EDD"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 xml:space="preserve">Šādā gadījumā tas, ka Partnera pienākumos ietilpst vai neietilpst pakalpojumi, kas ir sekundāri salīdzinājumā ar aktīva uzturēšanu, </w:t>
      </w:r>
      <w:r w:rsidRPr="000761E9">
        <w:rPr>
          <w:rFonts w:ascii="Times New Roman" w:eastAsia="Times New Roman" w:hAnsi="Times New Roman" w:cs="Times New Roman"/>
          <w:b/>
          <w:bCs/>
          <w:i/>
          <w:iCs/>
          <w:color w:val="A71C20"/>
          <w:sz w:val="24"/>
          <w:szCs w:val="24"/>
          <w:lang w:eastAsia="lv-LV"/>
        </w:rPr>
        <w:t>neietekmē statistisko uzskaiti</w:t>
      </w:r>
      <w:r w:rsidRPr="000761E9">
        <w:rPr>
          <w:rFonts w:ascii="Times New Roman" w:eastAsia="Times New Roman" w:hAnsi="Times New Roman" w:cs="Times New Roman"/>
          <w:i/>
          <w:iCs/>
          <w:color w:val="A71C20"/>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A71C20"/>
          <w:sz w:val="24"/>
          <w:szCs w:val="24"/>
          <w:lang w:eastAsia="lv-LV"/>
        </w:rPr>
        <w:t>2. nodaļā ir minēti to pakalpojumu piemēri, kurus Eurostat uzskata par sekundāriem.</w:t>
      </w:r>
    </w:p>
    <w:p w14:paraId="24A1886B" w14:textId="77777777" w:rsidR="00404D76" w:rsidRPr="000761E9"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5730EB22" w14:textId="63FB241F" w:rsidR="00D43EDD"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 xml:space="preserve">Eurostat uzskata, ka tas, ka Iestāde uzņemas pienākumu uzturēt un/vai nomainīt kādu aktīva komponentu, </w:t>
      </w:r>
      <w:r w:rsidRPr="000761E9">
        <w:rPr>
          <w:rFonts w:ascii="Times New Roman" w:eastAsia="Times New Roman" w:hAnsi="Times New Roman" w:cs="Times New Roman"/>
          <w:b/>
          <w:bCs/>
          <w:i/>
          <w:iCs/>
          <w:color w:val="A71C20"/>
          <w:sz w:val="24"/>
          <w:szCs w:val="24"/>
          <w:lang w:eastAsia="lv-LV"/>
        </w:rPr>
        <w:t>ietekmē statistisko uzskaiti</w:t>
      </w:r>
      <w:r w:rsidRPr="000761E9">
        <w:rPr>
          <w:rFonts w:ascii="Times New Roman" w:eastAsia="Times New Roman" w:hAnsi="Times New Roman" w:cs="Times New Roman"/>
          <w:i/>
          <w:iCs/>
          <w:color w:val="A71C20"/>
          <w:sz w:val="24"/>
          <w:szCs w:val="24"/>
          <w:lang w:eastAsia="lv-LV"/>
        </w:rPr>
        <w:t xml:space="preserve"> un ir statistiskajā uzskaitē SVARĪGS jautājums.</w:t>
      </w:r>
    </w:p>
    <w:p w14:paraId="34A59C65"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0224B9B6" w14:textId="77777777" w:rsidR="00D43EDD" w:rsidRPr="000761E9"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 xml:space="preserve">Tas, ka Iestāde uzņemas pienākumu uzturēt un/vai nomainīt jebkādu aprīkojumu, kuru ir nodrošinājis Partneris, bet kas citādi neietilpst Partnera pienākumos un nav saistīts ar aktīva pieejamību, </w:t>
      </w:r>
      <w:r w:rsidRPr="000761E9">
        <w:rPr>
          <w:rFonts w:ascii="Times New Roman" w:eastAsia="Times New Roman" w:hAnsi="Times New Roman" w:cs="Times New Roman"/>
          <w:b/>
          <w:bCs/>
          <w:i/>
          <w:iCs/>
          <w:color w:val="A71C20"/>
          <w:sz w:val="24"/>
          <w:szCs w:val="24"/>
          <w:lang w:eastAsia="lv-LV"/>
        </w:rPr>
        <w:t>neietekmē PPP statistisko uzskaiti</w:t>
      </w:r>
      <w:r w:rsidRPr="000761E9">
        <w:rPr>
          <w:rFonts w:ascii="Times New Roman" w:eastAsia="Times New Roman" w:hAnsi="Times New Roman" w:cs="Times New Roman"/>
          <w:i/>
          <w:iCs/>
          <w:color w:val="A71C20"/>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A71C20"/>
          <w:sz w:val="24"/>
          <w:szCs w:val="24"/>
          <w:lang w:eastAsia="lv-LV"/>
        </w:rPr>
        <w:t>Tomēr, lai novērtētu paša aprīkojuma vai tā finansēšanas pasākumu statistisko uzskaiti, var būt nepieciešama atsevišķa analīze (sk. piezīmes 1. nodaļā).</w:t>
      </w:r>
    </w:p>
    <w:p w14:paraId="15F088BC"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3829447E" w14:textId="506D8E1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3.2. Ekspluatācijas un uzturēšanas standarti</w:t>
      </w:r>
    </w:p>
    <w:p w14:paraId="4FD92EAE"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4500B00" w14:textId="59E0A47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līgumi nosaka standartus, saskaņā ar kuriem Partnerim ir jāekspluatē un jāuztur aktīvs. Dažādos projektos var ievērojami atšķirties gan konkrētie standarti, gan sekas, kas iestājas, ja Partneris tos neizpilda. Tomēr tādu neizpildes gadījumu sekas, kuru dēļ aktīvs nav pieejams lietošanai, ir samazināti pamatdarbības maksājumi (sk. 4. tematu).</w:t>
      </w:r>
    </w:p>
    <w:p w14:paraId="1A1298F1"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CAE40AB" w14:textId="5682070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Parasti PPP līgumos nosaka kārtību, kādā tiek regulāri uzraudzīts, vai Partneris izpilda attiecīgos standartus, un ziņots par to. Lai gan var ievērojami atšķirties dažādos līgumos </w:t>
      </w:r>
      <w:r w:rsidRPr="000761E9">
        <w:rPr>
          <w:rFonts w:ascii="Times New Roman" w:eastAsia="Times New Roman" w:hAnsi="Times New Roman" w:cs="Times New Roman"/>
          <w:color w:val="231F20"/>
          <w:sz w:val="24"/>
          <w:szCs w:val="24"/>
          <w:lang w:eastAsia="lv-LV"/>
        </w:rPr>
        <w:lastRenderedPageBreak/>
        <w:t>noteiktā sīki izstrādātā kārtība (tostarp uzraudzības un ziņošanas biežums un metodoloģija), vairums līgumu paredz, ka Partnerim ir pašam jāziņo par sevi un ka Iestādei ir tiesības veikt papildu uzraudzību un/vai auditēt Partnera ziņojumus.</w:t>
      </w:r>
    </w:p>
    <w:p w14:paraId="555386B5"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E1CC008"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97D6B44"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079FFC33" w14:textId="2B88C774" w:rsidR="00D43EDD"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Eurostat uzskata, ka:</w:t>
      </w:r>
    </w:p>
    <w:p w14:paraId="39587464" w14:textId="77777777" w:rsidR="00404D76" w:rsidRPr="000761E9"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121603F7" w14:textId="77777777" w:rsidR="00D43EDD" w:rsidRPr="00404D76" w:rsidRDefault="00D43EDD" w:rsidP="00DC1556">
      <w:pPr>
        <w:pStyle w:val="Sarakstarindkopa"/>
        <w:numPr>
          <w:ilvl w:val="0"/>
          <w:numId w:val="24"/>
        </w:numPr>
        <w:spacing w:after="0" w:line="240" w:lineRule="auto"/>
        <w:ind w:left="709" w:hanging="283"/>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standartos, atbilstoši kuriem Partnerim ir jāveic aktīva ekspluatācija un uzturēšana, ir jānorāda vismaz apstākļi, kādos šo aktīvu tiešām var lietot;</w:t>
      </w:r>
    </w:p>
    <w:p w14:paraId="0D01821C" w14:textId="77777777" w:rsidR="00D43EDD" w:rsidRPr="00404D76" w:rsidRDefault="00D43EDD" w:rsidP="00DC1556">
      <w:pPr>
        <w:pStyle w:val="Sarakstarindkopa"/>
        <w:numPr>
          <w:ilvl w:val="0"/>
          <w:numId w:val="24"/>
        </w:numPr>
        <w:spacing w:after="0" w:line="240" w:lineRule="auto"/>
        <w:ind w:left="709" w:hanging="283"/>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kārtībai, kādā tiek uzraudzīts, vai Partneris izpilda šos standartus, un ziņots par to, jābūt tādai, lai Iestāde varētu Partnerim noteikt sankcijas par prasību neizpildi (sīkāku informāciju sk. 4. tematā).</w:t>
      </w:r>
    </w:p>
    <w:p w14:paraId="7243D0D9"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46FC4C1C" w14:textId="1175E0F5"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A71C20"/>
          <w:sz w:val="24"/>
          <w:szCs w:val="24"/>
          <w:lang w:eastAsia="lv-LV"/>
        </w:rPr>
        <w:t xml:space="preserve">Tāds PPP līgums, kas neatbilst nevienam no šiem nosacījumiem, </w:t>
      </w:r>
      <w:r w:rsidRPr="000761E9">
        <w:rPr>
          <w:rFonts w:ascii="Times New Roman" w:eastAsia="Times New Roman" w:hAnsi="Times New Roman" w:cs="Times New Roman"/>
          <w:b/>
          <w:bCs/>
          <w:i/>
          <w:iCs/>
          <w:color w:val="A71C20"/>
          <w:sz w:val="24"/>
          <w:szCs w:val="24"/>
          <w:lang w:eastAsia="lv-LV"/>
        </w:rPr>
        <w:t>ietekmē statistisko uzskaiti</w:t>
      </w:r>
      <w:r w:rsidRPr="000761E9">
        <w:rPr>
          <w:rFonts w:ascii="Times New Roman" w:eastAsia="Times New Roman" w:hAnsi="Times New Roman" w:cs="Times New Roman"/>
          <w:i/>
          <w:iCs/>
          <w:color w:val="A71C20"/>
          <w:sz w:val="24"/>
          <w:szCs w:val="24"/>
          <w:lang w:eastAsia="lv-LV"/>
        </w:rPr>
        <w:t>, un šo PPP automātiski reģistrē valdības BILANCĒ.</w:t>
      </w:r>
    </w:p>
    <w:p w14:paraId="17FE6E84"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2C7989EB" w14:textId="6B1B790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3.3. Uzturēšanas plāns</w:t>
      </w:r>
    </w:p>
    <w:p w14:paraId="0762E36E"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87AC01E" w14:textId="16E26C56"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tiek prasīts, ka Partnerim ir jāveic gan plānotā uzturēšana, gan avārijas remonts, lai nodrošinātu aktīva atbilstību noteiktajiem standartiem.</w:t>
      </w:r>
    </w:p>
    <w:p w14:paraId="769C14F5"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F2D73CC" w14:textId="77BBB1AC"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noteikts, ka plānotā uzturēšana ir jāveic atbilstoši saskaņotam plānam vai programmai. Partneris regulāri atjaunina uzturēšanas plānu vai programmu un iesniedz to Iestādei apstiprināšanai.</w:t>
      </w:r>
    </w:p>
    <w:p w14:paraId="23E5FA48"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23F628DA" w14:textId="5CDCF669"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EA0E88C"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0B178FF9" w14:textId="2E06308E" w:rsidR="00D43EDD"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Eurostat uzskata, ka noteikumi, saskaņā ar kuriem Iestāde ir tiesīga apstiprināt uzturēšanas plānus vai programmas,</w:t>
      </w:r>
      <w:r w:rsidRPr="000761E9">
        <w:rPr>
          <w:rFonts w:ascii="Times New Roman" w:eastAsia="Times New Roman" w:hAnsi="Times New Roman" w:cs="Times New Roman"/>
          <w:b/>
          <w:bCs/>
          <w:i/>
          <w:iCs/>
          <w:color w:val="A71C20"/>
          <w:sz w:val="24"/>
          <w:szCs w:val="24"/>
          <w:lang w:eastAsia="lv-LV"/>
        </w:rPr>
        <w:t xml:space="preserve"> neietekmē statistisko uzskaiti, ja </w:t>
      </w:r>
      <w:r w:rsidRPr="000761E9">
        <w:rPr>
          <w:rFonts w:ascii="Times New Roman" w:eastAsia="Times New Roman" w:hAnsi="Times New Roman" w:cs="Times New Roman"/>
          <w:i/>
          <w:iCs/>
          <w:color w:val="A71C20"/>
          <w:sz w:val="24"/>
          <w:szCs w:val="24"/>
          <w:lang w:eastAsia="lv-LV"/>
        </w:rPr>
        <w:t>tiek izpildīti šādi nosacījumi:</w:t>
      </w:r>
    </w:p>
    <w:p w14:paraId="3E818E6E"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33C061EB" w14:textId="77777777" w:rsidR="00D43EDD" w:rsidRPr="00404D76" w:rsidRDefault="00D43EDD" w:rsidP="00DC1556">
      <w:pPr>
        <w:pStyle w:val="Sarakstarindkopa"/>
        <w:numPr>
          <w:ilvl w:val="0"/>
          <w:numId w:val="25"/>
        </w:numPr>
        <w:spacing w:after="0" w:line="240" w:lineRule="auto"/>
        <w:ind w:hanging="294"/>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Iestādes apstiprinājums nemazina un neatceļ Partnera atbildību par aktīva vai sniegto pakalpojumu nepilnībām. Citos gadījumos šis jautājums ir SVARĪGS statistiskajā uzskaitē;</w:t>
      </w:r>
    </w:p>
    <w:p w14:paraId="27B4540A" w14:textId="77777777" w:rsidR="00D43EDD" w:rsidRPr="00404D76" w:rsidRDefault="00D43EDD" w:rsidP="00DC1556">
      <w:pPr>
        <w:pStyle w:val="Sarakstarindkopa"/>
        <w:numPr>
          <w:ilvl w:val="0"/>
          <w:numId w:val="25"/>
        </w:numPr>
        <w:spacing w:after="0" w:line="240" w:lineRule="auto"/>
        <w:ind w:hanging="294"/>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PPP līgumā Partnerim nav noteikts pienākums uzņemties uzturēšanas izmaksas plānotajā laikā, ja tas var pierādīt, ka uzturēšanas atlikšana negatīvi neietekmēs aktīva stāvokli, pakalpojumus vai aktīva izmantošanu, ko veic Iestāde vai galalietotāji. Citos gadījumos šis jautājums ir VIDĒJI SVARĪGS statistiskajā uzskaitē.</w:t>
      </w:r>
    </w:p>
    <w:p w14:paraId="783FA8D4"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091A142B" w14:textId="0B41D972"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3.4. Uzturēšanas fonds</w:t>
      </w:r>
    </w:p>
    <w:p w14:paraId="55A845F2"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1DDA1210" w14:textId="3390435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Mazākajā daļā PPP līgumu Partnerim nosaka pienākumu rezervēt naudu, lai finansētu turpmākās uzturēšanas saistības. Šis pienākums, kuru var piemērot Iestāde, atšķiras no prasības veidot uzturēšanas naudas rezerves, ko Partnerim nosaka finansētāji.</w:t>
      </w:r>
    </w:p>
    <w:p w14:paraId="4074F039"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CC0490E" w14:textId="61307F5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Iestādei paredz tiesības saņemt daļu no finanšu ietaupījumiem, ko Partneris rada, efektīvi pārvaldot uzturēšanas risku. Piemēram, Iestāde var būt tiesīga saņemt daļu no ietaupījumiem, ja faktiskās izmaksas, kas rodas Partnerim, uzturot aktīvu noteiktajiem standartiem atbilstošā stāvoklī (ko novērtē pēc noteiktiem intervāliem vai PPP līguma darbības termiņa beigās), ir zemākas nekā izmaksas, kas tika prognozētas, parakstot PPP līgumu.</w:t>
      </w:r>
    </w:p>
    <w:p w14:paraId="1C921522"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135DBF54"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A34D8F5"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23A1F23C" w14:textId="2873D392" w:rsidR="00D43EDD" w:rsidRDefault="00D43EDD" w:rsidP="00D43EDD">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 xml:space="preserve">Eurostat uzskata, ka noteikumi, saskaņā ar kuriem Partnerim ir jāveido uzturēšanas fonds, </w:t>
      </w:r>
      <w:r w:rsidRPr="000761E9">
        <w:rPr>
          <w:rFonts w:ascii="Times New Roman" w:eastAsia="Times New Roman" w:hAnsi="Times New Roman" w:cs="Times New Roman"/>
          <w:b/>
          <w:bCs/>
          <w:i/>
          <w:iCs/>
          <w:color w:val="A71C20"/>
          <w:sz w:val="24"/>
          <w:szCs w:val="24"/>
          <w:lang w:eastAsia="lv-LV"/>
        </w:rPr>
        <w:t xml:space="preserve">ietekmē statistisko uzskaiti, ja </w:t>
      </w:r>
      <w:r w:rsidRPr="000761E9">
        <w:rPr>
          <w:rFonts w:ascii="Times New Roman" w:eastAsia="Times New Roman" w:hAnsi="Times New Roman" w:cs="Times New Roman"/>
          <w:i/>
          <w:iCs/>
          <w:color w:val="A71C20"/>
          <w:sz w:val="24"/>
          <w:szCs w:val="24"/>
          <w:lang w:eastAsia="lv-LV"/>
        </w:rPr>
        <w:t>PPP līgums paredz arī to, ka Iestāde:</w:t>
      </w:r>
    </w:p>
    <w:p w14:paraId="7E885416"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45F7F119" w14:textId="77777777" w:rsidR="00D43EDD" w:rsidRPr="00404D76" w:rsidRDefault="00D43EDD" w:rsidP="00DC1556">
      <w:pPr>
        <w:pStyle w:val="Sarakstarindkopa"/>
        <w:numPr>
          <w:ilvl w:val="0"/>
          <w:numId w:val="26"/>
        </w:numPr>
        <w:spacing w:after="0" w:line="240" w:lineRule="auto"/>
        <w:ind w:left="709" w:hanging="283"/>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uzņemas ar šo fondu saistīto risku, piemēram, tajā veicot iemaksas, lai segtu faktiskās uzturēšanas izmaksas (šajā gadījumā šis jautājums ir SVARĪGS statistiskajā uzskaitē); vai</w:t>
      </w:r>
    </w:p>
    <w:p w14:paraId="301BFA88" w14:textId="77777777" w:rsidR="00D43EDD" w:rsidRPr="00404D76" w:rsidRDefault="00D43EDD" w:rsidP="00DC1556">
      <w:pPr>
        <w:pStyle w:val="Sarakstarindkopa"/>
        <w:numPr>
          <w:ilvl w:val="0"/>
          <w:numId w:val="26"/>
        </w:numPr>
        <w:spacing w:after="0" w:line="240" w:lineRule="auto"/>
        <w:ind w:left="709" w:hanging="283"/>
        <w:jc w:val="both"/>
        <w:rPr>
          <w:rFonts w:ascii="Times New Roman" w:eastAsia="Times New Roman" w:hAnsi="Times New Roman" w:cs="Times New Roman"/>
          <w:i/>
          <w:iCs/>
          <w:color w:val="A71C20"/>
          <w:sz w:val="24"/>
          <w:szCs w:val="24"/>
          <w:lang w:eastAsia="lv-LV"/>
        </w:rPr>
      </w:pPr>
      <w:r w:rsidRPr="00404D76">
        <w:rPr>
          <w:rFonts w:ascii="Times New Roman" w:eastAsia="Times New Roman" w:hAnsi="Times New Roman" w:cs="Times New Roman"/>
          <w:i/>
          <w:iCs/>
          <w:color w:val="A71C20"/>
          <w:sz w:val="24"/>
          <w:szCs w:val="24"/>
          <w:lang w:eastAsia="lv-LV"/>
        </w:rPr>
        <w:t>saņem ar šo fondu saistītu atlīdzību, piemēram, saņemot daļu no fonda līdzekļu pārpalikuma vai visus šos līdzekļus, ja Partnera aktīva uzturēšanas izmaksas ir mazākas, nekā tika prognozēts (šajā gadījumā PPP automātiski reģistrē valdības BILANCĒ).</w:t>
      </w:r>
    </w:p>
    <w:p w14:paraId="086F67CE"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56A81040" w14:textId="4F0EDE35"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A71C20"/>
          <w:sz w:val="24"/>
          <w:szCs w:val="24"/>
          <w:lang w:eastAsia="lv-LV"/>
        </w:rPr>
        <w:t xml:space="preserve">Neatkarīgi no īpašajiem noteikumiem par uzturēšanas fondiem visi pārējie mehānismi, kas Iestādei paredz tiesības uz daļu no finansiālajiem ietaupījumiem, kas radušies Partnera īstenotās uzturēšanas riska pārvaldības dēļ (piemēram, saņemot visus ietaupījumus vai daļu no tiem, ja Partnerim faktiski rodas zemākas uzturēšanas izmaksas, nekā tas tika gaidīts), </w:t>
      </w:r>
      <w:r w:rsidRPr="000761E9">
        <w:rPr>
          <w:rFonts w:ascii="Times New Roman" w:eastAsia="Times New Roman" w:hAnsi="Times New Roman" w:cs="Times New Roman"/>
          <w:b/>
          <w:bCs/>
          <w:i/>
          <w:iCs/>
          <w:color w:val="A71C20"/>
          <w:sz w:val="24"/>
          <w:szCs w:val="24"/>
          <w:lang w:eastAsia="lv-LV"/>
        </w:rPr>
        <w:t>ietekmē statistisko uzskaiti</w:t>
      </w:r>
      <w:r w:rsidRPr="000761E9">
        <w:rPr>
          <w:rFonts w:ascii="Times New Roman" w:eastAsia="Times New Roman" w:hAnsi="Times New Roman" w:cs="Times New Roman"/>
          <w:i/>
          <w:iCs/>
          <w:color w:val="A71C20"/>
          <w:sz w:val="24"/>
          <w:szCs w:val="24"/>
          <w:lang w:eastAsia="lv-LV"/>
        </w:rPr>
        <w:t>, un PPP automātiski reģistrē valdības BILANCĒ.</w:t>
      </w:r>
    </w:p>
    <w:p w14:paraId="43A3E246"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55C49563" w14:textId="5DF2B8AE"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3.5. Partnera izpildes garantijas</w:t>
      </w:r>
    </w:p>
    <w:p w14:paraId="1EDD2E71"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665AB4D" w14:textId="264B6BF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Partnerim ir jāsniedz Iestādei trešās puses garantija par Partnera vai tā galveno apakšuzņēmēju ekspluatācijas un uzturēšanas saistību izpildi. Šo garantiju var sniegt, piemēram, banka vai uzņēmums, kam pieder Partnera pašu kapitāla daļa.</w:t>
      </w:r>
    </w:p>
    <w:p w14:paraId="36788EB9"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834609E"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38210EF"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0180C886" w14:textId="4A0817B3"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A71C20"/>
          <w:sz w:val="24"/>
          <w:szCs w:val="24"/>
          <w:lang w:eastAsia="lv-LV"/>
        </w:rPr>
        <w:t xml:space="preserve">Eurostat uzskata, ka izpildes garantiju sniegšana Iestādei </w:t>
      </w:r>
      <w:r w:rsidRPr="000761E9">
        <w:rPr>
          <w:rFonts w:ascii="Times New Roman" w:eastAsia="Times New Roman" w:hAnsi="Times New Roman" w:cs="Times New Roman"/>
          <w:b/>
          <w:bCs/>
          <w:color w:val="A71C20"/>
          <w:sz w:val="24"/>
          <w:szCs w:val="24"/>
          <w:lang w:eastAsia="lv-LV"/>
        </w:rPr>
        <w:t>neietekmē statistisko uzskaiti.</w:t>
      </w:r>
    </w:p>
    <w:p w14:paraId="1AA5ACF4"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4C3FCDEA" w14:textId="1FD071A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3.6. Personāla komplektēšanas jautājumi</w:t>
      </w:r>
    </w:p>
    <w:p w14:paraId="5B6CD896"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1E2431B" w14:textId="79BDE53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Bieži PPP līgumos iekļauj noteikumus par personālu, kas būs iesaistīts Partnera veiktajā projekta īstenošanā. Šie noteikumi var aptvert dažādus jautājumus, tostarp:</w:t>
      </w:r>
    </w:p>
    <w:p w14:paraId="050EFF9E"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F3A64FA" w14:textId="77777777" w:rsidR="00D43EDD" w:rsidRPr="00404D76" w:rsidRDefault="00D43EDD" w:rsidP="00DC1556">
      <w:pPr>
        <w:pStyle w:val="Sarakstarindkopa"/>
        <w:numPr>
          <w:ilvl w:val="0"/>
          <w:numId w:val="27"/>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katras puses tiesības un pienākumus saistībā ar personāla pārcelšanu citā amatā saskaņā ar attiecīgajiem tiesību aktiem gan PPP līguma darbības laikā, gan darbības termiņa beigās;</w:t>
      </w:r>
    </w:p>
    <w:p w14:paraId="043593E6" w14:textId="77777777" w:rsidR="00D43EDD" w:rsidRPr="00404D76" w:rsidRDefault="00D43EDD" w:rsidP="00DC1556">
      <w:pPr>
        <w:pStyle w:val="Sarakstarindkopa"/>
        <w:numPr>
          <w:ilvl w:val="0"/>
          <w:numId w:val="27"/>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katras puses tiesības un pienākumus saistībā ar nodarbinātības un pensijas tiesību aizsardzību gan tam personālam, kas tiek pārcelts darbā Partnera uzņēmumā, gan jaunpieņemtajam personālam;</w:t>
      </w:r>
    </w:p>
    <w:p w14:paraId="05801F31" w14:textId="77777777" w:rsidR="00D43EDD" w:rsidRPr="00404D76" w:rsidRDefault="00D43EDD" w:rsidP="00DC1556">
      <w:pPr>
        <w:pStyle w:val="Sarakstarindkopa"/>
        <w:numPr>
          <w:ilvl w:val="0"/>
          <w:numId w:val="27"/>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saistības personāla pensiju jomā;</w:t>
      </w:r>
    </w:p>
    <w:p w14:paraId="75AA9DE2" w14:textId="77777777" w:rsidR="00D43EDD" w:rsidRPr="00404D76" w:rsidRDefault="00D43EDD" w:rsidP="00DC1556">
      <w:pPr>
        <w:pStyle w:val="Sarakstarindkopa"/>
        <w:numPr>
          <w:ilvl w:val="0"/>
          <w:numId w:val="27"/>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prasības attiecībā uz noteiktu kvalifikāciju un prasmēm, kā arī uz projekta īstenošanā iesaistīto personu atbilstību kritērijiem;</w:t>
      </w:r>
    </w:p>
    <w:p w14:paraId="6A45206D" w14:textId="77777777" w:rsidR="00D43EDD" w:rsidRPr="00404D76" w:rsidRDefault="00D43EDD" w:rsidP="00DC1556">
      <w:pPr>
        <w:pStyle w:val="Sarakstarindkopa"/>
        <w:numPr>
          <w:ilvl w:val="0"/>
          <w:numId w:val="27"/>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informācijas sniegšanu saistībā ar projekta īstenošanā iesaistīto personālu.</w:t>
      </w:r>
    </w:p>
    <w:p w14:paraId="2B916452"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24A5D5B2" w14:textId="2B7110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1956D90" w14:textId="77777777" w:rsidR="00404D76" w:rsidRDefault="00404D76" w:rsidP="00D43EDD">
      <w:pPr>
        <w:spacing w:after="0" w:line="240" w:lineRule="auto"/>
        <w:jc w:val="both"/>
        <w:rPr>
          <w:rFonts w:ascii="Times New Roman" w:eastAsia="Times New Roman" w:hAnsi="Times New Roman" w:cs="Times New Roman"/>
          <w:i/>
          <w:iCs/>
          <w:color w:val="A71C20"/>
          <w:sz w:val="24"/>
          <w:szCs w:val="24"/>
          <w:lang w:eastAsia="lv-LV"/>
        </w:rPr>
      </w:pPr>
    </w:p>
    <w:p w14:paraId="4051A2A5" w14:textId="16D979C6" w:rsidR="00404D76" w:rsidRDefault="00D43EDD" w:rsidP="00404D76">
      <w:pPr>
        <w:spacing w:after="0" w:line="240" w:lineRule="auto"/>
        <w:jc w:val="both"/>
        <w:rPr>
          <w:rFonts w:ascii="Times New Roman" w:eastAsia="Times New Roman" w:hAnsi="Times New Roman" w:cs="Times New Roman"/>
          <w:i/>
          <w:iCs/>
          <w:color w:val="A71C20"/>
          <w:sz w:val="24"/>
          <w:szCs w:val="24"/>
          <w:lang w:eastAsia="lv-LV"/>
        </w:rPr>
      </w:pPr>
      <w:r w:rsidRPr="000761E9">
        <w:rPr>
          <w:rFonts w:ascii="Times New Roman" w:eastAsia="Times New Roman" w:hAnsi="Times New Roman" w:cs="Times New Roman"/>
          <w:i/>
          <w:iCs/>
          <w:color w:val="A71C20"/>
          <w:sz w:val="24"/>
          <w:szCs w:val="24"/>
          <w:lang w:eastAsia="lv-LV"/>
        </w:rPr>
        <w:t xml:space="preserve">Eurostat uzskata, ka noteikumi par personāla komplektēšanas jautājumiem, kas saistīti ar projekta īstenošanu, </w:t>
      </w:r>
      <w:r w:rsidRPr="000761E9">
        <w:rPr>
          <w:rFonts w:ascii="Times New Roman" w:eastAsia="Times New Roman" w:hAnsi="Times New Roman" w:cs="Times New Roman"/>
          <w:b/>
          <w:bCs/>
          <w:i/>
          <w:iCs/>
          <w:color w:val="A71C20"/>
          <w:sz w:val="24"/>
          <w:szCs w:val="24"/>
          <w:lang w:eastAsia="lv-LV"/>
        </w:rPr>
        <w:t>neietekmē statistisko uzskaiti</w:t>
      </w:r>
      <w:r w:rsidRPr="000761E9">
        <w:rPr>
          <w:rFonts w:ascii="Times New Roman" w:eastAsia="Times New Roman" w:hAnsi="Times New Roman" w:cs="Times New Roman"/>
          <w:i/>
          <w:iCs/>
          <w:color w:val="A71C20"/>
          <w:sz w:val="24"/>
          <w:szCs w:val="24"/>
          <w:lang w:eastAsia="lv-LV"/>
        </w:rPr>
        <w:t>.</w:t>
      </w:r>
      <w:r w:rsidR="00404D76">
        <w:rPr>
          <w:rFonts w:ascii="Times New Roman" w:eastAsia="Times New Roman" w:hAnsi="Times New Roman" w:cs="Times New Roman"/>
          <w:i/>
          <w:iCs/>
          <w:color w:val="A71C20"/>
          <w:sz w:val="24"/>
          <w:szCs w:val="24"/>
          <w:lang w:eastAsia="lv-LV"/>
        </w:rPr>
        <w:br w:type="page"/>
      </w:r>
    </w:p>
    <w:p w14:paraId="15105C37"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037D63DA" w14:textId="77777777" w:rsidR="00D43EDD" w:rsidRPr="00586FD8" w:rsidRDefault="00D43EDD" w:rsidP="00586FD8">
      <w:pPr>
        <w:pStyle w:val="Virsraksts1"/>
        <w:rPr>
          <w:rFonts w:eastAsia="Times New Roman"/>
          <w:b w:val="0"/>
          <w:color w:val="auto"/>
          <w:szCs w:val="28"/>
          <w:lang w:eastAsia="lv-LV"/>
        </w:rPr>
      </w:pPr>
      <w:bookmarkStart w:id="9" w:name="_Toc528941573"/>
      <w:r w:rsidRPr="000761E9">
        <w:rPr>
          <w:rFonts w:eastAsia="Times New Roman"/>
          <w:color w:val="0093CC"/>
          <w:lang w:eastAsia="lv-LV"/>
        </w:rPr>
        <w:t xml:space="preserve">4. temats. </w:t>
      </w:r>
      <w:r w:rsidRPr="00586FD8">
        <w:rPr>
          <w:rFonts w:eastAsia="Times New Roman"/>
          <w:b w:val="0"/>
          <w:color w:val="auto"/>
          <w:szCs w:val="28"/>
          <w:lang w:eastAsia="lv-LV"/>
        </w:rPr>
        <w:t>Maksājumu mehānisms</w:t>
      </w:r>
      <w:bookmarkEnd w:id="9"/>
    </w:p>
    <w:p w14:paraId="08D2956A" w14:textId="77777777" w:rsidR="00404D76" w:rsidRDefault="00404D76" w:rsidP="00D43EDD">
      <w:pPr>
        <w:spacing w:after="0" w:line="240" w:lineRule="auto"/>
        <w:jc w:val="both"/>
        <w:rPr>
          <w:rFonts w:ascii="Times New Roman" w:eastAsia="Times New Roman" w:hAnsi="Times New Roman" w:cs="Times New Roman"/>
          <w:b/>
          <w:bCs/>
          <w:color w:val="0093CC"/>
          <w:sz w:val="24"/>
          <w:szCs w:val="24"/>
          <w:lang w:eastAsia="lv-LV"/>
        </w:rPr>
      </w:pPr>
    </w:p>
    <w:p w14:paraId="64530B51" w14:textId="30214EA3" w:rsidR="00D43EDD" w:rsidRPr="000761E9" w:rsidRDefault="00D43EDD" w:rsidP="00D43EDD">
      <w:pPr>
        <w:spacing w:after="0" w:line="240" w:lineRule="auto"/>
        <w:jc w:val="both"/>
        <w:rPr>
          <w:rFonts w:ascii="Times New Roman" w:eastAsia="Times New Roman" w:hAnsi="Times New Roman" w:cs="Times New Roman"/>
          <w:b/>
          <w:bCs/>
          <w:color w:val="0093CC"/>
          <w:sz w:val="24"/>
          <w:szCs w:val="24"/>
          <w:lang w:eastAsia="lv-LV"/>
        </w:rPr>
      </w:pPr>
      <w:r w:rsidRPr="000761E9">
        <w:rPr>
          <w:rFonts w:ascii="Times New Roman" w:eastAsia="Times New Roman" w:hAnsi="Times New Roman" w:cs="Times New Roman"/>
          <w:b/>
          <w:bCs/>
          <w:color w:val="0093CC"/>
          <w:sz w:val="24"/>
          <w:szCs w:val="24"/>
          <w:lang w:eastAsia="lv-LV"/>
        </w:rPr>
        <w:t>A. PPP LĪGUMI, KAS PAREDZ UZ PIEEJAMĪBU BALSTĪTUS MAKSĀJUMUS</w:t>
      </w:r>
    </w:p>
    <w:p w14:paraId="44890205"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74E5AD86" w14:textId="11BAC0F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4.1. Pamatdarbības maksājumu struktūra</w:t>
      </w:r>
    </w:p>
    <w:p w14:paraId="6621597D"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983DC81" w14:textId="2DB4529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14:paraId="5E012EDB"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57D3C15" w14:textId="77777777" w:rsidR="00D43EDD" w:rsidRPr="00404D76" w:rsidRDefault="00D43EDD" w:rsidP="00DC1556">
      <w:pPr>
        <w:pStyle w:val="Sarakstarindkopa"/>
        <w:numPr>
          <w:ilvl w:val="0"/>
          <w:numId w:val="28"/>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indeksāciju (sk. 5.4. tematu);</w:t>
      </w:r>
    </w:p>
    <w:p w14:paraId="4BD544D2" w14:textId="77777777" w:rsidR="00D43EDD" w:rsidRPr="00404D76" w:rsidRDefault="00D43EDD" w:rsidP="00DC1556">
      <w:pPr>
        <w:pStyle w:val="Sarakstarindkopa"/>
        <w:numPr>
          <w:ilvl w:val="0"/>
          <w:numId w:val="28"/>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pastarpinātās izmaksas (sk. 5.9. tematu);</w:t>
      </w:r>
    </w:p>
    <w:p w14:paraId="494882CA" w14:textId="77777777" w:rsidR="00D43EDD" w:rsidRPr="00404D76" w:rsidRDefault="00D43EDD" w:rsidP="00DC1556">
      <w:pPr>
        <w:pStyle w:val="Sarakstarindkopa"/>
        <w:numPr>
          <w:ilvl w:val="0"/>
          <w:numId w:val="28"/>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atskaitījumus aktīva komponentu nepieejamības dēļ (sk. 4.2.–4.8. tematu);</w:t>
      </w:r>
    </w:p>
    <w:p w14:paraId="6E28298F" w14:textId="77777777" w:rsidR="00D43EDD" w:rsidRPr="00404D76" w:rsidRDefault="00D43EDD" w:rsidP="00DC1556">
      <w:pPr>
        <w:pStyle w:val="Sarakstarindkopa"/>
        <w:numPr>
          <w:ilvl w:val="0"/>
          <w:numId w:val="28"/>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atskaitījumus neapmierinošas pakalpojumu izpildes dēļ (sk. 4.2.–4.8. tematu).</w:t>
      </w:r>
    </w:p>
    <w:p w14:paraId="45DDCADA"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E28CBBE" w14:textId="79D0E57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Otrajā pieejā pamatdarbības maksājumus nosaka pakāpeniski, pamatojoties uz to aktīva komponentu skaitu (piemēram, telpas ēkā vai autoceļa posmi), kas ir darīti pieejami, un pēc tam koriģē šo summu, ņemot vērā:</w:t>
      </w:r>
    </w:p>
    <w:p w14:paraId="7C57AFEF"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B88455E" w14:textId="77777777" w:rsidR="00D43EDD" w:rsidRPr="00404D76" w:rsidRDefault="00D43EDD" w:rsidP="00DC1556">
      <w:pPr>
        <w:pStyle w:val="Sarakstarindkopa"/>
        <w:numPr>
          <w:ilvl w:val="0"/>
          <w:numId w:val="29"/>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indeksāciju (sk. 5.4. tematu);</w:t>
      </w:r>
    </w:p>
    <w:p w14:paraId="1179DFBD" w14:textId="77777777" w:rsidR="00D43EDD" w:rsidRPr="00404D76" w:rsidRDefault="00D43EDD" w:rsidP="00DC1556">
      <w:pPr>
        <w:pStyle w:val="Sarakstarindkopa"/>
        <w:numPr>
          <w:ilvl w:val="0"/>
          <w:numId w:val="29"/>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pastarpinātās izmaksas (sk. 5.9. tematu);</w:t>
      </w:r>
    </w:p>
    <w:p w14:paraId="26A2CDAF" w14:textId="77777777" w:rsidR="00D43EDD" w:rsidRPr="00404D76" w:rsidRDefault="00D43EDD" w:rsidP="00DC1556">
      <w:pPr>
        <w:pStyle w:val="Sarakstarindkopa"/>
        <w:numPr>
          <w:ilvl w:val="0"/>
          <w:numId w:val="29"/>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atskaitījumus neapmierinošas pakalpojumu izpildes dēļ (sk. 4.2.–4.8. tematu).</w:t>
      </w:r>
    </w:p>
    <w:p w14:paraId="091D0B69"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F5AEF89" w14:textId="44D060C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Ērtības labad atlikušajā 4. temata daļā tiek pieņemts, ka tiek izmantota pirmā pieeja, bet tie paši principi jāattiecina arī uz otro pieeju.</w:t>
      </w:r>
    </w:p>
    <w:p w14:paraId="29F205AC"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195B5AB0" w14:textId="4B056B4B"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34FE889"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464C19AB" w14:textId="72D07CC8"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tas, kura no abām iepriekš aprakstītajām uz pieejamību balstītu maksājumu mehānismu struktūrām tiek izmantota,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5B6D4ECF"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37CBC8B8" w14:textId="6B98AE8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4.2. Korekcijas nepieejamības un neapmierinošas pakalpojumu izpildes dēļ</w:t>
      </w:r>
    </w:p>
    <w:p w14:paraId="29EB1908"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F72B2AE" w14:textId="0B753125"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iekļauj noteikumus, kas ļauj koriģēt pamatdarbības maksājumus, ja aktīvs nav pieejams vai (vairumā gadījumu) ja Partnera pakalpojumu izpilde ir neapmierinoša.</w:t>
      </w:r>
    </w:p>
    <w:p w14:paraId="24A4CA41"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3E458389" w14:textId="3B2C1169"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DD7D020"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5DC46C8A" w14:textId="60EFE2AC"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PPP līgumā noteiktais mehānisms, kas ļauj koriģēt pamatdarbības maksājumus aktīva nepieejamības un/vai neapmierinošas pakalpojumu izpildes dēļ, </w:t>
      </w:r>
      <w:r w:rsidRPr="000761E9">
        <w:rPr>
          <w:rFonts w:ascii="Times New Roman" w:eastAsia="Times New Roman" w:hAnsi="Times New Roman" w:cs="Times New Roman"/>
          <w:b/>
          <w:bCs/>
          <w:i/>
          <w:iCs/>
          <w:color w:val="0093CC"/>
          <w:sz w:val="24"/>
          <w:szCs w:val="24"/>
          <w:lang w:eastAsia="lv-LV"/>
        </w:rPr>
        <w:t xml:space="preserve">pats par sevi neietekmē statistisko uzskaiti, ja </w:t>
      </w:r>
      <w:r w:rsidRPr="000761E9">
        <w:rPr>
          <w:rFonts w:ascii="Times New Roman" w:eastAsia="Times New Roman" w:hAnsi="Times New Roman" w:cs="Times New Roman"/>
          <w:i/>
          <w:iCs/>
          <w:color w:val="0093CC"/>
          <w:sz w:val="24"/>
          <w:szCs w:val="24"/>
          <w:lang w:eastAsia="lv-LV"/>
        </w:rPr>
        <w:t>tiek izpildīti šādi nosacījumi:</w:t>
      </w:r>
    </w:p>
    <w:p w14:paraId="55BC7D4C"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2C0DA334" w14:textId="0B584E32" w:rsidR="00D43EDD" w:rsidRPr="00404D76" w:rsidRDefault="00D43EDD" w:rsidP="00DC1556">
      <w:pPr>
        <w:pStyle w:val="Sarakstarindkopa"/>
        <w:numPr>
          <w:ilvl w:val="0"/>
          <w:numId w:val="30"/>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14:paraId="42693C04" w14:textId="7ED9E6BE" w:rsidR="00D43EDD" w:rsidRPr="00404D76" w:rsidRDefault="00D43EDD" w:rsidP="00DC1556">
      <w:pPr>
        <w:pStyle w:val="Sarakstarindkopa"/>
        <w:numPr>
          <w:ilvl w:val="0"/>
          <w:numId w:val="30"/>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lastRenderedPageBreak/>
        <w:t>ja atskaitījuma apmērs ir pienācīgi noteikts, to var piemērot, pusēm par to papildus neapspriežoties.</w:t>
      </w:r>
      <w:r w:rsidR="00404D76">
        <w:rPr>
          <w:rStyle w:val="Vresatsauce"/>
          <w:rFonts w:ascii="Times New Roman" w:eastAsia="Times New Roman" w:hAnsi="Times New Roman" w:cs="Times New Roman"/>
          <w:i/>
          <w:iCs/>
          <w:color w:val="0093CC"/>
          <w:sz w:val="24"/>
          <w:szCs w:val="24"/>
          <w:lang w:eastAsia="lv-LV"/>
        </w:rPr>
        <w:footnoteReference w:id="29"/>
      </w:r>
    </w:p>
    <w:p w14:paraId="4C660BBA" w14:textId="77777777" w:rsidR="00404D76" w:rsidRDefault="00404D76" w:rsidP="00D43EDD">
      <w:pPr>
        <w:spacing w:after="0" w:line="240" w:lineRule="auto"/>
        <w:jc w:val="both"/>
        <w:rPr>
          <w:rFonts w:ascii="Times New Roman" w:eastAsia="Times New Roman" w:hAnsi="Times New Roman" w:cs="Times New Roman"/>
          <w:i/>
          <w:iCs/>
          <w:color w:val="231F20"/>
          <w:sz w:val="20"/>
          <w:szCs w:val="20"/>
          <w:lang w:eastAsia="lv-LV"/>
        </w:rPr>
      </w:pPr>
    </w:p>
    <w:p w14:paraId="4E56C4C4" w14:textId="01DCC5D3"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Ja nav izpildīts kāds no šiem nosacījumiem, PPP tiek automātiski reģistrēta valdības BILANCĒ.</w:t>
      </w:r>
    </w:p>
    <w:p w14:paraId="7950AAAE"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0ACBCF61" w14:textId="3BA663D5"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4.3. Pieejamības/nepieejamības noteikšana</w:t>
      </w:r>
    </w:p>
    <w:p w14:paraId="6A98E26D"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14F16D7" w14:textId="0633594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sidRPr="000761E9">
        <w:rPr>
          <w:rFonts w:ascii="Times New Roman" w:eastAsia="Times New Roman" w:hAnsi="Times New Roman" w:cs="Times New Roman"/>
          <w:i/>
          <w:iCs/>
          <w:color w:val="231F20"/>
          <w:sz w:val="24"/>
          <w:szCs w:val="24"/>
          <w:lang w:eastAsia="lv-LV"/>
        </w:rPr>
        <w:t xml:space="preserve">x </w:t>
      </w:r>
      <w:r w:rsidRPr="000761E9">
        <w:rPr>
          <w:rFonts w:ascii="Times New Roman" w:eastAsia="Times New Roman" w:hAnsi="Times New Roman" w:cs="Times New Roman"/>
          <w:color w:val="231F20"/>
          <w:sz w:val="24"/>
          <w:szCs w:val="24"/>
          <w:lang w:eastAsia="lv-LV"/>
        </w:rPr>
        <w:t xml:space="preserve">līdz </w:t>
      </w:r>
      <w:r w:rsidRPr="000761E9">
        <w:rPr>
          <w:rFonts w:ascii="Times New Roman" w:eastAsia="Times New Roman" w:hAnsi="Times New Roman" w:cs="Times New Roman"/>
          <w:i/>
          <w:iCs/>
          <w:color w:val="231F20"/>
          <w:sz w:val="24"/>
          <w:szCs w:val="24"/>
          <w:lang w:eastAsia="lv-LV"/>
        </w:rPr>
        <w:t>y</w:t>
      </w:r>
      <w:r w:rsidRPr="000761E9">
        <w:rPr>
          <w:rFonts w:ascii="Times New Roman" w:eastAsia="Times New Roman" w:hAnsi="Times New Roman" w:cs="Times New Roman"/>
          <w:color w:val="231F20"/>
          <w:sz w:val="24"/>
          <w:szCs w:val="24"/>
          <w:lang w:eastAsia="lv-LV"/>
        </w:rPr>
        <w:t xml:space="preserve">, apgaismojuma līmenim – no </w:t>
      </w:r>
      <w:r w:rsidRPr="000761E9">
        <w:rPr>
          <w:rFonts w:ascii="Times New Roman" w:eastAsia="Times New Roman" w:hAnsi="Times New Roman" w:cs="Times New Roman"/>
          <w:i/>
          <w:iCs/>
          <w:color w:val="231F20"/>
          <w:sz w:val="24"/>
          <w:szCs w:val="24"/>
          <w:lang w:eastAsia="lv-LV"/>
        </w:rPr>
        <w:t xml:space="preserve">x </w:t>
      </w:r>
      <w:r w:rsidRPr="000761E9">
        <w:rPr>
          <w:rFonts w:ascii="Times New Roman" w:eastAsia="Times New Roman" w:hAnsi="Times New Roman" w:cs="Times New Roman"/>
          <w:color w:val="231F20"/>
          <w:sz w:val="24"/>
          <w:szCs w:val="24"/>
          <w:lang w:eastAsia="lv-LV"/>
        </w:rPr>
        <w:t xml:space="preserve">līdz </w:t>
      </w:r>
      <w:r w:rsidRPr="000761E9">
        <w:rPr>
          <w:rFonts w:ascii="Times New Roman" w:eastAsia="Times New Roman" w:hAnsi="Times New Roman" w:cs="Times New Roman"/>
          <w:i/>
          <w:iCs/>
          <w:color w:val="231F20"/>
          <w:sz w:val="24"/>
          <w:szCs w:val="24"/>
          <w:lang w:eastAsia="lv-LV"/>
        </w:rPr>
        <w:t>y</w:t>
      </w:r>
      <w:r w:rsidRPr="000761E9">
        <w:rPr>
          <w:rFonts w:ascii="Times New Roman" w:eastAsia="Times New Roman" w:hAnsi="Times New Roman" w:cs="Times New Roman"/>
          <w:color w:val="231F20"/>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Pamatdarbības maksājumiem piemēro atskaitījumus, kas parāda neatbilstību šiem standartiem (t. i., aktīva nepieejamību).</w:t>
      </w:r>
    </w:p>
    <w:p w14:paraId="7AF3A411"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3889940" w14:textId="6FEA2CB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ir iekļauti noteikumi par:</w:t>
      </w:r>
    </w:p>
    <w:p w14:paraId="05C34593"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10F4589" w14:textId="77777777" w:rsidR="00D43EDD" w:rsidRPr="00404D76" w:rsidRDefault="00D43EDD" w:rsidP="00DC1556">
      <w:pPr>
        <w:pStyle w:val="Sarakstarindkopa"/>
        <w:numPr>
          <w:ilvl w:val="0"/>
          <w:numId w:val="31"/>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14:paraId="768C17DF" w14:textId="77777777" w:rsidR="00D43EDD" w:rsidRPr="00404D76" w:rsidRDefault="00D43EDD" w:rsidP="00DC1556">
      <w:pPr>
        <w:pStyle w:val="Sarakstarindkopa"/>
        <w:numPr>
          <w:ilvl w:val="0"/>
          <w:numId w:val="31"/>
        </w:numPr>
        <w:spacing w:after="0" w:line="240" w:lineRule="auto"/>
        <w:ind w:left="709" w:hanging="283"/>
        <w:jc w:val="both"/>
        <w:rPr>
          <w:rFonts w:ascii="Times New Roman" w:eastAsia="Times New Roman" w:hAnsi="Times New Roman" w:cs="Times New Roman"/>
          <w:sz w:val="24"/>
          <w:szCs w:val="24"/>
          <w:lang w:eastAsia="lv-LV"/>
        </w:rPr>
      </w:pPr>
      <w:r w:rsidRPr="00404D76">
        <w:rPr>
          <w:rFonts w:ascii="Times New Roman" w:eastAsia="Times New Roman" w:hAnsi="Times New Roman" w:cs="Times New Roman"/>
          <w:color w:val="231F20"/>
          <w:sz w:val="24"/>
          <w:szCs w:val="24"/>
          <w:lang w:eastAsia="lv-LV"/>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w:t>
      </w:r>
      <w:r w:rsidRPr="00404D76">
        <w:rPr>
          <w:rFonts w:ascii="Times New Roman" w:eastAsia="Times New Roman" w:hAnsi="Times New Roman" w:cs="Times New Roman"/>
          <w:i/>
          <w:iCs/>
          <w:color w:val="231F20"/>
          <w:sz w:val="24"/>
          <w:szCs w:val="24"/>
          <w:lang w:eastAsia="lv-LV"/>
        </w:rPr>
        <w:t>x</w:t>
      </w:r>
      <w:r w:rsidRPr="00404D76">
        <w:rPr>
          <w:rFonts w:ascii="Times New Roman" w:eastAsia="Times New Roman" w:hAnsi="Times New Roman" w:cs="Times New Roman"/>
          <w:color w:val="231F20"/>
          <w:sz w:val="24"/>
          <w:szCs w:val="24"/>
          <w:lang w:eastAsia="lv-LV"/>
        </w:rPr>
        <w:t> % mācību telpu).</w:t>
      </w:r>
    </w:p>
    <w:p w14:paraId="4B3136D2"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0A2BADF4" w14:textId="2F50D612"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65AA312"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1A74952D" w14:textId="0E2EE2C7"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sidRPr="000761E9">
        <w:rPr>
          <w:rFonts w:ascii="Times New Roman" w:eastAsia="Times New Roman" w:hAnsi="Times New Roman" w:cs="Times New Roman"/>
          <w:b/>
          <w:bCs/>
          <w:i/>
          <w:iCs/>
          <w:color w:val="0093CC"/>
          <w:sz w:val="24"/>
          <w:szCs w:val="24"/>
          <w:lang w:eastAsia="lv-LV"/>
        </w:rPr>
        <w:t>ietekmē statistisko uzskaiti</w:t>
      </w:r>
      <w:r w:rsidRPr="000761E9">
        <w:rPr>
          <w:rFonts w:ascii="Times New Roman" w:eastAsia="Times New Roman" w:hAnsi="Times New Roman" w:cs="Times New Roman"/>
          <w:i/>
          <w:iCs/>
          <w:color w:val="0093CC"/>
          <w:sz w:val="24"/>
          <w:szCs w:val="24"/>
          <w:lang w:eastAsia="lv-LV"/>
        </w:rPr>
        <w:t>, un PPP automātiski reģistrē valdības BILANCĒ.</w:t>
      </w:r>
    </w:p>
    <w:p w14:paraId="37BE9BE0"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587AE414" w14:textId="77777777"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iepriekš aprakstītie noteikumi par izrietošo nepieejamību un visa aktīva nepieejamību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7D21ED3B" w14:textId="77777777" w:rsidR="00404D76"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1BCAD499" w14:textId="266EA0F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4.4. Pakalpojumu izpildes noteikšana</w:t>
      </w:r>
    </w:p>
    <w:p w14:paraId="4FB14257"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284CA42" w14:textId="5E4AF33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papildus pieejamības standartiem iekļauj arī prasības attiecībā uz Partnera pakalpojumu izpildes kvalitāti un atskaitījumu piemērošanu pamatdarbības maksājumiem gadījumā, ja netiek izpildītas dažas vai visas šīs prasības.</w:t>
      </w:r>
    </w:p>
    <w:p w14:paraId="7C62AA73"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3BA847F" w14:textId="7031F39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Dažas no šīm prasībām var būt cieši saistītas ar Partnera pienākumu nodrošināt aktīva pieejamību (piemēram, pienākumu reaģēt noteiktā laika posmā, ja rodas nepieciešamība veikt uzturēšanu). Citas prasības var būt vispārīgākas (piemēram, prasība sniegt Iestādei ikmēneša ziņojumus).</w:t>
      </w:r>
    </w:p>
    <w:p w14:paraId="4759C9D5"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5E327C5" w14:textId="5AA0C73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pienākumi ir jāveic regulāri, un tāpēc regulāri tiek novērtēts, kā tie tiek veikti (piemēram, pienākums sniegt Iestādei ikmēneša ziņojumu). Citus pienākumus veic un novērtē konkrētos gadījumos (piemēram, reaģēšana uz uzturēšanas pieprasījumiem).</w:t>
      </w:r>
    </w:p>
    <w:p w14:paraId="65079D30"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17755AA" w14:textId="70261F3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Bieži vien PPP līgumi nosaka, ka pamatdarbības maksājumi ir veicami, pamatojoties tikai uz atbilstību pieejamības standartiem, un neparedz atskaitījumus neapmierinošas pakalpojumu izpildes dēļ.</w:t>
      </w:r>
    </w:p>
    <w:p w14:paraId="01886696"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7021ECE" w14:textId="68D447A8"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2CDD698" w14:textId="77777777" w:rsidR="00404D76" w:rsidRPr="000761E9"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29E047C1" w14:textId="1DAE4D01"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līgumu prasības, kuras izmanto, lai definētu un novērtētu pakalpojumu izpildes kvalitāti (pretstatā aktīva pieejamībai)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attiecīgajā PPP līgumā ir paredzēta efektīva pieejamības noteikšanas kārtība.</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Eurostat uzskata, ka PPP līgumā ir iekļauta efektīva pieejamības noteikšanas kārtība, ja pieejamības standartos ir norādīti vismaz tie apstākļi, kādos attiecīgo aktīvu tiešām var lietot (kā skaidrots 4.3. tematā), un aktīva nepieejamības gadījumā Partnerim ir paredzēts piemērot sankcijas, veicot atbilstošus atskaitījumus no pamatdarbības maksājumiem (kā skaidrots 4.6. un 4.7. tematā).</w:t>
      </w:r>
    </w:p>
    <w:p w14:paraId="42CCD34A" w14:textId="77777777" w:rsidR="00404D76" w:rsidRPr="000761E9"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193EA7EA" w14:textId="46D29300"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līgums, kurā pamatdarbības maksājumi veidoti saskaņā ar šajā rokasgrāmatā minētajiem principiem, pamatojoties tikai uz pieejamību, un kurā nav iekļauti papildu noteikumi par pakalpojumu izpildes novērtēšanu un/vai atskaitījumu veikšanu neapmierinošas pakalpojumu izpildes dēļ,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175E4E07"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3EA35E81" w14:textId="17E4330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Tādēļ lietotāji ievēros, ka daudzi 4.6. un 4.7. tematā minētie noteikumi par maksājumu mehānismiem </w:t>
      </w:r>
      <w:r w:rsidRPr="000761E9">
        <w:rPr>
          <w:rFonts w:ascii="Times New Roman" w:eastAsia="Times New Roman" w:hAnsi="Times New Roman" w:cs="Times New Roman"/>
          <w:b/>
          <w:bCs/>
          <w:i/>
          <w:iCs/>
          <w:color w:val="0093CC"/>
          <w:sz w:val="24"/>
          <w:szCs w:val="24"/>
          <w:lang w:eastAsia="lv-LV"/>
        </w:rPr>
        <w:t xml:space="preserve">neietekmē statistisko uzskaiti, </w:t>
      </w:r>
      <w:r w:rsidRPr="000761E9">
        <w:rPr>
          <w:rFonts w:ascii="Times New Roman" w:eastAsia="Times New Roman" w:hAnsi="Times New Roman" w:cs="Times New Roman"/>
          <w:i/>
          <w:iCs/>
          <w:color w:val="0093CC"/>
          <w:sz w:val="24"/>
          <w:szCs w:val="24"/>
          <w:lang w:eastAsia="lv-LV"/>
        </w:rPr>
        <w:t>ciktāl tie attiecas uz pakalpojumu izpildes kvalitāti (pretstatā aktīva pieejamībai).</w:t>
      </w:r>
    </w:p>
    <w:p w14:paraId="2885FD71"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2920B185"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4.5. Pieejamības un izpildes novērtēšana</w:t>
      </w:r>
    </w:p>
    <w:p w14:paraId="5D51D02B"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502E8F43" w14:textId="37589B7D"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Partnerim ir jāziņo pašam un Iestādei ir tiesības veikt papildu uzraudzību un/vai auditēt Partnera ziņojumu.</w:t>
      </w:r>
    </w:p>
    <w:p w14:paraId="2AAD286D"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5F88986C" w14:textId="26ABDF95"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AA3F00E"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07E1D6A3" w14:textId="7E3D3953"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līgumos ir jānosaka tāda kārtība aktīva pieejamības un pakalpojumu izpildes uzraudzībai un ziņošanai par to, lai neizpildes gadījumā Iestāde varētu Partnerim piemērot sankcijas.</w:t>
      </w:r>
    </w:p>
    <w:p w14:paraId="0DCD2941" w14:textId="77777777" w:rsidR="00404D76" w:rsidRPr="000761E9"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0F376389" w14:textId="12B45F1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Ja maksājumu mehānisma pamatā ir tāda uzraudzības un ziņošanas kārtība, saskaņā ar kuru Iestādei ir uzraudzības vai audita (un apstrīdēšanas) tiesības, tad konkrētā procedūra vai metodoloģija, kas tiek izmantota uzraudzībai un ziņošanai,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 xml:space="preserve">Savukārt, ja maksājumu mehānisms balstās uz paša Partnera ziņojumiem un Iestādei nav tiesību veikt uzraudzību vai auditu (un apstrīdēt) Partnera ziņojumus, tas </w:t>
      </w:r>
      <w:r w:rsidRPr="000761E9">
        <w:rPr>
          <w:rFonts w:ascii="Times New Roman" w:eastAsia="Times New Roman" w:hAnsi="Times New Roman" w:cs="Times New Roman"/>
          <w:b/>
          <w:bCs/>
          <w:i/>
          <w:iCs/>
          <w:color w:val="0093CC"/>
          <w:sz w:val="24"/>
          <w:szCs w:val="24"/>
          <w:lang w:eastAsia="lv-LV"/>
        </w:rPr>
        <w:t xml:space="preserve">ietekmē statistisko uzskaiti </w:t>
      </w:r>
      <w:r w:rsidRPr="000761E9">
        <w:rPr>
          <w:rFonts w:ascii="Times New Roman" w:eastAsia="Times New Roman" w:hAnsi="Times New Roman" w:cs="Times New Roman"/>
          <w:i/>
          <w:iCs/>
          <w:color w:val="0093CC"/>
          <w:sz w:val="24"/>
          <w:szCs w:val="24"/>
          <w:lang w:eastAsia="lv-LV"/>
        </w:rPr>
        <w:t>un ir SVARĪGS jautājums.</w:t>
      </w:r>
    </w:p>
    <w:p w14:paraId="2CB07282" w14:textId="2CDA0024" w:rsidR="00586FD8" w:rsidRDefault="00586FD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244358D"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1BFF4436" w14:textId="0825C2D1"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4.6. Apmēra noteikšana atskaitījumiem, kas saistīti ar pieejamību un izpildi</w:t>
      </w:r>
    </w:p>
    <w:p w14:paraId="2BAF7A62" w14:textId="77777777" w:rsidR="00404D76" w:rsidRPr="000761E9" w:rsidRDefault="00404D76" w:rsidP="00D43EDD">
      <w:pPr>
        <w:spacing w:after="0" w:line="240" w:lineRule="auto"/>
        <w:jc w:val="both"/>
        <w:rPr>
          <w:rFonts w:ascii="Times New Roman" w:eastAsia="Times New Roman" w:hAnsi="Times New Roman" w:cs="Times New Roman"/>
          <w:b/>
          <w:bCs/>
          <w:color w:val="231F20"/>
          <w:sz w:val="24"/>
          <w:szCs w:val="24"/>
          <w:lang w:eastAsia="lv-LV"/>
        </w:rPr>
      </w:pPr>
    </w:p>
    <w:p w14:paraId="37182E18" w14:textId="05F6CCC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izmanto dažādas pieejas un dažādus mehānismus, lai noteiktu apmēru atskaitījumiem, kas veikti nepieejamības vai neapmierinošas pakalpojumu izpildes dēļ.</w:t>
      </w:r>
    </w:p>
    <w:p w14:paraId="6819E912"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EEE4823" w14:textId="450F330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4.6. tematā ir aprakstīti daži no biežāk izmantotajiem mehānismiem (vai nu atsevišķi vai apvienojumā ar citiem mehānismiem), lai kalibrētu maksājumu mehānismu un noteiktu finansiālo ietekmi uz Partneri (un risku, kas tam rodas), ja Partneris neizpilda PPP līgumā noteikto.</w:t>
      </w:r>
    </w:p>
    <w:p w14:paraId="73256510"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EEA7D95"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4.6.1. Atskaitījumi nepieejamības dēļ</w:t>
      </w:r>
    </w:p>
    <w:p w14:paraId="158EDF09"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70C79C3" w14:textId="250F07F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Atskaitījumus nepieejamības dēļ parasti nosaka atbilstoši ietekmētajam aktīva komponentam vai komponentiem. Bieži svērumus piemēro atsevišķiem aktīva komponentiem un dažādiem periodiem, lai parādītu, cik svarīgi tie ir Iestādei un citiem galalietotājiem.</w:t>
      </w:r>
    </w:p>
    <w:p w14:paraId="4CB0F182"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32E9EE85" w14:textId="3B2DE83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Nepieejamības gadījumā atskaitījuma apmēru nosaka atkarībā no nepieejamo komponentu skaita, to nepieejamības ilguma un svērumiem, kas noteikti šiem komponentiem dažādos nepieejamības perioda brīžos. Dažās jomās un/vai periodos svērums var būt 0 %.</w:t>
      </w:r>
    </w:p>
    <w:p w14:paraId="6B322D3E"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12FC427E"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Dažreiz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Partnera kopējās saistības atskaitījumu veidā nepārsniedz nosacītos pamatdarbības maksājumus (sk. 4.7.4. tematu).</w:t>
      </w:r>
    </w:p>
    <w:p w14:paraId="707372D4"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0993EF1F" w14:textId="68E691C7"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5249EA3" w14:textId="77777777" w:rsidR="00404D76" w:rsidRPr="000761E9"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132AEBCC" w14:textId="180932AB"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samērīguma princips ir būtisks uz pieejamību balstītajos maksājumu mehānismos, tas nozīmē, ka pamatdarbības maksājumiem ir jābūt samērīgiem ar aktīva pieejamības pakāpi. Tātad:</w:t>
      </w:r>
    </w:p>
    <w:p w14:paraId="33E98325" w14:textId="77777777" w:rsidR="00404D76" w:rsidRPr="000761E9"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79CEC331" w14:textId="77777777" w:rsidR="00D43EDD" w:rsidRPr="00404D76" w:rsidRDefault="00D43EDD" w:rsidP="00DC1556">
      <w:pPr>
        <w:pStyle w:val="Sarakstarindkopa"/>
        <w:numPr>
          <w:ilvl w:val="0"/>
          <w:numId w:val="32"/>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100 % pieejamības gadījumā Partneris pamatoti saņem pamatdarbības maksājumus pilnā apmērā, bet 0 % pieejamības gadījuma sekām jābūt tādām, ka Partneris nesaņem nekādus pamatdarbības maksājumus (dažreiz to dēvē par principu “nulles pieejamība, nulles maksājums”);</w:t>
      </w:r>
    </w:p>
    <w:p w14:paraId="3C678FC4" w14:textId="77777777" w:rsidR="00D43EDD" w:rsidRPr="00404D76" w:rsidRDefault="00D43EDD" w:rsidP="00DC1556">
      <w:pPr>
        <w:pStyle w:val="Sarakstarindkopa"/>
        <w:numPr>
          <w:ilvl w:val="0"/>
          <w:numId w:val="32"/>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ja pieejamības apmērs ir starp šīm divām galējām vērtībām, tad jebkurai pieejamībai ir jāsaglabā vispārīga samērīguma princips.</w:t>
      </w:r>
    </w:p>
    <w:p w14:paraId="0C63BAEA"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50F41136" w14:textId="2DEE2EEC"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sagaida, ka samērīguma princips tiks īstenots pietiekami ilgu laiku (piemēram, vienu gadu). Šā principa nepiemērošana pietiekami ilgu laiku </w:t>
      </w:r>
      <w:r w:rsidRPr="000761E9">
        <w:rPr>
          <w:rFonts w:ascii="Times New Roman" w:eastAsia="Times New Roman" w:hAnsi="Times New Roman" w:cs="Times New Roman"/>
          <w:b/>
          <w:bCs/>
          <w:i/>
          <w:iCs/>
          <w:color w:val="0093CC"/>
          <w:sz w:val="24"/>
          <w:szCs w:val="24"/>
          <w:lang w:eastAsia="lv-LV"/>
        </w:rPr>
        <w:t>ietekmē statistisko uzskaiti</w:t>
      </w:r>
      <w:r w:rsidRPr="000761E9">
        <w:rPr>
          <w:rFonts w:ascii="Times New Roman" w:eastAsia="Times New Roman" w:hAnsi="Times New Roman" w:cs="Times New Roman"/>
          <w:i/>
          <w:iCs/>
          <w:color w:val="0093CC"/>
          <w:sz w:val="24"/>
          <w:szCs w:val="24"/>
          <w:lang w:eastAsia="lv-LV"/>
        </w:rPr>
        <w:t>, un PPP automātiski reģistrē valdības BILANCĒ.</w:t>
      </w:r>
    </w:p>
    <w:p w14:paraId="258AF0F2"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7C638389" w14:textId="5E4A4C41"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svērumu piemērošana atsevišķiem aktīva komponentiem vai dažādiem periodiem ir saderīga ar samērīguma principu un </w:t>
      </w:r>
      <w:r w:rsidRPr="000761E9">
        <w:rPr>
          <w:rFonts w:ascii="Times New Roman" w:eastAsia="Times New Roman" w:hAnsi="Times New Roman" w:cs="Times New Roman"/>
          <w:b/>
          <w:bCs/>
          <w:i/>
          <w:iCs/>
          <w:color w:val="0093CC"/>
          <w:sz w:val="24"/>
          <w:szCs w:val="24"/>
          <w:lang w:eastAsia="lv-LV"/>
        </w:rPr>
        <w:t>neietekmē statistisko uzskaiti, ja</w:t>
      </w:r>
      <w:r w:rsidRPr="000761E9">
        <w:rPr>
          <w:rFonts w:ascii="Times New Roman" w:eastAsia="Times New Roman" w:hAnsi="Times New Roman" w:cs="Times New Roman"/>
          <w:i/>
          <w:iCs/>
          <w:color w:val="0093CC"/>
          <w:sz w:val="24"/>
          <w:szCs w:val="24"/>
          <w:lang w:eastAsia="lv-LV"/>
        </w:rPr>
        <w:t>:</w:t>
      </w:r>
    </w:p>
    <w:p w14:paraId="635C395F"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4E0116B0" w14:textId="77777777" w:rsidR="00D43EDD" w:rsidRPr="00404D76" w:rsidRDefault="00D43EDD" w:rsidP="00DC1556">
      <w:pPr>
        <w:pStyle w:val="Sarakstarindkopa"/>
        <w:numPr>
          <w:ilvl w:val="0"/>
          <w:numId w:val="3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šie svērumi parāda aktīva (un tā komponentu) funkcionalitāti;</w:t>
      </w:r>
    </w:p>
    <w:p w14:paraId="4220B1A5" w14:textId="77777777" w:rsidR="00D43EDD" w:rsidRPr="00404D76" w:rsidRDefault="00D43EDD" w:rsidP="00DC1556">
      <w:pPr>
        <w:pStyle w:val="Sarakstarindkopa"/>
        <w:numPr>
          <w:ilvl w:val="0"/>
          <w:numId w:val="3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0 % svērumus (ja tos izmanto) izmanto tikai izņēmuma gadījumos;</w:t>
      </w:r>
    </w:p>
    <w:p w14:paraId="288B0F60" w14:textId="77777777" w:rsidR="00D43EDD" w:rsidRPr="00404D76" w:rsidRDefault="00D43EDD" w:rsidP="00DC1556">
      <w:pPr>
        <w:pStyle w:val="Sarakstarindkopa"/>
        <w:numPr>
          <w:ilvl w:val="0"/>
          <w:numId w:val="3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lastRenderedPageBreak/>
        <w:t>var pierādīt, ka nulles pieejamības gadījumā tiks piemērots iepriekš minētais nulles maksājums.</w:t>
      </w:r>
    </w:p>
    <w:p w14:paraId="1A7C4451"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2A7F8779" w14:textId="52AD5CA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Piemēram, mazi vai 0 % svērumi neietekmē statistisko uzskaiti, ja tos piemēro attiecībā uz laiku, kad aktīvs nav nepieciešams (piemēram, skolu PPP tas ir laiks, kad skolā nenotiek mācības). Ja svērumus neizmanto pienācīgi tā, kā tas aprakstīts iepriekš, šis jautājums ir SVARĪGS statistiskajā uzskaitē.</w:t>
      </w:r>
    </w:p>
    <w:p w14:paraId="5FC7FBF5" w14:textId="77777777" w:rsidR="00404D76" w:rsidRPr="000761E9"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475BCCC1" w14:textId="7E8D8029"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r w:rsidR="00404D76">
        <w:rPr>
          <w:rStyle w:val="Vresatsauce"/>
          <w:rFonts w:ascii="Times New Roman" w:eastAsia="Times New Roman" w:hAnsi="Times New Roman" w:cs="Times New Roman"/>
          <w:i/>
          <w:iCs/>
          <w:color w:val="0093CC"/>
          <w:sz w:val="24"/>
          <w:szCs w:val="24"/>
          <w:lang w:eastAsia="lv-LV"/>
        </w:rPr>
        <w:footnoteReference w:id="30"/>
      </w:r>
    </w:p>
    <w:p w14:paraId="77E3F07A" w14:textId="77777777" w:rsidR="00404D76" w:rsidRPr="000761E9" w:rsidRDefault="00404D76" w:rsidP="00D43EDD">
      <w:pPr>
        <w:spacing w:after="0" w:line="240" w:lineRule="auto"/>
        <w:jc w:val="both"/>
        <w:rPr>
          <w:rFonts w:ascii="Times New Roman" w:eastAsia="Times New Roman" w:hAnsi="Times New Roman" w:cs="Times New Roman"/>
          <w:sz w:val="24"/>
          <w:szCs w:val="24"/>
          <w:lang w:eastAsia="lv-LV"/>
        </w:rPr>
      </w:pPr>
    </w:p>
    <w:p w14:paraId="223282EF"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4.6.2. Atskaitījumi neizpildes vai neizpildes punktu dēļ</w:t>
      </w:r>
    </w:p>
    <w:p w14:paraId="741BF764"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552B3104" w14:textId="6FEEB54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14:paraId="33AD7209"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292E758" w14:textId="1FFC85E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ir iekļauti noteikumi, kuru mērķis ir nepieļaut, ka attiecībā uz vienu un to pašu gadījumu tiek piemērots atskaitījums gan aktīva nepieejamības, gan neizpildes dēļ. Piemēram:</w:t>
      </w:r>
    </w:p>
    <w:p w14:paraId="35A8F4F0"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485F31C" w14:textId="77777777" w:rsidR="00D43EDD" w:rsidRPr="00404D76" w:rsidRDefault="00D43EDD" w:rsidP="00DC1556">
      <w:pPr>
        <w:pStyle w:val="Sarakstarindkopa"/>
        <w:numPr>
          <w:ilvl w:val="0"/>
          <w:numId w:val="34"/>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izpildes režīmu (t. i., atskaitījumus neizpildes dēļ) nepiemēro, kad aktīvs nav pieejams; un/vai</w:t>
      </w:r>
    </w:p>
    <w:p w14:paraId="19B887D0" w14:textId="77777777" w:rsidR="00D43EDD" w:rsidRPr="00404D76" w:rsidRDefault="00D43EDD" w:rsidP="00DC1556">
      <w:pPr>
        <w:pStyle w:val="Sarakstarindkopa"/>
        <w:numPr>
          <w:ilvl w:val="0"/>
          <w:numId w:val="34"/>
        </w:numPr>
        <w:spacing w:after="0" w:line="240" w:lineRule="auto"/>
        <w:ind w:left="709" w:hanging="283"/>
        <w:jc w:val="both"/>
        <w:rPr>
          <w:rFonts w:ascii="Times New Roman" w:eastAsia="Times New Roman" w:hAnsi="Times New Roman" w:cs="Times New Roman"/>
          <w:color w:val="231F20"/>
          <w:sz w:val="24"/>
          <w:szCs w:val="24"/>
          <w:lang w:eastAsia="lv-LV"/>
        </w:rPr>
      </w:pPr>
      <w:r w:rsidRPr="00404D76">
        <w:rPr>
          <w:rFonts w:ascii="Times New Roman" w:eastAsia="Times New Roman" w:hAnsi="Times New Roman" w:cs="Times New Roman"/>
          <w:color w:val="231F20"/>
          <w:sz w:val="24"/>
          <w:szCs w:val="24"/>
          <w:lang w:eastAsia="lv-LV"/>
        </w:rPr>
        <w:t>ja Partnera neizpildes gadījumā varētu tikt piemērots atskaitījums gan nepieejamības, gan neizpildes dēļ, piemēro tikai vienu (parasti lielāko) atskaitījumu.</w:t>
      </w:r>
    </w:p>
    <w:p w14:paraId="20850E4B"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245D6208" w14:textId="2DC959C1"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E5A0236"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2102A735" w14:textId="0E13D6B1"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pieeja, ko izmanto, lai novērtētu atskaitījumus neizpildes dēļ, noteiktu to apmēru un tos piemērotu,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PPP līgumā ir iekļauta efektīva pieejamības noteikšanas kārtība (kas aprakstīta Eurostat piezīmēs 4.4. tematā).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Šādā gadījumā statistiskā uzskaite netiek ietekmēta, ja, piemēram:</w:t>
      </w:r>
    </w:p>
    <w:p w14:paraId="2A200E8E" w14:textId="77777777" w:rsidR="00404D76" w:rsidRPr="000761E9"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7FB8F88E" w14:textId="77777777" w:rsidR="00D43EDD" w:rsidRPr="00404D76" w:rsidRDefault="00D43EDD" w:rsidP="00DC1556">
      <w:pPr>
        <w:pStyle w:val="Sarakstarindkopa"/>
        <w:numPr>
          <w:ilvl w:val="0"/>
          <w:numId w:val="35"/>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atskaitījumus neizpildes dēļ piemēro vai nu atbilstoši pakalpojumu neizpildes gadījumiem, vai atbilstoši neizpildes punktu sistēmai;</w:t>
      </w:r>
    </w:p>
    <w:p w14:paraId="692300AB" w14:textId="77777777" w:rsidR="00D43EDD" w:rsidRPr="00404D76" w:rsidRDefault="00D43EDD" w:rsidP="00DC1556">
      <w:pPr>
        <w:pStyle w:val="Sarakstarindkopa"/>
        <w:numPr>
          <w:ilvl w:val="0"/>
          <w:numId w:val="35"/>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pakalpojumu neizpildes gadījumus izvērtē, piemēram, ņemot vērā to, kur un kad tie ir notikuši;</w:t>
      </w:r>
    </w:p>
    <w:p w14:paraId="12AAD7E3" w14:textId="77777777" w:rsidR="00D43EDD" w:rsidRPr="00404D76" w:rsidRDefault="00D43EDD" w:rsidP="00DC1556">
      <w:pPr>
        <w:pStyle w:val="Sarakstarindkopa"/>
        <w:numPr>
          <w:ilvl w:val="0"/>
          <w:numId w:val="35"/>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404D76">
        <w:rPr>
          <w:rFonts w:ascii="Times New Roman" w:eastAsia="Times New Roman" w:hAnsi="Times New Roman" w:cs="Times New Roman"/>
          <w:i/>
          <w:iCs/>
          <w:color w:val="0093CC"/>
          <w:sz w:val="24"/>
          <w:szCs w:val="24"/>
          <w:lang w:eastAsia="lv-LV"/>
        </w:rPr>
        <w:t>ir veikti pasākumi, lai nepieļautu, ka attiecībā uz vienu un to pašu gadījumu tiek piemērots atskaitījums gan neizpildes, gan nepieejamības dēļ.</w:t>
      </w:r>
    </w:p>
    <w:p w14:paraId="36F2C1E2" w14:textId="4DC73F35" w:rsidR="00586FD8" w:rsidRDefault="00586FD8">
      <w:pPr>
        <w:rPr>
          <w:rFonts w:ascii="Times New Roman" w:eastAsia="Times New Roman" w:hAnsi="Times New Roman" w:cs="Times New Roman"/>
          <w:b/>
          <w:bCs/>
          <w:color w:val="888A8C"/>
          <w:sz w:val="24"/>
          <w:szCs w:val="24"/>
          <w:lang w:eastAsia="lv-LV"/>
        </w:rPr>
      </w:pPr>
      <w:r>
        <w:rPr>
          <w:rFonts w:ascii="Times New Roman" w:eastAsia="Times New Roman" w:hAnsi="Times New Roman" w:cs="Times New Roman"/>
          <w:b/>
          <w:bCs/>
          <w:color w:val="888A8C"/>
          <w:sz w:val="24"/>
          <w:szCs w:val="24"/>
          <w:lang w:eastAsia="lv-LV"/>
        </w:rPr>
        <w:br w:type="page"/>
      </w:r>
    </w:p>
    <w:p w14:paraId="6FD0BE0D" w14:textId="77777777" w:rsidR="00404D76" w:rsidRDefault="00404D76" w:rsidP="00D43EDD">
      <w:pPr>
        <w:spacing w:after="0" w:line="240" w:lineRule="auto"/>
        <w:jc w:val="both"/>
        <w:rPr>
          <w:rFonts w:ascii="Times New Roman" w:eastAsia="Times New Roman" w:hAnsi="Times New Roman" w:cs="Times New Roman"/>
          <w:b/>
          <w:bCs/>
          <w:color w:val="888A8C"/>
          <w:sz w:val="24"/>
          <w:szCs w:val="24"/>
          <w:lang w:eastAsia="lv-LV"/>
        </w:rPr>
      </w:pPr>
    </w:p>
    <w:p w14:paraId="1B904078" w14:textId="2ADB37A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4.6.3. Neizpildes novēršanas termiņi</w:t>
      </w:r>
    </w:p>
    <w:p w14:paraId="7D157D9B"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66B716F3" w14:textId="3C808F5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parasti nosaka termiņus, kuros Partnerim ir jāizlabo vai jānovērš nepieejamība vai pakalpojumu neizpilde, un atskaitījumus piemēro tikai tad, ja labojumi vai neizpildes novēršana šajos termiņos netiek veikta. PPP līgumos Partnerim ne vienmēr ir sniegta iespēja izlabot vai novērst visu veidu neizpildes.</w:t>
      </w:r>
    </w:p>
    <w:p w14:paraId="2B086D34"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0B7F975C" w14:textId="7D5220E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Labojumu vai neizpildes novēršanas termiņu norāda precīzi (piemēram, četras stundas, divas dienas) vai vispārīgāk (piemēram, pieņemamā laika posmā, ņemot vērā apstākļus).</w:t>
      </w:r>
    </w:p>
    <w:p w14:paraId="52C45265"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774067B" w14:textId="5099D3D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14:paraId="3861CA0F"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5852B1BA" w14:textId="1A91763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14:paraId="59702059"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BF4596A" w14:textId="3D95DB6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Visbeidzot, dažos PPP līgumos nosaka sākotnējo termiņu, kurā Partnerim ir jārod neizpildes pagaidu risinājums, un papildu termiņu, kurā tam šī neizpilde ir jāizlabo vai jānovērš pilnā apmērā (piemēram, izsists logs divu stundu laikā ir jāaiznaglo ar dēļiem, bet divu dienu laikā tas ir no jauna jāiestiklo).</w:t>
      </w:r>
    </w:p>
    <w:p w14:paraId="390F2642"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5A62B9A9"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7B7AAE0"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0601EF38" w14:textId="153B8706"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kas Partnerim sniedz iespēju novērst neizpildi, lai netiktu piemēroti atskaitījumi (tostarp iespēju veikt pagaidu remontdarbus),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Partnera rīcībā esošais laiks (neatkarīgi no tā, vai šis laiks PPP līgumā ir vai nav noteikts precīzi) ir pieņemams, ņemot vērā neizpildes ietekmi uz aktīva lietošanu un/vai projekta apstākļus (piemēram, ģeogrāfisko atrašanās vietu).</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Nepamatoti ilga termiņa noteikšana labojumiem vai neizpildes novēršanai ir VIDĒJI SVARĪGS jautājums statistiskajā uzskaitē.</w:t>
      </w:r>
    </w:p>
    <w:p w14:paraId="7BC131B4" w14:textId="77777777" w:rsidR="00404D76" w:rsidRDefault="00404D76" w:rsidP="00D43EDD">
      <w:pPr>
        <w:spacing w:after="0" w:line="240" w:lineRule="auto"/>
        <w:jc w:val="both"/>
        <w:rPr>
          <w:rFonts w:ascii="Times New Roman" w:eastAsia="Times New Roman" w:hAnsi="Times New Roman" w:cs="Times New Roman"/>
          <w:b/>
          <w:bCs/>
          <w:color w:val="888A8C"/>
          <w:sz w:val="24"/>
          <w:szCs w:val="24"/>
          <w:lang w:eastAsia="lv-LV"/>
        </w:rPr>
      </w:pPr>
    </w:p>
    <w:p w14:paraId="0A429FF0" w14:textId="4C2327F8"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4.6.4. Atskaitījumu minimālais apmērs</w:t>
      </w:r>
    </w:p>
    <w:p w14:paraId="3FA7278E"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13BF0490" w14:textId="0AA555A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14:paraId="03D3535E" w14:textId="77777777" w:rsidR="00404D76" w:rsidRPr="000761E9"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10A3DFB9"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E9E6AAB"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6496107B" w14:textId="5D31E802"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iepriekš aprakstītie noteikumi par atskaitījumu minimālo apmēru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04BBE769" w14:textId="3617E4D8" w:rsidR="00586FD8" w:rsidRDefault="00586FD8">
      <w:pPr>
        <w:rPr>
          <w:rFonts w:ascii="Times New Roman" w:eastAsia="Times New Roman" w:hAnsi="Times New Roman" w:cs="Times New Roman"/>
          <w:b/>
          <w:bCs/>
          <w:color w:val="888A8C"/>
          <w:sz w:val="24"/>
          <w:szCs w:val="24"/>
          <w:lang w:eastAsia="lv-LV"/>
        </w:rPr>
      </w:pPr>
      <w:r>
        <w:rPr>
          <w:rFonts w:ascii="Times New Roman" w:eastAsia="Times New Roman" w:hAnsi="Times New Roman" w:cs="Times New Roman"/>
          <w:b/>
          <w:bCs/>
          <w:color w:val="888A8C"/>
          <w:sz w:val="24"/>
          <w:szCs w:val="24"/>
          <w:lang w:eastAsia="lv-LV"/>
        </w:rPr>
        <w:br w:type="page"/>
      </w:r>
    </w:p>
    <w:p w14:paraId="4DB31081" w14:textId="77777777" w:rsidR="00404D76" w:rsidRDefault="00404D76" w:rsidP="00D43EDD">
      <w:pPr>
        <w:spacing w:after="0" w:line="240" w:lineRule="auto"/>
        <w:jc w:val="both"/>
        <w:rPr>
          <w:rFonts w:ascii="Times New Roman" w:eastAsia="Times New Roman" w:hAnsi="Times New Roman" w:cs="Times New Roman"/>
          <w:b/>
          <w:bCs/>
          <w:color w:val="888A8C"/>
          <w:sz w:val="24"/>
          <w:szCs w:val="24"/>
          <w:lang w:eastAsia="lv-LV"/>
        </w:rPr>
      </w:pPr>
    </w:p>
    <w:p w14:paraId="4E99D54C" w14:textId="7E6F0912"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4.6.5. Noteikumi par atskaitījumu proporcionālu palielināšanu</w:t>
      </w:r>
    </w:p>
    <w:p w14:paraId="78200AC2"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42B55469" w14:textId="37A961F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iekļauj noteikumus, saskaņā ar kuriem palielina atskaitījumu apmēru par neizpildi, kad aktīvs nav pieejams un/vai pakalpojumu neizpilde turpinās ilgāku laiku. Dažreiz atskaitījumu apmēru palielina arī gadījumā, ja neizpilde notiek atkārtoti.</w:t>
      </w:r>
    </w:p>
    <w:p w14:paraId="238BECA7" w14:textId="77777777" w:rsidR="00404D76" w:rsidRDefault="00404D76" w:rsidP="00D43EDD">
      <w:pPr>
        <w:spacing w:after="0" w:line="240" w:lineRule="auto"/>
        <w:jc w:val="both"/>
        <w:rPr>
          <w:rFonts w:ascii="Times New Roman" w:eastAsia="Times New Roman" w:hAnsi="Times New Roman" w:cs="Times New Roman"/>
          <w:b/>
          <w:bCs/>
          <w:i/>
          <w:iCs/>
          <w:sz w:val="24"/>
          <w:szCs w:val="24"/>
          <w:lang w:eastAsia="lv-LV"/>
        </w:rPr>
      </w:pPr>
    </w:p>
    <w:p w14:paraId="1F4C1C41" w14:textId="0049A001"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02FB34F" w14:textId="77777777" w:rsidR="00404D76" w:rsidRDefault="00404D76" w:rsidP="00D43EDD">
      <w:pPr>
        <w:spacing w:after="0" w:line="240" w:lineRule="auto"/>
        <w:jc w:val="both"/>
        <w:rPr>
          <w:rFonts w:ascii="Times New Roman" w:eastAsia="Times New Roman" w:hAnsi="Times New Roman" w:cs="Times New Roman"/>
          <w:i/>
          <w:iCs/>
          <w:color w:val="0093CC"/>
          <w:sz w:val="24"/>
          <w:szCs w:val="24"/>
          <w:lang w:eastAsia="lv-LV"/>
        </w:rPr>
      </w:pPr>
    </w:p>
    <w:p w14:paraId="70A4736B" w14:textId="4A02958A"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iepriekš aprakstītie noteikumi par atskaitījumu proporcionālu palielināšanu </w:t>
      </w:r>
      <w:r w:rsidRPr="000761E9">
        <w:rPr>
          <w:rFonts w:ascii="Times New Roman" w:eastAsia="Times New Roman" w:hAnsi="Times New Roman" w:cs="Times New Roman"/>
          <w:b/>
          <w:bCs/>
          <w:color w:val="0093CC"/>
          <w:sz w:val="24"/>
          <w:szCs w:val="24"/>
          <w:lang w:eastAsia="lv-LV"/>
        </w:rPr>
        <w:t>neietekmē statistisko uzskaiti</w:t>
      </w:r>
      <w:r w:rsidRPr="000761E9">
        <w:rPr>
          <w:rFonts w:ascii="Times New Roman" w:eastAsia="Times New Roman" w:hAnsi="Times New Roman" w:cs="Times New Roman"/>
          <w:sz w:val="24"/>
          <w:szCs w:val="24"/>
          <w:lang w:eastAsia="lv-LV"/>
        </w:rPr>
        <w:t>.</w:t>
      </w:r>
    </w:p>
    <w:p w14:paraId="6BBC2249" w14:textId="77777777" w:rsidR="00404D76" w:rsidRDefault="00404D76" w:rsidP="00D43EDD">
      <w:pPr>
        <w:spacing w:after="0" w:line="240" w:lineRule="auto"/>
        <w:jc w:val="both"/>
        <w:rPr>
          <w:rFonts w:ascii="Times New Roman" w:eastAsia="Times New Roman" w:hAnsi="Times New Roman" w:cs="Times New Roman"/>
          <w:b/>
          <w:bCs/>
          <w:color w:val="888A8C"/>
          <w:sz w:val="24"/>
          <w:szCs w:val="24"/>
          <w:lang w:eastAsia="lv-LV"/>
        </w:rPr>
      </w:pPr>
    </w:p>
    <w:p w14:paraId="69594D45" w14:textId="20FED849"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4.6.6. Nav pieejami, bet tiek lietoti</w:t>
      </w:r>
    </w:p>
    <w:p w14:paraId="5A8D8A0E" w14:textId="77777777" w:rsidR="00404D76" w:rsidRDefault="00404D76" w:rsidP="00D43EDD">
      <w:pPr>
        <w:spacing w:after="0" w:line="240" w:lineRule="auto"/>
        <w:jc w:val="both"/>
        <w:rPr>
          <w:rFonts w:ascii="Times New Roman" w:eastAsia="Times New Roman" w:hAnsi="Times New Roman" w:cs="Times New Roman"/>
          <w:color w:val="231F20"/>
          <w:sz w:val="24"/>
          <w:szCs w:val="24"/>
          <w:lang w:eastAsia="lv-LV"/>
        </w:rPr>
      </w:pPr>
    </w:p>
    <w:p w14:paraId="7F615088" w14:textId="2B7C4C72"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piemērot noteikumus par aktīviem, kas nav pieejami, bet tiek lietoti, saskaņā ar šiem noteikumiem atskaitījumi parasti tiek samazināti par kādu procentuālu daļu (piemēram, par 50 %), ja Iestāde nolemj lietot aktīvu (vai šā aktīva komponentu), kaut arī atbilstoši līgumā noteiktajiem standartiem tas nav pieejams.</w:t>
      </w:r>
    </w:p>
    <w:p w14:paraId="36B46B8E"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74B80FB6" w14:textId="48E5E5F9"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43B19D3"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2A0343FE" w14:textId="428F0838"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iepriekš aprakstītie noteikumi par aktīviem, kas nav pieejami, bet tiek lietoti,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 xml:space="preserve">Savukārt noteikumi, kuri attiecas uz aktīviem, kas nav pieejami, bet tiek lietoti, un saskaņā ar kuriem atskaitījumi tiek samazināti vairāk nekā par 50 %, </w:t>
      </w:r>
      <w:r w:rsidRPr="000761E9">
        <w:rPr>
          <w:rFonts w:ascii="Times New Roman" w:eastAsia="Times New Roman" w:hAnsi="Times New Roman" w:cs="Times New Roman"/>
          <w:b/>
          <w:bCs/>
          <w:i/>
          <w:iCs/>
          <w:color w:val="0093CC"/>
          <w:sz w:val="24"/>
          <w:szCs w:val="24"/>
          <w:lang w:eastAsia="lv-LV"/>
        </w:rPr>
        <w:t xml:space="preserve">ietekmē statistisko uzskaiti </w:t>
      </w:r>
      <w:r w:rsidRPr="000761E9">
        <w:rPr>
          <w:rFonts w:ascii="Times New Roman" w:eastAsia="Times New Roman" w:hAnsi="Times New Roman" w:cs="Times New Roman"/>
          <w:i/>
          <w:iCs/>
          <w:color w:val="0093CC"/>
          <w:sz w:val="24"/>
          <w:szCs w:val="24"/>
          <w:lang w:eastAsia="lv-LV"/>
        </w:rPr>
        <w:t>un ir VIDĒJI SVARĪGS jautājums.</w:t>
      </w:r>
    </w:p>
    <w:p w14:paraId="2824FAD2"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68C69B95" w14:textId="6A5A6015"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4.6.7. Alternatīvas pagaidu telpas</w:t>
      </w:r>
    </w:p>
    <w:p w14:paraId="60B0942F"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BDD470C" w14:textId="2DB70110"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dažiem PPP līgumiem Partneris Iestādei var piedāvāt izmantot alternatīvas pagaidu telpas, kamēr nav pieejams aktīvs (vai tā komponenti). Ja Iestādei alternatīvās pagaidu telpas ir pieņemamas, attiecīgie atskaitījumi nepieejamības dēļ netiek piemēroti.</w:t>
      </w:r>
    </w:p>
    <w:p w14:paraId="1AAB195A"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721BAFBE" w14:textId="7131B2F3"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2EC5357"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36A4E5EE" w14:textId="30F85BF3"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iepriekš aprakstītie noteikumi par alternatīvām pagaidu telpām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3EF4331A"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2C2FDB4C" w14:textId="7F46172E"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4.7. Atvieglojumi attiecībā uz atskaitījumiem nepieejamības vai neizpildes dēļ</w:t>
      </w:r>
    </w:p>
    <w:p w14:paraId="2F57C24C"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4118DEB" w14:textId="54C5B87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līgumi atvieglojumus no atskaitījumiem Partnerim piešķir noteiktās situācijās, kuru piemēri ir aprakstīti turpmāk.</w:t>
      </w:r>
    </w:p>
    <w:p w14:paraId="4043C6A4"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98FB8BD"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4.7.1. Attaisnojoši iemesli</w:t>
      </w:r>
    </w:p>
    <w:p w14:paraId="3B510BB0"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E5465BE" w14:textId="032847A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tiek atzītas dažas situācijas, kurās Partneris nav iemesls aktīva nepieejamībai vai neapmierinošai pakalpojumu izpildei un kurās tāpēc nepiemēro atskaitījumus. PPP līgumā to var paredzēt dažādos veidos.</w:t>
      </w:r>
    </w:p>
    <w:p w14:paraId="63E0FE29"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7A0CAE4" w14:textId="2F3A1FC1"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Piemēram:</w:t>
      </w:r>
    </w:p>
    <w:p w14:paraId="4F912832"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218F2EB" w14:textId="49835CEF" w:rsidR="00D43EDD" w:rsidRPr="0089377C" w:rsidRDefault="00D43EDD" w:rsidP="00DC1556">
      <w:pPr>
        <w:pStyle w:val="Sarakstarindkopa"/>
        <w:numPr>
          <w:ilvl w:val="0"/>
          <w:numId w:val="3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var uzskatīt, ka nepieejamība vai neapmierinoša pakalpojumu izpilde nav notikusi;</w:t>
      </w:r>
    </w:p>
    <w:p w14:paraId="6AAA8B4C" w14:textId="77777777" w:rsidR="00D43EDD" w:rsidRPr="0089377C" w:rsidRDefault="00D43EDD" w:rsidP="00DC1556">
      <w:pPr>
        <w:pStyle w:val="Sarakstarindkopa"/>
        <w:numPr>
          <w:ilvl w:val="0"/>
          <w:numId w:val="3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lastRenderedPageBreak/>
        <w:t>uzskata, ka nepieejamība vai neapmierinoša pakalpojumu izpilde ir notikusi, bet atskaitījumu aprēķināšanas vajadzībām to neņem vērā;</w:t>
      </w:r>
    </w:p>
    <w:p w14:paraId="6DFB5CD9" w14:textId="77777777" w:rsidR="00D43EDD" w:rsidRPr="0089377C" w:rsidRDefault="00D43EDD" w:rsidP="00DC1556">
      <w:pPr>
        <w:pStyle w:val="Sarakstarindkopa"/>
        <w:numPr>
          <w:ilvl w:val="0"/>
          <w:numId w:val="3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uzskata, ka nepieejamība vai neapmierinoša pakalpojumu izpilde ir notikusi, un veic atskaitījumu, bet Partnerim ir tiesības atgūt šo atskaitījumu no Iestādes, izmantojot citu mehānismu (piemēram, 6. tematā minēto mehānismu gadījumiem, kad izmaksājama kompensācija).</w:t>
      </w:r>
    </w:p>
    <w:p w14:paraId="73ADA4C3"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CFBBF42" w14:textId="7FE6F6C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Bieži sastopami atskaitījumu atvieglojumu piemēri ir gadījumi, kad neizpildes tiešs iemesls ir:</w:t>
      </w:r>
    </w:p>
    <w:p w14:paraId="5A95C7BF"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239D750" w14:textId="77777777" w:rsidR="00D43EDD" w:rsidRPr="0089377C" w:rsidRDefault="00D43EDD" w:rsidP="00DC1556">
      <w:pPr>
        <w:pStyle w:val="Sarakstarindkopa"/>
        <w:numPr>
          <w:ilvl w:val="0"/>
          <w:numId w:val="37"/>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plānotā uzturēšana;</w:t>
      </w:r>
    </w:p>
    <w:p w14:paraId="1DE1CAD1" w14:textId="77777777" w:rsidR="00D43EDD" w:rsidRPr="0089377C" w:rsidRDefault="00D43EDD" w:rsidP="00DC1556">
      <w:pPr>
        <w:pStyle w:val="Sarakstarindkopa"/>
        <w:numPr>
          <w:ilvl w:val="0"/>
          <w:numId w:val="37"/>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ārējās enerģijas padeves traucējumi;</w:t>
      </w:r>
    </w:p>
    <w:p w14:paraId="65E1F6CE" w14:textId="77777777" w:rsidR="00D43EDD" w:rsidRPr="0089377C" w:rsidRDefault="00D43EDD" w:rsidP="00DC1556">
      <w:pPr>
        <w:pStyle w:val="Sarakstarindkopa"/>
        <w:numPr>
          <w:ilvl w:val="0"/>
          <w:numId w:val="37"/>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gadījumi, kad izmaksājama kompensācija (sk. 6. tematu);</w:t>
      </w:r>
    </w:p>
    <w:p w14:paraId="56998BE4" w14:textId="77777777" w:rsidR="00D43EDD" w:rsidRPr="0089377C" w:rsidRDefault="00D43EDD" w:rsidP="00DC1556">
      <w:pPr>
        <w:pStyle w:val="Sarakstarindkopa"/>
        <w:numPr>
          <w:ilvl w:val="0"/>
          <w:numId w:val="37"/>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nepārvaramas vara;</w:t>
      </w:r>
    </w:p>
    <w:p w14:paraId="086FA139" w14:textId="77777777" w:rsidR="00D43EDD" w:rsidRPr="0089377C" w:rsidRDefault="00D43EDD" w:rsidP="00DC1556">
      <w:pPr>
        <w:pStyle w:val="Sarakstarindkopa"/>
        <w:numPr>
          <w:ilvl w:val="0"/>
          <w:numId w:val="37"/>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trešās puses darbības, kuras Partneris nevar ietekmēt (piemēram, automaģistrāles joslas nepieejamība kāda transportlīdzekļa avārijas dēļ, ja saskaņā ar PPP līgumu to neuzskata par gadījumu, kad izmaksājama kompensācija).</w:t>
      </w:r>
    </w:p>
    <w:p w14:paraId="4CCC0050"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422E43FD" w14:textId="3F1CBEAE"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B9EC02E"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1DB567B0" w14:textId="043F630E"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kas Partnerim sniedz atvieglojumus no atskaitījumiem tādas nepieejamības vai neapmierinošas pakalpojumu izpildes dēļ, kuras tiešs iemesls ir iepriekš aprakstītie gadījumi,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0EC7C85C"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5F5171E7" w14:textId="77777777"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Savukārt noteikumi, kas attaisno Partneri nepieejamības vai neapmierinošas pakalpojumu izpildes gadījumā, ja tā notiek tādu notikumu dēļ, kurus Partneris var ietekmēt vai kuri parāda makroekonomikas nosacījumu izmaiņas, </w:t>
      </w:r>
      <w:r w:rsidRPr="000761E9">
        <w:rPr>
          <w:rFonts w:ascii="Times New Roman" w:eastAsia="Times New Roman" w:hAnsi="Times New Roman" w:cs="Times New Roman"/>
          <w:b/>
          <w:bCs/>
          <w:i/>
          <w:iCs/>
          <w:color w:val="0093CC"/>
          <w:sz w:val="24"/>
          <w:szCs w:val="24"/>
          <w:lang w:eastAsia="lv-LV"/>
        </w:rPr>
        <w:t>ietekmē statistisko uzskaiti</w:t>
      </w:r>
      <w:r w:rsidRPr="000761E9">
        <w:rPr>
          <w:rFonts w:ascii="Times New Roman" w:eastAsia="Times New Roman" w:hAnsi="Times New Roman" w:cs="Times New Roman"/>
          <w:i/>
          <w:iCs/>
          <w:color w:val="0093C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Šis ir statistiskajā uzskaitē SVARĪGS jautājums.</w:t>
      </w:r>
    </w:p>
    <w:p w14:paraId="3618E1F1"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4E1790A6" w14:textId="215E34B6"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4.7.2. Atvieglojumu periodi</w:t>
      </w:r>
    </w:p>
    <w:p w14:paraId="734FBEE0"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5CE8F27" w14:textId="73A09A6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Daudzi PPP līgumi paredz darbības fāzē atskaitījumiem piemērot atvieglojumus uz noteiktiem laika posmiem (bieži dēvētiem par atvieglojumu periodiem). Dažādos PPP līgumos atvieglojumu periodiem izmanto dažādas pieejas atbilstoši tam, kā aprakstīts turpmāk.</w:t>
      </w:r>
    </w:p>
    <w:p w14:paraId="0B3D0B24"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3113CEC" w14:textId="555A7B6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atvieglojumu periodu darbības fāzes sākumā, un tā laikā atskaitījumus nepiemēro (vai nepiemēro pilnībā). Tas tiek darīts, lai Partnerim dotu laiku sākt aktīva ekspluatāciju un uzturēšanu. Ievērojami atšķiras gan dažādos līgumos noteiktie laika periodi, gan pakalpojumi vai atskaitījumi, uz kuriem attiecas atvieglojumi. Piemēram:</w:t>
      </w:r>
    </w:p>
    <w:p w14:paraId="3C8A6F24"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87FBD44" w14:textId="3FE12D0F" w:rsidR="00D43EDD" w:rsidRPr="0089377C" w:rsidRDefault="00D43EDD" w:rsidP="00DC1556">
      <w:pPr>
        <w:pStyle w:val="Sarakstarindkopa"/>
        <w:numPr>
          <w:ilvl w:val="0"/>
          <w:numId w:val="38"/>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atvieglojums var attiekties uz visiem atskaitījumiem vai tikai uz atskaitījumiem neizpildes dēļ;</w:t>
      </w:r>
    </w:p>
    <w:p w14:paraId="7B8030C9" w14:textId="77777777" w:rsidR="00D43EDD" w:rsidRPr="0089377C" w:rsidRDefault="00D43EDD" w:rsidP="00DC1556">
      <w:pPr>
        <w:pStyle w:val="Sarakstarindkopa"/>
        <w:numPr>
          <w:ilvl w:val="0"/>
          <w:numId w:val="38"/>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atvieglojums var attiekties uz visiem vai tikai atsevišķiem pakalpojumiem;</w:t>
      </w:r>
    </w:p>
    <w:p w14:paraId="4B698FB6" w14:textId="77777777" w:rsidR="00D43EDD" w:rsidRPr="0089377C" w:rsidRDefault="00D43EDD" w:rsidP="00DC1556">
      <w:pPr>
        <w:pStyle w:val="Sarakstarindkopa"/>
        <w:numPr>
          <w:ilvl w:val="0"/>
          <w:numId w:val="38"/>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var tikt piešķirts pilnīgs atvieglojums vai arī atskaitījumu var samazināt par noteiktu procentuālu daļu.</w:t>
      </w:r>
    </w:p>
    <w:p w14:paraId="34918B92"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50C3912" w14:textId="7FC78CD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Citi PPP līgumi paredz atvieglojumu periodu darbības fāzes sākumā, un tā laikā pamatdarbības maksājumiem atskaitījumus piemēro pilnā apmērā, bet tos neņem vērā, lai PPP līguma izpildi pabeigtu pirms termiņa.</w:t>
      </w:r>
    </w:p>
    <w:p w14:paraId="2572936F"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0990A8A" w14:textId="7777777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Saskaņā ar abām pieejām noteikumus par atvieglojumu periodu dažreiz piemēro arī gadījumos, kad Partneris nomaina galveno apakšuzņēmēju un/vai aizdevēji nomaina Partneri pēc iestāšanās PPP līgumā (sk. 14.8. tematu).</w:t>
      </w:r>
    </w:p>
    <w:p w14:paraId="7C0A3DD4"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21638CB" w14:textId="378ECAE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neparedz atvieglojumu periodus.</w:t>
      </w:r>
    </w:p>
    <w:p w14:paraId="1478F9CD"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0C88772D" w14:textId="2FF2E64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8DCD718"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348CE61E" w14:textId="6B347581"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w:t>
      </w:r>
    </w:p>
    <w:p w14:paraId="568CCFCA"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64FD7D74" w14:textId="730C5ECF" w:rsidR="00D43EDD" w:rsidRPr="0089377C" w:rsidRDefault="00D43EDD" w:rsidP="00DC1556">
      <w:pPr>
        <w:pStyle w:val="Sarakstarindkopa"/>
        <w:numPr>
          <w:ilvl w:val="0"/>
          <w:numId w:val="39"/>
        </w:numPr>
        <w:spacing w:after="0" w:line="240" w:lineRule="auto"/>
        <w:ind w:hanging="294"/>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 xml:space="preserve">noteikumi par atvieglojumu periodu, kas piešķir atvieglojumus tikai attiecībā uz atskaitījumiem neapmierinošas pakalpojumu izpildes dēļ (t. i., tik un tā tiek piemēroti atskaitījumi nepieejamības dēļ), </w:t>
      </w:r>
      <w:r w:rsidRPr="0089377C">
        <w:rPr>
          <w:rFonts w:ascii="Times New Roman" w:eastAsia="Times New Roman" w:hAnsi="Times New Roman" w:cs="Times New Roman"/>
          <w:b/>
          <w:bCs/>
          <w:i/>
          <w:iCs/>
          <w:color w:val="0093CC"/>
          <w:sz w:val="24"/>
          <w:szCs w:val="24"/>
          <w:lang w:eastAsia="lv-LV"/>
        </w:rPr>
        <w:t xml:space="preserve">neietekmē statistisko uzskaiti, ja </w:t>
      </w:r>
      <w:r w:rsidRPr="0089377C">
        <w:rPr>
          <w:rFonts w:ascii="Times New Roman" w:eastAsia="Times New Roman" w:hAnsi="Times New Roman" w:cs="Times New Roman"/>
          <w:i/>
          <w:iCs/>
          <w:color w:val="0093CC"/>
          <w:sz w:val="24"/>
          <w:szCs w:val="24"/>
          <w:lang w:eastAsia="lv-LV"/>
        </w:rPr>
        <w:t>PPP līgumā ir iekļauta efektīva pieejamības noteikšanas kārtība (kas aprakstīta Eurostat piezīmēs 4.4. tematā);</w:t>
      </w:r>
    </w:p>
    <w:p w14:paraId="3C9E10A7" w14:textId="77777777" w:rsidR="0089377C" w:rsidRPr="000761E9" w:rsidRDefault="0089377C" w:rsidP="0089377C">
      <w:pPr>
        <w:spacing w:after="0" w:line="240" w:lineRule="auto"/>
        <w:ind w:left="720" w:hanging="294"/>
        <w:jc w:val="both"/>
        <w:rPr>
          <w:rFonts w:ascii="Times New Roman" w:eastAsia="Times New Roman" w:hAnsi="Times New Roman" w:cs="Times New Roman"/>
          <w:sz w:val="24"/>
          <w:szCs w:val="24"/>
          <w:lang w:eastAsia="lv-LV"/>
        </w:rPr>
      </w:pPr>
    </w:p>
    <w:p w14:paraId="268D73DB" w14:textId="16F1AE69" w:rsidR="00D43EDD" w:rsidRPr="0089377C" w:rsidRDefault="00D43EDD" w:rsidP="00DC1556">
      <w:pPr>
        <w:pStyle w:val="Sarakstarindkopa"/>
        <w:numPr>
          <w:ilvl w:val="0"/>
          <w:numId w:val="39"/>
        </w:numPr>
        <w:spacing w:after="0" w:line="240" w:lineRule="auto"/>
        <w:ind w:hanging="294"/>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 xml:space="preserve">noteikumi par atvieglojumu periodu, kas piešķir atvieglojumus attiecībā uz atskaitījumiem nepieejamības dēļ, </w:t>
      </w:r>
      <w:r w:rsidRPr="0089377C">
        <w:rPr>
          <w:rFonts w:ascii="Times New Roman" w:eastAsia="Times New Roman" w:hAnsi="Times New Roman" w:cs="Times New Roman"/>
          <w:b/>
          <w:bCs/>
          <w:i/>
          <w:iCs/>
          <w:color w:val="0093CC"/>
          <w:sz w:val="24"/>
          <w:szCs w:val="24"/>
          <w:lang w:eastAsia="lv-LV"/>
        </w:rPr>
        <w:t xml:space="preserve">neietekmē statistisko uzskaiti, ja </w:t>
      </w:r>
      <w:r w:rsidRPr="0089377C">
        <w:rPr>
          <w:rFonts w:ascii="Times New Roman" w:eastAsia="Times New Roman" w:hAnsi="Times New Roman" w:cs="Times New Roman"/>
          <w:i/>
          <w:iCs/>
          <w:color w:val="0093CC"/>
          <w:sz w:val="24"/>
          <w:szCs w:val="24"/>
          <w:lang w:eastAsia="lv-LV"/>
        </w:rPr>
        <w:t>šis periods ir pamatots, ņemot vērā aktīva veidu, PPP līguma termiņu un citus projekta apstākļus.</w:t>
      </w:r>
      <w:r w:rsidRPr="0089377C">
        <w:rPr>
          <w:rFonts w:ascii="Times New Roman" w:eastAsia="Times New Roman" w:hAnsi="Times New Roman" w:cs="Times New Roman"/>
          <w:sz w:val="24"/>
          <w:szCs w:val="24"/>
          <w:lang w:eastAsia="lv-LV"/>
        </w:rPr>
        <w:t> </w:t>
      </w:r>
      <w:r w:rsidRPr="0089377C">
        <w:rPr>
          <w:rFonts w:ascii="Times New Roman" w:eastAsia="Times New Roman" w:hAnsi="Times New Roman" w:cs="Times New Roman"/>
          <w:i/>
          <w:iCs/>
          <w:color w:val="0093CC"/>
          <w:sz w:val="24"/>
          <w:szCs w:val="24"/>
          <w:lang w:eastAsia="lv-LV"/>
        </w:rPr>
        <w:t>Piemēram, Eurostat uzskata, ka attiecībā uz atskaitījumiem nepieejamības dēļ (vai samazinātas pieejamības dēļ), atvieglojumu periods uz laiku līdz sešiem mēnešiem ir pieņemams tajos projektos, kuru darbības fāze ilgst vismaz 20 gadus. Projektos ar īsāku darbības fāzi atvieglojumu periodiem būtu jābūt proporcionāli īsākiem, savukārt projektos ar ilgāku darbības fāzi par pamatotiem var uzskatīt ilgākus atvieglojumu periodus. Ja termiņa pagarinājumi nav uzskatāmi par pieņemamiem, tas statistiskajā uzskaitē ir VIDĒJI SVARĪGS jautājums;</w:t>
      </w:r>
    </w:p>
    <w:p w14:paraId="50BCC085" w14:textId="77777777" w:rsidR="0089377C" w:rsidRPr="000761E9" w:rsidRDefault="0089377C" w:rsidP="0089377C">
      <w:pPr>
        <w:spacing w:after="0" w:line="240" w:lineRule="auto"/>
        <w:ind w:left="720" w:hanging="294"/>
        <w:jc w:val="both"/>
        <w:rPr>
          <w:rFonts w:ascii="Times New Roman" w:eastAsia="Times New Roman" w:hAnsi="Times New Roman" w:cs="Times New Roman"/>
          <w:i/>
          <w:iCs/>
          <w:color w:val="0093CC"/>
          <w:sz w:val="24"/>
          <w:szCs w:val="24"/>
          <w:lang w:eastAsia="lv-LV"/>
        </w:rPr>
      </w:pPr>
    </w:p>
    <w:p w14:paraId="3F59A3C4" w14:textId="77777777" w:rsidR="00D43EDD" w:rsidRPr="0089377C" w:rsidRDefault="00D43EDD" w:rsidP="00DC1556">
      <w:pPr>
        <w:pStyle w:val="Sarakstarindkopa"/>
        <w:numPr>
          <w:ilvl w:val="0"/>
          <w:numId w:val="39"/>
        </w:numPr>
        <w:spacing w:after="0" w:line="240" w:lineRule="auto"/>
        <w:ind w:hanging="294"/>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i/>
          <w:iCs/>
          <w:color w:val="0093CC"/>
          <w:sz w:val="24"/>
          <w:szCs w:val="24"/>
          <w:lang w:eastAsia="lv-LV"/>
        </w:rPr>
        <w:t xml:space="preserve">noteikumi par atvieglojumu periodu, kas piešķir atvieglojumus tikai atskaitījumiem nepieejamības un/vai neizpildes dēļ, lai izraisītu PPP līguma izbeigšanu pirms termiņa (t. i., pamatdarbības maksājumiem tik un tā piemēro atskaitījumus), </w:t>
      </w:r>
      <w:r w:rsidRPr="0089377C">
        <w:rPr>
          <w:rFonts w:ascii="Times New Roman" w:eastAsia="Times New Roman" w:hAnsi="Times New Roman" w:cs="Times New Roman"/>
          <w:b/>
          <w:bCs/>
          <w:i/>
          <w:iCs/>
          <w:color w:val="0093CC"/>
          <w:sz w:val="24"/>
          <w:szCs w:val="24"/>
          <w:lang w:eastAsia="lv-LV"/>
        </w:rPr>
        <w:t>neietekmē statistisko uzskaiti</w:t>
      </w:r>
      <w:r w:rsidRPr="0089377C">
        <w:rPr>
          <w:rFonts w:ascii="Times New Roman" w:eastAsia="Times New Roman" w:hAnsi="Times New Roman" w:cs="Times New Roman"/>
          <w:i/>
          <w:iCs/>
          <w:color w:val="0093CC"/>
          <w:sz w:val="24"/>
          <w:szCs w:val="24"/>
          <w:lang w:eastAsia="lv-LV"/>
        </w:rPr>
        <w:t>.</w:t>
      </w:r>
    </w:p>
    <w:p w14:paraId="51987876"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443FF6EE" w14:textId="74328801"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Iepriekš izklāstītie viedokļi attiecas uz tiem atvieglojumu periodiem, kurus piemēro darbības fāzes sākumā, kurus piemēro, kad Partneris nomaina galveno apakšuzņēmēju, un kurus piemēro, kad aizdevēji nomaina Partneri pēc iestāšanās PPP līgumā.</w:t>
      </w:r>
    </w:p>
    <w:p w14:paraId="23337943"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06380BE4" w14:textId="7F02A2FB"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4.7.3. Pielaides / minimālās robežvērtības</w:t>
      </w:r>
    </w:p>
    <w:p w14:paraId="3F1EB7DF"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9DEEC3A" w14:textId="08BFBF68"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neparedz atskaitījumu piemērošanu noteiktā periodā, ja tā laikā neizpildes gadījumu vai izpildes punktu skaits vai uzkrātā atskaitījumu summa ir mazāka par noteiktu robežvērtību. Piemēram:</w:t>
      </w:r>
    </w:p>
    <w:p w14:paraId="1DF6A3C0"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F2F0E61" w14:textId="1880BD9B" w:rsidR="00D43EDD" w:rsidRPr="0089377C" w:rsidRDefault="00D43EDD" w:rsidP="00DC1556">
      <w:pPr>
        <w:pStyle w:val="Sarakstarindkopa"/>
        <w:numPr>
          <w:ilvl w:val="0"/>
          <w:numId w:val="40"/>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 xml:space="preserve">nekādus atskaitījumus neizpildes dēļ nepiemēro, ja mēneša laikā notikušo neizpildes gadījumu skaits ir mazāks par </w:t>
      </w:r>
      <w:r w:rsidRPr="0089377C">
        <w:rPr>
          <w:rFonts w:ascii="Times New Roman" w:eastAsia="Times New Roman" w:hAnsi="Times New Roman" w:cs="Times New Roman"/>
          <w:i/>
          <w:iCs/>
          <w:color w:val="231F20"/>
          <w:sz w:val="24"/>
          <w:szCs w:val="24"/>
          <w:lang w:eastAsia="lv-LV"/>
        </w:rPr>
        <w:t>x</w:t>
      </w:r>
      <w:r w:rsidRPr="0089377C">
        <w:rPr>
          <w:rFonts w:ascii="Times New Roman" w:eastAsia="Times New Roman" w:hAnsi="Times New Roman" w:cs="Times New Roman"/>
          <w:color w:val="231F20"/>
          <w:sz w:val="24"/>
          <w:szCs w:val="24"/>
          <w:lang w:eastAsia="lv-LV"/>
        </w:rPr>
        <w:t>;</w:t>
      </w:r>
    </w:p>
    <w:p w14:paraId="04805207" w14:textId="77777777" w:rsidR="00D43EDD" w:rsidRPr="0089377C" w:rsidRDefault="00D43EDD" w:rsidP="00DC1556">
      <w:pPr>
        <w:pStyle w:val="Sarakstarindkopa"/>
        <w:numPr>
          <w:ilvl w:val="0"/>
          <w:numId w:val="40"/>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 xml:space="preserve">nekādus atskaitījumus nepiemēro, ja atskaitījumu kopsumma mēnesī ir mazāka par </w:t>
      </w:r>
      <w:r w:rsidRPr="0089377C">
        <w:rPr>
          <w:rFonts w:ascii="Times New Roman" w:eastAsia="Times New Roman" w:hAnsi="Times New Roman" w:cs="Times New Roman"/>
          <w:i/>
          <w:iCs/>
          <w:color w:val="231F20"/>
          <w:sz w:val="24"/>
          <w:szCs w:val="24"/>
          <w:lang w:eastAsia="lv-LV"/>
        </w:rPr>
        <w:t>x</w:t>
      </w:r>
      <w:r w:rsidRPr="0089377C">
        <w:rPr>
          <w:rFonts w:ascii="Times New Roman" w:eastAsia="Times New Roman" w:hAnsi="Times New Roman" w:cs="Times New Roman"/>
          <w:color w:val="231F20"/>
          <w:sz w:val="24"/>
          <w:szCs w:val="24"/>
          <w:lang w:eastAsia="lv-LV"/>
        </w:rPr>
        <w:t> EUR.</w:t>
      </w:r>
    </w:p>
    <w:p w14:paraId="5C4FE4C6" w14:textId="698CFD20" w:rsidR="00586FD8" w:rsidRDefault="00586FD8">
      <w:pPr>
        <w:rPr>
          <w:rFonts w:ascii="Times New Roman" w:eastAsia="Times New Roman" w:hAnsi="Times New Roman" w:cs="Times New Roman"/>
          <w:b/>
          <w:bCs/>
          <w:i/>
          <w:iCs/>
          <w:sz w:val="24"/>
          <w:szCs w:val="24"/>
          <w:lang w:eastAsia="lv-LV"/>
        </w:rPr>
      </w:pPr>
      <w:r>
        <w:rPr>
          <w:rFonts w:ascii="Times New Roman" w:eastAsia="Times New Roman" w:hAnsi="Times New Roman" w:cs="Times New Roman"/>
          <w:b/>
          <w:bCs/>
          <w:i/>
          <w:iCs/>
          <w:sz w:val="24"/>
          <w:szCs w:val="24"/>
          <w:lang w:eastAsia="lv-LV"/>
        </w:rPr>
        <w:br w:type="page"/>
      </w:r>
    </w:p>
    <w:p w14:paraId="60D7B3C7"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6CC57443" w14:textId="19F4B852"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203C5EA"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158BF48F" w14:textId="65CC4BD1"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kas rada pielaidi vai minimālo robežvērtību tikai atskaitījumiem neizpildes dēļ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PPP līgumā ir iekļauta efektīva pieejamības noteikšanas kārtība (kas aprakstīta Eurostat piezīmēs 4.4. tematā).</w:t>
      </w:r>
    </w:p>
    <w:p w14:paraId="69857867"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538C1FF5" w14:textId="77777777"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Noteikumi, kas nosaka pielaidi vai minimālo robežvērtību atskaitījumiem nepieejamības dēļ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šai pielaidei vai minimālajai robežvērtībai ir niecīga ietekme (t. i., nepiemēroto atskaitījumu apmērs nepārsniedz 1 % no pamatdarbības maksājumiem).</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Citos gadījumos (t. i., pielaides vai minimālās robežvērtības ietekme nav niecīga) tas ir statistiskajā uzskaitē SVARĪGS jautājums.</w:t>
      </w:r>
    </w:p>
    <w:p w14:paraId="1525D52A"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034524DA" w14:textId="36112BAD"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4.7.</w:t>
      </w:r>
      <w:r w:rsidR="00895EAA">
        <w:rPr>
          <w:rFonts w:ascii="Times New Roman" w:eastAsia="Times New Roman" w:hAnsi="Times New Roman" w:cs="Times New Roman"/>
          <w:b/>
          <w:bCs/>
          <w:color w:val="888A8C"/>
          <w:sz w:val="24"/>
          <w:szCs w:val="24"/>
          <w:lang w:eastAsia="lv-LV"/>
        </w:rPr>
        <w:t>4</w:t>
      </w:r>
      <w:r w:rsidRPr="000761E9">
        <w:rPr>
          <w:rFonts w:ascii="Times New Roman" w:eastAsia="Times New Roman" w:hAnsi="Times New Roman" w:cs="Times New Roman"/>
          <w:b/>
          <w:bCs/>
          <w:color w:val="888A8C"/>
          <w:sz w:val="24"/>
          <w:szCs w:val="24"/>
          <w:lang w:eastAsia="lv-LV"/>
        </w:rPr>
        <w:t>. Maksimālais atskaitījumu apmērs</w:t>
      </w:r>
    </w:p>
    <w:p w14:paraId="3992A01F"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19AE954" w14:textId="491593B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ļoti bieži nosaka maksimālo atskaitījumu apmēru, ko piemēro nepieejamības un/vai neapmierinošas pakalpojumu izpildes dēļ. Šajā saistībā izmanto daudzas pieejas, bet visbiežāk sastopamie piemēri ir šādi:</w:t>
      </w:r>
    </w:p>
    <w:p w14:paraId="5BD08DC6"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1677830" w14:textId="6ADBCAE8" w:rsidR="00D43EDD" w:rsidRPr="0089377C" w:rsidRDefault="00D43EDD" w:rsidP="00DC1556">
      <w:pPr>
        <w:pStyle w:val="Sarakstarindkopa"/>
        <w:numPr>
          <w:ilvl w:val="0"/>
          <w:numId w:val="41"/>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nepieejamības dēļ Partnerim piemērojamie maksimālie atskaitījumi ir 100 % no pamatdarbības maksājumu nosacītās vērtības attiecīgajā periodā;</w:t>
      </w:r>
    </w:p>
    <w:p w14:paraId="0D04084A" w14:textId="77777777" w:rsidR="0089377C" w:rsidRPr="000761E9" w:rsidRDefault="0089377C" w:rsidP="0089377C">
      <w:pPr>
        <w:spacing w:after="0" w:line="240" w:lineRule="auto"/>
        <w:ind w:left="709" w:hanging="283"/>
        <w:jc w:val="both"/>
        <w:rPr>
          <w:rFonts w:ascii="Times New Roman" w:eastAsia="Times New Roman" w:hAnsi="Times New Roman" w:cs="Times New Roman"/>
          <w:color w:val="231F20"/>
          <w:sz w:val="24"/>
          <w:szCs w:val="24"/>
          <w:lang w:eastAsia="lv-LV"/>
        </w:rPr>
      </w:pPr>
    </w:p>
    <w:p w14:paraId="5101CA86" w14:textId="6EBEC8D6" w:rsidR="00D43EDD" w:rsidRPr="0089377C" w:rsidRDefault="00D43EDD" w:rsidP="00DC1556">
      <w:pPr>
        <w:pStyle w:val="Sarakstarindkopa"/>
        <w:numPr>
          <w:ilvl w:val="0"/>
          <w:numId w:val="41"/>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nepieejamības un neizpildes dēļ Partnerim piemērojamie kopējie maksimālie atskaitījumi ir 100 % no pamatdarbības maksājumu nosacītās vērtības attiecīgajā periodā;</w:t>
      </w:r>
    </w:p>
    <w:p w14:paraId="282B9E4C" w14:textId="77777777" w:rsidR="0089377C" w:rsidRPr="000761E9" w:rsidRDefault="0089377C" w:rsidP="0089377C">
      <w:pPr>
        <w:spacing w:after="0" w:line="240" w:lineRule="auto"/>
        <w:ind w:left="709" w:hanging="283"/>
        <w:jc w:val="both"/>
        <w:rPr>
          <w:rFonts w:ascii="Times New Roman" w:eastAsia="Times New Roman" w:hAnsi="Times New Roman" w:cs="Times New Roman"/>
          <w:color w:val="231F20"/>
          <w:sz w:val="24"/>
          <w:szCs w:val="24"/>
          <w:lang w:eastAsia="lv-LV"/>
        </w:rPr>
      </w:pPr>
    </w:p>
    <w:p w14:paraId="7E1F9706" w14:textId="2C649A75" w:rsidR="00D43EDD" w:rsidRPr="0089377C" w:rsidRDefault="00D43EDD" w:rsidP="00DC1556">
      <w:pPr>
        <w:pStyle w:val="Sarakstarindkopa"/>
        <w:numPr>
          <w:ilvl w:val="0"/>
          <w:numId w:val="41"/>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atsevišķu pakalpojumu (piemēram, ēdināšanas pakalpojumu) neizpildes dēļ Partnerim piemērojamie maksimālie atskaitījumi atbilst šo pakalpojumu sniegšanas izmaksām;</w:t>
      </w:r>
    </w:p>
    <w:p w14:paraId="2A8653F8" w14:textId="77777777" w:rsidR="0089377C" w:rsidRPr="000761E9" w:rsidRDefault="0089377C" w:rsidP="0089377C">
      <w:pPr>
        <w:spacing w:after="0" w:line="240" w:lineRule="auto"/>
        <w:ind w:left="709" w:hanging="283"/>
        <w:jc w:val="both"/>
        <w:rPr>
          <w:rFonts w:ascii="Times New Roman" w:eastAsia="Times New Roman" w:hAnsi="Times New Roman" w:cs="Times New Roman"/>
          <w:color w:val="231F20"/>
          <w:sz w:val="24"/>
          <w:szCs w:val="24"/>
          <w:lang w:eastAsia="lv-LV"/>
        </w:rPr>
      </w:pPr>
    </w:p>
    <w:p w14:paraId="030D2D7C" w14:textId="7E502649" w:rsidR="00D43EDD" w:rsidRPr="0089377C" w:rsidRDefault="00D43EDD" w:rsidP="00DC1556">
      <w:pPr>
        <w:pStyle w:val="Sarakstarindkopa"/>
        <w:numPr>
          <w:ilvl w:val="0"/>
          <w:numId w:val="41"/>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14:paraId="63D9AC83" w14:textId="77777777" w:rsidR="0089377C" w:rsidRPr="000761E9" w:rsidRDefault="0089377C" w:rsidP="0089377C">
      <w:pPr>
        <w:spacing w:after="0" w:line="240" w:lineRule="auto"/>
        <w:ind w:left="709" w:hanging="283"/>
        <w:jc w:val="both"/>
        <w:rPr>
          <w:rFonts w:ascii="Times New Roman" w:eastAsia="Times New Roman" w:hAnsi="Times New Roman" w:cs="Times New Roman"/>
          <w:color w:val="231F20"/>
          <w:sz w:val="24"/>
          <w:szCs w:val="24"/>
          <w:lang w:eastAsia="lv-LV"/>
        </w:rPr>
      </w:pPr>
    </w:p>
    <w:p w14:paraId="4E5A70DC" w14:textId="77777777" w:rsidR="00D43EDD" w:rsidRPr="0089377C" w:rsidRDefault="00D43EDD" w:rsidP="00DC1556">
      <w:pPr>
        <w:pStyle w:val="Sarakstarindkopa"/>
        <w:numPr>
          <w:ilvl w:val="0"/>
          <w:numId w:val="41"/>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atskaitījumus piemēro noteiktai procentuālai daļai (piemēram, 20 %) no pamatdarbības maksājumu kopējās nosacītās vērtības, bet, ja šī robežvērtība ir pārsniegta, Iestādei ir tiesības izbeigt PPP līguma darbību Partnera saistību neizpildes dēļ.</w:t>
      </w:r>
    </w:p>
    <w:p w14:paraId="39CA5DB3"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22D45883" w14:textId="30BC104E"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12FCF92"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0B2B33AD" w14:textId="123AE869"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jebkura maksimālo atskaitījumu noteikšana, kas pārkāpj samērīguma principu (no kura, piemēram, jāizriet pietiekami ilgai principa “nulles pieejamība, nulles maksājums” piemērošanai), </w:t>
      </w:r>
      <w:r w:rsidRPr="000761E9">
        <w:rPr>
          <w:rFonts w:ascii="Times New Roman" w:eastAsia="Times New Roman" w:hAnsi="Times New Roman" w:cs="Times New Roman"/>
          <w:b/>
          <w:bCs/>
          <w:i/>
          <w:iCs/>
          <w:color w:val="0093CC"/>
          <w:sz w:val="24"/>
          <w:szCs w:val="24"/>
          <w:lang w:eastAsia="lv-LV"/>
        </w:rPr>
        <w:t xml:space="preserve">ietekmē statistisko uzskaiti </w:t>
      </w:r>
      <w:r w:rsidRPr="000761E9">
        <w:rPr>
          <w:rFonts w:ascii="Times New Roman" w:eastAsia="Times New Roman" w:hAnsi="Times New Roman" w:cs="Times New Roman"/>
          <w:i/>
          <w:iCs/>
          <w:color w:val="0093CC"/>
          <w:sz w:val="24"/>
          <w:szCs w:val="24"/>
          <w:lang w:eastAsia="lv-LV"/>
        </w:rPr>
        <w:t>un PPP ir automātiski jāreģistrē valdības BILANCĒ.</w:t>
      </w:r>
    </w:p>
    <w:p w14:paraId="78F2CBD9"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69203C15" w14:textId="15833D8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tādā PPP līgumā, kurā ir noteikta efektīva pieejamības noteikšanas kārtība (kas aprakstīta Eurostat piezīmēs 4.4. tematā), turpmāk uzskaitītie maksimālo atskaitījumu noteikšanas mehānismi nepārkāpj samērīguma principu un tāpēc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66DBCA31"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6E34E04B" w14:textId="77777777" w:rsidR="00D43EDD" w:rsidRPr="0089377C" w:rsidRDefault="00D43EDD" w:rsidP="00DC1556">
      <w:pPr>
        <w:pStyle w:val="Sarakstarindkopa"/>
        <w:numPr>
          <w:ilvl w:val="0"/>
          <w:numId w:val="42"/>
        </w:numPr>
        <w:spacing w:after="0" w:line="240" w:lineRule="auto"/>
        <w:ind w:hanging="294"/>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lastRenderedPageBreak/>
        <w:t>noteikumi, kuros nosaka maksimālos atskaitījumus (jebkurā līmenī);</w:t>
      </w:r>
    </w:p>
    <w:p w14:paraId="39CA79F6" w14:textId="77777777" w:rsidR="00D43EDD" w:rsidRPr="0089377C" w:rsidRDefault="00D43EDD" w:rsidP="00DC1556">
      <w:pPr>
        <w:pStyle w:val="Sarakstarindkopa"/>
        <w:numPr>
          <w:ilvl w:val="0"/>
          <w:numId w:val="42"/>
        </w:numPr>
        <w:spacing w:after="0" w:line="240" w:lineRule="auto"/>
        <w:ind w:hanging="294"/>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noteikumi, kuros nosaka maksimālos atskaitījumus nepieejamības dēļ, lai Partneris nezaudētu vairāk kā 100 % no pamatdarbības maksājumu nosacītās vērtības (pietiekami ilgā periodā, kas visbiežāk ir viens gads).</w:t>
      </w:r>
    </w:p>
    <w:p w14:paraId="2F605623"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7D57990C" w14:textId="25BEF116"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Noteikumi, kuros nosaka maksimālos atskaitījumus nepieejamības dēļ, lai Partnerim garantētais minimālais maksājuma līmenis būtu vairāk nekā 0 % no pamatdarbības maksājumu nosacītās vērtības, </w:t>
      </w:r>
      <w:r w:rsidRPr="000761E9">
        <w:rPr>
          <w:rFonts w:ascii="Times New Roman" w:eastAsia="Times New Roman" w:hAnsi="Times New Roman" w:cs="Times New Roman"/>
          <w:b/>
          <w:bCs/>
          <w:i/>
          <w:iCs/>
          <w:color w:val="0093CC"/>
          <w:sz w:val="24"/>
          <w:szCs w:val="24"/>
          <w:lang w:eastAsia="lv-LV"/>
        </w:rPr>
        <w:t xml:space="preserve">neietekmē statistisko uzskaiti, ja </w:t>
      </w:r>
      <w:r w:rsidRPr="000761E9">
        <w:rPr>
          <w:rFonts w:ascii="Times New Roman" w:eastAsia="Times New Roman" w:hAnsi="Times New Roman" w:cs="Times New Roman"/>
          <w:i/>
          <w:iCs/>
          <w:color w:val="0093CC"/>
          <w:sz w:val="24"/>
          <w:szCs w:val="24"/>
          <w:lang w:eastAsia="lv-LV"/>
        </w:rPr>
        <w:t>samērīguma princips, no kura izriet princips “nulles pieejamība, nulles maksājums”, pietiekami ilgu laiku tiek sasniegts citā veidā.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Piemēram, samērīguma principa piemērošanu var panākt, izmantojot termiņa pagarināšanas mehānismu, kas ļauj atgūt konkrētā periodā (visbiežāk viens gads) uzkrātos atskaitījumus un/vai piešķir Iestādei tiesības šā perioda beigās izbeigt PPP līguma darbību pirms termiņa, ja Partneris neizpilda saistības.</w:t>
      </w:r>
    </w:p>
    <w:p w14:paraId="29339995"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5CBAB7C0"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4.8. Korekcijas atbilstoši lietošanas apjomam</w:t>
      </w:r>
    </w:p>
    <w:p w14:paraId="45ACD1F5"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99EECDC" w14:textId="11FF8D6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uz pieejamību balstīti PPP līgumi Partnerim sniedz tiesības uz paaugstinātiem pamatdarbības maksājumiem, ja aktīvu lieto vairāk, nekā tika gaidīts. Iestāde var būt tiesīga arī samazināt pamatdarbības maksājumus, ja aktīvu lieto mazāk, nekā tika gaidīts.</w:t>
      </w:r>
    </w:p>
    <w:p w14:paraId="13E17E3E"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FBE24A9" w14:textId="4CB4DCB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netiek aprēķināts konkrēts lietošanas apjoms, un Partnerim ir jāpieņem jebkura iespējamā aktīva lietošanas apjoma sekas.</w:t>
      </w:r>
    </w:p>
    <w:p w14:paraId="51849AFE"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930471C"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B347283"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7D05D800" w14:textId="0619F278"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kas palielina pamatdarbības maksājumus, lai Partneris tiktu kompensēts, ja aktīvu lieto vairāk, nekā tika gaidīts,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93CC"/>
          <w:sz w:val="24"/>
          <w:szCs w:val="24"/>
          <w:lang w:eastAsia="lv-LV"/>
        </w:rPr>
        <w:t xml:space="preserve">Tāpat noteikumi, kas šādu korekciju neparedz (t. i., nosaka, ka Partnerim ir jāuzņemas risks, ka aktīvs varētu tikt lietots vairāk, nekā tiek gaidīts),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2C77A822"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C3B92E5" w14:textId="0579DF38"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kuros pamatdarbības maksājumi (kuru 100 % ir balstīti uz pieejamību) tiek attiecīgi samazināti, ja aktīvu izmanto mazāk, nekā gaidīts, </w:t>
      </w:r>
      <w:r w:rsidRPr="000761E9">
        <w:rPr>
          <w:rFonts w:ascii="Times New Roman" w:eastAsia="Times New Roman" w:hAnsi="Times New Roman" w:cs="Times New Roman"/>
          <w:b/>
          <w:bCs/>
          <w:i/>
          <w:iCs/>
          <w:color w:val="0093CC"/>
          <w:sz w:val="24"/>
          <w:szCs w:val="24"/>
          <w:lang w:eastAsia="lv-LV"/>
        </w:rPr>
        <w:t xml:space="preserve">ietekmē statistisko uzskaiti </w:t>
      </w:r>
      <w:r w:rsidRPr="000761E9">
        <w:rPr>
          <w:rFonts w:ascii="Times New Roman" w:eastAsia="Times New Roman" w:hAnsi="Times New Roman" w:cs="Times New Roman"/>
          <w:i/>
          <w:iCs/>
          <w:color w:val="0093CC"/>
          <w:sz w:val="24"/>
          <w:szCs w:val="24"/>
          <w:lang w:eastAsia="lv-LV"/>
        </w:rPr>
        <w:t>un šis ir statistiskajā uzskaitē SVARĪGS jautājums.</w:t>
      </w:r>
    </w:p>
    <w:p w14:paraId="2F752A08"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6A54F0E" w14:textId="3CDA41B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4.11. tematu).</w:t>
      </w:r>
    </w:p>
    <w:p w14:paraId="1C179D90"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521D1C8E" w14:textId="77777777" w:rsidR="00D43EDD" w:rsidRPr="000761E9" w:rsidRDefault="00D43EDD" w:rsidP="00D43EDD">
      <w:pPr>
        <w:spacing w:after="0" w:line="240" w:lineRule="auto"/>
        <w:jc w:val="both"/>
        <w:rPr>
          <w:rFonts w:ascii="Times New Roman" w:eastAsia="Times New Roman" w:hAnsi="Times New Roman" w:cs="Times New Roman"/>
          <w:b/>
          <w:bCs/>
          <w:color w:val="0093CC"/>
          <w:sz w:val="24"/>
          <w:szCs w:val="24"/>
          <w:lang w:eastAsia="lv-LV"/>
        </w:rPr>
      </w:pPr>
      <w:r w:rsidRPr="000761E9">
        <w:rPr>
          <w:rFonts w:ascii="Times New Roman" w:eastAsia="Times New Roman" w:hAnsi="Times New Roman" w:cs="Times New Roman"/>
          <w:b/>
          <w:bCs/>
          <w:color w:val="0093CC"/>
          <w:sz w:val="24"/>
          <w:szCs w:val="24"/>
          <w:lang w:eastAsia="lv-LV"/>
        </w:rPr>
        <w:t>B. PPP LĪGUMI, KAS PAREDZ UZ PIEPRASĪJUMU BALSTĪTUS MAKSĀJUMUS</w:t>
      </w:r>
    </w:p>
    <w:p w14:paraId="31847A0D"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654B9999" w14:textId="51046AD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4.9. Pamatdarbības maksājumu struktūra</w:t>
      </w:r>
    </w:p>
    <w:p w14:paraId="549BA61B"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AF5935B" w14:textId="72404E0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tiek iekļauti uz pieprasījumu balstīti maksājumu mehānismi, kas aprēķina Iestādes veicamos pamatdarbības maksājumus atbilstoši aktīva lietošanas apjomam (piemēram, automašīnu skaits, kas izmanto autoceļu, apstrādāto atkritumu tonnas). Parasti pamatdarbības maksājumiem veic indeksāciju (sk. 5.4. tematu).</w:t>
      </w:r>
    </w:p>
    <w:p w14:paraId="27FE0B75"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89ED3F1" w14:textId="580A41D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Parasti uz pieprasījumu balstīti maksājumu mehānismi nepiemēro atskaitījumus neapmierinošas pakalpojumu izpildes dēļ, taču dažos PPP līgumos pakalpojumu izpildes </w:t>
      </w:r>
      <w:r w:rsidRPr="000761E9">
        <w:rPr>
          <w:rFonts w:ascii="Times New Roman" w:eastAsia="Times New Roman" w:hAnsi="Times New Roman" w:cs="Times New Roman"/>
          <w:color w:val="231F20"/>
          <w:sz w:val="24"/>
          <w:szCs w:val="24"/>
          <w:lang w:eastAsia="lv-LV"/>
        </w:rPr>
        <w:lastRenderedPageBreak/>
        <w:t>kvalitāte tiek ņemta vērā citos nolūkos (piemēram, lai noteiktu finansiālas sankcijas vai izraisītu PPP līguma darbības izbeigšanu pirms termiņa Partnera saistību neizpildes dēļ).</w:t>
      </w:r>
    </w:p>
    <w:p w14:paraId="1C8DF4F6"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2CB225A"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4.10. Pamatdarbības maksājumu apmēra noteikšana</w:t>
      </w:r>
    </w:p>
    <w:p w14:paraId="1CC24D29"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94CAD0C" w14:textId="789AC8F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Tiek izmantotas dažādas pieejas, lai kalibrētu maksājumu mehānismu un noteiktu finansiālo ietekmi uz Partneri, tam uzņemoties risku, kas saistīts ar pieprasījumu pēc aktīva. Šajā 4.10. tematā ir norādīti daži parasti izmantoto pieeju piemēri (bet tas nav pilnīgs uzskaitījums).</w:t>
      </w:r>
    </w:p>
    <w:p w14:paraId="651C9DEB"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6F204F7" w14:textId="6516D890"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87EEEC5" w14:textId="77777777" w:rsidR="0089377C" w:rsidRPr="000761E9"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546B0D25" w14:textId="15E339AF"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vērtējot pieprasījuma riska nodošanu, būtiski svarīgs ir samērīguma princips, kas nozīmē, ka pamatdarbības maksājumiem ir jābūt samērīgiem ar pieprasījumu pēc aktīva. Galējā gadījumā, kad pieprasījuma nav vispār, Partnerim pamatdarbības maksājumus nevajadzētu saņemt.</w:t>
      </w:r>
    </w:p>
    <w:p w14:paraId="4928A4F9"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2F5662BC" w14:textId="77777777" w:rsidR="00D43EDD" w:rsidRPr="000761E9"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Turpmāk tekstā ir izklāstīti Eurostat uzskati par to, kā dažādi kalibrēšanas mehānismi ietekmē samērīguma principu un tātad arī statistisko uzskaiti.</w:t>
      </w:r>
    </w:p>
    <w:p w14:paraId="3BCC83D1"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1D8BE197" w14:textId="374DB95A"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4.10.1. Lietošanas veida un laika svērumi</w:t>
      </w:r>
    </w:p>
    <w:p w14:paraId="3654A5B4"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DED0952" w14:textId="6865B86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kuros pamatdarbības maksājumi ir balstīti uz pieprasījumu, svērumi tiek piemēroti dažādiem aktīva lietošanas veidiem (piemēram, atkarībā no to transportlīdzekļa veida, kas brauc pa autoceļu) un/vai dažādiem lietošanas laikiem. Tāpēc pamatdarbības maksājumi, kas Partnerim pienākas par katru lietošanas gadījumu, ir atkarīgi no šīs lietošanas veida un laika. Dažiem lietošanas veidiem un/vai laikiem svērums var būt 0 %.</w:t>
      </w:r>
    </w:p>
    <w:p w14:paraId="215FB18B"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D9126DA"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8FFA8B7"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24914682" w14:textId="6F2AD379"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svērumu (tostarp 0 % svērumu) piemērošana dažādiem aktīva lietošanas veidiem un laikiem </w:t>
      </w:r>
      <w:r w:rsidRPr="000761E9">
        <w:rPr>
          <w:rFonts w:ascii="Times New Roman" w:eastAsia="Times New Roman" w:hAnsi="Times New Roman" w:cs="Times New Roman"/>
          <w:b/>
          <w:bCs/>
          <w:i/>
          <w:iCs/>
          <w:color w:val="0093CC"/>
          <w:sz w:val="24"/>
          <w:szCs w:val="24"/>
          <w:lang w:eastAsia="lv-LV"/>
        </w:rPr>
        <w:t>neietekmē statistisko uzskaiti</w:t>
      </w:r>
      <w:r w:rsidRPr="000761E9">
        <w:rPr>
          <w:rFonts w:ascii="Times New Roman" w:eastAsia="Times New Roman" w:hAnsi="Times New Roman" w:cs="Times New Roman"/>
          <w:i/>
          <w:iCs/>
          <w:color w:val="0093CC"/>
          <w:sz w:val="24"/>
          <w:szCs w:val="24"/>
          <w:lang w:eastAsia="lv-LV"/>
        </w:rPr>
        <w:t>.</w:t>
      </w:r>
    </w:p>
    <w:p w14:paraId="6BB06826"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6DCF1289" w14:textId="62F853B6"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4.10.2. Grupēšana</w:t>
      </w:r>
    </w:p>
    <w:p w14:paraId="154361E1"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1DCC228" w14:textId="550EB01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Bieži vien uz pieprasījuma balstīti maksājumu mehānismi ir strukturēti grupās, un summa, ko Iestāde maksā par vienu lietošanas vienību (piemēram, par vienu vieglā automobiļa braucienu pa autoceļu), ir atkarīga no grupas, kurai vienība atbilst. Piemēram, pirmajiem 1000 vieglajiem automobiļiem maksājums par vienu vieglo automobili ir </w:t>
      </w:r>
      <w:r w:rsidRPr="000761E9">
        <w:rPr>
          <w:rFonts w:ascii="Times New Roman" w:eastAsia="Times New Roman" w:hAnsi="Times New Roman" w:cs="Times New Roman"/>
          <w:i/>
          <w:iCs/>
          <w:color w:val="231F20"/>
          <w:sz w:val="24"/>
          <w:szCs w:val="24"/>
          <w:lang w:eastAsia="lv-LV"/>
        </w:rPr>
        <w:t>x </w:t>
      </w:r>
      <w:r w:rsidRPr="000761E9">
        <w:rPr>
          <w:rFonts w:ascii="Times New Roman" w:eastAsia="Times New Roman" w:hAnsi="Times New Roman" w:cs="Times New Roman"/>
          <w:color w:val="231F20"/>
          <w:sz w:val="24"/>
          <w:szCs w:val="24"/>
          <w:lang w:eastAsia="lv-LV"/>
        </w:rPr>
        <w:t xml:space="preserve">EUR, nākamajiem 1000 vieglajiem automobiļiem tas ir </w:t>
      </w:r>
      <w:r w:rsidRPr="000761E9">
        <w:rPr>
          <w:rFonts w:ascii="Times New Roman" w:eastAsia="Times New Roman" w:hAnsi="Times New Roman" w:cs="Times New Roman"/>
          <w:i/>
          <w:iCs/>
          <w:color w:val="231F20"/>
          <w:sz w:val="24"/>
          <w:szCs w:val="24"/>
          <w:lang w:eastAsia="lv-LV"/>
        </w:rPr>
        <w:t>y </w:t>
      </w:r>
      <w:r w:rsidRPr="000761E9">
        <w:rPr>
          <w:rFonts w:ascii="Times New Roman" w:eastAsia="Times New Roman" w:hAnsi="Times New Roman" w:cs="Times New Roman"/>
          <w:color w:val="231F20"/>
          <w:sz w:val="24"/>
          <w:szCs w:val="24"/>
          <w:lang w:eastAsia="lv-LV"/>
        </w:rPr>
        <w:t>EUR par vienu vieglo automobili utt.</w:t>
      </w:r>
    </w:p>
    <w:p w14:paraId="2F85EA13"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5F691776" w14:textId="3F71A99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Partnera nemainīgo izmaksu, ja pieprasījums atbilst pamatoti prognozētajam apjomam. Dažos PPP līgumos vienības cena visbiežāk lietotajai grupai atbilst nullei.</w:t>
      </w:r>
    </w:p>
    <w:p w14:paraId="068361F8"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A9652C2" w14:textId="79521A57"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DC98519" w14:textId="77777777" w:rsidR="0089377C" w:rsidRPr="000761E9"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47851A49" w14:textId="1703F5EA"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noteikumi, kuros cenas par vienību tiek grupētas atbilstoši aktīva lietošanai, var pārkāpt samērīguma pamatprincipu un tādējādi ietekmēt statistisko </w:t>
      </w:r>
      <w:r w:rsidRPr="000761E9">
        <w:rPr>
          <w:rFonts w:ascii="Times New Roman" w:eastAsia="Times New Roman" w:hAnsi="Times New Roman" w:cs="Times New Roman"/>
          <w:i/>
          <w:iCs/>
          <w:color w:val="0093CC"/>
          <w:sz w:val="24"/>
          <w:szCs w:val="24"/>
          <w:lang w:eastAsia="lv-LV"/>
        </w:rPr>
        <w:lastRenderedPageBreak/>
        <w:t>uzskaiti. Grupēšanas noteikumu ietekme uz samērīguma principu un statistisko uzskaiti jāizvērtē, paturot prātā pamatota pieprasījuma prognozes, ieņēmumu prognozes un Partnera faktiskās izmaksas. Piemēram, Eurostat uzskata, ka</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i/>
          <w:iCs/>
          <w:color w:val="0093CC"/>
          <w:sz w:val="24"/>
          <w:szCs w:val="24"/>
          <w:lang w:eastAsia="lv-LV"/>
        </w:rPr>
        <w:t xml:space="preserve">šie grupēšanas noteikumi </w:t>
      </w:r>
      <w:r w:rsidRPr="000761E9">
        <w:rPr>
          <w:rFonts w:ascii="Times New Roman" w:eastAsia="Times New Roman" w:hAnsi="Times New Roman" w:cs="Times New Roman"/>
          <w:b/>
          <w:bCs/>
          <w:i/>
          <w:iCs/>
          <w:color w:val="0093CC"/>
          <w:sz w:val="24"/>
          <w:szCs w:val="24"/>
          <w:lang w:eastAsia="lv-LV"/>
        </w:rPr>
        <w:t>ietekmē statistisko uzskaiti</w:t>
      </w:r>
      <w:r w:rsidRPr="000761E9">
        <w:rPr>
          <w:rFonts w:ascii="Times New Roman" w:eastAsia="Times New Roman" w:hAnsi="Times New Roman" w:cs="Times New Roman"/>
          <w:i/>
          <w:iCs/>
          <w:color w:val="0093CC"/>
          <w:sz w:val="24"/>
          <w:szCs w:val="24"/>
          <w:lang w:eastAsia="lv-LV"/>
        </w:rPr>
        <w:t>:</w:t>
      </w:r>
    </w:p>
    <w:p w14:paraId="0DFDBFB8"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49C525BE" w14:textId="77777777" w:rsidR="00D43EDD" w:rsidRPr="0089377C" w:rsidRDefault="00D43EDD" w:rsidP="00DC1556">
      <w:pPr>
        <w:pStyle w:val="Sarakstarindkopa"/>
        <w:numPr>
          <w:ilvl w:val="0"/>
          <w:numId w:val="4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visbiežāk lietotajai grupai noteiktā vienības cena atbilst nullei vai ir tuvu tai (šādā gadījumā PPP automātiski reģistrē valdības BILANCĒ);</w:t>
      </w:r>
    </w:p>
    <w:p w14:paraId="310A0958" w14:textId="77777777" w:rsidR="00D43EDD" w:rsidRPr="0089377C" w:rsidRDefault="00D43EDD" w:rsidP="00DC1556">
      <w:pPr>
        <w:pStyle w:val="Sarakstarindkopa"/>
        <w:numPr>
          <w:ilvl w:val="0"/>
          <w:numId w:val="4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biežāk lietotām grupām noteiktā vienības cena atbilst nominālajai cenai, kas faktiski ievērojami ierobežo Partnera iespējas palielināt peļņu (šis statistiskajā uzskaitē ir SVARĪGS jautājums);</w:t>
      </w:r>
    </w:p>
    <w:p w14:paraId="6DF97559" w14:textId="77777777" w:rsidR="00D43EDD" w:rsidRPr="0089377C" w:rsidRDefault="00D43EDD" w:rsidP="00DC1556">
      <w:pPr>
        <w:pStyle w:val="Sarakstarindkopa"/>
        <w:numPr>
          <w:ilvl w:val="0"/>
          <w:numId w:val="4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retāk lietotām grupām ir noteikta tāda vienības cena, ka Partneris atgūs ievērojamu izmaksu daļu, ja pieprasījums ir ievērojami mazāks par pamatoti prognozēto (šis statistiskajā uzskaitē ir SVARĪGS jautājums);</w:t>
      </w:r>
    </w:p>
    <w:p w14:paraId="29786E2E" w14:textId="77777777" w:rsidR="00D43EDD" w:rsidRPr="0089377C" w:rsidRDefault="00D43EDD" w:rsidP="00DC1556">
      <w:pPr>
        <w:pStyle w:val="Sarakstarindkopa"/>
        <w:numPr>
          <w:ilvl w:val="0"/>
          <w:numId w:val="43"/>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retāk lietotām grupām noteiktā vienības cena faktiski ir līdzvērtīga minimāla lietošanas apjoma / ieņēmumu garantijai (šādā gadījumā PPP automātiski reģistrē valdības BILANCĒ; sk. 4.10.3. tematu).</w:t>
      </w:r>
    </w:p>
    <w:p w14:paraId="45374DA7" w14:textId="77777777" w:rsidR="0089377C" w:rsidRDefault="0089377C" w:rsidP="00D43EDD">
      <w:pPr>
        <w:spacing w:after="0" w:line="240" w:lineRule="auto"/>
        <w:jc w:val="both"/>
        <w:rPr>
          <w:rFonts w:ascii="Times New Roman" w:eastAsia="Times New Roman" w:hAnsi="Times New Roman" w:cs="Times New Roman"/>
          <w:b/>
          <w:bCs/>
          <w:color w:val="888A8C"/>
          <w:sz w:val="24"/>
          <w:szCs w:val="24"/>
          <w:lang w:eastAsia="lv-LV"/>
        </w:rPr>
      </w:pPr>
    </w:p>
    <w:p w14:paraId="66A020EC" w14:textId="5AB0A1AD"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4.10.3. Minimālā lietošanas apmēra / ieņēmumu garantijas</w:t>
      </w:r>
    </w:p>
    <w:p w14:paraId="5AA264AC"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4571874" w14:textId="22FCF9A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uz pieprasījumu balstītos PPP līgumos Iestāde Partnerim darbības fāzē garantē noteiktu ieņēmumu apmēru neatkarīgi no aktīva faktiskā lietošanas apjoma. Šim nolūkam PPP līgumos izmanto dažādus mehānismus, piemēram:</w:t>
      </w:r>
    </w:p>
    <w:p w14:paraId="5E01FCA4"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1B8B6F2" w14:textId="77777777" w:rsidR="00D43EDD" w:rsidRPr="0089377C" w:rsidRDefault="00D43EDD" w:rsidP="00DC1556">
      <w:pPr>
        <w:pStyle w:val="Sarakstarindkopa"/>
        <w:numPr>
          <w:ilvl w:val="0"/>
          <w:numId w:val="44"/>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garantēti minimālie pamatdarbības maksājumi mēnesī;</w:t>
      </w:r>
    </w:p>
    <w:p w14:paraId="2A82F7F7" w14:textId="77777777" w:rsidR="00D43EDD" w:rsidRPr="0089377C" w:rsidRDefault="00D43EDD" w:rsidP="00DC1556">
      <w:pPr>
        <w:pStyle w:val="Sarakstarindkopa"/>
        <w:numPr>
          <w:ilvl w:val="0"/>
          <w:numId w:val="44"/>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Iestādes sniegta garantija par aktīva lietošanas apjomu;</w:t>
      </w:r>
    </w:p>
    <w:p w14:paraId="3B799F04" w14:textId="77777777" w:rsidR="00D43EDD" w:rsidRPr="0089377C" w:rsidRDefault="00D43EDD" w:rsidP="00DC1556">
      <w:pPr>
        <w:pStyle w:val="Sarakstarindkopa"/>
        <w:numPr>
          <w:ilvl w:val="0"/>
          <w:numId w:val="44"/>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kompensācija (sk. 6. tematu), ja aktīva lietošanas apjoms ir mazāks par noteikto robežvērtību.</w:t>
      </w:r>
    </w:p>
    <w:p w14:paraId="5292179E"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0B18F67E" w14:textId="0D460748"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DF4D670"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5388B40F" w14:textId="74D357AF"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jebkāda veida minimālā lietošanas apjoma vai minimālo ieņēmumu garantijas</w:t>
      </w:r>
      <w:r w:rsidRPr="000761E9">
        <w:rPr>
          <w:rFonts w:ascii="Times New Roman" w:eastAsia="Times New Roman" w:hAnsi="Times New Roman" w:cs="Times New Roman"/>
          <w:b/>
          <w:bCs/>
          <w:i/>
          <w:iCs/>
          <w:color w:val="0093CC"/>
          <w:sz w:val="24"/>
          <w:szCs w:val="24"/>
          <w:lang w:eastAsia="lv-LV"/>
        </w:rPr>
        <w:t xml:space="preserve"> ietekmē statistisko uzskaiti </w:t>
      </w:r>
      <w:r w:rsidRPr="000761E9">
        <w:rPr>
          <w:rFonts w:ascii="Times New Roman" w:eastAsia="Times New Roman" w:hAnsi="Times New Roman" w:cs="Times New Roman"/>
          <w:i/>
          <w:iCs/>
          <w:color w:val="0093CC"/>
          <w:sz w:val="24"/>
          <w:szCs w:val="24"/>
          <w:lang w:eastAsia="lv-LV"/>
        </w:rPr>
        <w:t>un PPP automātiski jāreģistrē valdības BILANCĒ.</w:t>
      </w:r>
    </w:p>
    <w:p w14:paraId="6AD7BBF9"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EF5F55C" w14:textId="715332C5"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Eurostat uzskata, ka PPP līgumā Partnerim var noteikt tiesības uz tādiem pamatdarbības maksājumiem, kas nav saistīti ar pieprasījumu pēc aktīva, neietekmējot statistisko uzskaiti, izmantojot jauktu maksājumu mehānismu, kura struktūra balstīta gan uz pieejamību, gan pieprasījumu (sk. 4.11. tematu).</w:t>
      </w:r>
    </w:p>
    <w:p w14:paraId="1FCF9E63"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7B3BCA52" w14:textId="77777777" w:rsidR="00D43EDD" w:rsidRPr="000761E9" w:rsidRDefault="00D43EDD" w:rsidP="00D43EDD">
      <w:pPr>
        <w:spacing w:after="0" w:line="240" w:lineRule="auto"/>
        <w:jc w:val="both"/>
        <w:rPr>
          <w:rFonts w:ascii="Times New Roman" w:eastAsia="Times New Roman" w:hAnsi="Times New Roman" w:cs="Times New Roman"/>
          <w:b/>
          <w:bCs/>
          <w:color w:val="0093CC"/>
          <w:sz w:val="24"/>
          <w:szCs w:val="24"/>
          <w:lang w:eastAsia="lv-LV"/>
        </w:rPr>
      </w:pPr>
      <w:r w:rsidRPr="000761E9">
        <w:rPr>
          <w:rFonts w:ascii="Times New Roman" w:eastAsia="Times New Roman" w:hAnsi="Times New Roman" w:cs="Times New Roman"/>
          <w:b/>
          <w:bCs/>
          <w:color w:val="0093CC"/>
          <w:sz w:val="24"/>
          <w:szCs w:val="24"/>
          <w:lang w:eastAsia="lv-LV"/>
        </w:rPr>
        <w:t>C. PPP LĪGUMI, KAS PAREDZ UZ PIEEJAMĪBU UN PIEPRASĪJUMU BALSTĪTUS MAKSĀJUMUS</w:t>
      </w:r>
    </w:p>
    <w:p w14:paraId="31D7E8CA"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4F29AE28" w14:textId="7AFC0850"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4.11. Pamatdarbības maksājumu struktūra</w:t>
      </w:r>
    </w:p>
    <w:p w14:paraId="7D49F3DD"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D5B36DC" w14:textId="191D633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tiek noteikti jaukti pieejamības un pieprasījuma maksājumu mehānismi, kuros ietilpst pamatdarbības maksājumi, ko veido divi komponenti: viens ir balstīts uz pieejamību/izpildi (sk. A iedaļu iepriekš), bet otrs – uz pieprasījumu (sk. B iedaļu iepriekš). Turklāt maksājumus parasti koriģē atbilstoši:</w:t>
      </w:r>
    </w:p>
    <w:p w14:paraId="1775020A"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AA00057" w14:textId="77777777" w:rsidR="00D43EDD" w:rsidRPr="0089377C" w:rsidRDefault="00D43EDD" w:rsidP="00DC1556">
      <w:pPr>
        <w:pStyle w:val="Sarakstarindkopa"/>
        <w:numPr>
          <w:ilvl w:val="0"/>
          <w:numId w:val="45"/>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indeksācijai (sk. 5.4. tematu);</w:t>
      </w:r>
    </w:p>
    <w:p w14:paraId="13DCF252" w14:textId="77777777" w:rsidR="00D43EDD" w:rsidRPr="0089377C" w:rsidRDefault="00D43EDD" w:rsidP="00DC1556">
      <w:pPr>
        <w:pStyle w:val="Sarakstarindkopa"/>
        <w:numPr>
          <w:ilvl w:val="0"/>
          <w:numId w:val="45"/>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atskaitījumiem neapmierinošas pakalpojumu izpildes dēļ.</w:t>
      </w:r>
    </w:p>
    <w:p w14:paraId="5865E2D9"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F163F47" w14:textId="6E1FFE7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Piemēram:</w:t>
      </w:r>
    </w:p>
    <w:p w14:paraId="5C729F3C"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6D1062F" w14:textId="77777777" w:rsidR="00D43EDD" w:rsidRPr="0089377C" w:rsidRDefault="00D43EDD" w:rsidP="00DC1556">
      <w:pPr>
        <w:pStyle w:val="Sarakstarindkopa"/>
        <w:numPr>
          <w:ilvl w:val="0"/>
          <w:numId w:val="4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skolas PPP līgums paredz uz pieejamību balstītus pamatdarbības maksājumus par aktīva nodrošināšanu un ar apjomu (vai pieprasījumu) saistītus maksājumus par ēdināšanas pakalpojumiem (kas balstās uz nodrošināto maltīšu skaitu);</w:t>
      </w:r>
    </w:p>
    <w:p w14:paraId="14FF4F8B" w14:textId="77777777" w:rsidR="00D43EDD" w:rsidRPr="0089377C" w:rsidRDefault="00D43EDD" w:rsidP="00DC1556">
      <w:pPr>
        <w:pStyle w:val="Sarakstarindkopa"/>
        <w:numPr>
          <w:ilvl w:val="0"/>
          <w:numId w:val="4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metro PPP līgums paredz, ka 80 % no prognozētajiem pamatdarbības maksājumiem tiks veikti, balstoties uz pieejamību, bet 20 % no prognozētajiem pamatdarbības maksājumiem tiks veikti, balstoties uz pieprasījumu;</w:t>
      </w:r>
    </w:p>
    <w:p w14:paraId="5E3A5136" w14:textId="77777777" w:rsidR="00D43EDD" w:rsidRPr="0089377C" w:rsidRDefault="00D43EDD" w:rsidP="00DC1556">
      <w:pPr>
        <w:pStyle w:val="Sarakstarindkopa"/>
        <w:numPr>
          <w:ilvl w:val="0"/>
          <w:numId w:val="46"/>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atkritumu pārstrādes PPP līgums paredz, ka 20 % no prognozētajiem pamatdarbības maksājumiem tiks veikti, balstoties uz pieejamību, bet 80 % no prognozētajiem pamatdarbības maksājumiem tiks veikti, balstoties uz pieprasījumu.</w:t>
      </w:r>
    </w:p>
    <w:p w14:paraId="05C4F7E0"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05FF8137" w14:textId="3453969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2DEADD6" w14:textId="77777777" w:rsidR="0089377C"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237EBA02" w14:textId="04DCDB78" w:rsidR="00D43EDD" w:rsidRDefault="00D43EDD" w:rsidP="00D43EDD">
      <w:pPr>
        <w:spacing w:after="0" w:line="240" w:lineRule="auto"/>
        <w:jc w:val="both"/>
        <w:rPr>
          <w:rFonts w:ascii="Times New Roman" w:eastAsia="Times New Roman" w:hAnsi="Times New Roman" w:cs="Times New Roman"/>
          <w:b/>
          <w:bCs/>
          <w:color w:val="0093CC"/>
          <w:sz w:val="24"/>
          <w:szCs w:val="24"/>
          <w:lang w:eastAsia="lv-LV"/>
        </w:rPr>
      </w:pPr>
      <w:r w:rsidRPr="000761E9">
        <w:rPr>
          <w:rFonts w:ascii="Times New Roman" w:eastAsia="Times New Roman" w:hAnsi="Times New Roman" w:cs="Times New Roman"/>
          <w:i/>
          <w:iCs/>
          <w:color w:val="0093CC"/>
          <w:sz w:val="24"/>
          <w:szCs w:val="24"/>
          <w:lang w:eastAsia="lv-LV"/>
        </w:rPr>
        <w:t xml:space="preserve">Eurostat uzskata, ka jaukta pieejamības un pieprasījuma maksājumu mehānisma izmantošana </w:t>
      </w:r>
      <w:r w:rsidRPr="000761E9">
        <w:rPr>
          <w:rFonts w:ascii="Times New Roman" w:eastAsia="Times New Roman" w:hAnsi="Times New Roman" w:cs="Times New Roman"/>
          <w:b/>
          <w:bCs/>
          <w:color w:val="0093CC"/>
          <w:sz w:val="24"/>
          <w:szCs w:val="24"/>
          <w:lang w:eastAsia="lv-LV"/>
        </w:rPr>
        <w:t>pati par sevi neietekmē statistisko uzskaiti.</w:t>
      </w:r>
    </w:p>
    <w:p w14:paraId="27DC32D5"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117FDC7A" w14:textId="4596E91B" w:rsidR="00D43EDD" w:rsidRDefault="00D43EDD" w:rsidP="00D43EDD">
      <w:pPr>
        <w:spacing w:after="0" w:line="240" w:lineRule="auto"/>
        <w:jc w:val="both"/>
        <w:rPr>
          <w:rFonts w:ascii="Times New Roman" w:eastAsia="Times New Roman" w:hAnsi="Times New Roman" w:cs="Times New Roman"/>
          <w:i/>
          <w:iCs/>
          <w:color w:val="0093CC"/>
          <w:sz w:val="24"/>
          <w:szCs w:val="24"/>
          <w:lang w:eastAsia="lv-LV"/>
        </w:rPr>
      </w:pPr>
      <w:r w:rsidRPr="000761E9">
        <w:rPr>
          <w:rFonts w:ascii="Times New Roman" w:eastAsia="Times New Roman" w:hAnsi="Times New Roman" w:cs="Times New Roman"/>
          <w:i/>
          <w:iCs/>
          <w:color w:val="0093CC"/>
          <w:sz w:val="24"/>
          <w:szCs w:val="24"/>
          <w:lang w:eastAsia="lv-LV"/>
        </w:rPr>
        <w:t>Tomēr:</w:t>
      </w:r>
    </w:p>
    <w:p w14:paraId="4979958D"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58FF266E" w14:textId="4BC5513B" w:rsidR="00D43EDD" w:rsidRPr="0089377C" w:rsidRDefault="00D43EDD" w:rsidP="00DC1556">
      <w:pPr>
        <w:pStyle w:val="Sarakstarindkopa"/>
        <w:numPr>
          <w:ilvl w:val="0"/>
          <w:numId w:val="47"/>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w:t>
      </w:r>
      <w:r w:rsidR="00895EAA">
        <w:rPr>
          <w:rFonts w:ascii="Times New Roman" w:eastAsia="Times New Roman" w:hAnsi="Times New Roman" w:cs="Times New Roman"/>
          <w:i/>
          <w:iCs/>
          <w:color w:val="0093CC"/>
          <w:sz w:val="24"/>
          <w:szCs w:val="24"/>
          <w:lang w:eastAsia="lv-LV"/>
        </w:rPr>
        <w:t>s</w:t>
      </w:r>
      <w:r w:rsidRPr="0089377C">
        <w:rPr>
          <w:rFonts w:ascii="Times New Roman" w:eastAsia="Times New Roman" w:hAnsi="Times New Roman" w:cs="Times New Roman"/>
          <w:i/>
          <w:iCs/>
          <w:color w:val="0093CC"/>
          <w:sz w:val="24"/>
          <w:szCs w:val="24"/>
          <w:lang w:eastAsia="lv-LV"/>
        </w:rPr>
        <w:t xml:space="preserve"> lemts, ņemot vērā risku, kas tiek nodots ar pieejamības maksājumiem;</w:t>
      </w:r>
    </w:p>
    <w:p w14:paraId="1E7F963D" w14:textId="77777777" w:rsidR="0089377C" w:rsidRPr="000761E9" w:rsidRDefault="0089377C" w:rsidP="0089377C">
      <w:pPr>
        <w:spacing w:after="0" w:line="240" w:lineRule="auto"/>
        <w:ind w:left="709" w:hanging="283"/>
        <w:jc w:val="both"/>
        <w:rPr>
          <w:rFonts w:ascii="Times New Roman" w:eastAsia="Times New Roman" w:hAnsi="Times New Roman" w:cs="Times New Roman"/>
          <w:i/>
          <w:iCs/>
          <w:color w:val="0093CC"/>
          <w:sz w:val="24"/>
          <w:szCs w:val="24"/>
          <w:lang w:eastAsia="lv-LV"/>
        </w:rPr>
      </w:pPr>
    </w:p>
    <w:p w14:paraId="6B91A196" w14:textId="1FB36B4B" w:rsidR="00D43EDD" w:rsidRPr="0089377C" w:rsidRDefault="00D43EDD" w:rsidP="00DC1556">
      <w:pPr>
        <w:pStyle w:val="Sarakstarindkopa"/>
        <w:numPr>
          <w:ilvl w:val="0"/>
          <w:numId w:val="47"/>
        </w:numPr>
        <w:spacing w:after="0" w:line="240" w:lineRule="auto"/>
        <w:ind w:left="709" w:hanging="283"/>
        <w:jc w:val="both"/>
        <w:rPr>
          <w:rFonts w:ascii="Times New Roman" w:eastAsia="Times New Roman" w:hAnsi="Times New Roman" w:cs="Times New Roman"/>
          <w:i/>
          <w:iCs/>
          <w:color w:val="0093CC"/>
          <w:sz w:val="24"/>
          <w:szCs w:val="24"/>
          <w:lang w:eastAsia="lv-LV"/>
        </w:rPr>
      </w:pPr>
      <w:r w:rsidRPr="0089377C">
        <w:rPr>
          <w:rFonts w:ascii="Times New Roman" w:eastAsia="Times New Roman" w:hAnsi="Times New Roman" w:cs="Times New Roman"/>
          <w:i/>
          <w:iCs/>
          <w:color w:val="0093CC"/>
          <w:sz w:val="24"/>
          <w:szCs w:val="24"/>
          <w:lang w:eastAsia="lv-LV"/>
        </w:rPr>
        <w:t>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14:paraId="4127DA83" w14:textId="48DB2BA7" w:rsidR="0089377C" w:rsidRDefault="0089377C">
      <w:pPr>
        <w:rPr>
          <w:rFonts w:ascii="Times New Roman" w:eastAsia="Times New Roman" w:hAnsi="Times New Roman" w:cs="Times New Roman"/>
          <w:i/>
          <w:iCs/>
          <w:color w:val="0093CC"/>
          <w:sz w:val="24"/>
          <w:szCs w:val="24"/>
          <w:lang w:eastAsia="lv-LV"/>
        </w:rPr>
      </w:pPr>
      <w:r>
        <w:rPr>
          <w:rFonts w:ascii="Times New Roman" w:eastAsia="Times New Roman" w:hAnsi="Times New Roman" w:cs="Times New Roman"/>
          <w:i/>
          <w:iCs/>
          <w:color w:val="0093CC"/>
          <w:sz w:val="24"/>
          <w:szCs w:val="24"/>
          <w:lang w:eastAsia="lv-LV"/>
        </w:rPr>
        <w:br w:type="page"/>
      </w:r>
    </w:p>
    <w:p w14:paraId="1B26752B" w14:textId="77777777" w:rsidR="0089377C" w:rsidRPr="000761E9" w:rsidRDefault="0089377C" w:rsidP="00D43EDD">
      <w:pPr>
        <w:spacing w:after="0" w:line="240" w:lineRule="auto"/>
        <w:jc w:val="both"/>
        <w:rPr>
          <w:rFonts w:ascii="Times New Roman" w:eastAsia="Times New Roman" w:hAnsi="Times New Roman" w:cs="Times New Roman"/>
          <w:i/>
          <w:iCs/>
          <w:color w:val="0093CC"/>
          <w:sz w:val="24"/>
          <w:szCs w:val="24"/>
          <w:lang w:eastAsia="lv-LV"/>
        </w:rPr>
      </w:pPr>
    </w:p>
    <w:p w14:paraId="52138827" w14:textId="77777777" w:rsidR="00D43EDD" w:rsidRPr="00586FD8" w:rsidRDefault="00D43EDD" w:rsidP="00586FD8">
      <w:pPr>
        <w:pStyle w:val="Virsraksts1"/>
        <w:rPr>
          <w:rFonts w:eastAsia="Times New Roman"/>
          <w:b w:val="0"/>
          <w:color w:val="auto"/>
          <w:szCs w:val="28"/>
          <w:lang w:eastAsia="lv-LV"/>
        </w:rPr>
      </w:pPr>
      <w:bookmarkStart w:id="10" w:name="_Toc528941574"/>
      <w:r w:rsidRPr="000761E9">
        <w:rPr>
          <w:rFonts w:eastAsia="Times New Roman"/>
          <w:color w:val="EF4056"/>
          <w:lang w:eastAsia="lv-LV"/>
        </w:rPr>
        <w:t xml:space="preserve">5. temats. </w:t>
      </w:r>
      <w:r w:rsidRPr="00586FD8">
        <w:rPr>
          <w:rFonts w:eastAsia="Times New Roman"/>
          <w:b w:val="0"/>
          <w:color w:val="auto"/>
          <w:szCs w:val="28"/>
          <w:lang w:eastAsia="lv-LV"/>
        </w:rPr>
        <w:t>Citas vienošanās par maksājumiem</w:t>
      </w:r>
      <w:bookmarkEnd w:id="10"/>
    </w:p>
    <w:p w14:paraId="4D3A8F08"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0E65D4DB" w14:textId="2D69C1BF"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5.1. Pamatdarbības maksājumu uzsākšana</w:t>
      </w:r>
    </w:p>
    <w:p w14:paraId="169B9CE9"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46B08D4" w14:textId="6ADF674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nosaka, ka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14:paraId="178986A1"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F410BCC" w14:textId="11FE89C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projektos Partnerim būvniecības fāzē ir jāsniedz daži pakalpojumi, kas saistīti ar atsevišķiem jau esošiem aktīviem, par kuriem Iestāde veic apmaksu tad, kad tie tiek sniegti (t. i., maksājumus par šiem pakalpojumiem veic būvniecības fāzē). Parasti šiem pakalpojumiem piemēro kārtību, kas atšķiras no tās, kas tiek piemērota pakalpojumiem, kurus Partnerim ir pienākums sniegt, tiklīdz ir pabeigts aktīvs, un kuri ir saistīti ar šo aktīvu. Piemēram, Iestāde var maksāt Partnerim par regulārās uzturēšanas pakalpojumu un avārijas remontu veikšanu kādā esošā autoceļa posmā no PPP līguma parakstīšanas dienas, kamēr Partneris būvē citu šā ceļa posmu.</w:t>
      </w:r>
    </w:p>
    <w:p w14:paraId="6CF7A4F3"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2C71E79"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F445297"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1A2F05B8" w14:textId="49665E04"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Partneris nedrīkst būt tiesīgs saņemt pamatdarbības maksājumus pirms dienas, kad pabeigta aktīva būvniecība (sk. 2.3. tematu). Tāpēc Iestādes pienākums sākt pamatdarbības maksājumus, kas saistīti ar aktīvu pirms tā pabeigšanas </w:t>
      </w:r>
      <w:r w:rsidRPr="000761E9">
        <w:rPr>
          <w:rFonts w:ascii="Times New Roman" w:eastAsia="Times New Roman" w:hAnsi="Times New Roman" w:cs="Times New Roman"/>
          <w:b/>
          <w:bCs/>
          <w:i/>
          <w:iCs/>
          <w:color w:val="EF4056"/>
          <w:sz w:val="24"/>
          <w:szCs w:val="24"/>
          <w:lang w:eastAsia="lv-LV"/>
        </w:rPr>
        <w:t xml:space="preserve">ietekmē statistisko uzskaiti </w:t>
      </w:r>
      <w:r w:rsidRPr="000761E9">
        <w:rPr>
          <w:rFonts w:ascii="Times New Roman" w:eastAsia="Times New Roman" w:hAnsi="Times New Roman" w:cs="Times New Roman"/>
          <w:i/>
          <w:iCs/>
          <w:color w:val="EF4056"/>
          <w:sz w:val="24"/>
          <w:szCs w:val="24"/>
          <w:lang w:eastAsia="lv-LV"/>
        </w:rPr>
        <w:t>un PPP automātiski reģistrē valdības BILANCĒ.</w:t>
      </w:r>
      <w:r w:rsidR="0089377C">
        <w:rPr>
          <w:rStyle w:val="Vresatsauce"/>
          <w:rFonts w:ascii="Times New Roman" w:eastAsia="Times New Roman" w:hAnsi="Times New Roman" w:cs="Times New Roman"/>
          <w:i/>
          <w:iCs/>
          <w:color w:val="EF4056"/>
          <w:sz w:val="24"/>
          <w:szCs w:val="24"/>
          <w:lang w:eastAsia="lv-LV"/>
        </w:rPr>
        <w:footnoteReference w:id="31"/>
      </w:r>
    </w:p>
    <w:p w14:paraId="70B7773D" w14:textId="77777777" w:rsidR="0089377C" w:rsidRDefault="0089377C" w:rsidP="00D43EDD">
      <w:pPr>
        <w:spacing w:after="0" w:line="240" w:lineRule="auto"/>
        <w:jc w:val="both"/>
        <w:rPr>
          <w:rFonts w:ascii="Times New Roman" w:eastAsia="Times New Roman" w:hAnsi="Times New Roman" w:cs="Times New Roman"/>
          <w:color w:val="231F20"/>
          <w:sz w:val="20"/>
          <w:szCs w:val="20"/>
          <w:lang w:eastAsia="lv-LV"/>
        </w:rPr>
      </w:pPr>
    </w:p>
    <w:p w14:paraId="0609B00F" w14:textId="4B2128AC" w:rsidR="00D43EDD" w:rsidRPr="000761E9"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Eurostat uzskata, ka iepriekš aprakstītie noteikumi par maksājumiem, kurus Partneris saņem būvniecības fāzē par pakalpojumiem, kas ir saistīti ar citiem jau esošiem aktīviem, neietekmē statistisko uzskaiti.</w:t>
      </w:r>
    </w:p>
    <w:p w14:paraId="56C80390"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5CFE454B" w14:textId="1376FCAC"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5.2. Pakalpojumu salīdzinošs novērtējums un pakalpojumu tirgus pārbaude</w:t>
      </w:r>
    </w:p>
    <w:p w14:paraId="1D049C86"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F7632A7" w14:textId="54F582E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Daudzi PPP līgumi paredz veikt regulāru salīdzinošo novērtējumu un/vai tirgus pārbaudi attiecībā uz izmaksām, kas Partnerim rodas, nodrošinot konkrētos pakalpojumus, un koriģēt pamatdarbības maksājumu apmēru atbilstoši attiecīgo pakalpojumu dominējošā tirgus kursa kāpumam vai kritumam.</w:t>
      </w:r>
    </w:p>
    <w:p w14:paraId="69AC3AB9"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CFC41D5" w14:textId="0F55C4B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šie noteikumi attiecas tikai uz tiem pakalpojumiem (kā aprakstīts 2. nodaļā un 3. tematā), kas ir sekundāri salīdzinājumā ar aktīva uzturēšanu (piemēram, ēdināšanas vai tīrīšanas pakalpojumi izmitināšanas projektā vai satiksmes vadības pakalpojumi autoceļa projektā).</w:t>
      </w:r>
    </w:p>
    <w:p w14:paraId="68697853"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32EA4C6" w14:textId="3139F70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Salīdzinošais novērtējums ir process, kurā Iestāde un Partneris vienojas par dominējošo tirgus kursu, pamatojoties uz pieejamajiem datiem par salīdzināmu pakalpojumu sniegšanas izmaksām (pēc tam atbilstoši koriģē pamatdarbības maksājumus).</w:t>
      </w:r>
    </w:p>
    <w:p w14:paraId="17C75A9C"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CBB4091" w14:textId="55EBBE9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Savukārt tirgus pārbaude ir process, kurā Partneris atkārtoti iesniedz attiecīgo pakalpojumu iepirkumu uz konkurenci balstītā konkursā. Pamatdarbības maksājumu apmēru koriģē atbilstoši uzvarējušā pretendenta piedāvātajai cenai (kas faktiski ir dominējošais tirgus kurss).</w:t>
      </w:r>
    </w:p>
    <w:p w14:paraId="4FFB1E8A"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0E08D88B" w14:textId="6FCF67C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Noteikumus par salīdzinošo novērtējumu un tirgus pārbaudi parasti piemēro ik pēc 5–7 gadiem. Pamatdarbības maksājumu korekcijas attiecas uz nākotni un tiek noteiktas turpmākajam 5–7 gadu periodam (t. i., Partneris uzņemas visus riskus un saņem visus ieguvumus, kas saistīti ar jebkādiem attiecīgo pakalpojumu izmaksu kāpumiem vai ietaupījumiem laikā starp diviem salīdzinošajiem novērtējumiem un tirgus pārbaudēm).</w:t>
      </w:r>
    </w:p>
    <w:p w14:paraId="02CC25DE"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7BC43A3" w14:textId="6CD5658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paredzēts, ka pamatdarbības maksājumu koriģēšanu var veikt tikai tādā gadījumā, ja dominējošais tirgus kurss ir augstāks vai zemāks par noteikto robežvērtību.</w:t>
      </w:r>
    </w:p>
    <w:p w14:paraId="51A4C882"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89FE7FB"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AFF97A9"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45555B2A" w14:textId="7A6A066F"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iepriekš aprakstītie noteikumi par pamatdarbības maksājumu koriģēšanu pēc pakalpojumu salīdzinošā novērtējuma un tirgus pārbaudes veikšanas </w:t>
      </w:r>
      <w:r w:rsidRPr="000761E9">
        <w:rPr>
          <w:rFonts w:ascii="Times New Roman" w:eastAsia="Times New Roman" w:hAnsi="Times New Roman" w:cs="Times New Roman"/>
          <w:b/>
          <w:bCs/>
          <w:i/>
          <w:iCs/>
          <w:color w:val="EF4056"/>
          <w:sz w:val="24"/>
          <w:szCs w:val="24"/>
          <w:lang w:eastAsia="lv-LV"/>
        </w:rPr>
        <w:t>neietekmē statistisko uzskaiti, ja</w:t>
      </w:r>
      <w:r w:rsidRPr="000761E9">
        <w:rPr>
          <w:rFonts w:ascii="Times New Roman" w:eastAsia="Times New Roman" w:hAnsi="Times New Roman" w:cs="Times New Roman"/>
          <w:i/>
          <w:iCs/>
          <w:color w:val="EF4056"/>
          <w:sz w:val="24"/>
          <w:szCs w:val="24"/>
          <w:lang w:eastAsia="lv-LV"/>
        </w:rPr>
        <w:t>:</w:t>
      </w:r>
    </w:p>
    <w:p w14:paraId="5085BA92"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201E471F" w14:textId="77777777" w:rsidR="00D43EDD" w:rsidRPr="0089377C" w:rsidRDefault="00D43EDD" w:rsidP="00DC1556">
      <w:pPr>
        <w:pStyle w:val="Sarakstarindkopa"/>
        <w:numPr>
          <w:ilvl w:val="0"/>
          <w:numId w:val="48"/>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i/>
          <w:iCs/>
          <w:color w:val="EF4056"/>
          <w:sz w:val="24"/>
          <w:szCs w:val="24"/>
          <w:lang w:eastAsia="lv-LV"/>
        </w:rPr>
        <w:t>tos piemēro tikai pakalpojumiem, kas ir sekundāri salīdzinājumā ar uzturēšanas pakalpojumiem, kuri ir nepieciešami, lai aktīvu darītu pieejamu (sk. 2. nodaļu un 3. tematu). Citos gadījumos</w:t>
      </w:r>
      <w:r w:rsidRPr="0089377C">
        <w:rPr>
          <w:rFonts w:ascii="Times New Roman" w:eastAsia="Times New Roman" w:hAnsi="Times New Roman" w:cs="Times New Roman"/>
          <w:color w:val="000000"/>
          <w:sz w:val="24"/>
          <w:szCs w:val="24"/>
          <w:lang w:eastAsia="lv-LV"/>
        </w:rPr>
        <w:t> </w:t>
      </w:r>
      <w:r w:rsidRPr="0089377C">
        <w:rPr>
          <w:rFonts w:ascii="Times New Roman" w:eastAsia="Times New Roman" w:hAnsi="Times New Roman" w:cs="Times New Roman"/>
          <w:i/>
          <w:iCs/>
          <w:color w:val="EF4056"/>
          <w:sz w:val="24"/>
          <w:szCs w:val="24"/>
          <w:lang w:eastAsia="lv-LV"/>
        </w:rPr>
        <w:t>PPP automātiski reģistrē valdības BILANCĒ;</w:t>
      </w:r>
    </w:p>
    <w:p w14:paraId="101B4B4D" w14:textId="77777777" w:rsidR="00D43EDD" w:rsidRPr="0089377C" w:rsidRDefault="00D43EDD" w:rsidP="00DC1556">
      <w:pPr>
        <w:pStyle w:val="Sarakstarindkopa"/>
        <w:numPr>
          <w:ilvl w:val="0"/>
          <w:numId w:val="48"/>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tos nepiemēro biežāk kā reizi piecos gados. Citos gadījumos šis jautājums ir SVARĪGS statistiskajā uzskaitē;</w:t>
      </w:r>
    </w:p>
    <w:p w14:paraId="4ADE6F6F" w14:textId="77777777" w:rsidR="00D43EDD" w:rsidRPr="0089377C" w:rsidRDefault="00D43EDD" w:rsidP="00DC1556">
      <w:pPr>
        <w:pStyle w:val="Sarakstarindkopa"/>
        <w:numPr>
          <w:ilvl w:val="0"/>
          <w:numId w:val="48"/>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Partneris uzņemas riskus un saņem ieguvumus, kas saistīti ar izmaksu kāpumiem vai ietaupījumiem laikā starp diviem salīdzinošajiem novērtējumiem vai tirgus pārbaudēm. Pretējā gadījumā šis jautājums ir SVARĪGS statistiskajā uzskaitē.</w:t>
      </w:r>
    </w:p>
    <w:p w14:paraId="5B007FA5"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28395661" w14:textId="355362C2"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5.3. Komunālo pakalpojumu izmaksas</w:t>
      </w:r>
    </w:p>
    <w:p w14:paraId="1077FABC"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83A2DD0" w14:textId="65DAB59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ir iekļauti mehānismi, kas nodrošina, ka Iestāde viena vai kopīgi ar Partneri uzņemas riskus, no kuriem ir atkarīgas aktīva lietošanā vai ekspluatācijā (tikai darbības fāzes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14:paraId="12756402"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84F5132" w14:textId="3C8A67C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mehānismi, ar kuriem tiek sadalīti ar komunālajiem pakalpojumiem saistītie riski, ir, piemēram, šādi:</w:t>
      </w:r>
    </w:p>
    <w:p w14:paraId="24BB5ECF"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7F1076C" w14:textId="77777777" w:rsidR="00D43EDD" w:rsidRPr="0089377C" w:rsidRDefault="00D43EDD" w:rsidP="00DC1556">
      <w:pPr>
        <w:pStyle w:val="Sarakstarindkopa"/>
        <w:numPr>
          <w:ilvl w:val="0"/>
          <w:numId w:val="49"/>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Iestāde uzņemas pienākumu iepirkt komunālos pakalpojumus un par tiem tieši maksā piegādātājiem (Iestāde uzņemas ar apjomu un cenu saistīto risku);</w:t>
      </w:r>
    </w:p>
    <w:p w14:paraId="22713D1F" w14:textId="77777777" w:rsidR="00D43EDD" w:rsidRPr="0089377C" w:rsidRDefault="00D43EDD" w:rsidP="00DC1556">
      <w:pPr>
        <w:pStyle w:val="Sarakstarindkopa"/>
        <w:numPr>
          <w:ilvl w:val="0"/>
          <w:numId w:val="49"/>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Partneris uzņemas pienākumu iepirkt komunālos pakalpojumus un par tiem tieši maksā piegādātājiem, un Iestāde tam atlīdzina radušās izmaksas (Iestāde uzņemas ar apjomu un cenu saistīto risku);</w:t>
      </w:r>
    </w:p>
    <w:p w14:paraId="2EBF5B92" w14:textId="77777777" w:rsidR="00D43EDD" w:rsidRPr="0089377C" w:rsidRDefault="00D43EDD" w:rsidP="00DC1556">
      <w:pPr>
        <w:pStyle w:val="Sarakstarindkopa"/>
        <w:numPr>
          <w:ilvl w:val="0"/>
          <w:numId w:val="49"/>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iepriekš a) vai b) apakšpunktā minētais piemērs, bet Partneris atlīdzina (vai nepieprasa) Iestādei maksu par komunālajiem pakalpojumiem, kuru apjoms pārsniedz noteiktu robežvērtību (dalīts apjoma risks, Iestāde uzņemas cenas risku);</w:t>
      </w:r>
    </w:p>
    <w:p w14:paraId="7BADA73D" w14:textId="77777777" w:rsidR="00D43EDD" w:rsidRPr="0089377C" w:rsidRDefault="00D43EDD" w:rsidP="00DC1556">
      <w:pPr>
        <w:pStyle w:val="Sarakstarindkopa"/>
        <w:numPr>
          <w:ilvl w:val="0"/>
          <w:numId w:val="49"/>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iepriekš a), b) vai c) apakšpunktā minētais piemērs, bet puses kopīgi uzņemas komunālo pakalpojumu vienības cenas izmaiņu riskus / saņem ar šīm izmaiņām saistītos ieguvumus (Iestāde viena vai kopīgi ar Partneri uzņemas apjoma risku, dalīts cenas risks).</w:t>
      </w:r>
    </w:p>
    <w:p w14:paraId="4A53458A"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1ED8DE2" w14:textId="2750148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Dažos gadījumos, kas parasti ir projekti, kuros tiek patērēts salīdzinoši maz komunālo pakalpojumu, PPP līguma darbības laikā Partneris pilnībā uzņemas risku, kas saistīts ar komunālo pakalpojumu vienības cenu un patēriņu.</w:t>
      </w:r>
    </w:p>
    <w:p w14:paraId="46310EA8"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D7AF291"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54EAB11"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0EC0D7D0" w14:textId="160593EE"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tas </w:t>
      </w:r>
      <w:r w:rsidRPr="000761E9">
        <w:rPr>
          <w:rFonts w:ascii="Times New Roman" w:eastAsia="Times New Roman" w:hAnsi="Times New Roman" w:cs="Times New Roman"/>
          <w:b/>
          <w:bCs/>
          <w:i/>
          <w:iCs/>
          <w:color w:val="EF4056"/>
          <w:sz w:val="24"/>
          <w:szCs w:val="24"/>
          <w:lang w:eastAsia="lv-LV"/>
        </w:rPr>
        <w:t xml:space="preserve">neietekmē statistisko uzskaiti, ja </w:t>
      </w:r>
      <w:r w:rsidRPr="000761E9">
        <w:rPr>
          <w:rFonts w:ascii="Times New Roman" w:eastAsia="Times New Roman" w:hAnsi="Times New Roman" w:cs="Times New Roman"/>
          <w:i/>
          <w:iCs/>
          <w:color w:val="EF4056"/>
          <w:sz w:val="24"/>
          <w:szCs w:val="24"/>
          <w:lang w:eastAsia="lv-LV"/>
        </w:rPr>
        <w:t>Iestāde uzņemas vai dala ar Partneri:</w:t>
      </w:r>
    </w:p>
    <w:p w14:paraId="6F08C263"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5AAC3E42" w14:textId="77777777" w:rsidR="00D43EDD" w:rsidRPr="0089377C" w:rsidRDefault="00D43EDD" w:rsidP="00DC1556">
      <w:pPr>
        <w:pStyle w:val="Sarakstarindkopa"/>
        <w:numPr>
          <w:ilvl w:val="0"/>
          <w:numId w:val="50"/>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apjoma risku projektos, kuros Partneris nevar ietekmēt komunālo pakalpojumu apjomu, kas tiek patērēts, lietojot vai ekspluatējot aktīvu (piemēram, skola vai slimnīca); un/vai</w:t>
      </w:r>
    </w:p>
    <w:p w14:paraId="741725B3" w14:textId="77777777" w:rsidR="00D43EDD" w:rsidRPr="0089377C" w:rsidRDefault="00D43EDD" w:rsidP="00DC1556">
      <w:pPr>
        <w:pStyle w:val="Sarakstarindkopa"/>
        <w:numPr>
          <w:ilvl w:val="0"/>
          <w:numId w:val="50"/>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ar komunālo pakalpojumu cenu saistīto risku.</w:t>
      </w:r>
    </w:p>
    <w:p w14:paraId="76D24D07"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39A9F9C4" w14:textId="7B6766B3"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Tomēr Eurostat uzskata, ka tas </w:t>
      </w:r>
      <w:r w:rsidRPr="000761E9">
        <w:rPr>
          <w:rFonts w:ascii="Times New Roman" w:eastAsia="Times New Roman" w:hAnsi="Times New Roman" w:cs="Times New Roman"/>
          <w:b/>
          <w:bCs/>
          <w:i/>
          <w:iCs/>
          <w:color w:val="EF4056"/>
          <w:sz w:val="24"/>
          <w:szCs w:val="24"/>
          <w:lang w:eastAsia="lv-LV"/>
        </w:rPr>
        <w:t xml:space="preserve">ietekmē statistisko uzskaiti, ja </w:t>
      </w:r>
      <w:r w:rsidRPr="000761E9">
        <w:rPr>
          <w:rFonts w:ascii="Times New Roman" w:eastAsia="Times New Roman" w:hAnsi="Times New Roman" w:cs="Times New Roman"/>
          <w:i/>
          <w:iCs/>
          <w:color w:val="EF4056"/>
          <w:sz w:val="24"/>
          <w:szCs w:val="24"/>
          <w:lang w:eastAsia="lv-LV"/>
        </w:rPr>
        <w:t>Iestāde uzņemas vai dala ar Partneri:</w:t>
      </w:r>
    </w:p>
    <w:p w14:paraId="48DBDA09"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44FCF202" w14:textId="77777777" w:rsidR="00D43EDD" w:rsidRPr="0089377C" w:rsidRDefault="00D43EDD" w:rsidP="00DC1556">
      <w:pPr>
        <w:pStyle w:val="Sarakstarindkopa"/>
        <w:numPr>
          <w:ilvl w:val="0"/>
          <w:numId w:val="51"/>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apjoma risku projektos, kuros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14:paraId="5AD130D6" w14:textId="6D807D3C" w:rsidR="00D43EDD" w:rsidRPr="0089377C" w:rsidRDefault="00D43EDD" w:rsidP="00DC1556">
      <w:pPr>
        <w:pStyle w:val="Sarakstarindkopa"/>
        <w:numPr>
          <w:ilvl w:val="0"/>
          <w:numId w:val="51"/>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i/>
          <w:iCs/>
          <w:color w:val="EF4056"/>
          <w:sz w:val="24"/>
          <w:szCs w:val="24"/>
          <w:lang w:eastAsia="lv-LV"/>
        </w:rPr>
        <w:t>ar komunālo pakalpojumu cenu un/vai apjomu saistīto risku projektos, kuru mērķis ir panākt energoefektivitāti,</w:t>
      </w:r>
      <w:r w:rsidR="0089377C">
        <w:rPr>
          <w:rStyle w:val="Vresatsauce"/>
          <w:rFonts w:ascii="Times New Roman" w:eastAsia="Times New Roman" w:hAnsi="Times New Roman" w:cs="Times New Roman"/>
          <w:i/>
          <w:iCs/>
          <w:color w:val="EF4056"/>
          <w:sz w:val="24"/>
          <w:szCs w:val="24"/>
          <w:lang w:eastAsia="lv-LV"/>
        </w:rPr>
        <w:footnoteReference w:id="32"/>
      </w:r>
      <w:r w:rsidRPr="0089377C">
        <w:rPr>
          <w:rFonts w:ascii="Times New Roman" w:eastAsia="Times New Roman" w:hAnsi="Times New Roman" w:cs="Times New Roman"/>
          <w:b/>
          <w:bCs/>
          <w:color w:val="231F20"/>
          <w:sz w:val="24"/>
          <w:szCs w:val="24"/>
          <w:lang w:eastAsia="lv-LV"/>
        </w:rPr>
        <w:t> </w:t>
      </w:r>
      <w:r w:rsidRPr="0089377C">
        <w:rPr>
          <w:rFonts w:ascii="Times New Roman" w:eastAsia="Times New Roman" w:hAnsi="Times New Roman" w:cs="Times New Roman"/>
          <w:i/>
          <w:iCs/>
          <w:color w:val="EF4056"/>
          <w:sz w:val="24"/>
          <w:szCs w:val="24"/>
          <w:lang w:eastAsia="lv-LV"/>
        </w:rPr>
        <w:t>un šajā gadījumā šis jautājums ir VIDĒJI SVARĪGS statistiskajā uzskaitē.</w:t>
      </w:r>
    </w:p>
    <w:p w14:paraId="675179A5"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3F4A09EB" w14:textId="23B8102E"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5.4. Indeksācija</w:t>
      </w:r>
    </w:p>
    <w:p w14:paraId="6E70B355"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2C226675" w14:textId="749CA4A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paredzēta regulāra pamatdarbības maksājumu indeksācija. Ļoti atšķiras dažādos līgumos izmantotie indeksi, indeksējamā pamatdarbības maksājumu daļa un indeksācijas noteikumu piemērošanas biežums.</w:t>
      </w:r>
    </w:p>
    <w:p w14:paraId="3866C17D"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D4A99CA" w14:textId="5919B23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Indeksāciju parasti piemēro arī:</w:t>
      </w:r>
    </w:p>
    <w:p w14:paraId="49D812EC"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879708C" w14:textId="77777777" w:rsidR="00D43EDD" w:rsidRPr="0089377C" w:rsidRDefault="00D43EDD" w:rsidP="00DC1556">
      <w:pPr>
        <w:pStyle w:val="Sarakstarindkopa"/>
        <w:numPr>
          <w:ilvl w:val="0"/>
          <w:numId w:val="52"/>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citiem maksājumiem, kas jāveic kādai no pusēm, piemēram, līgumsodam, ko maksā Partneris (sk. 2.2. tematu), un kopsummas maksājumiem, ko maksā Iestāde (sk. 14.4.1. tematu);</w:t>
      </w:r>
    </w:p>
    <w:p w14:paraId="67971F5E" w14:textId="77777777" w:rsidR="00D43EDD" w:rsidRPr="0089377C" w:rsidRDefault="00D43EDD" w:rsidP="00DC1556">
      <w:pPr>
        <w:pStyle w:val="Sarakstarindkopa"/>
        <w:numPr>
          <w:ilvl w:val="0"/>
          <w:numId w:val="52"/>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summām, kas norādītas citām vajadzībām, piemēram, kā iemesls PPP līguma izbeigšanai pirms termiņa vai kā minimālais apdrošināšanas seguma līmenis.</w:t>
      </w:r>
    </w:p>
    <w:p w14:paraId="11AFB6DA"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7C9DFE77" w14:textId="015AC121"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CA890B0"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07F71DB3" w14:textId="29C385CF"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par pamatdarbības maksājumu indeksāciju </w:t>
      </w:r>
      <w:r w:rsidRPr="000761E9">
        <w:rPr>
          <w:rFonts w:ascii="Times New Roman" w:eastAsia="Times New Roman" w:hAnsi="Times New Roman" w:cs="Times New Roman"/>
          <w:b/>
          <w:bCs/>
          <w:i/>
          <w:iCs/>
          <w:color w:val="EF4056"/>
          <w:sz w:val="24"/>
          <w:szCs w:val="24"/>
          <w:lang w:eastAsia="lv-LV"/>
        </w:rPr>
        <w:t xml:space="preserve">neietekmē statistisko uzskaiti, ja </w:t>
      </w:r>
      <w:r w:rsidRPr="000761E9">
        <w:rPr>
          <w:rFonts w:ascii="Times New Roman" w:eastAsia="Times New Roman" w:hAnsi="Times New Roman" w:cs="Times New Roman"/>
          <w:i/>
          <w:iCs/>
          <w:color w:val="EF4056"/>
          <w:sz w:val="24"/>
          <w:szCs w:val="24"/>
          <w:lang w:eastAsia="lv-LV"/>
        </w:rPr>
        <w:t>šie noteikumi ir balstīti uz attiecīgajā jurisdikcijā vai sektorā vispāratzītu indeksu vai indeksiem.</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EF4056"/>
          <w:sz w:val="24"/>
          <w:szCs w:val="24"/>
          <w:lang w:eastAsia="lv-LV"/>
        </w:rPr>
        <w:t>Citos gadījumos šis jautājums ir VIDĒJI SVARĪGS statistiskajā uzskaitē.</w:t>
      </w:r>
    </w:p>
    <w:p w14:paraId="4CF10FD2" w14:textId="77777777" w:rsidR="0089377C" w:rsidRPr="000761E9"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286A5515" w14:textId="56F8B8EA"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Atšķirīgu vispāratzītu indeksu piemērošana dažādiem pamatdarbības maksājumu elementiem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1EDAC9BE"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64595ED" w14:textId="4A7A449B"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lastRenderedPageBreak/>
        <w:t xml:space="preserve">Noteikumi par citu maksājumu un summu indeksāciju (kā minēts iepriekš)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4FA6CC31"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17046083"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5.5. Ar aktīvu saistīti ieņēmumi no trešām personām</w:t>
      </w:r>
    </w:p>
    <w:p w14:paraId="56C016CE"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30933526" w14:textId="2237BF4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PPP tiek paredzēts aktīvu izmantot, lai gūtu ieņēmumus no trešām personām šādos veidos:</w:t>
      </w:r>
    </w:p>
    <w:p w14:paraId="4FB26DA5"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DD50C25" w14:textId="77777777" w:rsidR="00D43EDD" w:rsidRPr="0089377C" w:rsidRDefault="00D43EDD" w:rsidP="00DC1556">
      <w:pPr>
        <w:pStyle w:val="Sarakstarindkopa"/>
        <w:numPr>
          <w:ilvl w:val="0"/>
          <w:numId w:val="53"/>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iekasējot maksu par galveno lietošanas veidu, kam aktīvs tika radīts (piemēram, autoceļa projektā iekasējot ceļa nodevu no autobraucējiem vai iekasējot maksu no pasažieriem par tramvaju tīkla izmantošanu); un/vai</w:t>
      </w:r>
    </w:p>
    <w:p w14:paraId="3EB42BBA" w14:textId="77777777" w:rsidR="00D43EDD" w:rsidRPr="0089377C" w:rsidRDefault="00D43EDD" w:rsidP="00DC1556">
      <w:pPr>
        <w:pStyle w:val="Sarakstarindkopa"/>
        <w:numPr>
          <w:ilvl w:val="0"/>
          <w:numId w:val="53"/>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iekasējot maksu par pakalpojumiem vai darbībām papildus galvenajam aktīva lietošanas veidam (piemēram, skolas telpu izīrēšana trešām personām laikā, kad skolā nenotiek mācības, mazumtirdzniecības telpu izīrēšana slimnīcā, reklāmas laukumu pārdošana ceļa malās vai atkritumu pārstrādes pakalpojumu pārdošana trešām personām atkritumu pārstrādes iekārtā, kas galvenokārt paredzēta Iestādes atkritumu pārstrādei).</w:t>
      </w:r>
    </w:p>
    <w:p w14:paraId="2FD9FC4C"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7AF7008" w14:textId="107B543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to apskata, nosakot, ka:</w:t>
      </w:r>
    </w:p>
    <w:p w14:paraId="665B9E52"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6353DA1" w14:textId="77777777" w:rsidR="00D43EDD" w:rsidRPr="0089377C" w:rsidRDefault="00D43EDD" w:rsidP="00DC1556">
      <w:pPr>
        <w:pStyle w:val="Sarakstarindkopa"/>
        <w:numPr>
          <w:ilvl w:val="0"/>
          <w:numId w:val="54"/>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Partneris nevar gūt nekādus ieņēmumus papildus pamatdarbības maksājumiem, un šajā gadījumā Iestādei var būt tiesības (vai nu tieši vai netieši norādītas PPP līgumā) izvēlēties pašai gūt ieņēmumus no aktīva; vai</w:t>
      </w:r>
    </w:p>
    <w:p w14:paraId="1A9052FE" w14:textId="77777777" w:rsidR="00D43EDD" w:rsidRPr="0089377C" w:rsidRDefault="00D43EDD" w:rsidP="00DC1556">
      <w:pPr>
        <w:pStyle w:val="Sarakstarindkopa"/>
        <w:numPr>
          <w:ilvl w:val="0"/>
          <w:numId w:val="54"/>
        </w:numPr>
        <w:spacing w:after="0" w:line="240" w:lineRule="auto"/>
        <w:ind w:left="709" w:hanging="283"/>
        <w:jc w:val="both"/>
        <w:rPr>
          <w:rFonts w:ascii="Times New Roman" w:eastAsia="Times New Roman" w:hAnsi="Times New Roman" w:cs="Times New Roman"/>
          <w:color w:val="231F20"/>
          <w:sz w:val="24"/>
          <w:szCs w:val="24"/>
          <w:lang w:eastAsia="lv-LV"/>
        </w:rPr>
      </w:pPr>
      <w:r w:rsidRPr="0089377C">
        <w:rPr>
          <w:rFonts w:ascii="Times New Roman" w:eastAsia="Times New Roman" w:hAnsi="Times New Roman" w:cs="Times New Roman"/>
          <w:color w:val="231F20"/>
          <w:sz w:val="24"/>
          <w:szCs w:val="24"/>
          <w:lang w:eastAsia="lv-LV"/>
        </w:rPr>
        <w:t>Partneris var lietot aktīvu, lai gūtu ieņēmumus papildus pamatdarbības maksājumiem, ievērojot dažus ierobežojumus (piemēram, lietošanas laika vai veida ierobežojumi) un dažos gadījumos arī daloties ar Iestādi šādi gūtajos ieņēmumos vai peļņā.</w:t>
      </w:r>
    </w:p>
    <w:p w14:paraId="149FF98C"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1C91C2F9" w14:textId="63D59AC9"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2C56A06"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362A9570" w14:textId="5A8137D4"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kas Partnerim aizliedz gūt ieņēmumus no trešām personām papildus pamatdarbības maksājumiem vai ierobežo Partnera ieņēmumu gūšanas jomu (vai nu ierobežojot apmēru, vai lietošanas veidu un laiku),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2A479D14"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DDF5E05" w14:textId="1861D2AC"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Savukārt ieņēmumi, kas tiek gūti no trešām personām un ko Iestāde ir prognozējusi saņemt PPP līguma darbības laikā,</w:t>
      </w:r>
    </w:p>
    <w:p w14:paraId="7BDBD21E" w14:textId="77777777" w:rsidR="0089377C" w:rsidRPr="000761E9"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59D44E3B" w14:textId="77777777" w:rsidR="00D43EDD" w:rsidRPr="0089377C" w:rsidRDefault="00D43EDD" w:rsidP="00DC1556">
      <w:pPr>
        <w:pStyle w:val="Sarakstarindkopa"/>
        <w:numPr>
          <w:ilvl w:val="0"/>
          <w:numId w:val="55"/>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pašai Iestādei iekasējot maksu par aktīva galveno lietošanas veidu,</w:t>
      </w:r>
    </w:p>
    <w:p w14:paraId="25FDE6A2" w14:textId="77777777" w:rsidR="00D43EDD" w:rsidRPr="0089377C" w:rsidRDefault="00D43EDD" w:rsidP="00DC1556">
      <w:pPr>
        <w:pStyle w:val="Sarakstarindkopa"/>
        <w:numPr>
          <w:ilvl w:val="0"/>
          <w:numId w:val="55"/>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pašai Iestādei iekasējot maksu par aktīva papildu lietošanas veidu vai</w:t>
      </w:r>
    </w:p>
    <w:p w14:paraId="5724C0AB" w14:textId="77777777" w:rsidR="00D43EDD" w:rsidRPr="0089377C" w:rsidRDefault="00D43EDD" w:rsidP="00DC1556">
      <w:pPr>
        <w:pStyle w:val="Sarakstarindkopa"/>
        <w:numPr>
          <w:ilvl w:val="0"/>
          <w:numId w:val="55"/>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i/>
          <w:iCs/>
          <w:color w:val="EF4056"/>
          <w:sz w:val="24"/>
          <w:szCs w:val="24"/>
          <w:lang w:eastAsia="lv-LV"/>
        </w:rPr>
        <w:t>Iestādei pilnībā vai daļēji saņemot ienākumus, kurus saskaņā ar PPP līgumu Partneris var gūt, aktīvu lietojot papildu veidos,</w:t>
      </w:r>
      <w:r w:rsidRPr="0089377C">
        <w:rPr>
          <w:rFonts w:ascii="Times New Roman" w:eastAsia="Times New Roman" w:hAnsi="Times New Roman" w:cs="Times New Roman"/>
          <w:b/>
          <w:bCs/>
          <w:i/>
          <w:iCs/>
          <w:color w:val="EF4056"/>
          <w:sz w:val="24"/>
          <w:szCs w:val="24"/>
          <w:lang w:eastAsia="lv-LV"/>
        </w:rPr>
        <w:t xml:space="preserve"> ietekmē statistisko uzskaiti </w:t>
      </w:r>
      <w:r w:rsidRPr="0089377C">
        <w:rPr>
          <w:rFonts w:ascii="Times New Roman" w:eastAsia="Times New Roman" w:hAnsi="Times New Roman" w:cs="Times New Roman"/>
          <w:i/>
          <w:iCs/>
          <w:color w:val="EF4056"/>
          <w:sz w:val="24"/>
          <w:szCs w:val="24"/>
          <w:lang w:eastAsia="lv-LV"/>
        </w:rPr>
        <w:t>turpmāk izklāstītajos veidos.</w:t>
      </w:r>
    </w:p>
    <w:p w14:paraId="4194346F"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7C4C1D92" w14:textId="1EA3096C"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Ja ienākumi, kurus Iestāde līguma darbības laikā prognozējusi gūt no trešām personām, ir vismaz 50 % no summas, ko Iestāde šā līguma darbības laikā prognozējusi maksāt Partnerim, Eurostat neuzskata, ka projekts ir PPP un to automātiski reģistrē valdības bilancē (sk. 2. nodaļu). PPP gadījumā, ja ieņēmumi, ko Iestāde līguma darbības laikā prognozējusi gūt no trešām personām, ir:</w:t>
      </w:r>
    </w:p>
    <w:p w14:paraId="6FAD4142" w14:textId="77777777" w:rsidR="0089377C" w:rsidRPr="000761E9"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0E20379F" w14:textId="77777777" w:rsidR="00D43EDD" w:rsidRPr="0089377C" w:rsidRDefault="00D43EDD" w:rsidP="00DC1556">
      <w:pPr>
        <w:pStyle w:val="Sarakstarindkopa"/>
        <w:numPr>
          <w:ilvl w:val="0"/>
          <w:numId w:val="56"/>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t>mazāki par 50 %, bet ir vismaz 20 % no summas, ko Iestāde PPP līguma darbības laikā prognozējusi maksāt Partnerim, šis jautājums ir SVARĪGS statistiskajā uzskaitē;</w:t>
      </w:r>
    </w:p>
    <w:p w14:paraId="4D95C0F6" w14:textId="77777777" w:rsidR="00D43EDD" w:rsidRPr="0089377C" w:rsidRDefault="00D43EDD" w:rsidP="00DC1556">
      <w:pPr>
        <w:pStyle w:val="Sarakstarindkopa"/>
        <w:numPr>
          <w:ilvl w:val="0"/>
          <w:numId w:val="56"/>
        </w:numPr>
        <w:spacing w:after="0" w:line="240" w:lineRule="auto"/>
        <w:ind w:left="709" w:hanging="283"/>
        <w:jc w:val="both"/>
        <w:rPr>
          <w:rFonts w:ascii="Times New Roman" w:eastAsia="Times New Roman" w:hAnsi="Times New Roman" w:cs="Times New Roman"/>
          <w:i/>
          <w:iCs/>
          <w:color w:val="EF4056"/>
          <w:sz w:val="24"/>
          <w:szCs w:val="24"/>
          <w:lang w:eastAsia="lv-LV"/>
        </w:rPr>
      </w:pPr>
      <w:r w:rsidRPr="0089377C">
        <w:rPr>
          <w:rFonts w:ascii="Times New Roman" w:eastAsia="Times New Roman" w:hAnsi="Times New Roman" w:cs="Times New Roman"/>
          <w:i/>
          <w:iCs/>
          <w:color w:val="EF4056"/>
          <w:sz w:val="24"/>
          <w:szCs w:val="24"/>
          <w:lang w:eastAsia="lv-LV"/>
        </w:rPr>
        <w:lastRenderedPageBreak/>
        <w:t>mazāki par 20 %, bet ir vismaz 5 % no summas, ko Iestāde PPP līguma darbības laikā prognozējusi maksāt Partnerim, šis jautājums ir VIDĒJI SVARĪGS statistiskajā uzskaitē.</w:t>
      </w:r>
    </w:p>
    <w:p w14:paraId="6DAF2590"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1488761D" w14:textId="1B50DFA2" w:rsidR="00D43EDD"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 xml:space="preserve">Ja ienākumi, kurus Iestāde prognozējusi gūt no trešām personām, ir mazāki par 5 % no summas, ko Iestāde PPP līguma darbības laikā paredzējusi maksāt Partnerim, šis jautājums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089FFF0E"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60B961B7" w14:textId="77777777" w:rsidR="00D43EDD" w:rsidRPr="000761E9" w:rsidRDefault="00D43EDD" w:rsidP="00D43EDD">
      <w:pPr>
        <w:spacing w:after="0" w:line="240" w:lineRule="auto"/>
        <w:jc w:val="both"/>
        <w:rPr>
          <w:rFonts w:ascii="Times New Roman" w:eastAsia="Times New Roman" w:hAnsi="Times New Roman" w:cs="Times New Roman"/>
          <w:i/>
          <w:iCs/>
          <w:color w:val="EF4056"/>
          <w:sz w:val="24"/>
          <w:szCs w:val="24"/>
          <w:lang w:eastAsia="lv-LV"/>
        </w:rPr>
      </w:pPr>
      <w:r w:rsidRPr="000761E9">
        <w:rPr>
          <w:rFonts w:ascii="Times New Roman" w:eastAsia="Times New Roman" w:hAnsi="Times New Roman" w:cs="Times New Roman"/>
          <w:i/>
          <w:iCs/>
          <w:color w:val="EF4056"/>
          <w:sz w:val="24"/>
          <w:szCs w:val="24"/>
          <w:lang w:eastAsia="lv-LV"/>
        </w:rPr>
        <w:t>Kā minēts 2. nodaļā, ja kādā PPP līguma darbības brīdī mainās ienākumu apmērs, ko Iestāde PPP līguma darbības laikā prognozējusi gūt no trešām personām, tiks atkārtoti novērtēta statistiskā uzskaite.</w:t>
      </w:r>
    </w:p>
    <w:p w14:paraId="4778FB50"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24E05D92" w14:textId="7D086E36"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5.6. Pamatdarbības maksājumu veikšanas laika izvēle</w:t>
      </w:r>
    </w:p>
    <w:p w14:paraId="56D245C3"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14C7FF23" w14:textId="5BCB2E9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izmanto dažādas pieejas attiecībā uz pamatdarbības maksājumu un tiem piemērojamo atskaitījumu veikšanas laiku. To ilustrē turpmākie piemēri:</w:t>
      </w:r>
    </w:p>
    <w:p w14:paraId="1CC84901"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450A4A7" w14:textId="77777777" w:rsidR="00D43EDD" w:rsidRPr="0089377C" w:rsidRDefault="00D43EDD" w:rsidP="00DC1556">
      <w:pPr>
        <w:pStyle w:val="Sarakstarindkopa"/>
        <w:numPr>
          <w:ilvl w:val="0"/>
          <w:numId w:val="57"/>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color w:val="231F20"/>
          <w:sz w:val="24"/>
          <w:szCs w:val="24"/>
          <w:lang w:eastAsia="lv-LV"/>
        </w:rPr>
        <w:t>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beigās Partneris sagatavo rēķinu par 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pamatdarbības maksājumu nosacīto vērtību, kas koriģēta atbilstoši mēnesī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uzkrātajiem atskaitījumiem nepieejamības vai neizpildes dēļ;</w:t>
      </w:r>
    </w:p>
    <w:p w14:paraId="306A86AF" w14:textId="77777777" w:rsidR="00D43EDD" w:rsidRPr="0089377C" w:rsidRDefault="00D43EDD" w:rsidP="00DC1556">
      <w:pPr>
        <w:pStyle w:val="Sarakstarindkopa"/>
        <w:numPr>
          <w:ilvl w:val="0"/>
          <w:numId w:val="57"/>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color w:val="231F20"/>
          <w:sz w:val="24"/>
          <w:szCs w:val="24"/>
          <w:lang w:eastAsia="lv-LV"/>
        </w:rPr>
        <w:t>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sākumā Partneris sagatavo rēķinu par 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pamatdarbības maksājumu nosacīto vērtību, kas koriģēta atbilstoši mēnesī </w:t>
      </w:r>
      <w:r w:rsidRPr="0089377C">
        <w:rPr>
          <w:rFonts w:ascii="Times New Roman" w:eastAsia="Times New Roman" w:hAnsi="Times New Roman" w:cs="Times New Roman"/>
          <w:i/>
          <w:iCs/>
          <w:color w:val="231F20"/>
          <w:sz w:val="24"/>
          <w:szCs w:val="24"/>
          <w:lang w:eastAsia="lv-LV"/>
        </w:rPr>
        <w:t>n-1</w:t>
      </w:r>
      <w:r w:rsidRPr="0089377C">
        <w:rPr>
          <w:rFonts w:ascii="Times New Roman" w:eastAsia="Times New Roman" w:hAnsi="Times New Roman" w:cs="Times New Roman"/>
          <w:color w:val="231F20"/>
          <w:sz w:val="24"/>
          <w:szCs w:val="24"/>
          <w:lang w:eastAsia="lv-LV"/>
        </w:rPr>
        <w:t xml:space="preserve"> uzkrātajiem atskaitījumiem nepieejamības vai neizpildes dēļ;</w:t>
      </w:r>
    </w:p>
    <w:p w14:paraId="64D4D228" w14:textId="77777777" w:rsidR="00D43EDD" w:rsidRPr="0089377C" w:rsidRDefault="00D43EDD" w:rsidP="00DC1556">
      <w:pPr>
        <w:pStyle w:val="Sarakstarindkopa"/>
        <w:numPr>
          <w:ilvl w:val="0"/>
          <w:numId w:val="57"/>
        </w:numPr>
        <w:spacing w:after="0" w:line="240" w:lineRule="auto"/>
        <w:ind w:left="709" w:hanging="283"/>
        <w:jc w:val="both"/>
        <w:rPr>
          <w:rFonts w:ascii="Times New Roman" w:eastAsia="Times New Roman" w:hAnsi="Times New Roman" w:cs="Times New Roman"/>
          <w:sz w:val="24"/>
          <w:szCs w:val="24"/>
          <w:lang w:eastAsia="lv-LV"/>
        </w:rPr>
      </w:pPr>
      <w:r w:rsidRPr="0089377C">
        <w:rPr>
          <w:rFonts w:ascii="Times New Roman" w:eastAsia="Times New Roman" w:hAnsi="Times New Roman" w:cs="Times New Roman"/>
          <w:color w:val="231F20"/>
          <w:sz w:val="24"/>
          <w:szCs w:val="24"/>
          <w:lang w:eastAsia="lv-LV"/>
        </w:rPr>
        <w:t>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beigās tiek sagatavots rēķins par mēneša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pamatdarbības maksājumu nosacīto vērtību, kas koriģēta atbilstoši mēnesī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uzkrātajiem atskaitījumiem nepieejamības dēļ un atbilstoši no mēneša </w:t>
      </w:r>
      <w:r w:rsidRPr="0089377C">
        <w:rPr>
          <w:rFonts w:ascii="Times New Roman" w:eastAsia="Times New Roman" w:hAnsi="Times New Roman" w:cs="Times New Roman"/>
          <w:i/>
          <w:iCs/>
          <w:color w:val="231F20"/>
          <w:sz w:val="24"/>
          <w:szCs w:val="24"/>
          <w:lang w:eastAsia="lv-LV"/>
        </w:rPr>
        <w:t>n-6</w:t>
      </w:r>
      <w:r w:rsidRPr="0089377C">
        <w:rPr>
          <w:rFonts w:ascii="Times New Roman" w:eastAsia="Times New Roman" w:hAnsi="Times New Roman" w:cs="Times New Roman"/>
          <w:color w:val="231F20"/>
          <w:sz w:val="24"/>
          <w:szCs w:val="24"/>
          <w:lang w:eastAsia="lv-LV"/>
        </w:rPr>
        <w:t xml:space="preserve"> līdz mēnesim </w:t>
      </w:r>
      <w:r w:rsidRPr="0089377C">
        <w:rPr>
          <w:rFonts w:ascii="Times New Roman" w:eastAsia="Times New Roman" w:hAnsi="Times New Roman" w:cs="Times New Roman"/>
          <w:i/>
          <w:iCs/>
          <w:color w:val="231F20"/>
          <w:sz w:val="24"/>
          <w:szCs w:val="24"/>
          <w:lang w:eastAsia="lv-LV"/>
        </w:rPr>
        <w:t>n</w:t>
      </w:r>
      <w:r w:rsidRPr="0089377C">
        <w:rPr>
          <w:rFonts w:ascii="Times New Roman" w:eastAsia="Times New Roman" w:hAnsi="Times New Roman" w:cs="Times New Roman"/>
          <w:color w:val="231F20"/>
          <w:sz w:val="24"/>
          <w:szCs w:val="24"/>
          <w:lang w:eastAsia="lv-LV"/>
        </w:rPr>
        <w:t xml:space="preserve"> uzkrātajiem atskaitījumiem neizpildes dēļ.</w:t>
      </w:r>
    </w:p>
    <w:p w14:paraId="46F49B9A"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375705F8" w14:textId="4AA56A8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3CACEFD"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54B2336D" w14:textId="18E0668C"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kas attiecas tikai uz maksājumu laiku un veidu (tostarp, piemēram, iepriekš aprakstītie),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61B4E93F"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6A75C7FD" w14:textId="4673C0B6"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5.7. Nokavēti maksājumi</w:t>
      </w:r>
    </w:p>
    <w:p w14:paraId="61168FAD"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0D9C77A0" w14:textId="7464FBA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Nokavētiem Iestādes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Partnera finansēšanas līgumos norādītā saistību neizpildes likme.</w:t>
      </w:r>
    </w:p>
    <w:p w14:paraId="5225EA58"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6793D9B3" w14:textId="3992DC9B"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4165A86"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3FF955D6" w14:textId="139C091D"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par nokavējuma procentiem (tostarp piemērotā procentu likme)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1A54E759"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5BF5A32A" w14:textId="489BC156"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5.8. Apstrīdēti maksājumi</w:t>
      </w:r>
    </w:p>
    <w:p w14:paraId="04CF7F03"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6C1CE32" w14:textId="451D67E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Parasti saskaņā ar PPP līgumu neatkarīgā strīda izšķiršanas procedūrā jebkura puse var iesniegt izskatīšanai jebkādus strīdus par summām, ko Iestāde maksā Partnerim. Dažos PPP līgumos </w:t>
      </w:r>
      <w:r w:rsidRPr="000761E9">
        <w:rPr>
          <w:rFonts w:ascii="Times New Roman" w:eastAsia="Times New Roman" w:hAnsi="Times New Roman" w:cs="Times New Roman"/>
          <w:color w:val="231F20"/>
          <w:sz w:val="24"/>
          <w:szCs w:val="24"/>
          <w:lang w:eastAsia="lv-LV"/>
        </w:rPr>
        <w:lastRenderedPageBreak/>
        <w:t>nosaka, ka līdz strīda izšķiršanai Iestādei ir jāsamaksā neapstrīdētā summa, bet tā ir tiesīga aizturēt apstrīdēto summu.</w:t>
      </w:r>
    </w:p>
    <w:p w14:paraId="1DADB528" w14:textId="77777777" w:rsidR="0089377C" w:rsidRPr="000761E9" w:rsidRDefault="0089377C" w:rsidP="00D43EDD">
      <w:pPr>
        <w:spacing w:after="0" w:line="240" w:lineRule="auto"/>
        <w:jc w:val="both"/>
        <w:rPr>
          <w:rFonts w:ascii="Times New Roman" w:eastAsia="Times New Roman" w:hAnsi="Times New Roman" w:cs="Times New Roman"/>
          <w:sz w:val="24"/>
          <w:szCs w:val="24"/>
          <w:lang w:eastAsia="lv-LV"/>
        </w:rPr>
      </w:pPr>
    </w:p>
    <w:p w14:paraId="7D9918E6"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18F3FA2"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106BB4EB" w14:textId="2C0B88E3"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iepriekš aprakstītie noteikumi par apstrīdētajiem maksājumiem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49F185D9"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4C80AF9B" w14:textId="7F891B8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5.9. Pastarpinātās izmaksas</w:t>
      </w:r>
    </w:p>
    <w:p w14:paraId="4E6B3689"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8A3C8F8" w14:textId="0218108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Praktisku iemeslu dēļ Partneris Iestādes vārdā var segt tās izmaksas, kas ir attiecināmas uz Iestādi, kura lieto/īrē aktīvu (piemēram, vietējie īpašuma nodokļi, maksa par tālruņu un interneta pakalpojumiem). Šīs izmaksas parasti pieskaita pamatdarbības maksājumiem, kas Iestādei jāmaksā Partnerim.</w:t>
      </w:r>
    </w:p>
    <w:p w14:paraId="703F781D"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8DC0A38"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749FE7B"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3841CFF2" w14:textId="4DEFE5A6"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saskaņā ar kuriem Iestādei ir jāatlīdzina izmaksas, kas Partnerim radušās tās Iestādes vārdā, kura lieto/īrē aktīvu (piemēram, vietējie īpašuma nodokļi, maksa par tālruņu un interneta pakalpojumiem), </w:t>
      </w:r>
      <w:r w:rsidRPr="000761E9">
        <w:rPr>
          <w:rFonts w:ascii="Times New Roman" w:eastAsia="Times New Roman" w:hAnsi="Times New Roman" w:cs="Times New Roman"/>
          <w:b/>
          <w:bCs/>
          <w:i/>
          <w:iCs/>
          <w:color w:val="EF4056"/>
          <w:sz w:val="24"/>
          <w:szCs w:val="24"/>
          <w:lang w:eastAsia="lv-LV"/>
        </w:rPr>
        <w:t>neietekmē statistisko uzskaiti</w:t>
      </w:r>
      <w:r w:rsidRPr="000761E9">
        <w:rPr>
          <w:rFonts w:ascii="Times New Roman" w:eastAsia="Times New Roman" w:hAnsi="Times New Roman" w:cs="Times New Roman"/>
          <w:i/>
          <w:iCs/>
          <w:color w:val="EF4056"/>
          <w:sz w:val="24"/>
          <w:szCs w:val="24"/>
          <w:lang w:eastAsia="lv-LV"/>
        </w:rPr>
        <w:t>.</w:t>
      </w:r>
    </w:p>
    <w:p w14:paraId="6E0A35B7" w14:textId="77777777" w:rsid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75165897" w14:textId="3CB45ABF"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5.10. Maksājumu mehānisma pārskatīšana</w:t>
      </w:r>
    </w:p>
    <w:p w14:paraId="6E823841"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53CBE467" w14:textId="18BB8FA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regulāri kopīgi pārskatīt maksājumu mehānismu (vai noteiktus maksājumu mehānisma elementus, piemēram, svērumus un termiņus, kuros jāreaģē / jānovērš neizpilde). Šādu pārskatīšanu mērķis ir noteikt, vai maksājumu mehānisms praksē sasniedz to, ko puses bija plānojušas. Jebkuras korekcijas tiks ieviestas, abām pusēm par to vienojoties.</w:t>
      </w:r>
    </w:p>
    <w:p w14:paraId="7EC88AA3" w14:textId="77777777" w:rsidR="0089377C" w:rsidRDefault="0089377C" w:rsidP="00D43EDD">
      <w:pPr>
        <w:spacing w:after="0" w:line="240" w:lineRule="auto"/>
        <w:jc w:val="both"/>
        <w:rPr>
          <w:rFonts w:ascii="Times New Roman" w:eastAsia="Times New Roman" w:hAnsi="Times New Roman" w:cs="Times New Roman"/>
          <w:b/>
          <w:bCs/>
          <w:i/>
          <w:iCs/>
          <w:sz w:val="24"/>
          <w:szCs w:val="24"/>
          <w:lang w:eastAsia="lv-LV"/>
        </w:rPr>
      </w:pPr>
    </w:p>
    <w:p w14:paraId="17D0A54E" w14:textId="14B4FFDD"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439F935" w14:textId="77777777" w:rsidR="0089377C" w:rsidRDefault="0089377C" w:rsidP="00D43EDD">
      <w:pPr>
        <w:spacing w:after="0" w:line="240" w:lineRule="auto"/>
        <w:jc w:val="both"/>
        <w:rPr>
          <w:rFonts w:ascii="Times New Roman" w:eastAsia="Times New Roman" w:hAnsi="Times New Roman" w:cs="Times New Roman"/>
          <w:i/>
          <w:iCs/>
          <w:color w:val="EF4056"/>
          <w:sz w:val="24"/>
          <w:szCs w:val="24"/>
          <w:lang w:eastAsia="lv-LV"/>
        </w:rPr>
      </w:pPr>
    </w:p>
    <w:p w14:paraId="68FAC5A1" w14:textId="6E3B6900"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EF4056"/>
          <w:sz w:val="24"/>
          <w:szCs w:val="24"/>
          <w:lang w:eastAsia="lv-LV"/>
        </w:rPr>
        <w:t xml:space="preserve">Eurostat uzskata, ka noteikumi par maksājumu mehānisma pārskatīšanu </w:t>
      </w:r>
      <w:r w:rsidRPr="000761E9">
        <w:rPr>
          <w:rFonts w:ascii="Times New Roman" w:eastAsia="Times New Roman" w:hAnsi="Times New Roman" w:cs="Times New Roman"/>
          <w:b/>
          <w:bCs/>
          <w:i/>
          <w:iCs/>
          <w:color w:val="EF4056"/>
          <w:sz w:val="24"/>
          <w:szCs w:val="24"/>
          <w:lang w:eastAsia="lv-LV"/>
        </w:rPr>
        <w:t xml:space="preserve">neietekmē statistisko uzskaiti, ja </w:t>
      </w:r>
      <w:r w:rsidRPr="000761E9">
        <w:rPr>
          <w:rFonts w:ascii="Times New Roman" w:eastAsia="Times New Roman" w:hAnsi="Times New Roman" w:cs="Times New Roman"/>
          <w:i/>
          <w:iCs/>
          <w:color w:val="EF4056"/>
          <w:sz w:val="24"/>
          <w:szCs w:val="24"/>
          <w:lang w:eastAsia="lv-LV"/>
        </w:rPr>
        <w:t>pārskatīšanas mērķis nav mainīt PPP līgumā noteikto riska un atlīdzības sadalījumu.</w:t>
      </w:r>
      <w:r w:rsidR="0089377C">
        <w:rPr>
          <w:rStyle w:val="Vresatsauce"/>
          <w:rFonts w:ascii="Times New Roman" w:eastAsia="Times New Roman" w:hAnsi="Times New Roman" w:cs="Times New Roman"/>
          <w:i/>
          <w:iCs/>
          <w:color w:val="EF4056"/>
          <w:sz w:val="24"/>
          <w:szCs w:val="24"/>
          <w:lang w:eastAsia="lv-LV"/>
        </w:rPr>
        <w:footnoteReference w:id="33"/>
      </w:r>
    </w:p>
    <w:p w14:paraId="6DCD0B67" w14:textId="71170837" w:rsidR="0089377C" w:rsidRDefault="0089377C">
      <w:pPr>
        <w:rPr>
          <w:rFonts w:ascii="Times New Roman" w:eastAsia="Times New Roman" w:hAnsi="Times New Roman" w:cs="Times New Roman"/>
          <w:color w:val="231F20"/>
          <w:sz w:val="20"/>
          <w:szCs w:val="20"/>
          <w:lang w:eastAsia="lv-LV"/>
        </w:rPr>
      </w:pPr>
      <w:r>
        <w:rPr>
          <w:rFonts w:ascii="Times New Roman" w:eastAsia="Times New Roman" w:hAnsi="Times New Roman" w:cs="Times New Roman"/>
          <w:color w:val="231F20"/>
          <w:sz w:val="20"/>
          <w:szCs w:val="20"/>
          <w:lang w:eastAsia="lv-LV"/>
        </w:rPr>
        <w:br w:type="page"/>
      </w:r>
    </w:p>
    <w:p w14:paraId="1BA3195F" w14:textId="77777777" w:rsidR="0089377C" w:rsidRDefault="0089377C" w:rsidP="00D43EDD">
      <w:pPr>
        <w:spacing w:after="0" w:line="240" w:lineRule="auto"/>
        <w:jc w:val="both"/>
        <w:rPr>
          <w:rFonts w:ascii="Times New Roman" w:eastAsia="Times New Roman" w:hAnsi="Times New Roman" w:cs="Times New Roman"/>
          <w:b/>
          <w:bCs/>
          <w:color w:val="006678"/>
          <w:sz w:val="24"/>
          <w:szCs w:val="24"/>
          <w:lang w:eastAsia="lv-LV"/>
        </w:rPr>
      </w:pPr>
    </w:p>
    <w:p w14:paraId="787E167D" w14:textId="5BBC9C82" w:rsidR="00D43EDD" w:rsidRPr="00586FD8" w:rsidRDefault="00D43EDD" w:rsidP="00586FD8">
      <w:pPr>
        <w:pStyle w:val="Virsraksts1"/>
        <w:rPr>
          <w:rFonts w:eastAsia="Times New Roman"/>
          <w:b w:val="0"/>
          <w:color w:val="auto"/>
          <w:szCs w:val="28"/>
          <w:lang w:eastAsia="lv-LV"/>
        </w:rPr>
      </w:pPr>
      <w:bookmarkStart w:id="11" w:name="_Toc528941575"/>
      <w:r w:rsidRPr="0089377C">
        <w:rPr>
          <w:rFonts w:eastAsia="Times New Roman"/>
          <w:color w:val="006678"/>
          <w:lang w:eastAsia="lv-LV"/>
        </w:rPr>
        <w:t xml:space="preserve">6. temats. </w:t>
      </w:r>
      <w:r w:rsidRPr="00586FD8">
        <w:rPr>
          <w:rFonts w:eastAsia="Times New Roman"/>
          <w:b w:val="0"/>
          <w:color w:val="auto"/>
          <w:szCs w:val="28"/>
          <w:lang w:eastAsia="lv-LV"/>
        </w:rPr>
        <w:t>Gadījumi, kad izmaksājama kompensācija, kad piešķirams atvieglojums un kad notikusi nepārvarama vara</w:t>
      </w:r>
      <w:bookmarkEnd w:id="11"/>
    </w:p>
    <w:p w14:paraId="3B267F79" w14:textId="77777777" w:rsidR="0089377C" w:rsidRPr="0089377C" w:rsidRDefault="0089377C" w:rsidP="00D43EDD">
      <w:pPr>
        <w:spacing w:after="0" w:line="240" w:lineRule="auto"/>
        <w:jc w:val="both"/>
        <w:rPr>
          <w:rFonts w:ascii="Times New Roman" w:eastAsia="Times New Roman" w:hAnsi="Times New Roman" w:cs="Times New Roman"/>
          <w:b/>
          <w:bCs/>
          <w:color w:val="231F20"/>
          <w:sz w:val="24"/>
          <w:szCs w:val="24"/>
          <w:lang w:eastAsia="lv-LV"/>
        </w:rPr>
      </w:pPr>
    </w:p>
    <w:p w14:paraId="42B6BB4E" w14:textId="5B1120DC"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89377C">
        <w:rPr>
          <w:rFonts w:ascii="Times New Roman" w:eastAsia="Times New Roman" w:hAnsi="Times New Roman" w:cs="Times New Roman"/>
          <w:b/>
          <w:bCs/>
          <w:color w:val="231F20"/>
          <w:sz w:val="24"/>
          <w:szCs w:val="24"/>
          <w:lang w:eastAsia="lv-LV"/>
        </w:rPr>
        <w:t>6.1. PPP</w:t>
      </w:r>
      <w:r w:rsidRPr="000761E9">
        <w:rPr>
          <w:rFonts w:ascii="Times New Roman" w:eastAsia="Times New Roman" w:hAnsi="Times New Roman" w:cs="Times New Roman"/>
          <w:b/>
          <w:bCs/>
          <w:color w:val="231F20"/>
          <w:sz w:val="24"/>
          <w:szCs w:val="24"/>
          <w:lang w:eastAsia="lv-LV"/>
        </w:rPr>
        <w:t xml:space="preserve"> līgumu mehānismi, kas attiecas uz gadījumiem, kad izmaksājama kompensācija, kad piešķirams atvieglojums un kad notikusi nepārvarama vara</w:t>
      </w:r>
    </w:p>
    <w:p w14:paraId="2722C926"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5E7A62E" w14:textId="7C8B870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Visos PPP līgumos tiek iekļauti mehānismi, saskaņā ar kuriem noteiktus ar aktīva un/vai pakalpojumu nodrošināšanu saistītos riskus Iestāde vai nu uzņemas viena, vai dala ar Partneri. Atšķiras dažādos līgumos izmantotie mehānismi (un to aprakstīšanai lietotā terminoloģija), bet daudzas jurisdikcijas ir pieņēmušas pieeju ar trīs līmeņiem, kas šajā rokasgrāmatā klasificēti kā “gadījumi, kad izmaksājama kompensācija”, “gadījumi, kad piešķirami atvieglojumi” un “nepārvaramas varas gadījumi”.</w:t>
      </w:r>
    </w:p>
    <w:p w14:paraId="0FC8EC2C" w14:textId="77777777" w:rsidR="0089377C" w:rsidRPr="000761E9"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4771CF86"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6.1.1. Gadījumi, kad izmaksājama kompensācija</w:t>
      </w:r>
    </w:p>
    <w:p w14:paraId="1BC49C9D"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6A9F3CB6" w14:textId="2A18FD92"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 gadījumiem, kad izmaksājama kompensācija, parasti uzskata šādus gadījumus:</w:t>
      </w:r>
    </w:p>
    <w:p w14:paraId="31673624" w14:textId="77777777" w:rsidR="0089377C" w:rsidRDefault="0089377C" w:rsidP="00D43EDD">
      <w:pPr>
        <w:spacing w:after="0" w:line="240" w:lineRule="auto"/>
        <w:jc w:val="both"/>
        <w:rPr>
          <w:rFonts w:ascii="Times New Roman" w:eastAsia="Times New Roman" w:hAnsi="Times New Roman" w:cs="Times New Roman"/>
          <w:color w:val="231F20"/>
          <w:sz w:val="24"/>
          <w:szCs w:val="24"/>
          <w:lang w:eastAsia="lv-LV"/>
        </w:rPr>
      </w:pPr>
    </w:p>
    <w:p w14:paraId="7A180BFF" w14:textId="60B8ECF4"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 pārkāpj PPP līgumu;</w:t>
      </w:r>
    </w:p>
    <w:p w14:paraId="68CB4ADA"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izmaiņas tiesību aktos;</w:t>
      </w:r>
    </w:p>
    <w:p w14:paraId="508EAAB0"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Iestādes kavēšanās piešķirt Partnerim piekļuvi projekta īstenošanas vietai;</w:t>
      </w:r>
    </w:p>
    <w:p w14:paraId="3817886B"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trešo pušu kavēšanās sniegt apstiprinājumus vai atļaut procesus;</w:t>
      </w:r>
    </w:p>
    <w:p w14:paraId="1E0BB133"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14:paraId="40DA0C53"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tādi protesti pret projektu, kas ietekmē Partnera izpildi;</w:t>
      </w:r>
    </w:p>
    <w:p w14:paraId="0F16C9A3" w14:textId="77777777" w:rsidR="00D43EDD" w:rsidRPr="00C35652" w:rsidRDefault="00D43EDD" w:rsidP="00DC1556">
      <w:pPr>
        <w:pStyle w:val="Sarakstarindkopa"/>
        <w:numPr>
          <w:ilvl w:val="0"/>
          <w:numId w:val="5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aktīva vandālisms.</w:t>
      </w:r>
    </w:p>
    <w:p w14:paraId="263D0A8C"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E22782A" w14:textId="4788E1B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mehānismu attiecībā uz gadījumiem, kad izmaksājama kompensācija, parasti pilnu risku par tiem uzņemas Iestāde, kas nozīmē, ka Partnerim jābūt tādā pašā stāvoklī, kādā tas būtu, ja šāds gadījums nebūtu noticis.</w:t>
      </w:r>
    </w:p>
    <w:p w14:paraId="69472BE6"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68DFA6A" w14:textId="6A6C064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to panāk, sniedzot Partnerim atvieglojumus un/vai finansiālu kompensāciju saskaņā ar šādiem nosacījumiem:</w:t>
      </w:r>
    </w:p>
    <w:p w14:paraId="4D397E9A"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982CFB5" w14:textId="77777777" w:rsidR="00D43EDD" w:rsidRPr="00C35652" w:rsidRDefault="00D43EDD" w:rsidP="00DC1556">
      <w:pPr>
        <w:pStyle w:val="Sarakstarindkopa"/>
        <w:numPr>
          <w:ilvl w:val="0"/>
          <w:numId w:val="5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aizkavējas būvniecība, pagarina Partnerim noteiktos būvniecības starpposma vērtību sasniegšanas termiņus un/vai pabeigšanas termiņu, kā arī (atbilstošā gadījumā) Partneri atbrīvo no līgumsoda maksāšanas Iestādei;</w:t>
      </w:r>
    </w:p>
    <w:p w14:paraId="7074B3ED" w14:textId="77777777" w:rsidR="00D43EDD" w:rsidRPr="00C35652" w:rsidRDefault="00D43EDD" w:rsidP="00DC1556">
      <w:pPr>
        <w:pStyle w:val="Sarakstarindkopa"/>
        <w:numPr>
          <w:ilvl w:val="0"/>
          <w:numId w:val="5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rodas aktīva nepieejamība, pakalpojumu neizpilde vai citas PPP līguma izpildes problēmas, Partnerim nepiemēro atskaitījumus, kas citādi tiktu piemēroti saskaņā ar maksājumu mehānismu, un neuzskata, ka Partneris nav izpildījis saistības (piemēram, PPP līgums netiek izbeigts pirms termiņa);</w:t>
      </w:r>
    </w:p>
    <w:p w14:paraId="2EC4A9FB" w14:textId="77777777" w:rsidR="00D43EDD" w:rsidRPr="00C35652" w:rsidRDefault="00D43EDD" w:rsidP="00DC1556">
      <w:pPr>
        <w:pStyle w:val="Sarakstarindkopa"/>
        <w:numPr>
          <w:ilvl w:val="0"/>
          <w:numId w:val="5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palielinās Partnera (būvniecības vai ekspluatācijas) izmaksas vai Partneris zaudē ieņēmumus, Iestāde tam izmaksā finansiālu kompensāciju pilnā apmērā.</w:t>
      </w:r>
    </w:p>
    <w:p w14:paraId="606250C7" w14:textId="77777777" w:rsidR="00C35652" w:rsidRDefault="00C35652" w:rsidP="00D43EDD">
      <w:pPr>
        <w:spacing w:after="0" w:line="240" w:lineRule="auto"/>
        <w:jc w:val="both"/>
        <w:rPr>
          <w:rFonts w:ascii="Times New Roman" w:eastAsia="Times New Roman" w:hAnsi="Times New Roman" w:cs="Times New Roman"/>
          <w:b/>
          <w:bCs/>
          <w:color w:val="888A8C"/>
          <w:sz w:val="24"/>
          <w:szCs w:val="24"/>
          <w:lang w:eastAsia="lv-LV"/>
        </w:rPr>
      </w:pPr>
    </w:p>
    <w:p w14:paraId="79578E11" w14:textId="31BAA540"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6.1.2. Gadījumi, kad piešķirami atvieglojumi</w:t>
      </w:r>
    </w:p>
    <w:p w14:paraId="294769A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71877DA" w14:textId="33AD58C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Par gadījumiem, kad piešķirami atvieglojumi, parasti uzskata turpmāk uzskaitītos gadījumus, ja tie ietekmē Partnera veikto projekta izpildi un ja tos nav izraisījusi Partnera darbība vai bezdarbība:</w:t>
      </w:r>
    </w:p>
    <w:p w14:paraId="1C32AE38"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3133CBC"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ugunsgrēks;</w:t>
      </w:r>
    </w:p>
    <w:p w14:paraId="1D8065B7"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sprādziens;</w:t>
      </w:r>
    </w:p>
    <w:p w14:paraId="3C99BA5C"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plīsušas vai pārplūdušas ūdens tvertnes, iekārtas vai caurules;</w:t>
      </w:r>
    </w:p>
    <w:p w14:paraId="3D71A5C0"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tāda aktīva vai citas infrastruktūras nejauša zaudēšana vai sabojāšana, kas Partnerim ir nepieciešama saistību izpildei;</w:t>
      </w:r>
    </w:p>
    <w:p w14:paraId="65EACDE8"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elektroenerģijas vai degvielas padeves defekti vai trūkums, nepieejams vai nepietiekams transports;</w:t>
      </w:r>
    </w:p>
    <w:p w14:paraId="610F74B4" w14:textId="77777777" w:rsidR="00D43EDD" w:rsidRPr="00C35652" w:rsidRDefault="00D43EDD" w:rsidP="00DC1556">
      <w:pPr>
        <w:pStyle w:val="Sarakstarindkopa"/>
        <w:numPr>
          <w:ilvl w:val="0"/>
          <w:numId w:val="6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nozares mēroga darba strīdi vai streiki.</w:t>
      </w:r>
    </w:p>
    <w:p w14:paraId="7731F869"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FBBB509" w14:textId="356E96A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mehānismu attiecībā uz gadījumiem, kad piešķirami atvieglojumi, parasti ar šādu gadījumu saistīto risku dala Iestāde un Partneris, kas nozīmē, ka bieži tiek gaidīts, ka Partneris (pilnā apmērā vai daļēji) segs gadījuma radītās finansiālās sekas, bet tam nepiemēro pārējās līgumā noteiktās šāda gadījuma sekas.</w:t>
      </w:r>
    </w:p>
    <w:p w14:paraId="6E977BC2"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E67318E" w14:textId="4473A68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līgumi Partnerim paredz šādus atvieglojumus:</w:t>
      </w:r>
    </w:p>
    <w:p w14:paraId="23C970C7"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B9D4CA6" w14:textId="59F74B5C" w:rsidR="00D43EDD" w:rsidRPr="00C35652" w:rsidRDefault="00D43EDD" w:rsidP="00DC1556">
      <w:pPr>
        <w:pStyle w:val="Sarakstarindkopa"/>
        <w:numPr>
          <w:ilvl w:val="0"/>
          <w:numId w:val="6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aizkavējas būvniecība, pagarina Partnerim noteiktos būvniecības starpposma vērtību sasniegšanas termiņus un/vai pabeigšanas termiņu, kā arī (atbilstošā gadījumā) Parteri atbrīvo no līgumsoda maksāšanas Iestādei;</w:t>
      </w:r>
    </w:p>
    <w:p w14:paraId="7F12FE6E" w14:textId="77777777" w:rsidR="00C35652" w:rsidRPr="000761E9" w:rsidRDefault="00C35652" w:rsidP="00C35652">
      <w:pPr>
        <w:spacing w:after="0" w:line="240" w:lineRule="auto"/>
        <w:ind w:left="709" w:hanging="283"/>
        <w:jc w:val="both"/>
        <w:rPr>
          <w:rFonts w:ascii="Times New Roman" w:eastAsia="Times New Roman" w:hAnsi="Times New Roman" w:cs="Times New Roman"/>
          <w:color w:val="231F20"/>
          <w:sz w:val="24"/>
          <w:szCs w:val="24"/>
          <w:lang w:eastAsia="lv-LV"/>
        </w:rPr>
      </w:pPr>
    </w:p>
    <w:p w14:paraId="000BF426" w14:textId="70655586" w:rsidR="00D43EDD" w:rsidRPr="00C35652" w:rsidRDefault="00D43EDD" w:rsidP="00DC1556">
      <w:pPr>
        <w:pStyle w:val="Sarakstarindkopa"/>
        <w:numPr>
          <w:ilvl w:val="0"/>
          <w:numId w:val="6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rodas aktīva nepieejamība, vai pakalpojumu neizpilde, pamatdarbības maksājumiem parasti tomēr piemēro atskaitījumus (vai saskaņā ar dažiem PPP līgumiem piemēro daļu no atskaitījumiem), bet neuzskata, ka Partneris nav izpildījis saistības (piemēram, PPP līguma darbība netiek izbeigta pirms termiņa, ja citādi Iestāde būtu tiesīga to darīt atskaitījumu vai aktīva nepieejamības dēļ, ko izraisījis šis gadījums);</w:t>
      </w:r>
    </w:p>
    <w:p w14:paraId="7A8EF91A" w14:textId="77777777" w:rsidR="00C35652" w:rsidRPr="000761E9" w:rsidRDefault="00C35652" w:rsidP="00C35652">
      <w:pPr>
        <w:spacing w:after="0" w:line="240" w:lineRule="auto"/>
        <w:ind w:left="709" w:hanging="283"/>
        <w:jc w:val="both"/>
        <w:rPr>
          <w:rFonts w:ascii="Times New Roman" w:eastAsia="Times New Roman" w:hAnsi="Times New Roman" w:cs="Times New Roman"/>
          <w:color w:val="231F20"/>
          <w:sz w:val="24"/>
          <w:szCs w:val="24"/>
          <w:lang w:eastAsia="lv-LV"/>
        </w:rPr>
      </w:pPr>
    </w:p>
    <w:p w14:paraId="165EA8E8" w14:textId="165E3462" w:rsidR="00D43EDD" w:rsidRPr="00C35652" w:rsidRDefault="00D43EDD" w:rsidP="00DC1556">
      <w:pPr>
        <w:pStyle w:val="Sarakstarindkopa"/>
        <w:numPr>
          <w:ilvl w:val="0"/>
          <w:numId w:val="6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 xml:space="preserve">saskaņā ar vairumu PPP līgumu Partnerim ir jāsedz visas šāda gadījuma dēļ radušās pieaugušās izmaksas vai jāzaudē ieņēmumi, bet daži PPP līgumi Partnerim dod tiesības saņemt noteiktu finansiālu kompensāciju (kas ir mazāka nekā gadījumā, kad izmaksājama kompensācija). Šādi PPP līgumi var noteikt kompensāciju, piemēram, ja gadījums ir ilgāks par </w:t>
      </w:r>
      <w:r w:rsidRPr="00C35652">
        <w:rPr>
          <w:rFonts w:ascii="Times New Roman" w:eastAsia="Times New Roman" w:hAnsi="Times New Roman" w:cs="Times New Roman"/>
          <w:i/>
          <w:iCs/>
          <w:color w:val="231F20"/>
          <w:sz w:val="24"/>
          <w:szCs w:val="24"/>
          <w:lang w:eastAsia="lv-LV"/>
        </w:rPr>
        <w:t>x </w:t>
      </w:r>
      <w:r w:rsidRPr="00C35652">
        <w:rPr>
          <w:rFonts w:ascii="Times New Roman" w:eastAsia="Times New Roman" w:hAnsi="Times New Roman" w:cs="Times New Roman"/>
          <w:color w:val="231F20"/>
          <w:sz w:val="24"/>
          <w:szCs w:val="24"/>
          <w:lang w:eastAsia="lv-LV"/>
        </w:rPr>
        <w:t xml:space="preserve">dienām vai ja izmaksas pārsniedz </w:t>
      </w:r>
      <w:r w:rsidRPr="00C35652">
        <w:rPr>
          <w:rFonts w:ascii="Times New Roman" w:eastAsia="Times New Roman" w:hAnsi="Times New Roman" w:cs="Times New Roman"/>
          <w:i/>
          <w:iCs/>
          <w:color w:val="231F20"/>
          <w:sz w:val="24"/>
          <w:szCs w:val="24"/>
          <w:lang w:eastAsia="lv-LV"/>
        </w:rPr>
        <w:t>y</w:t>
      </w:r>
      <w:r w:rsidRPr="00C35652">
        <w:rPr>
          <w:rFonts w:ascii="Times New Roman" w:eastAsia="Times New Roman" w:hAnsi="Times New Roman" w:cs="Times New Roman"/>
          <w:color w:val="231F20"/>
          <w:sz w:val="24"/>
          <w:szCs w:val="24"/>
          <w:lang w:eastAsia="lv-LV"/>
        </w:rPr>
        <w:t xml:space="preserve"> EUR, vai noteikt kompensāciju </w:t>
      </w:r>
      <w:r w:rsidRPr="00C35652">
        <w:rPr>
          <w:rFonts w:ascii="Times New Roman" w:eastAsia="Times New Roman" w:hAnsi="Times New Roman" w:cs="Times New Roman"/>
          <w:i/>
          <w:iCs/>
          <w:color w:val="231F20"/>
          <w:sz w:val="24"/>
          <w:szCs w:val="24"/>
          <w:lang w:eastAsia="lv-LV"/>
        </w:rPr>
        <w:t>z</w:t>
      </w:r>
      <w:r w:rsidRPr="00C35652">
        <w:rPr>
          <w:rFonts w:ascii="Times New Roman" w:eastAsia="Times New Roman" w:hAnsi="Times New Roman" w:cs="Times New Roman"/>
          <w:color w:val="231F20"/>
          <w:sz w:val="24"/>
          <w:szCs w:val="24"/>
          <w:lang w:eastAsia="lv-LV"/>
        </w:rPr>
        <w:t> % apmērā no pamatdarbības maksājumiem, ko Partneris saņemtu, ja attiecīgais gadījums nebūtu noticis;</w:t>
      </w:r>
    </w:p>
    <w:p w14:paraId="370C5D55" w14:textId="77777777" w:rsidR="00C35652" w:rsidRPr="000761E9" w:rsidRDefault="00C35652" w:rsidP="00C35652">
      <w:pPr>
        <w:spacing w:after="0" w:line="240" w:lineRule="auto"/>
        <w:ind w:left="709" w:hanging="283"/>
        <w:jc w:val="both"/>
        <w:rPr>
          <w:rFonts w:ascii="Times New Roman" w:eastAsia="Times New Roman" w:hAnsi="Times New Roman" w:cs="Times New Roman"/>
          <w:sz w:val="24"/>
          <w:szCs w:val="24"/>
          <w:lang w:eastAsia="lv-LV"/>
        </w:rPr>
      </w:pPr>
    </w:p>
    <w:p w14:paraId="5420C7FB" w14:textId="77777777" w:rsidR="00D43EDD" w:rsidRPr="00C35652" w:rsidRDefault="00D43EDD" w:rsidP="00DC1556">
      <w:pPr>
        <w:pStyle w:val="Sarakstarindkopa"/>
        <w:numPr>
          <w:ilvl w:val="0"/>
          <w:numId w:val="6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gadījums turpinās ilgu laiku, saskaņā ar dažiem līgumiem jebkura no pusēm to var uzskatīt par nepārvaramas varas gadījumu (sk. 6.1.3. tematu).</w:t>
      </w:r>
    </w:p>
    <w:p w14:paraId="2A86F47D" w14:textId="77777777" w:rsidR="00C35652" w:rsidRDefault="00C35652" w:rsidP="00D43EDD">
      <w:pPr>
        <w:spacing w:after="0" w:line="240" w:lineRule="auto"/>
        <w:jc w:val="both"/>
        <w:rPr>
          <w:rFonts w:ascii="Times New Roman" w:eastAsia="Times New Roman" w:hAnsi="Times New Roman" w:cs="Times New Roman"/>
          <w:b/>
          <w:bCs/>
          <w:color w:val="888A8C"/>
          <w:sz w:val="24"/>
          <w:szCs w:val="24"/>
          <w:lang w:eastAsia="lv-LV"/>
        </w:rPr>
      </w:pPr>
    </w:p>
    <w:p w14:paraId="3446CB42" w14:textId="01F837F2"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6.1.3. Nepārvaramas varas gadījumi</w:t>
      </w:r>
    </w:p>
    <w:p w14:paraId="5D26BD40"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41FB010" w14:textId="3237210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 nepārvaramas varas gadījumiem parasti uzskata turpmāk uzskaitītos, ja tie ietekmē kādas puses spēju pildīt PPP līgumā noteiktās saistības un ja tos nav izraisījusi tās puses darbība vai bezdarbība, kas pieprasa atvieglojumus:</w:t>
      </w:r>
    </w:p>
    <w:p w14:paraId="07FC0A01"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ED350CA" w14:textId="77777777" w:rsidR="00D43EDD" w:rsidRPr="00C35652" w:rsidRDefault="00D43EDD" w:rsidP="00DC1556">
      <w:pPr>
        <w:pStyle w:val="Sarakstarindkopa"/>
        <w:numPr>
          <w:ilvl w:val="0"/>
          <w:numId w:val="6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karš, pilsoņu karš, sacelšanās, bruņots konflikts, revolūcija, terorisms, protesti;</w:t>
      </w:r>
    </w:p>
    <w:p w14:paraId="547364FA" w14:textId="77777777" w:rsidR="00D43EDD" w:rsidRPr="00C35652" w:rsidRDefault="00D43EDD" w:rsidP="00DC1556">
      <w:pPr>
        <w:pStyle w:val="Sarakstarindkopa"/>
        <w:numPr>
          <w:ilvl w:val="0"/>
          <w:numId w:val="6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lastRenderedPageBreak/>
        <w:t>kodolsprādzieni, jonizējoša radiācija vai radioaktīvs, ķīmisks vai bioloģisks piesārņojums;</w:t>
      </w:r>
    </w:p>
    <w:p w14:paraId="0F533DBA" w14:textId="77777777" w:rsidR="00D43EDD" w:rsidRPr="00C35652" w:rsidRDefault="00D43EDD" w:rsidP="00DC1556">
      <w:pPr>
        <w:pStyle w:val="Sarakstarindkopa"/>
        <w:numPr>
          <w:ilvl w:val="0"/>
          <w:numId w:val="6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spiediena viļņi, kurus rada virsskaņas lidmašīnas;</w:t>
      </w:r>
    </w:p>
    <w:p w14:paraId="7D2D3399" w14:textId="77777777" w:rsidR="00D43EDD" w:rsidRPr="00C35652" w:rsidRDefault="00D43EDD" w:rsidP="00DC1556">
      <w:pPr>
        <w:pStyle w:val="Sarakstarindkopa"/>
        <w:numPr>
          <w:ilvl w:val="0"/>
          <w:numId w:val="6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aviokatastrofas;</w:t>
      </w:r>
    </w:p>
    <w:p w14:paraId="002E18E9" w14:textId="77777777" w:rsidR="00D43EDD" w:rsidRPr="00C35652" w:rsidRDefault="00D43EDD" w:rsidP="00DC1556">
      <w:pPr>
        <w:pStyle w:val="Sarakstarindkopa"/>
        <w:numPr>
          <w:ilvl w:val="0"/>
          <w:numId w:val="6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dabas katastrofas, piemēram, zemestrīces, zemes nogruvumi, zibensizlāde, plūdi, vētras, cikloni un citi ekstremāli klimatiskie vai vides apstākļi, kurus iestādes atzīst par dabas katastrofām.</w:t>
      </w:r>
    </w:p>
    <w:p w14:paraId="2550D8E9"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E78EEEF" w14:textId="6B187BC3"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color w:val="231F20"/>
          <w:sz w:val="24"/>
          <w:szCs w:val="24"/>
          <w:lang w:eastAsia="lv-LV"/>
        </w:rPr>
        <w:t>Saskaņā ar mehānismu, kas attiecas uz nepārvaramas varas gadījumiem, parasti ar šādu gadījumu saistīto risku dala Iestāde un Partneris, kas nozīmē, ka bieži tiek gaidīts, ka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14:paraId="31532E78"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5B686A3" w14:textId="5F2A7CB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Mehānisms, kas attiecas uz nepārvaramas varas gadījumiem, parasti piešķir šādus atvieglojumus:</w:t>
      </w:r>
    </w:p>
    <w:p w14:paraId="7C008C57"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A115CE6" w14:textId="77777777" w:rsidR="00D43EDD" w:rsidRPr="00C35652" w:rsidRDefault="00D43EDD" w:rsidP="00DC1556">
      <w:pPr>
        <w:pStyle w:val="Sarakstarindkopa"/>
        <w:numPr>
          <w:ilvl w:val="0"/>
          <w:numId w:val="6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aizkavējas būvniecība, pagarina Partnerim noteiktos būvniecības starpposma vērtību sasniegšanas termiņus un/vai pabeigšanas termiņu, kā arī (atbilstošā gadījumā) Partneri atbrīvo no līgumsoda maksāšanas Iestādei;</w:t>
      </w:r>
    </w:p>
    <w:p w14:paraId="7B337C24" w14:textId="77777777" w:rsidR="00D43EDD" w:rsidRPr="00C35652" w:rsidRDefault="00D43EDD" w:rsidP="00DC1556">
      <w:pPr>
        <w:pStyle w:val="Sarakstarindkopa"/>
        <w:numPr>
          <w:ilvl w:val="0"/>
          <w:numId w:val="6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14:paraId="6B2D4663" w14:textId="77777777" w:rsidR="00D43EDD" w:rsidRPr="00C35652" w:rsidRDefault="00D43EDD" w:rsidP="00DC1556">
      <w:pPr>
        <w:pStyle w:val="Sarakstarindkopa"/>
        <w:numPr>
          <w:ilvl w:val="0"/>
          <w:numId w:val="6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saskaņā ar dažiem PPP līgumiem Partnerim ir jāsedz gadījuma dēļ pieaugušās izmaksas vai jāzaudē ieņēmumi. Citi PPP līgumi Partnerim piešķir tiesības no Iestādes saņemt finansiālu kompensāciju, kas dažos līgumos ir pilna apmēra kompensācija, bet citos – tikai daļēja (piemēram, lai segtu parādu apkalpošanas izmaksas);</w:t>
      </w:r>
    </w:p>
    <w:p w14:paraId="613CB934" w14:textId="77777777" w:rsidR="00D43EDD" w:rsidRPr="00C35652" w:rsidRDefault="00D43EDD" w:rsidP="00DC1556">
      <w:pPr>
        <w:pStyle w:val="Sarakstarindkopa"/>
        <w:numPr>
          <w:ilvl w:val="0"/>
          <w:numId w:val="6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gadījums turpinās ilgāku laiku, abām pusēm ir tiesības izbeigt PPP līguma darbību. Šis laiks parasti ir īsāks, ja līgums Partnerim nedod tiesības starplaikā saņemt finansiālu kompensāciju.</w:t>
      </w:r>
    </w:p>
    <w:p w14:paraId="38F25112"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964A886" w14:textId="722BFD7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nepārvaramas varas gadījumos Partneris ir tiesīgs pieprasīt atvieglojumus, pamatojoties uz pamata tiesību aktu noteikumiem (sk. 6.2. tematu). Tad attiecīgajos pamata tiesību aktos ir norādīti gadījumi, kad var piešķirt atvieglojumus, un tas, kādi atvieglojumi ir pieejami.</w:t>
      </w:r>
    </w:p>
    <w:p w14:paraId="1CA83486"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197DCB3"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E70C895" w14:textId="77777777" w:rsidR="00C35652"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67891639" w14:textId="57CBD55E"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 xml:space="preserve">Attiecībā uz 6.1.1., 6.1.2. un 6.1.3. tematu Eurostat uzskata, ka noteikumi, saskaņā ar kuriem Iestāde uzņemas vai dala risku, kas saistīts ar gadījumiem, kas ietekmē projekta īstenošanu, </w:t>
      </w:r>
      <w:r w:rsidRPr="000761E9">
        <w:rPr>
          <w:rFonts w:ascii="Times New Roman" w:eastAsia="Times New Roman" w:hAnsi="Times New Roman" w:cs="Times New Roman"/>
          <w:b/>
          <w:bCs/>
          <w:i/>
          <w:iCs/>
          <w:color w:val="006678"/>
          <w:sz w:val="24"/>
          <w:szCs w:val="24"/>
          <w:lang w:eastAsia="lv-LV"/>
        </w:rPr>
        <w:t xml:space="preserve">neietekmē statistisko uzskaiti, ja </w:t>
      </w:r>
      <w:r w:rsidRPr="000761E9">
        <w:rPr>
          <w:rFonts w:ascii="Times New Roman" w:eastAsia="Times New Roman" w:hAnsi="Times New Roman" w:cs="Times New Roman"/>
          <w:i/>
          <w:iCs/>
          <w:color w:val="006678"/>
          <w:sz w:val="24"/>
          <w:szCs w:val="24"/>
          <w:lang w:eastAsia="lv-LV"/>
        </w:rPr>
        <w:t>tiek izpildīti visi šie nosacījumi:</w:t>
      </w:r>
    </w:p>
    <w:p w14:paraId="41C55DCD"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0CBB7734" w14:textId="77777777" w:rsidR="00D43EDD" w:rsidRPr="00C35652" w:rsidRDefault="00D43EDD" w:rsidP="00DC1556">
      <w:pPr>
        <w:pStyle w:val="Sarakstarindkopa"/>
        <w:numPr>
          <w:ilvl w:val="0"/>
          <w:numId w:val="64"/>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ir galīgs skaits pienācīgi definētu gadījumu (t. i., Iestāde nevar uzņemties nenoteiktu skaitu risku);</w:t>
      </w:r>
    </w:p>
    <w:p w14:paraId="2969328C" w14:textId="77777777" w:rsidR="00D43EDD" w:rsidRPr="00C35652" w:rsidRDefault="00D43EDD" w:rsidP="00DC1556">
      <w:pPr>
        <w:pStyle w:val="Sarakstarindkopa"/>
        <w:numPr>
          <w:ilvl w:val="0"/>
          <w:numId w:val="64"/>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šādu gadījumu vidū nav makroekonomikas apstākļu izmaiņu;</w:t>
      </w:r>
    </w:p>
    <w:p w14:paraId="779FA85E" w14:textId="77777777" w:rsidR="00D43EDD" w:rsidRPr="00C35652" w:rsidRDefault="00D43EDD" w:rsidP="00DC1556">
      <w:pPr>
        <w:pStyle w:val="Sarakstarindkopa"/>
        <w:numPr>
          <w:ilvl w:val="0"/>
          <w:numId w:val="64"/>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šie gadījumi nav radušies Partnera darbības vai bezdarbības dēļ;</w:t>
      </w:r>
    </w:p>
    <w:p w14:paraId="1CE8B0D3" w14:textId="77777777" w:rsidR="00D43EDD" w:rsidRPr="00C35652" w:rsidRDefault="00D43EDD" w:rsidP="00DC1556">
      <w:pPr>
        <w:pStyle w:val="Sarakstarindkopa"/>
        <w:numPr>
          <w:ilvl w:val="0"/>
          <w:numId w:val="64"/>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006678"/>
          <w:sz w:val="24"/>
          <w:szCs w:val="24"/>
          <w:lang w:eastAsia="lv-LV"/>
        </w:rPr>
        <w:lastRenderedPageBreak/>
        <w:t>šos gadījumus vai to sekas nav iespējams pamatoti paredzēt vai novērtēt. Iepriekš minētais jānovērtē, ņemot vērā pamatoti atbilstošas uzticamības pārbaudes rezultātus, pirms finanšu izpildes dienas izvērtējot konkrētos projekta apstākļus</w:t>
      </w:r>
      <w:r w:rsidRPr="00C35652">
        <w:rPr>
          <w:rFonts w:ascii="Times New Roman" w:eastAsia="Times New Roman" w:hAnsi="Times New Roman" w:cs="Times New Roman"/>
          <w:sz w:val="24"/>
          <w:szCs w:val="24"/>
          <w:lang w:eastAsia="lv-LV"/>
        </w:rPr>
        <w:t> </w:t>
      </w:r>
      <w:r w:rsidRPr="00C35652">
        <w:rPr>
          <w:rFonts w:ascii="Times New Roman" w:eastAsia="Times New Roman" w:hAnsi="Times New Roman" w:cs="Times New Roman"/>
          <w:i/>
          <w:iCs/>
          <w:color w:val="006678"/>
          <w:sz w:val="24"/>
          <w:szCs w:val="24"/>
          <w:lang w:eastAsia="lv-LV"/>
        </w:rPr>
        <w:t>(piemēram, pušu spēja piekļūt projekta īstenošanas vietai, lai pirms PPP līguma parakstīšanas veiktu tās izpēti);</w:t>
      </w:r>
    </w:p>
    <w:p w14:paraId="5BE852ED" w14:textId="77777777" w:rsidR="00D43EDD" w:rsidRPr="00C35652" w:rsidRDefault="00D43EDD" w:rsidP="00DC1556">
      <w:pPr>
        <w:pStyle w:val="Sarakstarindkopa"/>
        <w:numPr>
          <w:ilvl w:val="0"/>
          <w:numId w:val="64"/>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uz pieprasījumu balstītos projektos pieprasījuma līmeņa izmaiņas nav uzskatāmas par gadījumu, kad piešķirami atvieglojumi un/vai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14:paraId="2D57A7D3" w14:textId="77777777" w:rsidR="00C35652"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05ED4F14" w14:textId="38748614"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Eurostat uzskata, ka 6.1.1., 6.1.2. un 6.1.3.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14:paraId="69487D49" w14:textId="77777777" w:rsidR="00C35652" w:rsidRPr="000761E9"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1005FAAA" w14:textId="1CFB596D"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sidRPr="000761E9">
        <w:rPr>
          <w:rFonts w:ascii="Times New Roman" w:eastAsia="Times New Roman" w:hAnsi="Times New Roman" w:cs="Times New Roman"/>
          <w:b/>
          <w:bCs/>
          <w:i/>
          <w:iCs/>
          <w:color w:val="006678"/>
          <w:sz w:val="24"/>
          <w:szCs w:val="24"/>
          <w:lang w:eastAsia="lv-LV"/>
        </w:rPr>
        <w:t>neietekmē statistisko uzskaiti</w:t>
      </w:r>
      <w:r w:rsidRPr="000761E9">
        <w:rPr>
          <w:rFonts w:ascii="Times New Roman" w:eastAsia="Times New Roman" w:hAnsi="Times New Roman" w:cs="Times New Roman"/>
          <w:i/>
          <w:iCs/>
          <w:color w:val="006678"/>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6678"/>
          <w:sz w:val="24"/>
          <w:szCs w:val="24"/>
          <w:lang w:eastAsia="lv-LV"/>
        </w:rPr>
        <w:t>Tomēr, lemjot par kompensācijas un/vai atvieglojumu apmēru, kas piešķirams Partnerim šāda veida gadījumos, lietotājiem jāņem vērā Eurostat piezīmes par 6.1.4. tematu.</w:t>
      </w:r>
    </w:p>
    <w:p w14:paraId="71A26065" w14:textId="77777777" w:rsidR="00C35652" w:rsidRPr="000761E9"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27A8E9AD" w14:textId="7D58EC90"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Apskatot to, kā riski, kurus uzņemas Iestāde, ietekmē statistisko uzskaiti, ir svarīga Eurostat norādītā atšķirība starp i) to, ka Iestāde pieņem sekas, ko kāds noteikts risks var radīt attiecībā uz PPP projekta izmaksām vai izpildi, un ii) to, ka Iestāde pieņem būtisku projekta izmaksu un/vai izpildes nenoteiktību.</w:t>
      </w:r>
    </w:p>
    <w:p w14:paraId="5778437A" w14:textId="77777777" w:rsidR="00C35652" w:rsidRPr="000761E9"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6673658F" w14:textId="3BC18034"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Iestāde ir atbildīga par jebkādu ģeoloģisko apstākļu, kas var tikt atklāti, radītajām izmaksām un/vai ietekmi uz termiņiem, būvniecības risku nenodotu Partnerim un tas ietekmētu statistisko uzskaiti. Savukārt tādi PPP līguma noteikumi, kas koriģē Iestādes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14:paraId="09601F6A"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0C931531"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6.1.4. Kompensācijas un/vai atvieglojuma apmēra noteikšana</w:t>
      </w:r>
    </w:p>
    <w:p w14:paraId="266D1476"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EE94FD8" w14:textId="41B6CCD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gadījumu PPP līgumi nosaka, ka Partneris ir tiesīgs saņemt kompensāciju un/vai atvieglojumu tikai attiecīgā gadījuma izraisītās neizpildes un radīto izmaksu vai zaudējumu apmērā. Partnerim piešķir atvieglojumu un/vai kompensāciju, lai tas nebūtu ne labākā, ne sliktākā stāvoklī kā pirms attiecīgā gadījuma, un tas nozīmē, ka Partneris arī turpmāk atbildēs par tām neizpildes sekām, par kurām tas bija atbildīgs arī pirms šā gadījuma.</w:t>
      </w:r>
    </w:p>
    <w:p w14:paraId="1CDDCD2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0EE9136" w14:textId="0414BBC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Tomēr dažreiz Partnerim piešķir tādu kompensāciju un/vai atvieglojumu, lai tā stāvoklis (finanšu izpildes dienā) atbilstu prognozētajam stāvoklim attiecīgajā laikā, ja gadījums nebūtu noticis. Tas nozīmē, ka par gadījumu saņemtā kompensācija un/vai atvieglojums faktiski Partnerim kompensē arī jebkādu neizpildi, par kuru tas bija atbildīgs pirms notikuma, un/vai to atbrīvo no atbildības par šādu neizpildi.</w:t>
      </w:r>
    </w:p>
    <w:p w14:paraId="2A74438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3F608A1" w14:textId="494FF03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lietošanu/pieprasījumu.</w:t>
      </w:r>
    </w:p>
    <w:p w14:paraId="1ABEEA63"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924FB61" w14:textId="2932963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Iestādei ir jāizmaksā kompensācija Partnerim, parasti no kompensācijas atņem summu, kuru Partnerim jāsaņem saskaņā ar obligāto apdrošināšanu.</w:t>
      </w:r>
    </w:p>
    <w:p w14:paraId="14BA2D1A"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3567EB3" w14:textId="456105DA"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62A5A02" w14:textId="77777777" w:rsidR="00C35652" w:rsidRPr="000761E9"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54F52403" w14:textId="11CBC217"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 xml:space="preserve">Eurostat uzskata, ka noteikumi par Partnerim piešķiramās kompensācijas un/vai atvieglojumu apmēra aprēķināšanu </w:t>
      </w:r>
      <w:r w:rsidRPr="000761E9">
        <w:rPr>
          <w:rFonts w:ascii="Times New Roman" w:eastAsia="Times New Roman" w:hAnsi="Times New Roman" w:cs="Times New Roman"/>
          <w:b/>
          <w:bCs/>
          <w:i/>
          <w:iCs/>
          <w:color w:val="006678"/>
          <w:sz w:val="24"/>
          <w:szCs w:val="24"/>
          <w:lang w:eastAsia="lv-LV"/>
        </w:rPr>
        <w:t>neietekmē statistisko uzskaiti, ja</w:t>
      </w:r>
      <w:r w:rsidRPr="000761E9">
        <w:rPr>
          <w:rFonts w:ascii="Times New Roman" w:eastAsia="Times New Roman" w:hAnsi="Times New Roman" w:cs="Times New Roman"/>
          <w:i/>
          <w:iCs/>
          <w:color w:val="006678"/>
          <w:sz w:val="24"/>
          <w:szCs w:val="24"/>
          <w:lang w:eastAsia="lv-LV"/>
        </w:rPr>
        <w:t>:</w:t>
      </w:r>
    </w:p>
    <w:p w14:paraId="50E1AB25"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780371F8" w14:textId="77777777" w:rsidR="00D43EDD" w:rsidRPr="00C35652" w:rsidRDefault="00D43EDD" w:rsidP="00DC1556">
      <w:pPr>
        <w:pStyle w:val="Sarakstarindkopa"/>
        <w:numPr>
          <w:ilvl w:val="0"/>
          <w:numId w:val="65"/>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006678"/>
          <w:sz w:val="24"/>
          <w:szCs w:val="24"/>
          <w:lang w:eastAsia="lv-LV"/>
        </w:rPr>
        <w:t xml:space="preserve">šie noteikumi kompensē un/vai sniedz atvieglojumus tikai par attiecīgā gadījuma sekām (t. i., noteikumi, kas paredz kompensāciju un/vai atvieglojumus ar gadījumu nesaistītas neizpildes dēļ, </w:t>
      </w:r>
      <w:r w:rsidRPr="00C35652">
        <w:rPr>
          <w:rFonts w:ascii="Times New Roman" w:eastAsia="Times New Roman" w:hAnsi="Times New Roman" w:cs="Times New Roman"/>
          <w:b/>
          <w:bCs/>
          <w:i/>
          <w:iCs/>
          <w:color w:val="006678"/>
          <w:sz w:val="24"/>
          <w:szCs w:val="24"/>
          <w:lang w:eastAsia="lv-LV"/>
        </w:rPr>
        <w:t>ietekmē statistisko uzskaiti</w:t>
      </w:r>
      <w:r w:rsidRPr="00C35652">
        <w:rPr>
          <w:rFonts w:ascii="Times New Roman" w:eastAsia="Times New Roman" w:hAnsi="Times New Roman" w:cs="Times New Roman"/>
          <w:i/>
          <w:iCs/>
          <w:color w:val="006678"/>
          <w:sz w:val="24"/>
          <w:szCs w:val="24"/>
          <w:lang w:eastAsia="lv-LV"/>
        </w:rPr>
        <w:t>);</w:t>
      </w:r>
    </w:p>
    <w:p w14:paraId="0280326E" w14:textId="77777777" w:rsidR="00D43EDD" w:rsidRPr="00C35652" w:rsidRDefault="00D43EDD" w:rsidP="00DC1556">
      <w:pPr>
        <w:pStyle w:val="Sarakstarindkopa"/>
        <w:numPr>
          <w:ilvl w:val="0"/>
          <w:numId w:val="65"/>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uz pieprasījumu balstītos projektos zaudētos ieņēmumus aprēķina, ņemot vērā pieprasījuma prognozes, kas balstītas uz tābrīža datiem;</w:t>
      </w:r>
    </w:p>
    <w:p w14:paraId="329F16BC" w14:textId="77777777" w:rsidR="00D43EDD" w:rsidRPr="00C35652" w:rsidRDefault="00D43EDD" w:rsidP="00DC1556">
      <w:pPr>
        <w:pStyle w:val="Sarakstarindkopa"/>
        <w:numPr>
          <w:ilvl w:val="0"/>
          <w:numId w:val="65"/>
        </w:numPr>
        <w:spacing w:after="0" w:line="240" w:lineRule="auto"/>
        <w:ind w:left="709" w:hanging="283"/>
        <w:jc w:val="both"/>
        <w:rPr>
          <w:rFonts w:ascii="Times New Roman" w:eastAsia="Times New Roman" w:hAnsi="Times New Roman" w:cs="Times New Roman"/>
          <w:i/>
          <w:iCs/>
          <w:color w:val="006678"/>
          <w:sz w:val="24"/>
          <w:szCs w:val="24"/>
          <w:lang w:eastAsia="lv-LV"/>
        </w:rPr>
      </w:pPr>
      <w:r w:rsidRPr="00C35652">
        <w:rPr>
          <w:rFonts w:ascii="Times New Roman" w:eastAsia="Times New Roman" w:hAnsi="Times New Roman" w:cs="Times New Roman"/>
          <w:i/>
          <w:iCs/>
          <w:color w:val="006678"/>
          <w:sz w:val="24"/>
          <w:szCs w:val="24"/>
          <w:lang w:eastAsia="lv-LV"/>
        </w:rPr>
        <w:t>atbilstoši noteikumiem no kompensācijas, kas Iestādei jāmaksā, atņem jebkādu summu, ko Partnerim jāspēj atgūt saskaņā ar obligāto apdrošināšanu (sk. 9. tematu) vai saskaņā ar parastiem apdrošināšanas noteikumiem, kas ir pieejami uz komerciāli izdevīgiem nosacījumiem.</w:t>
      </w:r>
    </w:p>
    <w:p w14:paraId="5E6EC19A" w14:textId="77777777" w:rsidR="00C35652"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2A59BB8E" w14:textId="7C6F8C85" w:rsidR="00D43EDD" w:rsidRPr="000761E9"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Noteikumi, kas neatbilst iepriekš minētajiem nosacījumiem, ir SVARĪGI statistiskajā uzskaitē.</w:t>
      </w:r>
    </w:p>
    <w:p w14:paraId="35D58750" w14:textId="77777777" w:rsidR="00C35652" w:rsidRDefault="00C35652" w:rsidP="00D43EDD">
      <w:pPr>
        <w:spacing w:after="0" w:line="240" w:lineRule="auto"/>
        <w:jc w:val="both"/>
        <w:rPr>
          <w:rFonts w:ascii="Times New Roman" w:eastAsia="Times New Roman" w:hAnsi="Times New Roman" w:cs="Times New Roman"/>
          <w:b/>
          <w:bCs/>
          <w:color w:val="888A8C"/>
          <w:sz w:val="24"/>
          <w:szCs w:val="24"/>
          <w:lang w:eastAsia="lv-LV"/>
        </w:rPr>
      </w:pPr>
    </w:p>
    <w:p w14:paraId="089A8D7D" w14:textId="5A061160"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6.1.5. Kompensācijas izmaksāšana</w:t>
      </w:r>
    </w:p>
    <w:p w14:paraId="10BEA611"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FB591C0" w14:textId="7CF590F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līgums var noteikt, ka Iestādei kompensācija ir jāizmaksā, veicot vienreizēju maksājumu, atbilstoši koriģējot pamatdarbības maksājumus vai apvienojot abas šīs metodes, izvēle parasti ir atkarīga no Partnerim radušos izmaksu un zaudējumu veida un/vai apmēra.</w:t>
      </w:r>
    </w:p>
    <w:p w14:paraId="73C68BA6"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2E62329" w14:textId="22E8435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neparedz formāli izmaksāt kompensāciju, bet tās vietā pagarināt līguma termiņu, lai sniegtu Partnerim iespēju gūt papildu ieņēmumus no projekta (kuru apmērs būtu vienāds ar maksājamās kompensācijas apmēru).</w:t>
      </w:r>
    </w:p>
    <w:p w14:paraId="436C009A"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25F3006"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5AB46C9" w14:textId="77777777" w:rsidR="00C35652"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4CB061E0" w14:textId="46C7934A"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 xml:space="preserve">Eurostat uzskata, ka noteikumi par kompensācijas izmaksāšanu Partnerim (piemēram, par maksājuma veikšanas laiku un to, vai maksājums jāveic vienreizēja maksājuma veidā, koriģējot pamatdarbības maksājumus vai pagarinot līguma termiņu) </w:t>
      </w:r>
      <w:r w:rsidRPr="000761E9">
        <w:rPr>
          <w:rFonts w:ascii="Times New Roman" w:eastAsia="Times New Roman" w:hAnsi="Times New Roman" w:cs="Times New Roman"/>
          <w:b/>
          <w:bCs/>
          <w:i/>
          <w:iCs/>
          <w:color w:val="006678"/>
          <w:sz w:val="24"/>
          <w:szCs w:val="24"/>
          <w:lang w:eastAsia="lv-LV"/>
        </w:rPr>
        <w:t>neietekmē statistisko uzskaiti</w:t>
      </w:r>
      <w:r w:rsidRPr="000761E9">
        <w:rPr>
          <w:rFonts w:ascii="Times New Roman" w:eastAsia="Times New Roman" w:hAnsi="Times New Roman" w:cs="Times New Roman"/>
          <w:i/>
          <w:iCs/>
          <w:color w:val="006678"/>
          <w:sz w:val="24"/>
          <w:szCs w:val="24"/>
          <w:lang w:eastAsia="lv-LV"/>
        </w:rPr>
        <w:t>.</w:t>
      </w:r>
    </w:p>
    <w:p w14:paraId="716A6AE7"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2DB902F6"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6.2. Publisko tiesību doktrīnas par gadījumiem, kad izmaksājama kompensācija, kad piešķirams atvieglojums un kad notikusi nepārvarama vara</w:t>
      </w:r>
    </w:p>
    <w:p w14:paraId="3B87E64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6E59D1E" w14:textId="679A6DD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Partneris saskaņā ar publiskajām tiesībām ir tiesīgs iesniegt prasību tiesā, no Iestādes pieprasot kompensāciju, kad noteikta veida gadījumi (piemēram, neparedzams gadījums, ko Partneris nevar ietekmēt) ir traucējuši PPP līguma izpildei vai izjaukuši ekonomisko līdzsvaru.</w:t>
      </w:r>
    </w:p>
    <w:p w14:paraId="2A758DF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566E4F3" w14:textId="7AD48FB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Šajās jurisdikcijās, ja puses neatsakās vai nevar atteikties no savām tiesībām saskaņā ar publisko tiesību doktrīnu, pašā PPP līgumā var:</w:t>
      </w:r>
    </w:p>
    <w:p w14:paraId="479ABF97"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1E6069E" w14:textId="77777777" w:rsidR="00D43EDD" w:rsidRPr="00C35652" w:rsidRDefault="00D43EDD" w:rsidP="00DC1556">
      <w:pPr>
        <w:pStyle w:val="Sarakstarindkopa"/>
        <w:numPr>
          <w:ilvl w:val="0"/>
          <w:numId w:val="66"/>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iekļaut noteikumus, kuros paskaidro vai norāda tos apstākļus, kuros puses grasītos piemērot publisko tiesību pamata doktrīnu;</w:t>
      </w:r>
    </w:p>
    <w:p w14:paraId="28D8EB9A" w14:textId="77777777" w:rsidR="00D43EDD" w:rsidRPr="00C35652" w:rsidRDefault="00D43EDD" w:rsidP="00DC1556">
      <w:pPr>
        <w:pStyle w:val="Sarakstarindkopa"/>
        <w:numPr>
          <w:ilvl w:val="0"/>
          <w:numId w:val="66"/>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iekļaut noteikumus, kuros ir parādīta vai atkārtota publisko tiesību pamata doktrīna;</w:t>
      </w:r>
    </w:p>
    <w:p w14:paraId="55DCF33B" w14:textId="77777777" w:rsidR="00D43EDD" w:rsidRPr="00C35652" w:rsidRDefault="00D43EDD" w:rsidP="00DC1556">
      <w:pPr>
        <w:pStyle w:val="Sarakstarindkopa"/>
        <w:numPr>
          <w:ilvl w:val="0"/>
          <w:numId w:val="66"/>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14:paraId="35533432"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120671B" w14:textId="3648B4B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Ievērojami atšķiras gan dažādu jurisdikciju publisko tiesību doktrīnas, gan to potenciālā ietekme uz PPP darījumiem. Praksē to pastāvēšana bieži rada nenoteiktību gan attiecībā uz gadījumiem, kad Iestādei var nākties piešķirt Partnerim atvieglojumu un/vai kompensāciju, gan attiecībā uz piešķiramā atvieglojuma un/vai kompensācijas apmēru.</w:t>
      </w:r>
    </w:p>
    <w:p w14:paraId="1E4A7BD2"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3F1C4F9" w14:textId="2A7CF3DE"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6A4578E" w14:textId="77777777" w:rsidR="00C35652" w:rsidRPr="000761E9"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4AF00206" w14:textId="39BF9623" w:rsidR="00D43EDD" w:rsidRDefault="00D43EDD" w:rsidP="00D43EDD">
      <w:pPr>
        <w:spacing w:after="0" w:line="240" w:lineRule="auto"/>
        <w:jc w:val="both"/>
        <w:rPr>
          <w:rFonts w:ascii="Times New Roman" w:eastAsia="Times New Roman" w:hAnsi="Times New Roman" w:cs="Times New Roman"/>
          <w:i/>
          <w:iCs/>
          <w:color w:val="006678"/>
          <w:sz w:val="24"/>
          <w:szCs w:val="24"/>
          <w:lang w:eastAsia="lv-LV"/>
        </w:rPr>
      </w:pPr>
      <w:r w:rsidRPr="000761E9">
        <w:rPr>
          <w:rFonts w:ascii="Times New Roman" w:eastAsia="Times New Roman" w:hAnsi="Times New Roman" w:cs="Times New Roman"/>
          <w:i/>
          <w:iCs/>
          <w:color w:val="006678"/>
          <w:sz w:val="24"/>
          <w:szCs w:val="24"/>
          <w:lang w:eastAsia="lv-LV"/>
        </w:rPr>
        <w:t xml:space="preserve">Eurostat uzskata, ka iepriekš aprakstīto publisko tiesību doktrīnu pastāvēšana </w:t>
      </w:r>
      <w:r w:rsidRPr="000761E9">
        <w:rPr>
          <w:rFonts w:ascii="Times New Roman" w:eastAsia="Times New Roman" w:hAnsi="Times New Roman" w:cs="Times New Roman"/>
          <w:b/>
          <w:bCs/>
          <w:i/>
          <w:iCs/>
          <w:color w:val="006678"/>
          <w:sz w:val="24"/>
          <w:szCs w:val="24"/>
          <w:lang w:eastAsia="lv-LV"/>
        </w:rPr>
        <w:t>var ietekmēt statistisko uzskaiti</w:t>
      </w:r>
      <w:r w:rsidRPr="000761E9">
        <w:rPr>
          <w:rFonts w:ascii="Times New Roman" w:eastAsia="Times New Roman" w:hAnsi="Times New Roman" w:cs="Times New Roman"/>
          <w:i/>
          <w:iCs/>
          <w:color w:val="006678"/>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006678"/>
          <w:sz w:val="24"/>
          <w:szCs w:val="24"/>
          <w:lang w:eastAsia="lv-LV"/>
        </w:rPr>
        <w:t>Būtu nepieciešams izanalizēt konkrētos publisko tiesību aktus un tiesu praksi, lai pārliecinātos, vai to dēļ Iestādei varētu nākties uzņemties vai dalīt risku, kas saistīts ar gadījumiem, kuri saskaņā ar šo rokasgrāmatu ietekmētu statistisko uzskaiti. Piemēram, tāda publisko tiesību doktrīna, kas paredzētu Partnerim kompensāciju par pamatoti neparedzamiem gadījumiem, būtu SVARĪGS jautājums (sk. Eurostat piezīmi 6.1. tematā).</w:t>
      </w:r>
    </w:p>
    <w:p w14:paraId="05EF955C" w14:textId="53419953" w:rsidR="00C35652" w:rsidRDefault="00C35652">
      <w:pPr>
        <w:rPr>
          <w:rFonts w:ascii="Times New Roman" w:eastAsia="Times New Roman" w:hAnsi="Times New Roman" w:cs="Times New Roman"/>
          <w:i/>
          <w:iCs/>
          <w:color w:val="006678"/>
          <w:sz w:val="24"/>
          <w:szCs w:val="24"/>
          <w:lang w:eastAsia="lv-LV"/>
        </w:rPr>
      </w:pPr>
      <w:r>
        <w:rPr>
          <w:rFonts w:ascii="Times New Roman" w:eastAsia="Times New Roman" w:hAnsi="Times New Roman" w:cs="Times New Roman"/>
          <w:i/>
          <w:iCs/>
          <w:color w:val="006678"/>
          <w:sz w:val="24"/>
          <w:szCs w:val="24"/>
          <w:lang w:eastAsia="lv-LV"/>
        </w:rPr>
        <w:br w:type="page"/>
      </w:r>
    </w:p>
    <w:p w14:paraId="16A3FA1E" w14:textId="77777777" w:rsidR="00C35652" w:rsidRPr="000761E9" w:rsidRDefault="00C35652" w:rsidP="00D43EDD">
      <w:pPr>
        <w:spacing w:after="0" w:line="240" w:lineRule="auto"/>
        <w:jc w:val="both"/>
        <w:rPr>
          <w:rFonts w:ascii="Times New Roman" w:eastAsia="Times New Roman" w:hAnsi="Times New Roman" w:cs="Times New Roman"/>
          <w:i/>
          <w:iCs/>
          <w:color w:val="006678"/>
          <w:sz w:val="24"/>
          <w:szCs w:val="24"/>
          <w:lang w:eastAsia="lv-LV"/>
        </w:rPr>
      </w:pPr>
    </w:p>
    <w:p w14:paraId="7E05142B" w14:textId="77777777" w:rsidR="00D43EDD" w:rsidRPr="00586FD8" w:rsidRDefault="00D43EDD" w:rsidP="00586FD8">
      <w:pPr>
        <w:pStyle w:val="Virsraksts1"/>
        <w:rPr>
          <w:rFonts w:eastAsia="Times New Roman"/>
          <w:b w:val="0"/>
          <w:color w:val="auto"/>
          <w:szCs w:val="28"/>
          <w:lang w:eastAsia="lv-LV"/>
        </w:rPr>
      </w:pPr>
      <w:bookmarkStart w:id="12" w:name="_Toc528941576"/>
      <w:r w:rsidRPr="000761E9">
        <w:rPr>
          <w:rFonts w:eastAsia="Times New Roman"/>
          <w:color w:val="804E9F"/>
          <w:lang w:eastAsia="lv-LV"/>
        </w:rPr>
        <w:t xml:space="preserve">7. temats. </w:t>
      </w:r>
      <w:r w:rsidRPr="00586FD8">
        <w:rPr>
          <w:rFonts w:eastAsia="Times New Roman"/>
          <w:b w:val="0"/>
          <w:color w:val="auto"/>
          <w:szCs w:val="28"/>
          <w:lang w:eastAsia="lv-LV"/>
        </w:rPr>
        <w:t>Izmaiņas PPP līgumā</w:t>
      </w:r>
      <w:bookmarkEnd w:id="12"/>
    </w:p>
    <w:p w14:paraId="5D33E4B9"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70E2FB7C" w14:textId="2BBF1922"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7.1. Iestādes ierosinātas izmaiņas</w:t>
      </w:r>
    </w:p>
    <w:p w14:paraId="190619A5"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D9B9ACC" w14:textId="1A128A4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Visos PPP līgumos tiek atzītas Iestādes tiesības ierosināt izmaiņas līguma noteikumos (tostarp saskaņotajos noteikumos par aktīva projektēšanu, būvniecību, ekspluatāciju un uzturēšanu) un Partnera tiesības saņemt atvieglojumus un/vai kompensāciju par sekām, kas radušās šādu izmaiņu ievērošanas dēļ.</w:t>
      </w:r>
    </w:p>
    <w:p w14:paraId="544FE6F6"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094B202" w14:textId="185C606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Iestādes tiesības ierosināt izmaiņas ir ierobežotas (piemēram, tā var ierosināt izmaiņas tikai, nepārsniedzot kādu noteiktu vērtību, vai tikai noteikta veida izmaiņas, vai arī Partnerim var būt tiesības iebilst pret ierosinātajām izmaiņām).</w:t>
      </w:r>
    </w:p>
    <w:p w14:paraId="2AEB44F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18B24D0" w14:textId="1EC22AC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ir iekļauti noteikumi, saskaņā ar kuriem Partneris var pieprasīt:</w:t>
      </w:r>
    </w:p>
    <w:p w14:paraId="19F0B73E"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E8BB784" w14:textId="77777777" w:rsidR="00D43EDD" w:rsidRPr="00C35652" w:rsidRDefault="00D43EDD" w:rsidP="00DC1556">
      <w:pPr>
        <w:pStyle w:val="Sarakstarindkopa"/>
        <w:numPr>
          <w:ilvl w:val="0"/>
          <w:numId w:val="67"/>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Iestādei kompensāciju, jo palielinājušās izmaksas, zaudēti ieņēmumi vai mainījies projekta riska profils;</w:t>
      </w:r>
    </w:p>
    <w:p w14:paraId="03F3C063" w14:textId="77777777" w:rsidR="00D43EDD" w:rsidRPr="00C35652" w:rsidRDefault="00D43EDD" w:rsidP="00DC1556">
      <w:pPr>
        <w:pStyle w:val="Sarakstarindkopa"/>
        <w:numPr>
          <w:ilvl w:val="0"/>
          <w:numId w:val="67"/>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atbrīvojumu no tādas PPP līguma neizpildes sekām, kas notikusi šo izmaiņu dēļ.</w:t>
      </w:r>
    </w:p>
    <w:p w14:paraId="55A1D21C"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7883D63" w14:textId="1AD21D5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Tāpat vairums PPP līgumu paredz, ka Iestāde saņem jebkādus izmaksu ietaupījumus vai papildu ieņēmumus, kas rodas tās ierosināto izmaiņu dēļ.</w:t>
      </w:r>
    </w:p>
    <w:p w14:paraId="09BC75E4"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5EC9DB3" w14:textId="1E0352C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ka Iestāde var pieprasīt, lai Partneris finansē izmaiņas, lai gan, ja Partneris nespēj iegūt finansējumu, Iestāde pati finansēs šīs izmaiņas.</w:t>
      </w:r>
    </w:p>
    <w:p w14:paraId="008BFA9C"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84B1ABD" w14:textId="1519E36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gadījumos finansiālās korekcijas Iestādes ierosināto izmaiņu dēļ veic atbilstoši publisko tiesību pamatprincipam (sk. 6.2. tematu).</w:t>
      </w:r>
    </w:p>
    <w:p w14:paraId="1D34B644"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23375C0" w14:textId="0A410C43"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C800EFC" w14:textId="77777777" w:rsidR="00C35652" w:rsidRPr="000761E9"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45E11DDA" w14:textId="57CBDB49" w:rsidR="00D43EDD" w:rsidRDefault="00D43EDD" w:rsidP="00D43EDD">
      <w:pPr>
        <w:spacing w:after="0" w:line="240" w:lineRule="auto"/>
        <w:jc w:val="both"/>
        <w:rPr>
          <w:rFonts w:ascii="Times New Roman" w:eastAsia="Times New Roman" w:hAnsi="Times New Roman" w:cs="Times New Roman"/>
          <w:i/>
          <w:iCs/>
          <w:color w:val="804E9F"/>
          <w:sz w:val="24"/>
          <w:szCs w:val="24"/>
          <w:lang w:eastAsia="lv-LV"/>
        </w:rPr>
      </w:pPr>
      <w:r w:rsidRPr="000761E9">
        <w:rPr>
          <w:rFonts w:ascii="Times New Roman" w:eastAsia="Times New Roman" w:hAnsi="Times New Roman" w:cs="Times New Roman"/>
          <w:i/>
          <w:iCs/>
          <w:color w:val="804E9F"/>
          <w:sz w:val="24"/>
          <w:szCs w:val="24"/>
          <w:lang w:eastAsia="lv-LV"/>
        </w:rPr>
        <w:t>Eurostat uzskata, ka:</w:t>
      </w:r>
    </w:p>
    <w:p w14:paraId="42A859CF" w14:textId="77777777" w:rsidR="00C35652" w:rsidRPr="000761E9" w:rsidRDefault="00C35652" w:rsidP="00D43EDD">
      <w:pPr>
        <w:spacing w:after="0" w:line="240" w:lineRule="auto"/>
        <w:jc w:val="both"/>
        <w:rPr>
          <w:rFonts w:ascii="Times New Roman" w:eastAsia="Times New Roman" w:hAnsi="Times New Roman" w:cs="Times New Roman"/>
          <w:i/>
          <w:iCs/>
          <w:color w:val="804E9F"/>
          <w:sz w:val="24"/>
          <w:szCs w:val="24"/>
          <w:lang w:eastAsia="lv-LV"/>
        </w:rPr>
      </w:pPr>
    </w:p>
    <w:p w14:paraId="6F58E29F" w14:textId="77777777" w:rsidR="00D43EDD" w:rsidRPr="00C35652" w:rsidRDefault="00D43EDD" w:rsidP="00DC1556">
      <w:pPr>
        <w:pStyle w:val="Sarakstarindkopa"/>
        <w:numPr>
          <w:ilvl w:val="0"/>
          <w:numId w:val="68"/>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804E9F"/>
          <w:sz w:val="24"/>
          <w:szCs w:val="24"/>
          <w:lang w:eastAsia="lv-LV"/>
        </w:rPr>
        <w:t xml:space="preserve">noteikumi, saskaņā ar kuriem Iestādei ir (ierobežotas vai neierobežotas) tiesības ierosināt izmaiņas PPP līgumā, </w:t>
      </w:r>
      <w:r w:rsidRPr="00C35652">
        <w:rPr>
          <w:rFonts w:ascii="Times New Roman" w:eastAsia="Times New Roman" w:hAnsi="Times New Roman" w:cs="Times New Roman"/>
          <w:b/>
          <w:bCs/>
          <w:i/>
          <w:iCs/>
          <w:color w:val="804E9F"/>
          <w:sz w:val="24"/>
          <w:szCs w:val="24"/>
          <w:lang w:eastAsia="lv-LV"/>
        </w:rPr>
        <w:t>neietekmē statistisko uzskaiti</w:t>
      </w:r>
      <w:r w:rsidRPr="00C35652">
        <w:rPr>
          <w:rFonts w:ascii="Times New Roman" w:eastAsia="Times New Roman" w:hAnsi="Times New Roman" w:cs="Times New Roman"/>
          <w:i/>
          <w:iCs/>
          <w:color w:val="804E9F"/>
          <w:sz w:val="24"/>
          <w:szCs w:val="24"/>
          <w:lang w:eastAsia="lv-LV"/>
        </w:rPr>
        <w:t>;</w:t>
      </w:r>
    </w:p>
    <w:p w14:paraId="14FE7725" w14:textId="77777777" w:rsidR="00D43EDD" w:rsidRPr="00C35652" w:rsidRDefault="00D43EDD" w:rsidP="00DC1556">
      <w:pPr>
        <w:pStyle w:val="Sarakstarindkopa"/>
        <w:numPr>
          <w:ilvl w:val="0"/>
          <w:numId w:val="68"/>
        </w:numPr>
        <w:spacing w:after="0" w:line="240" w:lineRule="auto"/>
        <w:ind w:left="709" w:hanging="283"/>
        <w:jc w:val="both"/>
        <w:rPr>
          <w:rFonts w:ascii="Times New Roman" w:eastAsia="Times New Roman" w:hAnsi="Times New Roman" w:cs="Times New Roman"/>
          <w:i/>
          <w:iCs/>
          <w:color w:val="804E9F"/>
          <w:sz w:val="24"/>
          <w:szCs w:val="24"/>
          <w:lang w:eastAsia="lv-LV"/>
        </w:rPr>
      </w:pPr>
      <w:r w:rsidRPr="00C35652">
        <w:rPr>
          <w:rFonts w:ascii="Times New Roman" w:eastAsia="Times New Roman" w:hAnsi="Times New Roman" w:cs="Times New Roman"/>
          <w:i/>
          <w:iCs/>
          <w:color w:val="804E9F"/>
          <w:sz w:val="24"/>
          <w:szCs w:val="24"/>
          <w:lang w:eastAsia="lv-LV"/>
        </w:rPr>
        <w:t xml:space="preserve">ne noteikumi, saskaņā ar kuriem Partnerim ir tiesības pieprasīt kompensāciju un/vai atvieglojumus saistībā ar Iestādes izdarīto izmaiņu ievērošanas sekām, ne šīs kompensācijas aprēķināšanas un izmaksāšanas metode </w:t>
      </w:r>
      <w:r w:rsidRPr="00C35652">
        <w:rPr>
          <w:rFonts w:ascii="Times New Roman" w:eastAsia="Times New Roman" w:hAnsi="Times New Roman" w:cs="Times New Roman"/>
          <w:b/>
          <w:bCs/>
          <w:i/>
          <w:iCs/>
          <w:color w:val="804E9F"/>
          <w:sz w:val="24"/>
          <w:szCs w:val="24"/>
          <w:lang w:eastAsia="lv-LV"/>
        </w:rPr>
        <w:t xml:space="preserve">neietekmē statistisko uzskaiti, ja </w:t>
      </w:r>
      <w:r w:rsidRPr="00C35652">
        <w:rPr>
          <w:rFonts w:ascii="Times New Roman" w:eastAsia="Times New Roman" w:hAnsi="Times New Roman" w:cs="Times New Roman"/>
          <w:i/>
          <w:iCs/>
          <w:color w:val="804E9F"/>
          <w:sz w:val="24"/>
          <w:szCs w:val="24"/>
          <w:lang w:eastAsia="lv-LV"/>
        </w:rPr>
        <w:t>kompensācija un/vai atvieglojumi attiecas tikai uz Iestādes izdarīto izmaiņu seku novēršanu (t. i., tie netieši nekompensē vai neatvieglo Partneri par paša Partnera radītu neapmierinošu izpildi vai citiem Partnera riskiem).</w:t>
      </w:r>
      <w:r w:rsidRPr="00C35652">
        <w:rPr>
          <w:rFonts w:ascii="Times New Roman" w:eastAsia="Times New Roman" w:hAnsi="Times New Roman" w:cs="Times New Roman"/>
          <w:sz w:val="24"/>
          <w:szCs w:val="24"/>
          <w:lang w:eastAsia="lv-LV"/>
        </w:rPr>
        <w:t> </w:t>
      </w:r>
      <w:r w:rsidRPr="00C35652">
        <w:rPr>
          <w:rFonts w:ascii="Times New Roman" w:eastAsia="Times New Roman" w:hAnsi="Times New Roman" w:cs="Times New Roman"/>
          <w:i/>
          <w:iCs/>
          <w:color w:val="804E9F"/>
          <w:sz w:val="24"/>
          <w:szCs w:val="24"/>
          <w:lang w:eastAsia="lv-LV"/>
        </w:rPr>
        <w:t>Citos gadījumos šis jautājums ir SVARĪGS statistiskajā uzskaitē;</w:t>
      </w:r>
    </w:p>
    <w:p w14:paraId="47AB298E" w14:textId="77777777" w:rsidR="00D43EDD" w:rsidRPr="00C35652" w:rsidRDefault="00D43EDD" w:rsidP="00DC1556">
      <w:pPr>
        <w:pStyle w:val="Sarakstarindkopa"/>
        <w:numPr>
          <w:ilvl w:val="0"/>
          <w:numId w:val="68"/>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804E9F"/>
          <w:sz w:val="24"/>
          <w:szCs w:val="24"/>
          <w:lang w:eastAsia="lv-LV"/>
        </w:rPr>
        <w:t xml:space="preserve">noteikumi, saskaņā ar kuriem Iestādei tiek nodoti jebkādi izmaksu ietaupījumi vai papildu ieņēmumi, kas izriet no Iestādes izdarītajām izmaiņām, un metodes šo ietaupījumu vai ieņēmumu aprēķināšanai un nodošanai Iestādei </w:t>
      </w:r>
      <w:r w:rsidRPr="00C35652">
        <w:rPr>
          <w:rFonts w:ascii="Times New Roman" w:eastAsia="Times New Roman" w:hAnsi="Times New Roman" w:cs="Times New Roman"/>
          <w:b/>
          <w:bCs/>
          <w:i/>
          <w:iCs/>
          <w:color w:val="804E9F"/>
          <w:sz w:val="24"/>
          <w:szCs w:val="24"/>
          <w:lang w:eastAsia="lv-LV"/>
        </w:rPr>
        <w:t>neietekmē statistisko uzskaiti</w:t>
      </w:r>
      <w:r w:rsidRPr="00C35652">
        <w:rPr>
          <w:rFonts w:ascii="Times New Roman" w:eastAsia="Times New Roman" w:hAnsi="Times New Roman" w:cs="Times New Roman"/>
          <w:i/>
          <w:iCs/>
          <w:color w:val="804E9F"/>
          <w:sz w:val="24"/>
          <w:szCs w:val="24"/>
          <w:lang w:eastAsia="lv-LV"/>
        </w:rPr>
        <w:t>;</w:t>
      </w:r>
    </w:p>
    <w:p w14:paraId="3E795E9C" w14:textId="77777777" w:rsidR="00D43EDD" w:rsidRPr="00C35652" w:rsidRDefault="00D43EDD" w:rsidP="00DC1556">
      <w:pPr>
        <w:pStyle w:val="Sarakstarindkopa"/>
        <w:numPr>
          <w:ilvl w:val="0"/>
          <w:numId w:val="68"/>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804E9F"/>
          <w:sz w:val="24"/>
          <w:szCs w:val="24"/>
          <w:lang w:eastAsia="lv-LV"/>
        </w:rPr>
        <w:t xml:space="preserve">noteikumi, saskaņā ar kuriem Iestāde var pieprasīt, lai Partneris finansē Iestādes ierosinātās izmaiņas, </w:t>
      </w:r>
      <w:r w:rsidRPr="00C35652">
        <w:rPr>
          <w:rFonts w:ascii="Times New Roman" w:eastAsia="Times New Roman" w:hAnsi="Times New Roman" w:cs="Times New Roman"/>
          <w:b/>
          <w:bCs/>
          <w:i/>
          <w:iCs/>
          <w:color w:val="804E9F"/>
          <w:sz w:val="24"/>
          <w:szCs w:val="24"/>
          <w:lang w:eastAsia="lv-LV"/>
        </w:rPr>
        <w:t>neietekmē statistisko uzskaiti</w:t>
      </w:r>
      <w:r w:rsidRPr="00C35652">
        <w:rPr>
          <w:rFonts w:ascii="Times New Roman" w:eastAsia="Times New Roman" w:hAnsi="Times New Roman" w:cs="Times New Roman"/>
          <w:i/>
          <w:iCs/>
          <w:color w:val="804E9F"/>
          <w:sz w:val="24"/>
          <w:szCs w:val="24"/>
          <w:lang w:eastAsia="lv-LV"/>
        </w:rPr>
        <w:t>.</w:t>
      </w:r>
    </w:p>
    <w:p w14:paraId="68FE5305" w14:textId="77777777" w:rsidR="00C35652" w:rsidRDefault="00C35652" w:rsidP="00D43EDD">
      <w:pPr>
        <w:spacing w:after="0" w:line="240" w:lineRule="auto"/>
        <w:jc w:val="both"/>
        <w:rPr>
          <w:rFonts w:ascii="Times New Roman" w:eastAsia="Times New Roman" w:hAnsi="Times New Roman" w:cs="Times New Roman"/>
          <w:i/>
          <w:iCs/>
          <w:color w:val="804E9F"/>
          <w:sz w:val="24"/>
          <w:szCs w:val="24"/>
          <w:lang w:eastAsia="lv-LV"/>
        </w:rPr>
      </w:pPr>
    </w:p>
    <w:p w14:paraId="1F406E2A" w14:textId="33E4BB9D" w:rsidR="00D43EDD" w:rsidRPr="000761E9" w:rsidRDefault="00D43EDD" w:rsidP="00D43EDD">
      <w:pPr>
        <w:spacing w:after="0" w:line="240" w:lineRule="auto"/>
        <w:jc w:val="both"/>
        <w:rPr>
          <w:rFonts w:ascii="Times New Roman" w:eastAsia="Times New Roman" w:hAnsi="Times New Roman" w:cs="Times New Roman"/>
          <w:i/>
          <w:iCs/>
          <w:color w:val="804E9F"/>
          <w:sz w:val="24"/>
          <w:szCs w:val="24"/>
          <w:lang w:eastAsia="lv-LV"/>
        </w:rPr>
      </w:pPr>
      <w:r w:rsidRPr="000761E9">
        <w:rPr>
          <w:rFonts w:ascii="Times New Roman" w:eastAsia="Times New Roman" w:hAnsi="Times New Roman" w:cs="Times New Roman"/>
          <w:i/>
          <w:iCs/>
          <w:color w:val="804E9F"/>
          <w:sz w:val="24"/>
          <w:szCs w:val="24"/>
          <w:lang w:eastAsia="lv-LV"/>
        </w:rPr>
        <w:lastRenderedPageBreak/>
        <w:t>Saskaņā ar skaidrojumu 1. nodaļā tad, kad tiek īstenotas jebkādas izmaiņas PPP īgumā, ir svarīgi apsvērt, kā šīs izmaiņas var ietekmēt statistisko uzskaiti.</w:t>
      </w:r>
    </w:p>
    <w:p w14:paraId="03461D75"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71784BFB" w14:textId="4F8A2F51"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7.2. Partnera ierosinātas izmaiņas</w:t>
      </w:r>
    </w:p>
    <w:p w14:paraId="443E8561"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A0C25D1" w14:textId="2D8FA8E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Partnerim paredzētas tiesības ierosināt izmaiņas līguma noteikumos (tostarp saskaņotajos noteikumos par aktīva projektēšanu, būvniecību, ekspluatāciju un uzturēšanu), bet parasti nosaka, ka:</w:t>
      </w:r>
    </w:p>
    <w:p w14:paraId="7B4FE834"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FA56F09" w14:textId="77777777" w:rsidR="00D43EDD" w:rsidRPr="00C35652" w:rsidRDefault="00D43EDD" w:rsidP="00DC1556">
      <w:pPr>
        <w:pStyle w:val="Sarakstarindkopa"/>
        <w:numPr>
          <w:ilvl w:val="0"/>
          <w:numId w:val="6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Iestādei nav pienākuma pieņemt šādu ierosinājumu (izņemot gadījumu, kad šādas izmaiņas ir nepieciešamas, lai izpildītu tiesību aktu prasības);</w:t>
      </w:r>
    </w:p>
    <w:p w14:paraId="0A79F121" w14:textId="77777777" w:rsidR="00D43EDD" w:rsidRPr="00C35652" w:rsidRDefault="00D43EDD" w:rsidP="00DC1556">
      <w:pPr>
        <w:pStyle w:val="Sarakstarindkopa"/>
        <w:numPr>
          <w:ilvl w:val="0"/>
          <w:numId w:val="6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Iestādei nav pienākuma kompensēt izmaksas, kas radušās Partnerim, vai ieņēmumus, kurus tas zaudējis;</w:t>
      </w:r>
    </w:p>
    <w:p w14:paraId="1D99FD73" w14:textId="77777777" w:rsidR="00D43EDD" w:rsidRPr="00C35652" w:rsidRDefault="00D43EDD" w:rsidP="00DC1556">
      <w:pPr>
        <w:pStyle w:val="Sarakstarindkopa"/>
        <w:numPr>
          <w:ilvl w:val="0"/>
          <w:numId w:val="69"/>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 ir tiesīga saņemt daļu no Partnera izmaksu ietaupījuma vai papildu ieņēmumiem.</w:t>
      </w:r>
    </w:p>
    <w:p w14:paraId="69B76A9C"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979E343" w14:textId="34FD050C"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Citos PPP līgumos Partnerim nav noteiktas nekādas formālas tiesības ierosināt izmaiņas.</w:t>
      </w:r>
    </w:p>
    <w:p w14:paraId="6FBCB1C7" w14:textId="77777777" w:rsidR="00C35652"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2E81B3AF" w14:textId="438C12DE"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3666610" w14:textId="77777777" w:rsidR="00C35652" w:rsidRDefault="00C35652" w:rsidP="00D43EDD">
      <w:pPr>
        <w:spacing w:after="0" w:line="240" w:lineRule="auto"/>
        <w:jc w:val="both"/>
        <w:rPr>
          <w:rFonts w:ascii="Times New Roman" w:eastAsia="Times New Roman" w:hAnsi="Times New Roman" w:cs="Times New Roman"/>
          <w:i/>
          <w:iCs/>
          <w:color w:val="804E9F"/>
          <w:sz w:val="24"/>
          <w:szCs w:val="24"/>
          <w:lang w:eastAsia="lv-LV"/>
        </w:rPr>
      </w:pPr>
    </w:p>
    <w:p w14:paraId="13ECCAE9" w14:textId="7A6655D1" w:rsidR="00D43EDD" w:rsidRDefault="00D43EDD" w:rsidP="00D43EDD">
      <w:pPr>
        <w:spacing w:after="0" w:line="240" w:lineRule="auto"/>
        <w:jc w:val="both"/>
        <w:rPr>
          <w:rFonts w:ascii="Times New Roman" w:eastAsia="Times New Roman" w:hAnsi="Times New Roman" w:cs="Times New Roman"/>
          <w:i/>
          <w:iCs/>
          <w:color w:val="804E9F"/>
          <w:sz w:val="24"/>
          <w:szCs w:val="24"/>
          <w:lang w:eastAsia="lv-LV"/>
        </w:rPr>
      </w:pPr>
      <w:r w:rsidRPr="000761E9">
        <w:rPr>
          <w:rFonts w:ascii="Times New Roman" w:eastAsia="Times New Roman" w:hAnsi="Times New Roman" w:cs="Times New Roman"/>
          <w:i/>
          <w:iCs/>
          <w:color w:val="804E9F"/>
          <w:sz w:val="24"/>
          <w:szCs w:val="24"/>
          <w:lang w:eastAsia="lv-LV"/>
        </w:rPr>
        <w:t>Eurostat uzskata, ka</w:t>
      </w:r>
    </w:p>
    <w:p w14:paraId="42F7233E" w14:textId="77777777" w:rsidR="00C35652" w:rsidRPr="000761E9" w:rsidRDefault="00C35652" w:rsidP="00D43EDD">
      <w:pPr>
        <w:spacing w:after="0" w:line="240" w:lineRule="auto"/>
        <w:jc w:val="both"/>
        <w:rPr>
          <w:rFonts w:ascii="Times New Roman" w:eastAsia="Times New Roman" w:hAnsi="Times New Roman" w:cs="Times New Roman"/>
          <w:i/>
          <w:iCs/>
          <w:color w:val="804E9F"/>
          <w:sz w:val="24"/>
          <w:szCs w:val="24"/>
          <w:lang w:eastAsia="lv-LV"/>
        </w:rPr>
      </w:pPr>
    </w:p>
    <w:p w14:paraId="3BB89616" w14:textId="77777777" w:rsidR="00D43EDD" w:rsidRPr="00C35652" w:rsidRDefault="00D43EDD" w:rsidP="00DC1556">
      <w:pPr>
        <w:pStyle w:val="Sarakstarindkopa"/>
        <w:numPr>
          <w:ilvl w:val="0"/>
          <w:numId w:val="70"/>
        </w:numPr>
        <w:spacing w:after="0" w:line="240" w:lineRule="auto"/>
        <w:ind w:left="709" w:hanging="283"/>
        <w:jc w:val="both"/>
        <w:rPr>
          <w:rFonts w:ascii="Times New Roman" w:eastAsia="Times New Roman" w:hAnsi="Times New Roman" w:cs="Times New Roman"/>
          <w:i/>
          <w:iCs/>
          <w:color w:val="804E9F"/>
          <w:sz w:val="24"/>
          <w:szCs w:val="24"/>
          <w:lang w:eastAsia="lv-LV"/>
        </w:rPr>
      </w:pPr>
      <w:r w:rsidRPr="00C35652">
        <w:rPr>
          <w:rFonts w:ascii="Times New Roman" w:eastAsia="Times New Roman" w:hAnsi="Times New Roman" w:cs="Times New Roman"/>
          <w:i/>
          <w:iCs/>
          <w:color w:val="804E9F"/>
          <w:sz w:val="24"/>
          <w:szCs w:val="24"/>
          <w:lang w:eastAsia="lv-LV"/>
        </w:rPr>
        <w:t>Partnerim paredzētās tiesības ierosināt izmaiņas PPP līgumā, kā aprakstīts iepriekš, un</w:t>
      </w:r>
    </w:p>
    <w:p w14:paraId="687F07B5" w14:textId="77777777" w:rsidR="00D43EDD" w:rsidRPr="00C35652" w:rsidRDefault="00D43EDD" w:rsidP="00DC1556">
      <w:pPr>
        <w:pStyle w:val="Sarakstarindkopa"/>
        <w:numPr>
          <w:ilvl w:val="0"/>
          <w:numId w:val="70"/>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804E9F"/>
          <w:sz w:val="24"/>
          <w:szCs w:val="24"/>
          <w:lang w:eastAsia="lv-LV"/>
        </w:rPr>
        <w:t xml:space="preserve">Iestādei paredzētās tiesības saņemt (jebkādu) daļu no izmaksu ietaupījumiem vai papildu ieņēmumiem, kas gūti Partnera ierosināto izmaiņu dēļ, </w:t>
      </w:r>
      <w:r w:rsidRPr="00C35652">
        <w:rPr>
          <w:rFonts w:ascii="Times New Roman" w:eastAsia="Times New Roman" w:hAnsi="Times New Roman" w:cs="Times New Roman"/>
          <w:b/>
          <w:bCs/>
          <w:color w:val="804E9F"/>
          <w:sz w:val="24"/>
          <w:szCs w:val="24"/>
          <w:lang w:eastAsia="lv-LV"/>
        </w:rPr>
        <w:t>neietekmē statistisko uzskaiti.</w:t>
      </w:r>
    </w:p>
    <w:p w14:paraId="62FD3DD5" w14:textId="77777777" w:rsidR="00C35652" w:rsidRDefault="00C35652" w:rsidP="00D43EDD">
      <w:pPr>
        <w:spacing w:after="0" w:line="240" w:lineRule="auto"/>
        <w:jc w:val="both"/>
        <w:rPr>
          <w:rFonts w:ascii="Times New Roman" w:eastAsia="Times New Roman" w:hAnsi="Times New Roman" w:cs="Times New Roman"/>
          <w:i/>
          <w:iCs/>
          <w:color w:val="804E9F"/>
          <w:sz w:val="24"/>
          <w:szCs w:val="24"/>
          <w:lang w:eastAsia="lv-LV"/>
        </w:rPr>
      </w:pPr>
    </w:p>
    <w:p w14:paraId="765837F0" w14:textId="340ABE52" w:rsidR="00D43EDD" w:rsidRDefault="00D43EDD" w:rsidP="00D43EDD">
      <w:pPr>
        <w:spacing w:after="0" w:line="240" w:lineRule="auto"/>
        <w:jc w:val="both"/>
        <w:rPr>
          <w:rFonts w:ascii="Times New Roman" w:eastAsia="Times New Roman" w:hAnsi="Times New Roman" w:cs="Times New Roman"/>
          <w:i/>
          <w:iCs/>
          <w:color w:val="804E9F"/>
          <w:sz w:val="24"/>
          <w:szCs w:val="24"/>
          <w:lang w:eastAsia="lv-LV"/>
        </w:rPr>
      </w:pPr>
      <w:r w:rsidRPr="000761E9">
        <w:rPr>
          <w:rFonts w:ascii="Times New Roman" w:eastAsia="Times New Roman" w:hAnsi="Times New Roman" w:cs="Times New Roman"/>
          <w:i/>
          <w:iCs/>
          <w:color w:val="804E9F"/>
          <w:sz w:val="24"/>
          <w:szCs w:val="24"/>
          <w:lang w:eastAsia="lv-LV"/>
        </w:rPr>
        <w:t xml:space="preserve">Tāpat tas, ka Partnerim nav paredzētas tiesības ierosināt izmaiņas PPP līgumā, un tas, ka Iestādei nav paredzētas tiesības saņemt daļu no Partnera ierosināto izmaiņu dēļ gūtajiem izmaksu ietaupījumiem vai papildu ieņēmumiem, </w:t>
      </w:r>
      <w:r w:rsidRPr="000761E9">
        <w:rPr>
          <w:rFonts w:ascii="Times New Roman" w:eastAsia="Times New Roman" w:hAnsi="Times New Roman" w:cs="Times New Roman"/>
          <w:b/>
          <w:bCs/>
          <w:i/>
          <w:iCs/>
          <w:color w:val="804E9F"/>
          <w:sz w:val="24"/>
          <w:szCs w:val="24"/>
          <w:lang w:eastAsia="lv-LV"/>
        </w:rPr>
        <w:t>neietekmē statistisko uzskaiti</w:t>
      </w:r>
      <w:r w:rsidRPr="000761E9">
        <w:rPr>
          <w:rFonts w:ascii="Times New Roman" w:eastAsia="Times New Roman" w:hAnsi="Times New Roman" w:cs="Times New Roman"/>
          <w:i/>
          <w:iCs/>
          <w:color w:val="804E9F"/>
          <w:sz w:val="24"/>
          <w:szCs w:val="24"/>
          <w:lang w:eastAsia="lv-LV"/>
        </w:rPr>
        <w:t>.</w:t>
      </w:r>
    </w:p>
    <w:p w14:paraId="1B342E21"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530C537E" w14:textId="3BDA5AE7" w:rsidR="00D43EDD" w:rsidRDefault="00D43EDD" w:rsidP="00D43EDD">
      <w:pPr>
        <w:spacing w:after="0" w:line="240" w:lineRule="auto"/>
        <w:jc w:val="both"/>
        <w:rPr>
          <w:rFonts w:ascii="Times New Roman" w:eastAsia="Times New Roman" w:hAnsi="Times New Roman" w:cs="Times New Roman"/>
          <w:i/>
          <w:iCs/>
          <w:color w:val="804E9F"/>
          <w:sz w:val="24"/>
          <w:szCs w:val="24"/>
          <w:lang w:eastAsia="lv-LV"/>
        </w:rPr>
      </w:pPr>
      <w:r w:rsidRPr="000761E9">
        <w:rPr>
          <w:rFonts w:ascii="Times New Roman" w:eastAsia="Times New Roman" w:hAnsi="Times New Roman" w:cs="Times New Roman"/>
          <w:i/>
          <w:iCs/>
          <w:color w:val="804E9F"/>
          <w:sz w:val="24"/>
          <w:szCs w:val="24"/>
          <w:lang w:eastAsia="lv-LV"/>
        </w:rPr>
        <w:t xml:space="preserve">Tomēr Eurostat uzskata, ka Iestādes pienākums uzņemties Partnera ierosināto izmaiņu finansiālās sekas (izņemot gadījumu, kad šīs izmaiņas ir nepieciešamas, lai izpildītu tiesību aktu prasības, kā tas aprakstīts 8. tematā) </w:t>
      </w:r>
      <w:r w:rsidRPr="000761E9">
        <w:rPr>
          <w:rFonts w:ascii="Times New Roman" w:eastAsia="Times New Roman" w:hAnsi="Times New Roman" w:cs="Times New Roman"/>
          <w:b/>
          <w:bCs/>
          <w:i/>
          <w:iCs/>
          <w:color w:val="804E9F"/>
          <w:sz w:val="24"/>
          <w:szCs w:val="24"/>
          <w:lang w:eastAsia="lv-LV"/>
        </w:rPr>
        <w:t xml:space="preserve">ietekmē statistisko uzskaiti </w:t>
      </w:r>
      <w:r w:rsidRPr="000761E9">
        <w:rPr>
          <w:rFonts w:ascii="Times New Roman" w:eastAsia="Times New Roman" w:hAnsi="Times New Roman" w:cs="Times New Roman"/>
          <w:i/>
          <w:iCs/>
          <w:color w:val="804E9F"/>
          <w:sz w:val="24"/>
          <w:szCs w:val="24"/>
          <w:lang w:eastAsia="lv-LV"/>
        </w:rPr>
        <w:t>un ir SVARĪGS jautājums.</w:t>
      </w:r>
    </w:p>
    <w:p w14:paraId="42DE26DF" w14:textId="5F861E2A" w:rsidR="00C35652" w:rsidRDefault="00C3565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401357"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660E1675" w14:textId="77777777" w:rsidR="00D43EDD" w:rsidRPr="00586FD8" w:rsidRDefault="00D43EDD" w:rsidP="00586FD8">
      <w:pPr>
        <w:pStyle w:val="Virsraksts1"/>
        <w:rPr>
          <w:rFonts w:eastAsia="Times New Roman"/>
          <w:b w:val="0"/>
          <w:color w:val="auto"/>
          <w:szCs w:val="28"/>
          <w:lang w:eastAsia="lv-LV"/>
        </w:rPr>
      </w:pPr>
      <w:bookmarkStart w:id="13" w:name="_Toc528941577"/>
      <w:r w:rsidRPr="000761E9">
        <w:rPr>
          <w:rFonts w:eastAsia="Times New Roman"/>
          <w:color w:val="A37504"/>
          <w:lang w:eastAsia="lv-LV"/>
        </w:rPr>
        <w:t xml:space="preserve">8. temats. </w:t>
      </w:r>
      <w:r w:rsidRPr="00586FD8">
        <w:rPr>
          <w:rFonts w:eastAsia="Times New Roman"/>
          <w:b w:val="0"/>
          <w:color w:val="auto"/>
          <w:szCs w:val="28"/>
          <w:lang w:eastAsia="lv-LV"/>
        </w:rPr>
        <w:t>Izmaiņas tiesību aktos</w:t>
      </w:r>
      <w:bookmarkEnd w:id="13"/>
    </w:p>
    <w:p w14:paraId="2637387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9953AC9" w14:textId="2F7E716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Gandrīz visos PPP līgumos tiek iekļauti īpaši noteikumi, saskaņā ar kuriem Iestāde uzņemas risku saistībā ar tādām izmaiņām tiesību aktos, kas ietekmē projektu, tas nozīmē, ka Iestādei ir jāsedz izmaksas vai jākompensē zaudētie ieņēmumi, kas Partnerim rodas šādu tiesību aktu izmaiņu dēļ.</w:t>
      </w:r>
    </w:p>
    <w:p w14:paraId="20D0F7B3"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4487811" w14:textId="0BBB56D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Daudzos PPP līgumos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Partneris tās ņems vērā savā projekta pieteikumā.</w:t>
      </w:r>
    </w:p>
    <w:p w14:paraId="2CFFFEAE"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CF1A084" w14:textId="73DA1AF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vēl vairāk ierobežo Partnera tiesības pieprasīt kompensāciju, piemēram, nosakot, ka vispārīgu tiesību aktu izmaiņu gadījumā (t. i., izmaiņas neattiecas tikai uz konkrēto projektu, Partneri, līdzīgiem projektiem vai līdzīgiem uzņēmumiem) Partneris:</w:t>
      </w:r>
    </w:p>
    <w:p w14:paraId="114A94E9"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972098C" w14:textId="77777777" w:rsidR="00D43EDD" w:rsidRPr="00C35652" w:rsidRDefault="00D43EDD" w:rsidP="00DC1556">
      <w:pPr>
        <w:pStyle w:val="Sarakstarindkopa"/>
        <w:numPr>
          <w:ilvl w:val="0"/>
          <w:numId w:val="71"/>
        </w:numPr>
        <w:spacing w:after="0" w:line="240" w:lineRule="auto"/>
        <w:ind w:hanging="294"/>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sedz jebkādas papildu ekspluatācijas un uzturēšanas izmaksas;</w:t>
      </w:r>
    </w:p>
    <w:p w14:paraId="414DD4CA" w14:textId="77777777" w:rsidR="00D43EDD" w:rsidRPr="00C35652" w:rsidRDefault="00D43EDD" w:rsidP="00DC1556">
      <w:pPr>
        <w:pStyle w:val="Sarakstarindkopa"/>
        <w:numPr>
          <w:ilvl w:val="0"/>
          <w:numId w:val="71"/>
        </w:numPr>
        <w:spacing w:after="0" w:line="240" w:lineRule="auto"/>
        <w:ind w:hanging="294"/>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sedz daļu no kapitāla izmaksu pieauguma.</w:t>
      </w:r>
    </w:p>
    <w:p w14:paraId="1E5BB1A4"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4CB97FA" w14:textId="6FE0AF1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publiskajos tiesību aktos (atsauce uz kuriem var būt iekļauta arī PPP līgumā) ir noteiktas Partnera tiesības pieprasīt kompensāciju, ja tiek veiktas neparedzētas izmaiņas tiesību aktos.</w:t>
      </w:r>
    </w:p>
    <w:p w14:paraId="19AA719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1DDCA54"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BC1D35C" w14:textId="77777777" w:rsidR="00C35652" w:rsidRDefault="00C35652" w:rsidP="00D43EDD">
      <w:pPr>
        <w:spacing w:after="0" w:line="240" w:lineRule="auto"/>
        <w:jc w:val="both"/>
        <w:rPr>
          <w:rFonts w:ascii="Times New Roman" w:eastAsia="Times New Roman" w:hAnsi="Times New Roman" w:cs="Times New Roman"/>
          <w:i/>
          <w:iCs/>
          <w:color w:val="A37504"/>
          <w:sz w:val="24"/>
          <w:szCs w:val="24"/>
          <w:lang w:eastAsia="lv-LV"/>
        </w:rPr>
      </w:pPr>
    </w:p>
    <w:p w14:paraId="18C17641" w14:textId="75D63DAC" w:rsidR="00D43EDD" w:rsidRDefault="00D43EDD" w:rsidP="00D43EDD">
      <w:pPr>
        <w:spacing w:after="0" w:line="240" w:lineRule="auto"/>
        <w:jc w:val="both"/>
        <w:rPr>
          <w:rFonts w:ascii="Times New Roman" w:eastAsia="Times New Roman" w:hAnsi="Times New Roman" w:cs="Times New Roman"/>
          <w:i/>
          <w:iCs/>
          <w:color w:val="A37504"/>
          <w:sz w:val="24"/>
          <w:szCs w:val="24"/>
          <w:lang w:eastAsia="lv-LV"/>
        </w:rPr>
      </w:pPr>
      <w:r w:rsidRPr="000761E9">
        <w:rPr>
          <w:rFonts w:ascii="Times New Roman" w:eastAsia="Times New Roman" w:hAnsi="Times New Roman" w:cs="Times New Roman"/>
          <w:i/>
          <w:iCs/>
          <w:color w:val="A37504"/>
          <w:sz w:val="24"/>
          <w:szCs w:val="24"/>
          <w:lang w:eastAsia="lv-LV"/>
        </w:rPr>
        <w:t xml:space="preserve">Eurostat uzskata, ka noteikumi, saskaņā ar kuriem Iestādei iedalīts risks, kas saistīts ar izmaiņām tiesību aktos, </w:t>
      </w:r>
      <w:r w:rsidRPr="000761E9">
        <w:rPr>
          <w:rFonts w:ascii="Times New Roman" w:eastAsia="Times New Roman" w:hAnsi="Times New Roman" w:cs="Times New Roman"/>
          <w:b/>
          <w:bCs/>
          <w:i/>
          <w:iCs/>
          <w:color w:val="A37504"/>
          <w:sz w:val="24"/>
          <w:szCs w:val="24"/>
          <w:lang w:eastAsia="lv-LV"/>
        </w:rPr>
        <w:t xml:space="preserve">ietekmē statistisko uzskaiti, ja </w:t>
      </w:r>
      <w:r w:rsidRPr="000761E9">
        <w:rPr>
          <w:rFonts w:ascii="Times New Roman" w:eastAsia="Times New Roman" w:hAnsi="Times New Roman" w:cs="Times New Roman"/>
          <w:i/>
          <w:iCs/>
          <w:color w:val="A37504"/>
          <w:sz w:val="24"/>
          <w:szCs w:val="24"/>
          <w:lang w:eastAsia="lv-LV"/>
        </w:rPr>
        <w:t>tie nosaka, ka Iestāde uzņemas risku, kas saistīts ar:</w:t>
      </w:r>
    </w:p>
    <w:p w14:paraId="3708D3BD"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171A7ED9" w14:textId="77777777" w:rsidR="00D43EDD" w:rsidRPr="00C35652" w:rsidRDefault="00D43EDD" w:rsidP="00DC1556">
      <w:pPr>
        <w:pStyle w:val="Sarakstarindkopa"/>
        <w:numPr>
          <w:ilvl w:val="0"/>
          <w:numId w:val="72"/>
        </w:numPr>
        <w:spacing w:after="0" w:line="240" w:lineRule="auto"/>
        <w:ind w:left="709" w:hanging="283"/>
        <w:jc w:val="both"/>
        <w:rPr>
          <w:rFonts w:ascii="Times New Roman" w:eastAsia="Times New Roman" w:hAnsi="Times New Roman" w:cs="Times New Roman"/>
          <w:i/>
          <w:iCs/>
          <w:color w:val="A37504"/>
          <w:sz w:val="24"/>
          <w:szCs w:val="24"/>
          <w:lang w:eastAsia="lv-LV"/>
        </w:rPr>
      </w:pPr>
      <w:r w:rsidRPr="00C35652">
        <w:rPr>
          <w:rFonts w:ascii="Times New Roman" w:eastAsia="Times New Roman" w:hAnsi="Times New Roman" w:cs="Times New Roman"/>
          <w:i/>
          <w:iCs/>
          <w:color w:val="A37504"/>
          <w:sz w:val="24"/>
          <w:szCs w:val="24"/>
          <w:lang w:eastAsia="lv-LV"/>
        </w:rPr>
        <w:t>tādām izmaiņām tiesību aktos, kas līguma slēgšanas dienā bija paredzamas;</w:t>
      </w:r>
    </w:p>
    <w:p w14:paraId="651654F7" w14:textId="7BB44D7C" w:rsidR="00D43EDD" w:rsidRPr="00C35652" w:rsidRDefault="00D43EDD" w:rsidP="00DC1556">
      <w:pPr>
        <w:pStyle w:val="Sarakstarindkopa"/>
        <w:numPr>
          <w:ilvl w:val="0"/>
          <w:numId w:val="72"/>
        </w:numPr>
        <w:spacing w:after="0" w:line="240" w:lineRule="auto"/>
        <w:ind w:left="709" w:hanging="283"/>
        <w:jc w:val="both"/>
        <w:rPr>
          <w:rFonts w:ascii="Times New Roman" w:eastAsia="Times New Roman" w:hAnsi="Times New Roman" w:cs="Times New Roman"/>
          <w:sz w:val="24"/>
          <w:szCs w:val="24"/>
          <w:lang w:eastAsia="lv-LV"/>
        </w:rPr>
      </w:pPr>
      <w:r w:rsidRPr="00C35652">
        <w:rPr>
          <w:rFonts w:ascii="Times New Roman" w:eastAsia="Times New Roman" w:hAnsi="Times New Roman" w:cs="Times New Roman"/>
          <w:i/>
          <w:iCs/>
          <w:color w:val="A37504"/>
          <w:sz w:val="24"/>
          <w:szCs w:val="24"/>
          <w:lang w:eastAsia="lv-LV"/>
        </w:rPr>
        <w:t>vispārīgām izmaiņām tiesību aktos (t. i., izmaiņām, kas neattiecas tikai uz konkrēto projektu, Partneri, līdzīgiem projektiem vai līdzīgiem uzņēmumiem), kas ietekmē uzņēmuma vispārējās pamatdarbības izmaksas attiecīgajā jurisdikcijā (piemēram, nodokļu likmju izmaiņas</w:t>
      </w:r>
      <w:r w:rsidR="00C35652">
        <w:rPr>
          <w:rStyle w:val="Vresatsauce"/>
          <w:rFonts w:ascii="Times New Roman" w:eastAsia="Times New Roman" w:hAnsi="Times New Roman" w:cs="Times New Roman"/>
          <w:i/>
          <w:iCs/>
          <w:color w:val="A37504"/>
          <w:sz w:val="24"/>
          <w:szCs w:val="24"/>
          <w:lang w:eastAsia="lv-LV"/>
        </w:rPr>
        <w:footnoteReference w:id="34"/>
      </w:r>
      <w:r w:rsidRPr="00C35652">
        <w:rPr>
          <w:rFonts w:ascii="Times New Roman" w:eastAsia="Times New Roman" w:hAnsi="Times New Roman" w:cs="Times New Roman"/>
          <w:b/>
          <w:bCs/>
          <w:color w:val="231F20"/>
          <w:sz w:val="24"/>
          <w:szCs w:val="24"/>
          <w:lang w:eastAsia="lv-LV"/>
        </w:rPr>
        <w:t> </w:t>
      </w:r>
      <w:r w:rsidRPr="00C35652">
        <w:rPr>
          <w:rFonts w:ascii="Times New Roman" w:eastAsia="Times New Roman" w:hAnsi="Times New Roman" w:cs="Times New Roman"/>
          <w:i/>
          <w:iCs/>
          <w:color w:val="A37504"/>
          <w:sz w:val="24"/>
          <w:szCs w:val="24"/>
          <w:lang w:eastAsia="lv-LV"/>
        </w:rPr>
        <w:t>vai izmaiņas nodarbinātības tiesību aktos).</w:t>
      </w:r>
    </w:p>
    <w:p w14:paraId="534EA128" w14:textId="77777777" w:rsidR="00C35652" w:rsidRDefault="00C35652" w:rsidP="00D43EDD">
      <w:pPr>
        <w:spacing w:after="0" w:line="240" w:lineRule="auto"/>
        <w:jc w:val="both"/>
        <w:rPr>
          <w:rFonts w:ascii="Times New Roman" w:eastAsia="Times New Roman" w:hAnsi="Times New Roman" w:cs="Times New Roman"/>
          <w:color w:val="231F20"/>
          <w:sz w:val="20"/>
          <w:szCs w:val="20"/>
          <w:lang w:eastAsia="lv-LV"/>
        </w:rPr>
      </w:pPr>
    </w:p>
    <w:p w14:paraId="65286430" w14:textId="68AFD4FF" w:rsidR="00D43EDD" w:rsidRPr="000761E9" w:rsidRDefault="00D43EDD" w:rsidP="00D43EDD">
      <w:pPr>
        <w:spacing w:after="0" w:line="240" w:lineRule="auto"/>
        <w:jc w:val="both"/>
        <w:rPr>
          <w:rFonts w:ascii="Times New Roman" w:eastAsia="Times New Roman" w:hAnsi="Times New Roman" w:cs="Times New Roman"/>
          <w:i/>
          <w:iCs/>
          <w:color w:val="A37504"/>
          <w:sz w:val="24"/>
          <w:szCs w:val="24"/>
          <w:lang w:eastAsia="lv-LV"/>
        </w:rPr>
      </w:pPr>
      <w:r w:rsidRPr="000761E9">
        <w:rPr>
          <w:rFonts w:ascii="Times New Roman" w:eastAsia="Times New Roman" w:hAnsi="Times New Roman" w:cs="Times New Roman"/>
          <w:i/>
          <w:iCs/>
          <w:color w:val="A37504"/>
          <w:sz w:val="24"/>
          <w:szCs w:val="24"/>
          <w:lang w:eastAsia="lv-LV"/>
        </w:rPr>
        <w:t>Šādā gadījumā šis jautājums ir VIDĒJI SVARĪGS statistiskajā uzskaitē.</w:t>
      </w:r>
    </w:p>
    <w:p w14:paraId="303BB585" w14:textId="7DAF8EFF" w:rsidR="00C35652" w:rsidRDefault="00C35652">
      <w:pPr>
        <w:rPr>
          <w:rFonts w:ascii="Times New Roman" w:eastAsia="Times New Roman" w:hAnsi="Times New Roman" w:cs="Times New Roman"/>
          <w:b/>
          <w:bCs/>
          <w:color w:val="9A4B63"/>
          <w:sz w:val="24"/>
          <w:szCs w:val="24"/>
          <w:lang w:eastAsia="lv-LV"/>
        </w:rPr>
      </w:pPr>
      <w:r>
        <w:rPr>
          <w:rFonts w:ascii="Times New Roman" w:eastAsia="Times New Roman" w:hAnsi="Times New Roman" w:cs="Times New Roman"/>
          <w:b/>
          <w:bCs/>
          <w:color w:val="9A4B63"/>
          <w:sz w:val="24"/>
          <w:szCs w:val="24"/>
          <w:lang w:eastAsia="lv-LV"/>
        </w:rPr>
        <w:br w:type="page"/>
      </w:r>
    </w:p>
    <w:p w14:paraId="530DCB1D" w14:textId="77777777" w:rsidR="00C35652" w:rsidRDefault="00C35652" w:rsidP="00D43EDD">
      <w:pPr>
        <w:spacing w:after="0" w:line="240" w:lineRule="auto"/>
        <w:jc w:val="both"/>
        <w:rPr>
          <w:rFonts w:ascii="Times New Roman" w:eastAsia="Times New Roman" w:hAnsi="Times New Roman" w:cs="Times New Roman"/>
          <w:b/>
          <w:bCs/>
          <w:color w:val="9A4B63"/>
          <w:sz w:val="24"/>
          <w:szCs w:val="24"/>
          <w:lang w:eastAsia="lv-LV"/>
        </w:rPr>
      </w:pPr>
    </w:p>
    <w:p w14:paraId="4A0CA49B" w14:textId="670E7216" w:rsidR="00D43EDD" w:rsidRPr="00586FD8" w:rsidRDefault="00D43EDD" w:rsidP="00586FD8">
      <w:pPr>
        <w:pStyle w:val="Virsraksts1"/>
        <w:rPr>
          <w:rFonts w:eastAsia="Times New Roman"/>
          <w:b w:val="0"/>
          <w:color w:val="auto"/>
          <w:szCs w:val="28"/>
          <w:lang w:eastAsia="lv-LV"/>
        </w:rPr>
      </w:pPr>
      <w:bookmarkStart w:id="14" w:name="_Toc528941578"/>
      <w:r w:rsidRPr="000761E9">
        <w:rPr>
          <w:rFonts w:eastAsia="Times New Roman"/>
          <w:color w:val="9A4B63"/>
          <w:lang w:eastAsia="lv-LV"/>
        </w:rPr>
        <w:t xml:space="preserve">9. temats. </w:t>
      </w:r>
      <w:r w:rsidRPr="00586FD8">
        <w:rPr>
          <w:rFonts w:eastAsia="Times New Roman"/>
          <w:b w:val="0"/>
          <w:color w:val="auto"/>
          <w:szCs w:val="28"/>
          <w:lang w:eastAsia="lv-LV"/>
        </w:rPr>
        <w:t>Apdrošināšana</w:t>
      </w:r>
      <w:bookmarkEnd w:id="14"/>
    </w:p>
    <w:p w14:paraId="5AFA9932"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26A5314C" w14:textId="533608C0"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9.1. Apdrošināšanas prasības</w:t>
      </w:r>
    </w:p>
    <w:p w14:paraId="11EFB1BE"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6D51B37" w14:textId="3382793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norāda, kāda veida apdrošināšana Partnerim (vismaz) ir nepieciešama būvniecības fāzē un darbības fāzē. Parasti obligātajā apdrošināšanā ietilpst:</w:t>
      </w:r>
    </w:p>
    <w:p w14:paraId="2F7075B1"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EE4C565" w14:textId="77777777" w:rsidR="00D43EDD" w:rsidRPr="00C35652" w:rsidRDefault="00D43EDD" w:rsidP="00DC1556">
      <w:pPr>
        <w:pStyle w:val="Sarakstarindkopa"/>
        <w:numPr>
          <w:ilvl w:val="0"/>
          <w:numId w:val="7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profesionālās darbības civiltiesiskās atbildības apdrošināšana (kas sedz Partnera projektēšanas saistības);</w:t>
      </w:r>
    </w:p>
    <w:p w14:paraId="6DAF4CFB" w14:textId="77777777" w:rsidR="00D43EDD" w:rsidRPr="00C35652" w:rsidRDefault="00D43EDD" w:rsidP="00DC1556">
      <w:pPr>
        <w:pStyle w:val="Sarakstarindkopa"/>
        <w:numPr>
          <w:ilvl w:val="0"/>
          <w:numId w:val="7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būvniecības / īpašuma bojājumu apdrošināšana (kas sedz būvdarbu/aktīva bojājumus);</w:t>
      </w:r>
    </w:p>
    <w:p w14:paraId="3C0D0DFD" w14:textId="77777777" w:rsidR="00D43EDD" w:rsidRPr="00C35652" w:rsidRDefault="00D43EDD" w:rsidP="00DC1556">
      <w:pPr>
        <w:pStyle w:val="Sarakstarindkopa"/>
        <w:numPr>
          <w:ilvl w:val="0"/>
          <w:numId w:val="7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civiltiesiskās atbildības apdrošināšana (kas sedz saistības pret trešām personām);</w:t>
      </w:r>
    </w:p>
    <w:p w14:paraId="7F53BB37" w14:textId="77777777" w:rsidR="00D43EDD" w:rsidRPr="00C35652" w:rsidRDefault="00D43EDD" w:rsidP="00DC1556">
      <w:pPr>
        <w:pStyle w:val="Sarakstarindkopa"/>
        <w:numPr>
          <w:ilvl w:val="0"/>
          <w:numId w:val="7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būvniecības sākuma kavēšanās un uzņēmējdarbības pārtraukuma apdrošināšana (kas sedz Partnera iespējamo ieņēmumu zaudējumu).</w:t>
      </w:r>
    </w:p>
    <w:p w14:paraId="5DF45A4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662061D" w14:textId="69993A2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14:paraId="3658FD1A"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D38C5DC" w14:textId="77777777" w:rsidR="00D43EDD" w:rsidRPr="00C35652" w:rsidRDefault="00D43EDD" w:rsidP="00DC1556">
      <w:pPr>
        <w:pStyle w:val="Sarakstarindkopa"/>
        <w:numPr>
          <w:ilvl w:val="0"/>
          <w:numId w:val="74"/>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būvniecības/īpašuma bojājumu un civiltiesiskās atbildības apdrošināšanā Iestāde ir jānorāda kā Puse;</w:t>
      </w:r>
    </w:p>
    <w:p w14:paraId="3F0C36AD" w14:textId="77777777" w:rsidR="00D43EDD" w:rsidRPr="00C35652" w:rsidRDefault="00D43EDD" w:rsidP="00DC1556">
      <w:pPr>
        <w:pStyle w:val="Sarakstarindkopa"/>
        <w:numPr>
          <w:ilvl w:val="0"/>
          <w:numId w:val="74"/>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ir jāsaņem Iestādes apstiprinājums par izvēlēto apdrošinātāju;</w:t>
      </w:r>
    </w:p>
    <w:p w14:paraId="052D071C" w14:textId="77777777" w:rsidR="00D43EDD" w:rsidRPr="00C35652" w:rsidRDefault="00D43EDD" w:rsidP="00DC1556">
      <w:pPr>
        <w:pStyle w:val="Sarakstarindkopa"/>
        <w:numPr>
          <w:ilvl w:val="0"/>
          <w:numId w:val="74"/>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ir jāparedz aizsardzība pret spēkā neesamību, lai garantētu, ka apdrošinātāji nevar noraidīt Iestādes prasījumu Partnera darbību dēļ (piemēram, Partneris ar apdrošinātājiem ir noslēdzis vienošanos par informācijas neizpaušanu vai tiem sniedzis sagrozītu informāciju);</w:t>
      </w:r>
    </w:p>
    <w:p w14:paraId="78B58E85" w14:textId="77777777" w:rsidR="00D43EDD" w:rsidRPr="00C35652" w:rsidRDefault="00D43EDD" w:rsidP="00DC1556">
      <w:pPr>
        <w:pStyle w:val="Sarakstarindkopa"/>
        <w:numPr>
          <w:ilvl w:val="0"/>
          <w:numId w:val="74"/>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atteikšanās no subrogācijas tiesībām, lai ierobežotu apdrošinātāja vēršanos pret Iestādi saistībā ar jebkādiem prasījumiem attiecībā uz apdrošināšanu.</w:t>
      </w:r>
    </w:p>
    <w:p w14:paraId="0F511D22" w14:textId="77777777" w:rsidR="00C35652"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1866BB2D" w14:textId="0EF2AFDB"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C4FBE77"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5CD0CCC2" w14:textId="0A4AA2F1"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PPP līgumu noteikumi, saskaņā ar kuriem Partnerim ir jābūt noteiktu veidu apdrošināšanai, šīs apdrošināšanas tvērums un tās noteikumi </w:t>
      </w:r>
      <w:r w:rsidRPr="000761E9">
        <w:rPr>
          <w:rFonts w:ascii="Times New Roman" w:eastAsia="Times New Roman" w:hAnsi="Times New Roman" w:cs="Times New Roman"/>
          <w:b/>
          <w:bCs/>
          <w:i/>
          <w:iCs/>
          <w:color w:val="9A4B63"/>
          <w:sz w:val="24"/>
          <w:szCs w:val="24"/>
          <w:lang w:eastAsia="lv-LV"/>
        </w:rPr>
        <w:t>neietekmē statistisko uzskaiti</w:t>
      </w:r>
      <w:r w:rsidRPr="000761E9">
        <w:rPr>
          <w:rFonts w:ascii="Times New Roman" w:eastAsia="Times New Roman" w:hAnsi="Times New Roman" w:cs="Times New Roman"/>
          <w:i/>
          <w:iCs/>
          <w:color w:val="9A4B63"/>
          <w:sz w:val="24"/>
          <w:szCs w:val="24"/>
          <w:lang w:eastAsia="lv-LV"/>
        </w:rPr>
        <w:t>.</w:t>
      </w:r>
    </w:p>
    <w:p w14:paraId="6C59A481"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6F7A1F7B"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sz w:val="24"/>
          <w:szCs w:val="24"/>
          <w:lang w:eastAsia="lv-LV"/>
        </w:rPr>
        <w:t>9.2. </w:t>
      </w:r>
      <w:r w:rsidRPr="000761E9">
        <w:rPr>
          <w:rFonts w:ascii="Times New Roman" w:eastAsia="Times New Roman" w:hAnsi="Times New Roman" w:cs="Times New Roman"/>
          <w:b/>
          <w:bCs/>
          <w:color w:val="231F20"/>
          <w:sz w:val="24"/>
          <w:szCs w:val="24"/>
          <w:lang w:eastAsia="lv-LV"/>
        </w:rPr>
        <w:t>Aktīva atjaunošana</w:t>
      </w:r>
    </w:p>
    <w:p w14:paraId="5ECB03F5"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D2F6BC3" w14:textId="2D63A8F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nosaka, ka Partnerim ir jāapdrošina īpašums pret bojājumiem un, ja aktīvs ir sabojāts, jāizmanto šīs apdrošināšanas atlīdzība, lai atjaunotu aktīvu. Parasti tajos iekļauta kārtība, kādā Iestāde vienojas ar Partneri par aktīva atjaunošanas priekšlikumiem, plāniem un grafikiem.</w:t>
      </w:r>
    </w:p>
    <w:p w14:paraId="6355F933"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EEFD180" w14:textId="744601D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Dažos PPP līgumos (šādi līgumi kļūst aizvien retāki) piemēro tā dēvēto ekonomisko atjaunošanas pārbaudi situācijās, kad aktīvs ir pilnībā zaudēts vai arī tam ir radīti ievērojami bojājumi. Pirms Partneris sāk aktīva atjaunošanu, tiek veikts novērtējums, lai noteiktu, vai pēc aktīva atjaunošanas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Partnerim joprojām būs spēkā līgumsaistības attiecībā uz aktīva atjaunošanu. Ja tas </w:t>
      </w:r>
      <w:r w:rsidRPr="000761E9">
        <w:rPr>
          <w:rFonts w:ascii="Times New Roman" w:eastAsia="Times New Roman" w:hAnsi="Times New Roman" w:cs="Times New Roman"/>
          <w:color w:val="231F20"/>
          <w:sz w:val="24"/>
          <w:szCs w:val="24"/>
          <w:lang w:eastAsia="lv-LV"/>
        </w:rPr>
        <w:lastRenderedPageBreak/>
        <w:t>nespēj atjaunot aktīvu (kas ir iespējams, ja visa apdrošināšanas atlīdzība vai tās daļa ir samaksāta augstākās prioritātes aizdevējiem), tā būs līguma pārkāpšana un Iestāde būs tiesīga izbeigt PPP līguma darbību Partnera saistību neizpildes dēļ.</w:t>
      </w:r>
    </w:p>
    <w:p w14:paraId="3CC0F5DC"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C120CF6"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CB1C371"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3D729425" w14:textId="0AA3988D"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PPP līguma noteikums par to, ka Iestādei ir jāvienojas ar Partneri par aktīva atjaunošanas priekšlikumiem, plāniem un grafikiem, </w:t>
      </w:r>
      <w:r w:rsidRPr="000761E9">
        <w:rPr>
          <w:rFonts w:ascii="Times New Roman" w:eastAsia="Times New Roman" w:hAnsi="Times New Roman" w:cs="Times New Roman"/>
          <w:b/>
          <w:bCs/>
          <w:i/>
          <w:iCs/>
          <w:color w:val="9A4B63"/>
          <w:sz w:val="24"/>
          <w:szCs w:val="24"/>
          <w:lang w:eastAsia="lv-LV"/>
        </w:rPr>
        <w:t>neietekmē statistisko uzskaiti</w:t>
      </w:r>
      <w:r w:rsidRPr="000761E9">
        <w:rPr>
          <w:rFonts w:ascii="Times New Roman" w:eastAsia="Times New Roman" w:hAnsi="Times New Roman" w:cs="Times New Roman"/>
          <w:i/>
          <w:iCs/>
          <w:color w:val="9A4B63"/>
          <w:sz w:val="24"/>
          <w:szCs w:val="24"/>
          <w:lang w:eastAsia="lv-LV"/>
        </w:rPr>
        <w:t>.</w:t>
      </w:r>
    </w:p>
    <w:p w14:paraId="41200C2D"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6AF9439D" w14:textId="057FE19C"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iepriekš aprakstītās ekonomiskās atjaunošanas pārbaudes iekļaušana </w:t>
      </w:r>
      <w:r w:rsidRPr="000761E9">
        <w:rPr>
          <w:rFonts w:ascii="Times New Roman" w:eastAsia="Times New Roman" w:hAnsi="Times New Roman" w:cs="Times New Roman"/>
          <w:b/>
          <w:bCs/>
          <w:i/>
          <w:iCs/>
          <w:color w:val="9A4B63"/>
          <w:sz w:val="24"/>
          <w:szCs w:val="24"/>
          <w:lang w:eastAsia="lv-LV"/>
        </w:rPr>
        <w:t xml:space="preserve">ietekmē statistisko uzskaiti </w:t>
      </w:r>
      <w:r w:rsidRPr="000761E9">
        <w:rPr>
          <w:rFonts w:ascii="Times New Roman" w:eastAsia="Times New Roman" w:hAnsi="Times New Roman" w:cs="Times New Roman"/>
          <w:i/>
          <w:iCs/>
          <w:color w:val="9A4B63"/>
          <w:sz w:val="24"/>
          <w:szCs w:val="24"/>
          <w:lang w:eastAsia="lv-LV"/>
        </w:rPr>
        <w:t>un ir SVARĪGS jautājums.</w:t>
      </w:r>
    </w:p>
    <w:p w14:paraId="15FEC72F"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63EAE368"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9.3. Apdrošināšanas izmaksas</w:t>
      </w:r>
    </w:p>
    <w:p w14:paraId="3A14CE41"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94658CA" w14:textId="4B39566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iekļauj noteikumus par pamatdarbības maksājumu koriģēšanu atbilstoši obligātās apdrošināšanas izmaksu pieaugumam vai samazinājumam darbības fāzē.</w:t>
      </w:r>
    </w:p>
    <w:p w14:paraId="71B374A4"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47D7E7A" w14:textId="0C8EBAA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Konkrēti noteikumi dažādos projektos atšķiras. Piemēram:</w:t>
      </w:r>
    </w:p>
    <w:p w14:paraId="5A9A807D"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16410EE" w14:textId="77777777" w:rsidR="00D43EDD" w:rsidRPr="00C35652" w:rsidRDefault="00D43EDD" w:rsidP="00DC1556">
      <w:pPr>
        <w:pStyle w:val="Sarakstarindkopa"/>
        <w:numPr>
          <w:ilvl w:val="0"/>
          <w:numId w:val="7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saskaņā ar daudziem PPP līgumiem pamatdarbības maksājumi tiek koriģēti ikreiz, kad tiek atjaunota apdrošināšana, bet saskaņā ar dažiem korekcijas ir retākas;</w:t>
      </w:r>
    </w:p>
    <w:p w14:paraId="78154F9B" w14:textId="77777777" w:rsidR="00D43EDD" w:rsidRPr="00C35652" w:rsidRDefault="00D43EDD" w:rsidP="00DC1556">
      <w:pPr>
        <w:pStyle w:val="Sarakstarindkopa"/>
        <w:numPr>
          <w:ilvl w:val="0"/>
          <w:numId w:val="7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dažos projektos pamatdarbības maksājumos ir iekļauti apdrošināšanas izmaksu bāzes pieņēmumi (piemēram, finanšu izpildes dienā prognozētās izmaksas vai faktiskās izmaksas pirmajā darbības fāzes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Iestāde sedz tad, kad tās rodas;</w:t>
      </w:r>
    </w:p>
    <w:p w14:paraId="4B0AE252" w14:textId="77777777" w:rsidR="00D43EDD" w:rsidRPr="00C35652" w:rsidRDefault="00D43EDD" w:rsidP="00DC1556">
      <w:pPr>
        <w:pStyle w:val="Sarakstarindkopa"/>
        <w:numPr>
          <w:ilvl w:val="0"/>
          <w:numId w:val="7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saskaņā ar daudziem PPP līgumiem Partneris uzņemas risku un saņem ieguvumu apdrošināšanas izmaksu svārstību dēļ, ja tās nepārsniedz noteiktas robežvērtības, bet dala šo risku un ieguvumu ar Iestādi, ja apdrošināšanas izmaksu svārstības pārsniedz šīs robežvērtības (piemēram, dala risku attiecībā 80/20, ja izmaksu svārstības pārsniedz 10 %);</w:t>
      </w:r>
    </w:p>
    <w:p w14:paraId="43595E94" w14:textId="77777777" w:rsidR="00D43EDD" w:rsidRPr="00C35652" w:rsidRDefault="00D43EDD" w:rsidP="00DC1556">
      <w:pPr>
        <w:pStyle w:val="Sarakstarindkopa"/>
        <w:numPr>
          <w:ilvl w:val="0"/>
          <w:numId w:val="7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dažos PPP līgumos ņem vērā iemeslus, kāpēc palielinās/samazinās apdrošināšanas izmaksas (piemēram, nodala izmaiņas Partnera prasījumu vēstures dēļ no vispārējām izmaiņām apdrošināšanas tirgū).</w:t>
      </w:r>
    </w:p>
    <w:p w14:paraId="59FD641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8E8546E" w14:textId="7440189E"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Retos gadījumos PPP līgumi nosaka, ka Partneris uzņemas visu risku un saņem visu ieguvumu no apdrošināšanas izmaksu svārstībām visā līguma darbības laikā.</w:t>
      </w:r>
    </w:p>
    <w:p w14:paraId="44349ED8" w14:textId="77777777" w:rsidR="00C35652"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1B7E5196" w14:textId="68F6194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578EB31"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75F57586" w14:textId="0AE36F60"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tas, ka Partneris uzņemas risku / saņem ieguvumus apdrošināšanas izmaksu svārstību dēļ PPP līguma darbības laikā, </w:t>
      </w:r>
      <w:r w:rsidRPr="000761E9">
        <w:rPr>
          <w:rFonts w:ascii="Times New Roman" w:eastAsia="Times New Roman" w:hAnsi="Times New Roman" w:cs="Times New Roman"/>
          <w:b/>
          <w:bCs/>
          <w:i/>
          <w:iCs/>
          <w:color w:val="9A4B63"/>
          <w:sz w:val="24"/>
          <w:szCs w:val="24"/>
          <w:lang w:eastAsia="lv-LV"/>
        </w:rPr>
        <w:t>neietekmē statistisko uzskaiti</w:t>
      </w:r>
      <w:r w:rsidRPr="000761E9">
        <w:rPr>
          <w:rFonts w:ascii="Times New Roman" w:eastAsia="Times New Roman" w:hAnsi="Times New Roman" w:cs="Times New Roman"/>
          <w:i/>
          <w:iCs/>
          <w:color w:val="9A4B63"/>
          <w:sz w:val="24"/>
          <w:szCs w:val="24"/>
          <w:lang w:eastAsia="lv-LV"/>
        </w:rPr>
        <w:t>.</w:t>
      </w:r>
    </w:p>
    <w:p w14:paraId="52346EAB"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7C033659" w14:textId="40868A2F"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Eurostat viedoklis par noteikumiem, saskaņā ar kuriem Iestāde uzņemas vai dala risku / saņem vai dala ieguvumus apdrošināšanas izmaksu izmaiņu gadījumā neapdrošināmības situācijās, ir pausts 9.4. tematā.</w:t>
      </w:r>
    </w:p>
    <w:p w14:paraId="047014C7" w14:textId="77777777" w:rsidR="00C35652" w:rsidRPr="000761E9"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65B4481A" w14:textId="5AD9D8C1"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lastRenderedPageBreak/>
        <w:t xml:space="preserve">Eurostat uzskata, ka noteikumi, saskaņā ar kuriem Iestāde uzņemas vai dala risku / saņem vai dala ieguvumus apdrošināšanas izmaksu izmaiņu gadījumā situācijās, kad nav neapdrošināmības (sk. 9.4. tematu), </w:t>
      </w:r>
      <w:r w:rsidRPr="000761E9">
        <w:rPr>
          <w:rFonts w:ascii="Times New Roman" w:eastAsia="Times New Roman" w:hAnsi="Times New Roman" w:cs="Times New Roman"/>
          <w:b/>
          <w:bCs/>
          <w:i/>
          <w:iCs/>
          <w:color w:val="9A4B63"/>
          <w:sz w:val="24"/>
          <w:szCs w:val="24"/>
          <w:lang w:eastAsia="lv-LV"/>
        </w:rPr>
        <w:t xml:space="preserve">neietekmē statistisko uzskaiti, ja </w:t>
      </w:r>
      <w:r w:rsidRPr="000761E9">
        <w:rPr>
          <w:rFonts w:ascii="Times New Roman" w:eastAsia="Times New Roman" w:hAnsi="Times New Roman" w:cs="Times New Roman"/>
          <w:i/>
          <w:iCs/>
          <w:color w:val="9A4B63"/>
          <w:sz w:val="24"/>
          <w:szCs w:val="24"/>
          <w:lang w:eastAsia="lv-LV"/>
        </w:rPr>
        <w:t>tiek ievēroti visi šie nosacījumi:</w:t>
      </w:r>
    </w:p>
    <w:p w14:paraId="725D425F"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19BFBBBC"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Iestāde uzņemas vai dala risku, ka apdrošināšanas izmaksas var būt augstākas par kādu noteiktu maksimālo robežvērtību, un/vai saņem vai dala ieguvumu, ja apdrošināšanas izmaksas ir zemākas par kādu noteiktu minimālo robežvērtību;</w:t>
      </w:r>
    </w:p>
    <w:p w14:paraId="56821366"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par maksimālo robežvērtību (atbilstošā gadījumā) nosaka vērtību, kas nav zemāka par divkāršu finanšu izpildes dienā prognozēto apdrošināšanas izmaksu summu;</w:t>
      </w:r>
    </w:p>
    <w:p w14:paraId="43FFD7D4"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par minimālo robežvērtību (atbilstošā gadījumā) nosaka vērtību, kas nav augstāka par pusi no finanšu izpildes dienā prognozēto apdrošināšanas izmaksu summas;</w:t>
      </w:r>
    </w:p>
    <w:p w14:paraId="46892E37"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ja apdrošināšanas izmaksas ir augstākas par maksimālo robežvērtību, Iestādei ir jāsedz tikai starpība starp faktiskajām izmaksām un maksimālo robežvērtību;</w:t>
      </w:r>
    </w:p>
    <w:p w14:paraId="0F5AB269"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ja apdrošināšanas izmaksas ir zemākas par minimālo robežvērtību, Iestāde saņem vai dala tikai starpību starp faktiskajām izmaksām un minimālo robežvērtību;</w:t>
      </w:r>
    </w:p>
    <w:p w14:paraId="7FF16AA7" w14:textId="77777777" w:rsidR="00D43EDD" w:rsidRPr="00C35652" w:rsidRDefault="00D43EDD" w:rsidP="00DC1556">
      <w:pPr>
        <w:pStyle w:val="Sarakstarindkopa"/>
        <w:numPr>
          <w:ilvl w:val="0"/>
          <w:numId w:val="76"/>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saskaņā ar noteikumiem Iestāde nevar uzņemties risku / saņemt ieguvumu no apdrošināšanas izmaksām, ja tās mainījušās Partnera darbību dēļ.</w:t>
      </w:r>
    </w:p>
    <w:p w14:paraId="5F0DBD13"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62042C84" w14:textId="2D1B6D47"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Noteikumi, saskaņā ar kuriem Iestāde uzņemas vai dala risku / saņem vai dala ieguvumu apdrošināšanas izmaksu izmaiņu gadījumā (situācijās, kas nav 9.4. tematā aprakstītās neapdrošināmības situācijas) un kuri neatbilst visiem iepriekš minētajiem nosacījumiem, </w:t>
      </w:r>
      <w:r w:rsidRPr="000761E9">
        <w:rPr>
          <w:rFonts w:ascii="Times New Roman" w:eastAsia="Times New Roman" w:hAnsi="Times New Roman" w:cs="Times New Roman"/>
          <w:b/>
          <w:bCs/>
          <w:i/>
          <w:iCs/>
          <w:color w:val="9A4B63"/>
          <w:sz w:val="24"/>
          <w:szCs w:val="24"/>
          <w:lang w:eastAsia="lv-LV"/>
        </w:rPr>
        <w:t xml:space="preserve">ietekmē statistisko uzskaiti </w:t>
      </w:r>
      <w:r w:rsidRPr="000761E9">
        <w:rPr>
          <w:rFonts w:ascii="Times New Roman" w:eastAsia="Times New Roman" w:hAnsi="Times New Roman" w:cs="Times New Roman"/>
          <w:i/>
          <w:iCs/>
          <w:color w:val="9A4B63"/>
          <w:sz w:val="24"/>
          <w:szCs w:val="24"/>
          <w:lang w:eastAsia="lv-LV"/>
        </w:rPr>
        <w:t>un ir statistiskajā uzskaitē SVARĪGS jautājums.</w:t>
      </w:r>
    </w:p>
    <w:p w14:paraId="103BFB70"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2F3A9D8D" w14:textId="35A82966"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Iestāde uzņemas (nevis dala) visu risku par iespējamību, ka izmaksas var būt augstākas par maksimālo robežvērtību, un saņem visu ieguvu, ja tās ir zemākas par minimālo robežvērtību. Šajā piemērā:</w:t>
      </w:r>
    </w:p>
    <w:p w14:paraId="0F4902BA" w14:textId="77777777" w:rsidR="00C35652" w:rsidRPr="000761E9"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7FD6E8A3" w14:textId="77777777" w:rsidR="00D43EDD" w:rsidRPr="00C35652" w:rsidRDefault="00D43EDD" w:rsidP="00DC1556">
      <w:pPr>
        <w:pStyle w:val="Sarakstarindkopa"/>
        <w:numPr>
          <w:ilvl w:val="0"/>
          <w:numId w:val="77"/>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ja gada laikā apdrošināšanas izmaksas palielinās līdz 2,5 miljoniem EUR, Partnerim ir jāsedz 2 miljoni EUR un Iestādei – 0,5 miljoni EUR (t. i., starpība starp faktiskajām izmaksām un maksimālo robežvērtību);</w:t>
      </w:r>
    </w:p>
    <w:p w14:paraId="24BFB473" w14:textId="77777777" w:rsidR="00D43EDD" w:rsidRPr="00C35652" w:rsidRDefault="00D43EDD" w:rsidP="00DC1556">
      <w:pPr>
        <w:pStyle w:val="Sarakstarindkopa"/>
        <w:numPr>
          <w:ilvl w:val="0"/>
          <w:numId w:val="77"/>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ja gada laikā apdrošināšanas izmaksas samazinās līdz 0,4 miljoniem EUR, Partneris patur izmaksu ietaupījumu 0,5 miljonu EUR apmērā un Iestāde – 0,1 miljonu EUR apmērā (t. i., starpību starp faktiskajām izmaksām un minimālo robežvērtību).</w:t>
      </w:r>
    </w:p>
    <w:p w14:paraId="64E04638"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196D8186" w14:textId="7EFA56C9"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9.4. Neapdrošināmība</w:t>
      </w:r>
    </w:p>
    <w:p w14:paraId="2A7688F2"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2CE7699" w14:textId="2070651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iekļauj noteikumus par neapdrošināmību, kas attiecas uz situācijām, kurās projektam obligātā apdrošināšana vairs nav pieejama apdrošināšanas tirgū vai ir pieejama tikai par pārmērīgi augstu cenu.</w:t>
      </w:r>
    </w:p>
    <w:p w14:paraId="12E2C72D"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2E76602" w14:textId="20FFB61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Parasti, rodoties neapdrošināmības situācijai, katra puse var izvēlēties izbeigt PPP līguma darbību, un Partnerim tiek izmaksāta kompensācija (sk. 12.5. tematu). Dažos gadījumos </w:t>
      </w:r>
      <w:r w:rsidRPr="000761E9">
        <w:rPr>
          <w:rFonts w:ascii="Times New Roman" w:eastAsia="Times New Roman" w:hAnsi="Times New Roman" w:cs="Times New Roman"/>
          <w:color w:val="231F20"/>
          <w:sz w:val="24"/>
          <w:szCs w:val="24"/>
          <w:lang w:eastAsia="lv-LV"/>
        </w:rPr>
        <w:lastRenderedPageBreak/>
        <w:t>Iestādei var būt tiesības izvēlēties turpināt PPP līguma darbību, pašai uzņemoties apdrošinātāja funkcijas, ja rodas neapdrošināmi riski un nav citas iespējas.</w:t>
      </w:r>
    </w:p>
    <w:p w14:paraId="0CF907F8"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B25A95D" w14:textId="48B35B6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Šos noteikumus parasti nepiemēro, ja neapdrošināmība ir radusies paša Partnera darbības vai bezdarbības dēļ, un šie noteikumi attiecas tikai uz plašākā apdrošināšanas tirgū dominējošajiem apstākļiem. Parasti tie aptver šādas divas situācijas:</w:t>
      </w:r>
    </w:p>
    <w:p w14:paraId="23C59179"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4207574" w14:textId="77777777" w:rsidR="00D43EDD" w:rsidRPr="00C35652" w:rsidRDefault="00D43EDD" w:rsidP="00DC1556">
      <w:pPr>
        <w:pStyle w:val="Sarakstarindkopa"/>
        <w:numPr>
          <w:ilvl w:val="0"/>
          <w:numId w:val="7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tirgū apdrošinātāji ar labu reputāciju vienkārši nepiedāvā attiecīgā riska apdrošināšanu;</w:t>
      </w:r>
    </w:p>
    <w:p w14:paraId="65BAA23B" w14:textId="77777777" w:rsidR="00D43EDD" w:rsidRPr="00C35652" w:rsidRDefault="00D43EDD" w:rsidP="00DC1556">
      <w:pPr>
        <w:pStyle w:val="Sarakstarindkopa"/>
        <w:numPr>
          <w:ilvl w:val="0"/>
          <w:numId w:val="78"/>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ja attiecīgā riska apdrošināšanu tirgū piedāvā, bet tikai uz ekonomiski neizdevīgiem noteikumiem. Dažreiz to novērtē, apsverot, vai pašrisks vai prēmija pārsniedz kādu noteiktu robežvērtību, bet dažreiz to novērtē vispārīgāk, apskatot, vai arī citi Partnerim līdzīgi subjekti ir beiguši apdrošināt attiecīgo risku.</w:t>
      </w:r>
    </w:p>
    <w:p w14:paraId="2F3F32C4" w14:textId="77777777" w:rsidR="00C35652"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327E614D" w14:textId="6D6AA4BF"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8522C73"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5FD9A80A" w14:textId="03802EFE" w:rsidR="00D43EDD"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noteikumi, kas apdrošināšanas nepieejamību apskata iepriekš aprakstītajā veidā, </w:t>
      </w:r>
      <w:r w:rsidRPr="000761E9">
        <w:rPr>
          <w:rFonts w:ascii="Times New Roman" w:eastAsia="Times New Roman" w:hAnsi="Times New Roman" w:cs="Times New Roman"/>
          <w:b/>
          <w:bCs/>
          <w:i/>
          <w:iCs/>
          <w:color w:val="9A4B63"/>
          <w:sz w:val="24"/>
          <w:szCs w:val="24"/>
          <w:lang w:eastAsia="lv-LV"/>
        </w:rPr>
        <w:t xml:space="preserve">neietekmē statistisko uzskaiti, ja </w:t>
      </w:r>
      <w:r w:rsidRPr="000761E9">
        <w:rPr>
          <w:rFonts w:ascii="Times New Roman" w:eastAsia="Times New Roman" w:hAnsi="Times New Roman" w:cs="Times New Roman"/>
          <w:i/>
          <w:iCs/>
          <w:color w:val="9A4B63"/>
          <w:sz w:val="24"/>
          <w:szCs w:val="24"/>
          <w:lang w:eastAsia="lv-LV"/>
        </w:rPr>
        <w:t>tos piemēro tikai situācijās, kad attiecīgā riska apdrošināšana tirgū ir pārtraukta, nevis situācijās, kad apdrošināšana nav pieejama Partnera darbības vai bezdarbības dēļ.</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A4B63"/>
          <w:sz w:val="24"/>
          <w:szCs w:val="24"/>
          <w:lang w:eastAsia="lv-LV"/>
        </w:rPr>
        <w:t>Pieņem, ka apdrošināšanas tirgū ir pārtraukta kāda riska apdrošināšana, ja:</w:t>
      </w:r>
    </w:p>
    <w:p w14:paraId="67977973" w14:textId="77777777" w:rsidR="00C35652" w:rsidRPr="000761E9"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5E9A2C8C" w14:textId="77777777" w:rsidR="00D43EDD" w:rsidRPr="00C35652" w:rsidRDefault="00D43EDD" w:rsidP="00DC1556">
      <w:pPr>
        <w:pStyle w:val="Sarakstarindkopa"/>
        <w:numPr>
          <w:ilvl w:val="0"/>
          <w:numId w:val="79"/>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šā riska apdrošināšanu nepiedāvā apdrošinātāji ar labu reputāciju; vai</w:t>
      </w:r>
    </w:p>
    <w:p w14:paraId="698C1388" w14:textId="77777777" w:rsidR="00D43EDD" w:rsidRPr="00C35652" w:rsidRDefault="00D43EDD" w:rsidP="00DC1556">
      <w:pPr>
        <w:pStyle w:val="Sarakstarindkopa"/>
        <w:numPr>
          <w:ilvl w:val="0"/>
          <w:numId w:val="79"/>
        </w:numPr>
        <w:spacing w:after="0" w:line="240" w:lineRule="auto"/>
        <w:ind w:left="709" w:hanging="283"/>
        <w:jc w:val="both"/>
        <w:rPr>
          <w:rFonts w:ascii="Times New Roman" w:eastAsia="Times New Roman" w:hAnsi="Times New Roman" w:cs="Times New Roman"/>
          <w:i/>
          <w:iCs/>
          <w:color w:val="9A4B63"/>
          <w:sz w:val="24"/>
          <w:szCs w:val="24"/>
          <w:lang w:eastAsia="lv-LV"/>
        </w:rPr>
      </w:pPr>
      <w:r w:rsidRPr="00C35652">
        <w:rPr>
          <w:rFonts w:ascii="Times New Roman" w:eastAsia="Times New Roman" w:hAnsi="Times New Roman" w:cs="Times New Roman"/>
          <w:i/>
          <w:iCs/>
          <w:color w:val="9A4B63"/>
          <w:sz w:val="24"/>
          <w:szCs w:val="24"/>
          <w:lang w:eastAsia="lv-LV"/>
        </w:rPr>
        <w:t>apdrošināšanas noteikumi nav komerciāli izdevīgi, tāpēc Partnerim līdzīgi subjekti šo risku neapdrošina.</w:t>
      </w:r>
    </w:p>
    <w:p w14:paraId="5DCC3D0F"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60CBF8EB" w14:textId="391B0CF1" w:rsidR="00D43EDD" w:rsidRPr="000761E9" w:rsidRDefault="00D43EDD" w:rsidP="00D43EDD">
      <w:pPr>
        <w:spacing w:after="0" w:line="240" w:lineRule="auto"/>
        <w:jc w:val="both"/>
        <w:rPr>
          <w:rFonts w:ascii="Times New Roman" w:eastAsia="Times New Roman" w:hAnsi="Times New Roman" w:cs="Times New Roman"/>
          <w:i/>
          <w:iCs/>
          <w:color w:val="9A4B63"/>
          <w:sz w:val="24"/>
          <w:szCs w:val="24"/>
          <w:lang w:eastAsia="lv-LV"/>
        </w:rPr>
      </w:pPr>
      <w:r w:rsidRPr="000761E9">
        <w:rPr>
          <w:rFonts w:ascii="Times New Roman" w:eastAsia="Times New Roman" w:hAnsi="Times New Roman" w:cs="Times New Roman"/>
          <w:i/>
          <w:iCs/>
          <w:color w:val="9A4B63"/>
          <w:sz w:val="24"/>
          <w:szCs w:val="24"/>
          <w:lang w:eastAsia="lv-LV"/>
        </w:rPr>
        <w:t xml:space="preserve">Noteikumi, kuros apdrošināšanas komerciālo izdevīgumu novērtē, ņemot vērā jebkuru citu pārbaudi (piemēram, apdrošināšanas izmaksu palielināšanos virs kāda noteikta līmeņa), </w:t>
      </w:r>
      <w:r w:rsidRPr="000761E9">
        <w:rPr>
          <w:rFonts w:ascii="Times New Roman" w:eastAsia="Times New Roman" w:hAnsi="Times New Roman" w:cs="Times New Roman"/>
          <w:b/>
          <w:bCs/>
          <w:i/>
          <w:iCs/>
          <w:color w:val="9A4B63"/>
          <w:sz w:val="24"/>
          <w:szCs w:val="24"/>
          <w:lang w:eastAsia="lv-LV"/>
        </w:rPr>
        <w:t xml:space="preserve">ietekmē statistisko uzskaiti, ja </w:t>
      </w:r>
      <w:r w:rsidRPr="000761E9">
        <w:rPr>
          <w:rFonts w:ascii="Times New Roman" w:eastAsia="Times New Roman" w:hAnsi="Times New Roman" w:cs="Times New Roman"/>
          <w:i/>
          <w:iCs/>
          <w:color w:val="9A4B63"/>
          <w:sz w:val="24"/>
          <w:szCs w:val="24"/>
          <w:lang w:eastAsia="lv-LV"/>
        </w:rPr>
        <w:t>tos var piemērot ne tikai tad, kad riska apdrošināšana apdrošināšanas tirgū ir pārtraukta.</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A4B63"/>
          <w:sz w:val="24"/>
          <w:szCs w:val="24"/>
          <w:lang w:eastAsia="lv-LV"/>
        </w:rPr>
        <w:t>Šādā gadījumā šis jautājums ir SVARĪGS statistiskajā uzskaitē.</w:t>
      </w:r>
    </w:p>
    <w:p w14:paraId="233209E6"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40F1F8E1" w14:textId="643D6AAB"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9.5. Obligāto apdrošināšanas noteikumu nepieejamība</w:t>
      </w:r>
    </w:p>
    <w:p w14:paraId="48CAEEAF"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C7C9D67" w14:textId="2C339D1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14:paraId="531F772B"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098B45C" w14:textId="792B7C5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situācijā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14:paraId="144E2000"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5023213"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319A067" w14:textId="77777777" w:rsidR="00C35652" w:rsidRDefault="00C35652" w:rsidP="00D43EDD">
      <w:pPr>
        <w:spacing w:after="0" w:line="240" w:lineRule="auto"/>
        <w:jc w:val="both"/>
        <w:rPr>
          <w:rFonts w:ascii="Times New Roman" w:eastAsia="Times New Roman" w:hAnsi="Times New Roman" w:cs="Times New Roman"/>
          <w:i/>
          <w:iCs/>
          <w:color w:val="9A4B63"/>
          <w:sz w:val="24"/>
          <w:szCs w:val="24"/>
          <w:lang w:eastAsia="lv-LV"/>
        </w:rPr>
      </w:pPr>
    </w:p>
    <w:p w14:paraId="144A6464" w14:textId="142E665C"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9A4B63"/>
          <w:sz w:val="24"/>
          <w:szCs w:val="24"/>
          <w:lang w:eastAsia="lv-LV"/>
        </w:rPr>
        <w:t xml:space="preserve">Eurostat uzskata, ka (iepriekš aprakstītie) noteikumi attiecībā uz PPP līgumā norādīto apdrošināšanas noteikumu vai nosacījumu nepieejamību </w:t>
      </w:r>
      <w:r w:rsidRPr="000761E9">
        <w:rPr>
          <w:rFonts w:ascii="Times New Roman" w:eastAsia="Times New Roman" w:hAnsi="Times New Roman" w:cs="Times New Roman"/>
          <w:b/>
          <w:bCs/>
          <w:i/>
          <w:iCs/>
          <w:color w:val="9A4B63"/>
          <w:sz w:val="24"/>
          <w:szCs w:val="24"/>
          <w:lang w:eastAsia="lv-LV"/>
        </w:rPr>
        <w:t>neietekmē statistisko uzskaiti</w:t>
      </w:r>
      <w:r w:rsidRPr="000761E9">
        <w:rPr>
          <w:rFonts w:ascii="Times New Roman" w:eastAsia="Times New Roman" w:hAnsi="Times New Roman" w:cs="Times New Roman"/>
          <w:i/>
          <w:iCs/>
          <w:color w:val="9A4B63"/>
          <w:sz w:val="24"/>
          <w:szCs w:val="24"/>
          <w:lang w:eastAsia="lv-LV"/>
        </w:rPr>
        <w:t>.</w:t>
      </w:r>
    </w:p>
    <w:p w14:paraId="30F92015" w14:textId="60508C49" w:rsidR="00C35652" w:rsidRDefault="00C35652">
      <w:pPr>
        <w:rPr>
          <w:rFonts w:ascii="Times New Roman" w:eastAsia="Times New Roman" w:hAnsi="Times New Roman" w:cs="Times New Roman"/>
          <w:b/>
          <w:bCs/>
          <w:color w:val="047E50"/>
          <w:sz w:val="24"/>
          <w:szCs w:val="24"/>
          <w:lang w:eastAsia="lv-LV"/>
        </w:rPr>
      </w:pPr>
      <w:r>
        <w:rPr>
          <w:rFonts w:ascii="Times New Roman" w:eastAsia="Times New Roman" w:hAnsi="Times New Roman" w:cs="Times New Roman"/>
          <w:b/>
          <w:bCs/>
          <w:color w:val="047E50"/>
          <w:sz w:val="24"/>
          <w:szCs w:val="24"/>
          <w:lang w:eastAsia="lv-LV"/>
        </w:rPr>
        <w:br w:type="page"/>
      </w:r>
    </w:p>
    <w:p w14:paraId="0D22B160" w14:textId="77777777" w:rsidR="00C35652" w:rsidRDefault="00C35652" w:rsidP="00D43EDD">
      <w:pPr>
        <w:spacing w:after="0" w:line="240" w:lineRule="auto"/>
        <w:jc w:val="both"/>
        <w:rPr>
          <w:rFonts w:ascii="Times New Roman" w:eastAsia="Times New Roman" w:hAnsi="Times New Roman" w:cs="Times New Roman"/>
          <w:b/>
          <w:bCs/>
          <w:color w:val="047E50"/>
          <w:sz w:val="24"/>
          <w:szCs w:val="24"/>
          <w:lang w:eastAsia="lv-LV"/>
        </w:rPr>
      </w:pPr>
    </w:p>
    <w:p w14:paraId="079BBA10" w14:textId="2048CAD9" w:rsidR="00D43EDD" w:rsidRPr="00586FD8" w:rsidRDefault="00D43EDD" w:rsidP="00586FD8">
      <w:pPr>
        <w:pStyle w:val="Virsraksts1"/>
        <w:rPr>
          <w:rFonts w:eastAsia="Times New Roman"/>
          <w:b w:val="0"/>
          <w:color w:val="auto"/>
          <w:szCs w:val="28"/>
          <w:lang w:eastAsia="lv-LV"/>
        </w:rPr>
      </w:pPr>
      <w:bookmarkStart w:id="15" w:name="_Toc528941579"/>
      <w:r w:rsidRPr="000761E9">
        <w:rPr>
          <w:rFonts w:eastAsia="Times New Roman"/>
          <w:color w:val="047E50"/>
          <w:lang w:eastAsia="lv-LV"/>
        </w:rPr>
        <w:t xml:space="preserve">10. temats. </w:t>
      </w:r>
      <w:r w:rsidRPr="00586FD8">
        <w:rPr>
          <w:rFonts w:eastAsia="Times New Roman"/>
          <w:b w:val="0"/>
          <w:color w:val="auto"/>
          <w:szCs w:val="28"/>
          <w:lang w:eastAsia="lv-LV"/>
        </w:rPr>
        <w:t xml:space="preserve">Garantijas un </w:t>
      </w:r>
      <w:bookmarkEnd w:id="15"/>
      <w:r w:rsidR="00895EAA">
        <w:rPr>
          <w:rFonts w:eastAsia="Times New Roman"/>
          <w:b w:val="0"/>
          <w:color w:val="auto"/>
          <w:szCs w:val="28"/>
          <w:lang w:eastAsia="lv-LV"/>
        </w:rPr>
        <w:t>kompensācijas</w:t>
      </w:r>
    </w:p>
    <w:p w14:paraId="77EDE508"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63D2D3B6" w14:textId="06FB7616"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10.1. Garantijas</w:t>
      </w:r>
    </w:p>
    <w:p w14:paraId="3268CF20"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12BF0FC" w14:textId="79DED35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Lielākā daļa PPP līgumu paredz, ka gan Iestāde, gan Partneris sniegs komerciāliem darījumiem tipiskas garantijas, piemēram, garantējot:</w:t>
      </w:r>
    </w:p>
    <w:p w14:paraId="745FA7B2"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CFD4F4E" w14:textId="77777777" w:rsidR="00D43EDD" w:rsidRPr="00C35652" w:rsidRDefault="00D43EDD" w:rsidP="00DC1556">
      <w:pPr>
        <w:pStyle w:val="Sarakstarindkopa"/>
        <w:numPr>
          <w:ilvl w:val="0"/>
          <w:numId w:val="8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savu juridisko statusu un spēju slēgt līgumu;</w:t>
      </w:r>
    </w:p>
    <w:p w14:paraId="021991B5" w14:textId="77777777" w:rsidR="00D43EDD" w:rsidRPr="00C35652" w:rsidRDefault="00D43EDD" w:rsidP="00DC1556">
      <w:pPr>
        <w:pStyle w:val="Sarakstarindkopa"/>
        <w:numPr>
          <w:ilvl w:val="0"/>
          <w:numId w:val="8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to, ka tie ir ievērojuši pienācīgu līguma slēgšanas kārtību;</w:t>
      </w:r>
    </w:p>
    <w:p w14:paraId="18E7D320" w14:textId="77777777" w:rsidR="00D43EDD" w:rsidRPr="00C35652" w:rsidRDefault="00D43EDD" w:rsidP="00DC1556">
      <w:pPr>
        <w:pStyle w:val="Sarakstarindkopa"/>
        <w:numPr>
          <w:ilvl w:val="0"/>
          <w:numId w:val="80"/>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savu atbilstību tiesību aktiem.</w:t>
      </w:r>
    </w:p>
    <w:p w14:paraId="6E79DFF3"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CF18F85" w14:textId="14B13CE5"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šāda veida komerciālās garantijas galvenokārt attiecas uz pušu korporatīvo statusu, darbībām un rīcību.</w:t>
      </w:r>
    </w:p>
    <w:p w14:paraId="693903F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52F9BF9" w14:textId="60BA2CE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Tomēr dažos PPP līgumos garantijas tiek izmantotas arī kā mehānisms, lai sadalītu riskus/atlīdzības, kas ir tiešāk saistītas ar projekta īstenošanu vai izpildi. Piemēram:</w:t>
      </w:r>
    </w:p>
    <w:p w14:paraId="61593903"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75AF873" w14:textId="77777777" w:rsidR="00D43EDD" w:rsidRPr="00C35652" w:rsidRDefault="00D43EDD" w:rsidP="00DC1556">
      <w:pPr>
        <w:pStyle w:val="Sarakstarindkopa"/>
        <w:numPr>
          <w:ilvl w:val="0"/>
          <w:numId w:val="8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Iestādes garantijas, kas saistītas ar neparedzamiem ģeoloģiskajiem apstākļiem;</w:t>
      </w:r>
    </w:p>
    <w:p w14:paraId="45A621B2" w14:textId="77777777" w:rsidR="00D43EDD" w:rsidRPr="00C35652" w:rsidRDefault="00D43EDD" w:rsidP="00DC1556">
      <w:pPr>
        <w:pStyle w:val="Sarakstarindkopa"/>
        <w:numPr>
          <w:ilvl w:val="0"/>
          <w:numId w:val="8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Iestādes garantijas, kas saistītas ar aktīva lietošanas apjomu / pieprasījumu pēc aktīva;</w:t>
      </w:r>
    </w:p>
    <w:p w14:paraId="4D7FC2C4" w14:textId="77777777" w:rsidR="00D43EDD" w:rsidRPr="00C35652" w:rsidRDefault="00D43EDD" w:rsidP="00DC1556">
      <w:pPr>
        <w:pStyle w:val="Sarakstarindkopa"/>
        <w:numPr>
          <w:ilvl w:val="0"/>
          <w:numId w:val="81"/>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Partnera garantijas tam, ka tas nekādos apstākļos nerefinansēs projektu.</w:t>
      </w:r>
    </w:p>
    <w:p w14:paraId="3FA05FE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5F76F18" w14:textId="3DE9C01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14:paraId="4B7A2304"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2C218911"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CC8CE62" w14:textId="77777777" w:rsidR="00C35652"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542F9912" w14:textId="3EA29191" w:rsidR="00D43EDD"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 xml:space="preserve">Eurostat uzskata, ka iepriekš aprakstīto tipisko komerciālo garantiju sniegšana </w:t>
      </w:r>
      <w:r w:rsidRPr="000761E9">
        <w:rPr>
          <w:rFonts w:ascii="Times New Roman" w:eastAsia="Times New Roman" w:hAnsi="Times New Roman" w:cs="Times New Roman"/>
          <w:b/>
          <w:bCs/>
          <w:i/>
          <w:iCs/>
          <w:color w:val="047E50"/>
          <w:sz w:val="24"/>
          <w:szCs w:val="24"/>
          <w:lang w:eastAsia="lv-LV"/>
        </w:rPr>
        <w:t>neietekmē statistisko uzskaiti</w:t>
      </w:r>
      <w:r w:rsidRPr="000761E9">
        <w:rPr>
          <w:rFonts w:ascii="Times New Roman" w:eastAsia="Times New Roman" w:hAnsi="Times New Roman" w:cs="Times New Roman"/>
          <w:i/>
          <w:iCs/>
          <w:color w:val="047E50"/>
          <w:sz w:val="24"/>
          <w:szCs w:val="24"/>
          <w:lang w:eastAsia="lv-LV"/>
        </w:rPr>
        <w:t>.</w:t>
      </w:r>
    </w:p>
    <w:p w14:paraId="7DB74D33"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22C37913" w14:textId="7C19A272" w:rsidR="00D43EDD"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Tomēr lietotājiem jāapzinās, ka garantijas var ietekmēt statistisko uzskaiti, ja ar tām pēc būtības tiek sadalīti riski un atlīdzības veidā, kas ietekmē statistisko uzskaiti, kā tas ir aprakstīts citos šīs rokasgrāmatas noteikumos. Piemēram, autoceļa projektā, kurā ir uz pieprasījumu balstīti pamatdarbības maksājumi, Iestādes garantija attiecībā uz minimālo satiksmes līmeni būtībā varētu būt minimālo ieņēmumu garantija un tikt atbilstoši novērtēta (sk. 4.10.3. tematu).</w:t>
      </w:r>
    </w:p>
    <w:p w14:paraId="7E79F89B" w14:textId="77777777" w:rsidR="00C35652" w:rsidRPr="000761E9"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26D5D8AC" w14:textId="2B218E1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10.2. Partnera sniegt</w:t>
      </w:r>
      <w:r w:rsidR="00895EAA">
        <w:rPr>
          <w:rFonts w:ascii="Times New Roman" w:eastAsia="Times New Roman" w:hAnsi="Times New Roman" w:cs="Times New Roman"/>
          <w:b/>
          <w:bCs/>
          <w:color w:val="231F20"/>
          <w:sz w:val="24"/>
          <w:szCs w:val="24"/>
          <w:lang w:eastAsia="lv-LV"/>
        </w:rPr>
        <w:t>as kompensācijas</w:t>
      </w:r>
    </w:p>
    <w:p w14:paraId="375FD8C1"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3723BDA6" w14:textId="730B3BC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iekļauj noteikumus, saskaņā ar kuriem Partnerim ir jāatlīdzina Iestādei jebkādi zaudējumi vai saistības, kas Iestādei rodas Partnera veiktās PPP līguma izpildes vai neizpildes dēļ.</w:t>
      </w:r>
    </w:p>
    <w:p w14:paraId="11012F11"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085A4ED" w14:textId="69944D4A" w:rsidR="00D43EDD" w:rsidRDefault="00895EAA" w:rsidP="00D43EDD">
      <w:pPr>
        <w:spacing w:after="0" w:line="240" w:lineRule="auto"/>
        <w:jc w:val="both"/>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Kompensācijas</w:t>
      </w:r>
      <w:r w:rsidR="00D43EDD" w:rsidRPr="000761E9">
        <w:rPr>
          <w:rFonts w:ascii="Times New Roman" w:eastAsia="Times New Roman" w:hAnsi="Times New Roman" w:cs="Times New Roman"/>
          <w:color w:val="231F20"/>
          <w:sz w:val="24"/>
          <w:szCs w:val="24"/>
          <w:lang w:eastAsia="lv-LV"/>
        </w:rPr>
        <w:t xml:space="preserve"> parasti aptver tos jautājumus, par kuriem Partneris citādi būtu juridiski atbildīgs. Dažos gadījumos </w:t>
      </w:r>
      <w:r>
        <w:rPr>
          <w:rFonts w:ascii="Times New Roman" w:eastAsia="Times New Roman" w:hAnsi="Times New Roman" w:cs="Times New Roman"/>
          <w:color w:val="231F20"/>
          <w:sz w:val="24"/>
          <w:szCs w:val="24"/>
          <w:lang w:eastAsia="lv-LV"/>
        </w:rPr>
        <w:t>kompensācijas</w:t>
      </w:r>
      <w:r w:rsidR="00D43EDD" w:rsidRPr="000761E9">
        <w:rPr>
          <w:rFonts w:ascii="Times New Roman" w:eastAsia="Times New Roman" w:hAnsi="Times New Roman" w:cs="Times New Roman"/>
          <w:color w:val="231F20"/>
          <w:sz w:val="24"/>
          <w:szCs w:val="24"/>
          <w:lang w:eastAsia="lv-LV"/>
        </w:rPr>
        <w:t xml:space="preserve"> aptver papildu jautājumus, par kuriem Partneris ne vienmēr būtu juridiski atbildīgs, bet par kuriem Iestāde ir norādījusi, ka tie var rasties, Partnerim īstenojot projektu.</w:t>
      </w:r>
    </w:p>
    <w:p w14:paraId="7E45DB5A"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84D58F6" w14:textId="6DC2D05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Partnera sniegt</w:t>
      </w:r>
      <w:r w:rsidR="00BD2475">
        <w:rPr>
          <w:rFonts w:ascii="Times New Roman" w:eastAsia="Times New Roman" w:hAnsi="Times New Roman" w:cs="Times New Roman"/>
          <w:color w:val="231F20"/>
          <w:sz w:val="24"/>
          <w:szCs w:val="24"/>
          <w:lang w:eastAsia="lv-LV"/>
        </w:rPr>
        <w:t>ās</w:t>
      </w:r>
      <w:r w:rsidRPr="000761E9">
        <w:rPr>
          <w:rFonts w:ascii="Times New Roman" w:eastAsia="Times New Roman" w:hAnsi="Times New Roman" w:cs="Times New Roman"/>
          <w:color w:val="231F20"/>
          <w:sz w:val="24"/>
          <w:szCs w:val="24"/>
          <w:lang w:eastAsia="lv-LV"/>
        </w:rPr>
        <w:t xml:space="preserve"> </w:t>
      </w:r>
      <w:r w:rsidR="00BD2475">
        <w:rPr>
          <w:rFonts w:ascii="Times New Roman" w:eastAsia="Times New Roman" w:hAnsi="Times New Roman" w:cs="Times New Roman"/>
          <w:color w:val="231F20"/>
          <w:sz w:val="24"/>
          <w:szCs w:val="24"/>
          <w:lang w:eastAsia="lv-LV"/>
        </w:rPr>
        <w:t>kompensācijas</w:t>
      </w:r>
      <w:r w:rsidRPr="000761E9">
        <w:rPr>
          <w:rFonts w:ascii="Times New Roman" w:eastAsia="Times New Roman" w:hAnsi="Times New Roman" w:cs="Times New Roman"/>
          <w:color w:val="231F20"/>
          <w:sz w:val="24"/>
          <w:szCs w:val="24"/>
          <w:lang w:eastAsia="lv-LV"/>
        </w:rPr>
        <w:t xml:space="preserve"> aptver šādas zaudējumu un prasību kategorijas:</w:t>
      </w:r>
    </w:p>
    <w:p w14:paraId="7FD23BE2"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741F06B" w14:textId="77777777" w:rsidR="00D43EDD" w:rsidRPr="00C35652" w:rsidRDefault="00D43EDD" w:rsidP="00DC1556">
      <w:pPr>
        <w:pStyle w:val="Sarakstarindkopa"/>
        <w:numPr>
          <w:ilvl w:val="0"/>
          <w:numId w:val="8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nāves gadījums vai miesas bojājumi;</w:t>
      </w:r>
    </w:p>
    <w:p w14:paraId="23F5EA84" w14:textId="77777777" w:rsidR="00D43EDD" w:rsidRPr="00C35652" w:rsidRDefault="00D43EDD" w:rsidP="00DC1556">
      <w:pPr>
        <w:pStyle w:val="Sarakstarindkopa"/>
        <w:numPr>
          <w:ilvl w:val="0"/>
          <w:numId w:val="8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īpašuma zaudējums vai bojāšana;</w:t>
      </w:r>
    </w:p>
    <w:p w14:paraId="291F49D5" w14:textId="77777777" w:rsidR="00D43EDD" w:rsidRPr="00C35652" w:rsidRDefault="00D43EDD" w:rsidP="00DC1556">
      <w:pPr>
        <w:pStyle w:val="Sarakstarindkopa"/>
        <w:numPr>
          <w:ilvl w:val="0"/>
          <w:numId w:val="8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tiesību aktos noteikto Iestādes pienākumu neizpilde;</w:t>
      </w:r>
    </w:p>
    <w:p w14:paraId="7554A2D2" w14:textId="77777777" w:rsidR="00D43EDD" w:rsidRPr="00C35652" w:rsidRDefault="00D43EDD" w:rsidP="00DC1556">
      <w:pPr>
        <w:pStyle w:val="Sarakstarindkopa"/>
        <w:numPr>
          <w:ilvl w:val="0"/>
          <w:numId w:val="82"/>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trešo pušu prasības pret Iestādi.</w:t>
      </w:r>
    </w:p>
    <w:p w14:paraId="05E0A49A"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0A86BBBB" w14:textId="425D0AA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Partnera sniegt</w:t>
      </w:r>
      <w:r w:rsidR="00BD2475">
        <w:rPr>
          <w:rFonts w:ascii="Times New Roman" w:eastAsia="Times New Roman" w:hAnsi="Times New Roman" w:cs="Times New Roman"/>
          <w:color w:val="231F20"/>
          <w:sz w:val="24"/>
          <w:szCs w:val="24"/>
          <w:lang w:eastAsia="lv-LV"/>
        </w:rPr>
        <w:t>ās</w:t>
      </w:r>
      <w:r w:rsidRPr="000761E9">
        <w:rPr>
          <w:rFonts w:ascii="Times New Roman" w:eastAsia="Times New Roman" w:hAnsi="Times New Roman" w:cs="Times New Roman"/>
          <w:color w:val="231F20"/>
          <w:sz w:val="24"/>
          <w:szCs w:val="24"/>
          <w:lang w:eastAsia="lv-LV"/>
        </w:rPr>
        <w:t xml:space="preserve"> </w:t>
      </w:r>
      <w:r w:rsidR="00BD2475">
        <w:rPr>
          <w:rFonts w:ascii="Times New Roman" w:eastAsia="Times New Roman" w:hAnsi="Times New Roman" w:cs="Times New Roman"/>
          <w:color w:val="231F20"/>
          <w:sz w:val="24"/>
          <w:szCs w:val="24"/>
          <w:lang w:eastAsia="lv-LV"/>
        </w:rPr>
        <w:t>kompensācijas</w:t>
      </w:r>
      <w:r w:rsidRPr="000761E9">
        <w:rPr>
          <w:rFonts w:ascii="Times New Roman" w:eastAsia="Times New Roman" w:hAnsi="Times New Roman" w:cs="Times New Roman"/>
          <w:color w:val="231F20"/>
          <w:sz w:val="24"/>
          <w:szCs w:val="24"/>
          <w:lang w:eastAsia="lv-LV"/>
        </w:rPr>
        <w:t xml:space="preserve"> bieži vien ierobežo šādi:</w:t>
      </w:r>
    </w:p>
    <w:p w14:paraId="4C65EAAD"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47661C99" w14:textId="77777777" w:rsidR="00D43EDD" w:rsidRPr="00C35652" w:rsidRDefault="00D43EDD" w:rsidP="00DC1556">
      <w:pPr>
        <w:pStyle w:val="Sarakstarindkopa"/>
        <w:numPr>
          <w:ilvl w:val="0"/>
          <w:numId w:val="8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nosakot, ka tas neattiecas uz noteiktiem zaudējumiem vai prasībām (piemēram, tām, kas rodas pašas Iestādes pārkāpuma vai nolaidības dēļ, kas ir saistītas ar tādiem PPP līgumā noteiktiem Iestādes riskiem kā projekta vietas piesārņojums un kas ir saistītas ar pašam aktīvam radītiem bojājumiem);</w:t>
      </w:r>
    </w:p>
    <w:p w14:paraId="1CBD8510" w14:textId="77777777" w:rsidR="00D43EDD" w:rsidRPr="00C35652" w:rsidRDefault="00D43EDD" w:rsidP="00DC1556">
      <w:pPr>
        <w:pStyle w:val="Sarakstarindkopa"/>
        <w:numPr>
          <w:ilvl w:val="0"/>
          <w:numId w:val="83"/>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nosakot Partnera maksimālo finansiālo atbildību konkrētu zaudējumu vai prasību gadījumā.</w:t>
      </w:r>
    </w:p>
    <w:p w14:paraId="085F6583"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7E0412B" w14:textId="0E613A6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Bieži </w:t>
      </w:r>
      <w:r w:rsidR="00BD2475">
        <w:rPr>
          <w:rFonts w:ascii="Times New Roman" w:eastAsia="Times New Roman" w:hAnsi="Times New Roman" w:cs="Times New Roman"/>
          <w:color w:val="231F20"/>
          <w:sz w:val="24"/>
          <w:szCs w:val="24"/>
          <w:lang w:eastAsia="lv-LV"/>
        </w:rPr>
        <w:t>kompensāciju</w:t>
      </w:r>
      <w:r w:rsidRPr="000761E9">
        <w:rPr>
          <w:rFonts w:ascii="Times New Roman" w:eastAsia="Times New Roman" w:hAnsi="Times New Roman" w:cs="Times New Roman"/>
          <w:color w:val="231F20"/>
          <w:sz w:val="24"/>
          <w:szCs w:val="24"/>
          <w:lang w:eastAsia="lv-LV"/>
        </w:rPr>
        <w:t xml:space="preserve"> ierobežojumi ir izstrādāti, lai aizsargātu Partneri no tādiem zaudējumiem vai prasībām, ko saskaņā ar PPP līgumu nesedz obligātā apdrošināšana.</w:t>
      </w:r>
    </w:p>
    <w:p w14:paraId="1D2B9420" w14:textId="77777777" w:rsidR="00C35652" w:rsidRDefault="00C35652" w:rsidP="00D43EDD">
      <w:pPr>
        <w:spacing w:after="0" w:line="240" w:lineRule="auto"/>
        <w:jc w:val="both"/>
        <w:rPr>
          <w:rFonts w:ascii="Times New Roman" w:eastAsia="Times New Roman" w:hAnsi="Times New Roman" w:cs="Times New Roman"/>
          <w:b/>
          <w:bCs/>
          <w:i/>
          <w:iCs/>
          <w:sz w:val="24"/>
          <w:szCs w:val="24"/>
          <w:lang w:eastAsia="lv-LV"/>
        </w:rPr>
      </w:pPr>
    </w:p>
    <w:p w14:paraId="6FD95FEE" w14:textId="4EC60145"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05A79F0" w14:textId="77777777" w:rsidR="00C35652"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5E9A55A6" w14:textId="0E27A80A" w:rsidR="00D43EDD"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Eurostat uzskata, ka Partnera sniegt</w:t>
      </w:r>
      <w:r w:rsidR="00BD2475">
        <w:rPr>
          <w:rFonts w:ascii="Times New Roman" w:eastAsia="Times New Roman" w:hAnsi="Times New Roman" w:cs="Times New Roman"/>
          <w:i/>
          <w:iCs/>
          <w:color w:val="047E50"/>
          <w:sz w:val="24"/>
          <w:szCs w:val="24"/>
          <w:lang w:eastAsia="lv-LV"/>
        </w:rPr>
        <w:t>o</w:t>
      </w:r>
      <w:r w:rsidRPr="000761E9">
        <w:rPr>
          <w:rFonts w:ascii="Times New Roman" w:eastAsia="Times New Roman" w:hAnsi="Times New Roman" w:cs="Times New Roman"/>
          <w:i/>
          <w:iCs/>
          <w:color w:val="047E50"/>
          <w:sz w:val="24"/>
          <w:szCs w:val="24"/>
          <w:lang w:eastAsia="lv-LV"/>
        </w:rPr>
        <w:t xml:space="preserve"> </w:t>
      </w:r>
      <w:r w:rsidR="00BD2475">
        <w:rPr>
          <w:rFonts w:ascii="Times New Roman" w:eastAsia="Times New Roman" w:hAnsi="Times New Roman" w:cs="Times New Roman"/>
          <w:i/>
          <w:iCs/>
          <w:color w:val="047E50"/>
          <w:sz w:val="24"/>
          <w:szCs w:val="24"/>
          <w:lang w:eastAsia="lv-LV"/>
        </w:rPr>
        <w:t>kompensāciju</w:t>
      </w:r>
      <w:r w:rsidRPr="000761E9">
        <w:rPr>
          <w:rFonts w:ascii="Times New Roman" w:eastAsia="Times New Roman" w:hAnsi="Times New Roman" w:cs="Times New Roman"/>
          <w:i/>
          <w:iCs/>
          <w:color w:val="047E50"/>
          <w:sz w:val="24"/>
          <w:szCs w:val="24"/>
          <w:lang w:eastAsia="lv-LV"/>
        </w:rPr>
        <w:t xml:space="preserve"> tvērums (tostarp noteikumi, kas ierobežo Partnera atbildību vai nosaka izņēmumus, par kuriem tas nav atbildīgs) </w:t>
      </w:r>
      <w:r w:rsidRPr="000761E9">
        <w:rPr>
          <w:rFonts w:ascii="Times New Roman" w:eastAsia="Times New Roman" w:hAnsi="Times New Roman" w:cs="Times New Roman"/>
          <w:b/>
          <w:bCs/>
          <w:i/>
          <w:iCs/>
          <w:color w:val="047E50"/>
          <w:sz w:val="24"/>
          <w:szCs w:val="24"/>
          <w:lang w:eastAsia="lv-LV"/>
        </w:rPr>
        <w:t xml:space="preserve">neietekmē statistisko uzskaiti, ja </w:t>
      </w:r>
      <w:r w:rsidRPr="000761E9">
        <w:rPr>
          <w:rFonts w:ascii="Times New Roman" w:eastAsia="Times New Roman" w:hAnsi="Times New Roman" w:cs="Times New Roman"/>
          <w:i/>
          <w:iCs/>
          <w:color w:val="047E50"/>
          <w:sz w:val="24"/>
          <w:szCs w:val="24"/>
          <w:lang w:eastAsia="lv-LV"/>
        </w:rPr>
        <w:t>šie ierobežojumi vai izņēmumi attiecas tikai uz Partnera atbildību par notikumiem:</w:t>
      </w:r>
    </w:p>
    <w:p w14:paraId="74CBE519"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3442583A" w14:textId="77777777" w:rsidR="00D43EDD" w:rsidRPr="00C35652" w:rsidRDefault="00D43EDD" w:rsidP="00DC1556">
      <w:pPr>
        <w:pStyle w:val="Sarakstarindkopa"/>
        <w:numPr>
          <w:ilvl w:val="0"/>
          <w:numId w:val="84"/>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C35652">
        <w:rPr>
          <w:rFonts w:ascii="Times New Roman" w:eastAsia="Times New Roman" w:hAnsi="Times New Roman" w:cs="Times New Roman"/>
          <w:i/>
          <w:iCs/>
          <w:color w:val="047E50"/>
          <w:sz w:val="24"/>
          <w:szCs w:val="24"/>
          <w:lang w:eastAsia="lv-LV"/>
        </w:rPr>
        <w:t>kuri ir neparedzami un kurus parasti nesedz apdrošināšana, kas ir balstīta uz komerciāli rentabliem noteikumiem un ir pieejama attiecībā uz aktīvu un pakalpojumu sniegšanu;</w:t>
      </w:r>
    </w:p>
    <w:p w14:paraId="4B9FE394" w14:textId="77777777" w:rsidR="00D43EDD" w:rsidRPr="00C35652" w:rsidRDefault="00D43EDD" w:rsidP="00DC1556">
      <w:pPr>
        <w:pStyle w:val="Sarakstarindkopa"/>
        <w:numPr>
          <w:ilvl w:val="0"/>
          <w:numId w:val="84"/>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C35652">
        <w:rPr>
          <w:rFonts w:ascii="Times New Roman" w:eastAsia="Times New Roman" w:hAnsi="Times New Roman" w:cs="Times New Roman"/>
          <w:i/>
          <w:iCs/>
          <w:color w:val="047E50"/>
          <w:sz w:val="24"/>
          <w:szCs w:val="24"/>
          <w:lang w:eastAsia="lv-LV"/>
        </w:rPr>
        <w:t>kuri rodas tādu jautājumu dēļ, ko pārvalda vai kontrolē Iestāde;</w:t>
      </w:r>
    </w:p>
    <w:p w14:paraId="75662B2E" w14:textId="77777777" w:rsidR="00D43EDD" w:rsidRPr="00C35652" w:rsidRDefault="00D43EDD" w:rsidP="00DC1556">
      <w:pPr>
        <w:pStyle w:val="Sarakstarindkopa"/>
        <w:numPr>
          <w:ilvl w:val="0"/>
          <w:numId w:val="84"/>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C35652">
        <w:rPr>
          <w:rFonts w:ascii="Times New Roman" w:eastAsia="Times New Roman" w:hAnsi="Times New Roman" w:cs="Times New Roman"/>
          <w:i/>
          <w:iCs/>
          <w:color w:val="047E50"/>
          <w:sz w:val="24"/>
          <w:szCs w:val="24"/>
          <w:lang w:eastAsia="lv-LV"/>
        </w:rPr>
        <w:t>kuros Iestādei ir pieejami citi aizsardzības līdzekļi pret Partneri saskaņā ar PPP līgumu vai tiesību aktiem (piemēram, piespiežot Partneri pildīt līgumsaistības attiecībā uz aktīva uzturēšanu un/vai piemērojot atskaitījumus no pamatdarbības maksājumiem).</w:t>
      </w:r>
    </w:p>
    <w:p w14:paraId="0424CCE5" w14:textId="77777777" w:rsidR="00C35652"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13D9C989" w14:textId="586AF61B" w:rsidR="00D43EDD" w:rsidRPr="000761E9"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Partnera sniegt</w:t>
      </w:r>
      <w:r w:rsidR="00BD2475">
        <w:rPr>
          <w:rFonts w:ascii="Times New Roman" w:eastAsia="Times New Roman" w:hAnsi="Times New Roman" w:cs="Times New Roman"/>
          <w:i/>
          <w:iCs/>
          <w:color w:val="047E50"/>
          <w:sz w:val="24"/>
          <w:szCs w:val="24"/>
          <w:lang w:eastAsia="lv-LV"/>
        </w:rPr>
        <w:t>o</w:t>
      </w:r>
      <w:r w:rsidRPr="000761E9">
        <w:rPr>
          <w:rFonts w:ascii="Times New Roman" w:eastAsia="Times New Roman" w:hAnsi="Times New Roman" w:cs="Times New Roman"/>
          <w:i/>
          <w:iCs/>
          <w:color w:val="047E50"/>
          <w:sz w:val="24"/>
          <w:szCs w:val="24"/>
          <w:lang w:eastAsia="lv-LV"/>
        </w:rPr>
        <w:t xml:space="preserve"> </w:t>
      </w:r>
      <w:r w:rsidR="00BD2475">
        <w:rPr>
          <w:rFonts w:ascii="Times New Roman" w:eastAsia="Times New Roman" w:hAnsi="Times New Roman" w:cs="Times New Roman"/>
          <w:i/>
          <w:iCs/>
          <w:color w:val="047E50"/>
          <w:sz w:val="24"/>
          <w:szCs w:val="24"/>
          <w:lang w:eastAsia="lv-LV"/>
        </w:rPr>
        <w:t>kompensāciju</w:t>
      </w:r>
      <w:r w:rsidRPr="000761E9">
        <w:rPr>
          <w:rFonts w:ascii="Times New Roman" w:eastAsia="Times New Roman" w:hAnsi="Times New Roman" w:cs="Times New Roman"/>
          <w:i/>
          <w:iCs/>
          <w:color w:val="047E50"/>
          <w:sz w:val="24"/>
          <w:szCs w:val="24"/>
          <w:lang w:eastAsia="lv-LV"/>
        </w:rPr>
        <w:t xml:space="preserve"> ierobežojumi vai izņēmumi, kas neatbilst iepriekš minētajiem nosacījumiem, statistiskajā uzskaitē ir SVARĪGI.</w:t>
      </w:r>
    </w:p>
    <w:p w14:paraId="12EECD58" w14:textId="77777777" w:rsidR="00C35652" w:rsidRDefault="00C35652" w:rsidP="00D43EDD">
      <w:pPr>
        <w:spacing w:after="0" w:line="240" w:lineRule="auto"/>
        <w:jc w:val="both"/>
        <w:rPr>
          <w:rFonts w:ascii="Times New Roman" w:eastAsia="Times New Roman" w:hAnsi="Times New Roman" w:cs="Times New Roman"/>
          <w:b/>
          <w:bCs/>
          <w:color w:val="231F20"/>
          <w:sz w:val="24"/>
          <w:szCs w:val="24"/>
          <w:lang w:eastAsia="lv-LV"/>
        </w:rPr>
      </w:pPr>
    </w:p>
    <w:p w14:paraId="3CE6B032" w14:textId="49B739FB"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10.3. Iestādes sniegt</w:t>
      </w:r>
      <w:r w:rsidR="00BD2475">
        <w:rPr>
          <w:rFonts w:ascii="Times New Roman" w:eastAsia="Times New Roman" w:hAnsi="Times New Roman" w:cs="Times New Roman"/>
          <w:b/>
          <w:bCs/>
          <w:color w:val="231F20"/>
          <w:sz w:val="24"/>
          <w:szCs w:val="24"/>
          <w:lang w:eastAsia="lv-LV"/>
        </w:rPr>
        <w:t>ās kompensācijas</w:t>
      </w:r>
    </w:p>
    <w:p w14:paraId="170598F7"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60A319F" w14:textId="1B5A0C3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iekļaut</w:t>
      </w:r>
      <w:r w:rsidR="00BD2475">
        <w:rPr>
          <w:rFonts w:ascii="Times New Roman" w:eastAsia="Times New Roman" w:hAnsi="Times New Roman" w:cs="Times New Roman"/>
          <w:color w:val="231F20"/>
          <w:sz w:val="24"/>
          <w:szCs w:val="24"/>
          <w:lang w:eastAsia="lv-LV"/>
        </w:rPr>
        <w:t>a</w:t>
      </w:r>
      <w:r w:rsidRPr="000761E9">
        <w:rPr>
          <w:rFonts w:ascii="Times New Roman" w:eastAsia="Times New Roman" w:hAnsi="Times New Roman" w:cs="Times New Roman"/>
          <w:color w:val="231F20"/>
          <w:sz w:val="24"/>
          <w:szCs w:val="24"/>
          <w:lang w:eastAsia="lv-LV"/>
        </w:rPr>
        <w:t>s Iestādes sniegt</w:t>
      </w:r>
      <w:r w:rsidR="00BD2475">
        <w:rPr>
          <w:rFonts w:ascii="Times New Roman" w:eastAsia="Times New Roman" w:hAnsi="Times New Roman" w:cs="Times New Roman"/>
          <w:color w:val="231F20"/>
          <w:sz w:val="24"/>
          <w:szCs w:val="24"/>
          <w:lang w:eastAsia="lv-LV"/>
        </w:rPr>
        <w:t>a</w:t>
      </w:r>
      <w:r w:rsidRPr="000761E9">
        <w:rPr>
          <w:rFonts w:ascii="Times New Roman" w:eastAsia="Times New Roman" w:hAnsi="Times New Roman" w:cs="Times New Roman"/>
          <w:color w:val="231F20"/>
          <w:sz w:val="24"/>
          <w:szCs w:val="24"/>
          <w:lang w:eastAsia="lv-LV"/>
        </w:rPr>
        <w:t xml:space="preserve">s </w:t>
      </w:r>
      <w:r w:rsidR="00BD2475">
        <w:rPr>
          <w:rFonts w:ascii="Times New Roman" w:eastAsia="Times New Roman" w:hAnsi="Times New Roman" w:cs="Times New Roman"/>
          <w:color w:val="231F20"/>
          <w:sz w:val="24"/>
          <w:szCs w:val="24"/>
          <w:lang w:eastAsia="lv-LV"/>
        </w:rPr>
        <w:t>kompensācijas</w:t>
      </w:r>
      <w:r w:rsidRPr="000761E9">
        <w:rPr>
          <w:rFonts w:ascii="Times New Roman" w:eastAsia="Times New Roman" w:hAnsi="Times New Roman" w:cs="Times New Roman"/>
          <w:color w:val="231F20"/>
          <w:sz w:val="24"/>
          <w:szCs w:val="24"/>
          <w:lang w:eastAsia="lv-LV"/>
        </w:rPr>
        <w:t xml:space="preserve">, kas ir par labu Partnerim, parasti </w:t>
      </w:r>
      <w:r w:rsidR="00BD2475">
        <w:rPr>
          <w:rFonts w:ascii="Times New Roman" w:eastAsia="Times New Roman" w:hAnsi="Times New Roman" w:cs="Times New Roman"/>
          <w:color w:val="231F20"/>
          <w:sz w:val="24"/>
          <w:szCs w:val="24"/>
          <w:lang w:eastAsia="lv-LV"/>
        </w:rPr>
        <w:t>šīs kompensācijas</w:t>
      </w:r>
      <w:r w:rsidRPr="000761E9">
        <w:rPr>
          <w:rFonts w:ascii="Times New Roman" w:eastAsia="Times New Roman" w:hAnsi="Times New Roman" w:cs="Times New Roman"/>
          <w:color w:val="231F20"/>
          <w:sz w:val="24"/>
          <w:szCs w:val="24"/>
          <w:lang w:eastAsia="lv-LV"/>
        </w:rPr>
        <w:t xml:space="preserve"> attiecas uz zaudējumiem un prasībām, kas radušies:</w:t>
      </w:r>
    </w:p>
    <w:p w14:paraId="78D3C278"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1FC78FC9" w14:textId="77777777" w:rsidR="00D43EDD" w:rsidRPr="00C35652" w:rsidRDefault="00D43EDD" w:rsidP="00DC1556">
      <w:pPr>
        <w:pStyle w:val="Sarakstarindkopa"/>
        <w:numPr>
          <w:ilvl w:val="0"/>
          <w:numId w:val="8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nāves gadījumu vai miesas bojājumu dēļ;</w:t>
      </w:r>
    </w:p>
    <w:p w14:paraId="534C6F0F" w14:textId="77777777" w:rsidR="00D43EDD" w:rsidRPr="00C35652" w:rsidRDefault="00D43EDD" w:rsidP="00DC1556">
      <w:pPr>
        <w:pStyle w:val="Sarakstarindkopa"/>
        <w:numPr>
          <w:ilvl w:val="0"/>
          <w:numId w:val="85"/>
        </w:numPr>
        <w:spacing w:after="0" w:line="240" w:lineRule="auto"/>
        <w:ind w:left="709" w:hanging="283"/>
        <w:jc w:val="both"/>
        <w:rPr>
          <w:rFonts w:ascii="Times New Roman" w:eastAsia="Times New Roman" w:hAnsi="Times New Roman" w:cs="Times New Roman"/>
          <w:color w:val="231F20"/>
          <w:sz w:val="24"/>
          <w:szCs w:val="24"/>
          <w:lang w:eastAsia="lv-LV"/>
        </w:rPr>
      </w:pPr>
      <w:r w:rsidRPr="00C35652">
        <w:rPr>
          <w:rFonts w:ascii="Times New Roman" w:eastAsia="Times New Roman" w:hAnsi="Times New Roman" w:cs="Times New Roman"/>
          <w:color w:val="231F20"/>
          <w:sz w:val="24"/>
          <w:szCs w:val="24"/>
          <w:lang w:eastAsia="lv-LV"/>
        </w:rPr>
        <w:t>īpašuma bojāšanas dēļ,</w:t>
      </w:r>
    </w:p>
    <w:p w14:paraId="7DC4EBF7"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55510CC2" w14:textId="6ED85F1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gadījumā, ko izraisījusi Iestāde vai puses, kuras Iestāde kontrolē vai pārvalda.</w:t>
      </w:r>
    </w:p>
    <w:p w14:paraId="5C42DB17" w14:textId="77777777" w:rsidR="00C35652"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7A21CE5A" w14:textId="281BFB3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Iestādes sniegt</w:t>
      </w:r>
      <w:r w:rsidR="00BD2475">
        <w:rPr>
          <w:rFonts w:ascii="Times New Roman" w:eastAsia="Times New Roman" w:hAnsi="Times New Roman" w:cs="Times New Roman"/>
          <w:color w:val="231F20"/>
          <w:sz w:val="24"/>
          <w:szCs w:val="24"/>
          <w:lang w:eastAsia="lv-LV"/>
        </w:rPr>
        <w:t>ās</w:t>
      </w:r>
      <w:r w:rsidRPr="000761E9">
        <w:rPr>
          <w:rFonts w:ascii="Times New Roman" w:eastAsia="Times New Roman" w:hAnsi="Times New Roman" w:cs="Times New Roman"/>
          <w:color w:val="231F20"/>
          <w:sz w:val="24"/>
          <w:szCs w:val="24"/>
          <w:lang w:eastAsia="lv-LV"/>
        </w:rPr>
        <w:t xml:space="preserve"> </w:t>
      </w:r>
      <w:r w:rsidR="00BD2475">
        <w:rPr>
          <w:rFonts w:ascii="Times New Roman" w:eastAsia="Times New Roman" w:hAnsi="Times New Roman" w:cs="Times New Roman"/>
          <w:color w:val="231F20"/>
          <w:sz w:val="24"/>
          <w:szCs w:val="24"/>
          <w:lang w:eastAsia="lv-LV"/>
        </w:rPr>
        <w:t>kompensācijas</w:t>
      </w:r>
      <w:r w:rsidRPr="000761E9">
        <w:rPr>
          <w:rFonts w:ascii="Times New Roman" w:eastAsia="Times New Roman" w:hAnsi="Times New Roman" w:cs="Times New Roman"/>
          <w:color w:val="231F20"/>
          <w:sz w:val="24"/>
          <w:szCs w:val="24"/>
          <w:lang w:eastAsia="lv-LV"/>
        </w:rPr>
        <w:t xml:space="preserve"> neattiecas uz tādiem zaudējumiem un prasībām, kas radušies Partnera darbības dēļ vai ko jāsedz PPP līgumā paredzētajai apdrošināšanai.</w:t>
      </w:r>
    </w:p>
    <w:p w14:paraId="56E45B30" w14:textId="5480FC7D" w:rsidR="00BD2475" w:rsidRDefault="00BD2475">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73633840" w14:textId="77777777" w:rsidR="00C35652" w:rsidRPr="000761E9" w:rsidRDefault="00C35652" w:rsidP="00D43EDD">
      <w:pPr>
        <w:spacing w:after="0" w:line="240" w:lineRule="auto"/>
        <w:jc w:val="both"/>
        <w:rPr>
          <w:rFonts w:ascii="Times New Roman" w:eastAsia="Times New Roman" w:hAnsi="Times New Roman" w:cs="Times New Roman"/>
          <w:color w:val="231F20"/>
          <w:sz w:val="24"/>
          <w:szCs w:val="24"/>
          <w:lang w:eastAsia="lv-LV"/>
        </w:rPr>
      </w:pPr>
    </w:p>
    <w:p w14:paraId="6C5BA45F"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3B2027B" w14:textId="77777777" w:rsidR="00C35652"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1342792B" w14:textId="0FC21257" w:rsidR="00D43EDD"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 xml:space="preserve">Eurostat uzskata, ka Iestādes </w:t>
      </w:r>
      <w:r w:rsidR="00BD2475">
        <w:rPr>
          <w:rFonts w:ascii="Times New Roman" w:eastAsia="Times New Roman" w:hAnsi="Times New Roman" w:cs="Times New Roman"/>
          <w:i/>
          <w:iCs/>
          <w:color w:val="047E50"/>
          <w:sz w:val="24"/>
          <w:szCs w:val="24"/>
          <w:lang w:eastAsia="lv-LV"/>
        </w:rPr>
        <w:t>kompensāciju</w:t>
      </w:r>
      <w:r w:rsidRPr="000761E9">
        <w:rPr>
          <w:rFonts w:ascii="Times New Roman" w:eastAsia="Times New Roman" w:hAnsi="Times New Roman" w:cs="Times New Roman"/>
          <w:i/>
          <w:iCs/>
          <w:color w:val="047E50"/>
          <w:sz w:val="24"/>
          <w:szCs w:val="24"/>
          <w:lang w:eastAsia="lv-LV"/>
        </w:rPr>
        <w:t xml:space="preserve"> sniegšana Partnerim iepriekš aprakstītajā veidā </w:t>
      </w:r>
      <w:r w:rsidRPr="000761E9">
        <w:rPr>
          <w:rFonts w:ascii="Times New Roman" w:eastAsia="Times New Roman" w:hAnsi="Times New Roman" w:cs="Times New Roman"/>
          <w:b/>
          <w:bCs/>
          <w:i/>
          <w:iCs/>
          <w:color w:val="047E50"/>
          <w:sz w:val="24"/>
          <w:szCs w:val="24"/>
          <w:lang w:eastAsia="lv-LV"/>
        </w:rPr>
        <w:t>neietekmē statistisko uzskaiti</w:t>
      </w:r>
      <w:r w:rsidRPr="000761E9">
        <w:rPr>
          <w:rFonts w:ascii="Times New Roman" w:eastAsia="Times New Roman" w:hAnsi="Times New Roman" w:cs="Times New Roman"/>
          <w:i/>
          <w:iCs/>
          <w:color w:val="047E50"/>
          <w:sz w:val="24"/>
          <w:szCs w:val="24"/>
          <w:lang w:eastAsia="lv-LV"/>
        </w:rPr>
        <w:t>.</w:t>
      </w:r>
    </w:p>
    <w:p w14:paraId="0632D0FB" w14:textId="77777777" w:rsidR="00C35652" w:rsidRPr="000761E9" w:rsidRDefault="00C35652" w:rsidP="00D43EDD">
      <w:pPr>
        <w:spacing w:after="0" w:line="240" w:lineRule="auto"/>
        <w:jc w:val="both"/>
        <w:rPr>
          <w:rFonts w:ascii="Times New Roman" w:eastAsia="Times New Roman" w:hAnsi="Times New Roman" w:cs="Times New Roman"/>
          <w:sz w:val="24"/>
          <w:szCs w:val="24"/>
          <w:lang w:eastAsia="lv-LV"/>
        </w:rPr>
      </w:pPr>
    </w:p>
    <w:p w14:paraId="4114ADBF" w14:textId="29BCB4AD" w:rsidR="00D43EDD" w:rsidRDefault="00D43EDD" w:rsidP="00D43EDD">
      <w:pPr>
        <w:spacing w:after="0" w:line="240" w:lineRule="auto"/>
        <w:jc w:val="both"/>
        <w:rPr>
          <w:rFonts w:ascii="Times New Roman" w:eastAsia="Times New Roman" w:hAnsi="Times New Roman" w:cs="Times New Roman"/>
          <w:i/>
          <w:iCs/>
          <w:color w:val="047E50"/>
          <w:sz w:val="24"/>
          <w:szCs w:val="24"/>
          <w:lang w:eastAsia="lv-LV"/>
        </w:rPr>
      </w:pPr>
      <w:r w:rsidRPr="000761E9">
        <w:rPr>
          <w:rFonts w:ascii="Times New Roman" w:eastAsia="Times New Roman" w:hAnsi="Times New Roman" w:cs="Times New Roman"/>
          <w:i/>
          <w:iCs/>
          <w:color w:val="047E50"/>
          <w:sz w:val="24"/>
          <w:szCs w:val="24"/>
          <w:lang w:eastAsia="lv-LV"/>
        </w:rPr>
        <w:t xml:space="preserve">Tomēr Eurostat uzskata, ka Iestādes </w:t>
      </w:r>
      <w:r w:rsidR="00BD2475">
        <w:rPr>
          <w:rFonts w:ascii="Times New Roman" w:eastAsia="Times New Roman" w:hAnsi="Times New Roman" w:cs="Times New Roman"/>
          <w:i/>
          <w:iCs/>
          <w:color w:val="047E50"/>
          <w:sz w:val="24"/>
          <w:szCs w:val="24"/>
          <w:lang w:eastAsia="lv-LV"/>
        </w:rPr>
        <w:t>kompensāciju</w:t>
      </w:r>
      <w:r w:rsidRPr="000761E9">
        <w:rPr>
          <w:rFonts w:ascii="Times New Roman" w:eastAsia="Times New Roman" w:hAnsi="Times New Roman" w:cs="Times New Roman"/>
          <w:i/>
          <w:iCs/>
          <w:color w:val="047E50"/>
          <w:sz w:val="24"/>
          <w:szCs w:val="24"/>
          <w:lang w:eastAsia="lv-LV"/>
        </w:rPr>
        <w:t xml:space="preserve"> sniegšana Partnerim attiecībā uz jebkuriem citiem riskiem, kas nav saistīti ar</w:t>
      </w:r>
    </w:p>
    <w:p w14:paraId="07F5EBB9" w14:textId="77777777" w:rsidR="00C35652" w:rsidRPr="000761E9" w:rsidRDefault="00C35652" w:rsidP="00D43EDD">
      <w:pPr>
        <w:spacing w:after="0" w:line="240" w:lineRule="auto"/>
        <w:jc w:val="both"/>
        <w:rPr>
          <w:rFonts w:ascii="Times New Roman" w:eastAsia="Times New Roman" w:hAnsi="Times New Roman" w:cs="Times New Roman"/>
          <w:i/>
          <w:iCs/>
          <w:color w:val="047E50"/>
          <w:sz w:val="24"/>
          <w:szCs w:val="24"/>
          <w:lang w:eastAsia="lv-LV"/>
        </w:rPr>
      </w:pPr>
    </w:p>
    <w:p w14:paraId="11C384BA" w14:textId="77777777" w:rsidR="00D43EDD" w:rsidRPr="006A1C4C" w:rsidRDefault="00D43EDD" w:rsidP="00DC1556">
      <w:pPr>
        <w:pStyle w:val="Sarakstarindkopa"/>
        <w:numPr>
          <w:ilvl w:val="0"/>
          <w:numId w:val="86"/>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6A1C4C">
        <w:rPr>
          <w:rFonts w:ascii="Times New Roman" w:eastAsia="Times New Roman" w:hAnsi="Times New Roman" w:cs="Times New Roman"/>
          <w:i/>
          <w:iCs/>
          <w:color w:val="047E50"/>
          <w:sz w:val="24"/>
          <w:szCs w:val="24"/>
          <w:lang w:eastAsia="lv-LV"/>
        </w:rPr>
        <w:t>pašas Iestādes darbību vai bezdarbību;</w:t>
      </w:r>
    </w:p>
    <w:p w14:paraId="4777934E" w14:textId="77777777" w:rsidR="00D43EDD" w:rsidRPr="006A1C4C" w:rsidRDefault="00D43EDD" w:rsidP="00DC1556">
      <w:pPr>
        <w:pStyle w:val="Sarakstarindkopa"/>
        <w:numPr>
          <w:ilvl w:val="0"/>
          <w:numId w:val="86"/>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6A1C4C">
        <w:rPr>
          <w:rFonts w:ascii="Times New Roman" w:eastAsia="Times New Roman" w:hAnsi="Times New Roman" w:cs="Times New Roman"/>
          <w:i/>
          <w:iCs/>
          <w:color w:val="047E50"/>
          <w:sz w:val="24"/>
          <w:szCs w:val="24"/>
          <w:lang w:eastAsia="lv-LV"/>
        </w:rPr>
        <w:t>Iestādes pārvaldītas vai kontrolētas trešās personas darbību vai bezdarbību;</w:t>
      </w:r>
    </w:p>
    <w:p w14:paraId="288CE0E7" w14:textId="77777777" w:rsidR="00D43EDD" w:rsidRPr="006A1C4C" w:rsidRDefault="00D43EDD" w:rsidP="00DC1556">
      <w:pPr>
        <w:pStyle w:val="Sarakstarindkopa"/>
        <w:numPr>
          <w:ilvl w:val="0"/>
          <w:numId w:val="86"/>
        </w:numPr>
        <w:spacing w:after="0" w:line="240" w:lineRule="auto"/>
        <w:ind w:left="709" w:hanging="283"/>
        <w:jc w:val="both"/>
        <w:rPr>
          <w:rFonts w:ascii="Times New Roman" w:eastAsia="Times New Roman" w:hAnsi="Times New Roman" w:cs="Times New Roman"/>
          <w:i/>
          <w:iCs/>
          <w:color w:val="047E50"/>
          <w:sz w:val="24"/>
          <w:szCs w:val="24"/>
          <w:lang w:eastAsia="lv-LV"/>
        </w:rPr>
      </w:pPr>
      <w:r w:rsidRPr="006A1C4C">
        <w:rPr>
          <w:rFonts w:ascii="Times New Roman" w:eastAsia="Times New Roman" w:hAnsi="Times New Roman" w:cs="Times New Roman"/>
          <w:i/>
          <w:iCs/>
          <w:color w:val="047E50"/>
          <w:sz w:val="24"/>
          <w:szCs w:val="24"/>
          <w:lang w:eastAsia="lv-LV"/>
        </w:rPr>
        <w:t>riskiem, kurus saskaņā ar šo rokasgrāmatu var uzņemties Iestāde, neietekmējot statistisko uzskaiti (piemēram, 6. tematā aprakstīto neparedzamu pamatapstākļu risku),</w:t>
      </w:r>
    </w:p>
    <w:p w14:paraId="43B99234" w14:textId="77777777" w:rsidR="006A1C4C" w:rsidRDefault="006A1C4C" w:rsidP="00D43EDD">
      <w:pPr>
        <w:spacing w:after="0" w:line="240" w:lineRule="auto"/>
        <w:jc w:val="both"/>
        <w:rPr>
          <w:rFonts w:ascii="Times New Roman" w:eastAsia="Times New Roman" w:hAnsi="Times New Roman" w:cs="Times New Roman"/>
          <w:b/>
          <w:bCs/>
          <w:i/>
          <w:iCs/>
          <w:color w:val="047E50"/>
          <w:sz w:val="24"/>
          <w:szCs w:val="24"/>
          <w:lang w:eastAsia="lv-LV"/>
        </w:rPr>
      </w:pPr>
    </w:p>
    <w:p w14:paraId="7A84B365" w14:textId="37794E31"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b/>
          <w:bCs/>
          <w:i/>
          <w:iCs/>
          <w:color w:val="047E50"/>
          <w:sz w:val="24"/>
          <w:szCs w:val="24"/>
          <w:lang w:eastAsia="lv-LV"/>
        </w:rPr>
        <w:t xml:space="preserve">ietekmē statistisko uzskaiti </w:t>
      </w:r>
      <w:r w:rsidRPr="000761E9">
        <w:rPr>
          <w:rFonts w:ascii="Times New Roman" w:eastAsia="Times New Roman" w:hAnsi="Times New Roman" w:cs="Times New Roman"/>
          <w:i/>
          <w:iCs/>
          <w:color w:val="047E50"/>
          <w:sz w:val="24"/>
          <w:szCs w:val="24"/>
          <w:lang w:eastAsia="lv-LV"/>
        </w:rPr>
        <w:t>un ir SVARĪGS jautājums.</w:t>
      </w:r>
    </w:p>
    <w:p w14:paraId="1FC8733A" w14:textId="0BE575B8" w:rsidR="006A1C4C" w:rsidRDefault="006A1C4C">
      <w:pPr>
        <w:rPr>
          <w:rFonts w:ascii="Times New Roman" w:eastAsia="Times New Roman" w:hAnsi="Times New Roman" w:cs="Times New Roman"/>
          <w:b/>
          <w:bCs/>
          <w:color w:val="4974B9"/>
          <w:sz w:val="24"/>
          <w:szCs w:val="24"/>
          <w:lang w:eastAsia="lv-LV"/>
        </w:rPr>
      </w:pPr>
      <w:r>
        <w:rPr>
          <w:rFonts w:ascii="Times New Roman" w:eastAsia="Times New Roman" w:hAnsi="Times New Roman" w:cs="Times New Roman"/>
          <w:b/>
          <w:bCs/>
          <w:color w:val="4974B9"/>
          <w:sz w:val="24"/>
          <w:szCs w:val="24"/>
          <w:lang w:eastAsia="lv-LV"/>
        </w:rPr>
        <w:br w:type="page"/>
      </w:r>
    </w:p>
    <w:p w14:paraId="7CE1B93B" w14:textId="77777777" w:rsidR="006A1C4C" w:rsidRDefault="006A1C4C" w:rsidP="00D43EDD">
      <w:pPr>
        <w:spacing w:after="0" w:line="240" w:lineRule="auto"/>
        <w:jc w:val="both"/>
        <w:rPr>
          <w:rFonts w:ascii="Times New Roman" w:eastAsia="Times New Roman" w:hAnsi="Times New Roman" w:cs="Times New Roman"/>
          <w:b/>
          <w:bCs/>
          <w:color w:val="4974B9"/>
          <w:sz w:val="24"/>
          <w:szCs w:val="24"/>
          <w:lang w:eastAsia="lv-LV"/>
        </w:rPr>
      </w:pPr>
    </w:p>
    <w:p w14:paraId="5544708C" w14:textId="412ABE04" w:rsidR="00D43EDD" w:rsidRPr="00586FD8" w:rsidRDefault="00D43EDD" w:rsidP="00586FD8">
      <w:pPr>
        <w:pStyle w:val="Virsraksts1"/>
        <w:rPr>
          <w:rFonts w:eastAsia="Times New Roman"/>
          <w:b w:val="0"/>
          <w:color w:val="auto"/>
          <w:szCs w:val="28"/>
          <w:lang w:eastAsia="lv-LV"/>
        </w:rPr>
      </w:pPr>
      <w:bookmarkStart w:id="16" w:name="_Toc528941580"/>
      <w:r w:rsidRPr="000761E9">
        <w:rPr>
          <w:rFonts w:eastAsia="Times New Roman"/>
          <w:color w:val="4974B9"/>
          <w:lang w:eastAsia="lv-LV"/>
        </w:rPr>
        <w:t xml:space="preserve">11. temats. </w:t>
      </w:r>
      <w:r w:rsidRPr="00586FD8">
        <w:rPr>
          <w:rFonts w:eastAsia="Times New Roman"/>
          <w:b w:val="0"/>
          <w:color w:val="auto"/>
          <w:szCs w:val="28"/>
          <w:lang w:eastAsia="lv-LV"/>
        </w:rPr>
        <w:t>PPP līguma darbības izbeigšana pirms termiņa</w:t>
      </w:r>
      <w:bookmarkEnd w:id="16"/>
    </w:p>
    <w:p w14:paraId="67B9D2F6"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4C2FF4C" w14:textId="5EDF09E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līgumu darbību pirms termiņa var izbeigt šādu iemeslu dēļ:</w:t>
      </w:r>
    </w:p>
    <w:p w14:paraId="2D8B90ED"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D46B0C0" w14:textId="77777777" w:rsidR="00D43EDD" w:rsidRPr="006A1C4C" w:rsidRDefault="00D43EDD" w:rsidP="00DC1556">
      <w:pPr>
        <w:pStyle w:val="Sarakstarindkopa"/>
        <w:numPr>
          <w:ilvl w:val="0"/>
          <w:numId w:val="87"/>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saistību neizpilde;</w:t>
      </w:r>
    </w:p>
    <w:p w14:paraId="0ADAEE7F" w14:textId="77777777" w:rsidR="00D43EDD" w:rsidRPr="006A1C4C" w:rsidRDefault="00D43EDD" w:rsidP="00DC1556">
      <w:pPr>
        <w:pStyle w:val="Sarakstarindkopa"/>
        <w:numPr>
          <w:ilvl w:val="0"/>
          <w:numId w:val="87"/>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Iestādes saistību neizpilde;</w:t>
      </w:r>
    </w:p>
    <w:p w14:paraId="6344DA02" w14:textId="77777777" w:rsidR="00D43EDD" w:rsidRPr="006A1C4C" w:rsidRDefault="00D43EDD" w:rsidP="00DC1556">
      <w:pPr>
        <w:pStyle w:val="Sarakstarindkopa"/>
        <w:numPr>
          <w:ilvl w:val="0"/>
          <w:numId w:val="87"/>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vienpusējs (vai brīvprātīgs) Iestādes lēmums;</w:t>
      </w:r>
    </w:p>
    <w:p w14:paraId="5376ABD5" w14:textId="77777777" w:rsidR="00D43EDD" w:rsidRPr="006A1C4C" w:rsidRDefault="00D43EDD" w:rsidP="00DC1556">
      <w:pPr>
        <w:pStyle w:val="Sarakstarindkopa"/>
        <w:numPr>
          <w:ilvl w:val="0"/>
          <w:numId w:val="87"/>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plašs un ilgstošs nepārvaramas varas notikums;</w:t>
      </w:r>
    </w:p>
    <w:p w14:paraId="5944270A" w14:textId="77777777" w:rsidR="00D43EDD" w:rsidRPr="006A1C4C" w:rsidRDefault="00D43EDD" w:rsidP="00DC1556">
      <w:pPr>
        <w:pStyle w:val="Sarakstarindkopa"/>
        <w:numPr>
          <w:ilvl w:val="0"/>
          <w:numId w:val="87"/>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neapdrošināmība vai neapdrošināma riska gadījums.</w:t>
      </w:r>
    </w:p>
    <w:p w14:paraId="62BD0128" w14:textId="77777777" w:rsidR="006A1C4C" w:rsidRDefault="006A1C4C" w:rsidP="00D43EDD">
      <w:pPr>
        <w:spacing w:after="0" w:line="240" w:lineRule="auto"/>
        <w:jc w:val="both"/>
        <w:rPr>
          <w:rFonts w:ascii="Times New Roman" w:eastAsia="Times New Roman" w:hAnsi="Times New Roman" w:cs="Times New Roman"/>
          <w:b/>
          <w:bCs/>
          <w:color w:val="231F20"/>
          <w:sz w:val="24"/>
          <w:szCs w:val="24"/>
          <w:lang w:eastAsia="lv-LV"/>
        </w:rPr>
      </w:pPr>
    </w:p>
    <w:p w14:paraId="13D2A55C" w14:textId="5E439BC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11.1. Līguma darbības izbeigšana Partnera saistību neizpildes dēļ</w:t>
      </w:r>
    </w:p>
    <w:p w14:paraId="5D095DD9"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146A5FB3" w14:textId="4B6242A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uzskaita Partnera saistību neizpildes gadījumus, kuros Iestādei ir tiesības (bet ne pienākums) izbeigt līguma darbību. Šajā sarakstā parasti iekļauj šādus gadījumus:</w:t>
      </w:r>
    </w:p>
    <w:p w14:paraId="13A3949A"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48CAB73B"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maksātnespēja/bankrots;</w:t>
      </w:r>
    </w:p>
    <w:p w14:paraId="043862F5"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nespēja sasniegt noteiktas būvniecības starpposma vērtības;</w:t>
      </w:r>
    </w:p>
    <w:p w14:paraId="61B285BD"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nespēja sniegt pakalpojumus atbilstoši saskaņotajiem standartiem;</w:t>
      </w:r>
    </w:p>
    <w:p w14:paraId="56DAE7EB"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nespēja iegūt projektam nepieciešamo apdrošināšanu;</w:t>
      </w:r>
    </w:p>
    <w:p w14:paraId="459DF3BD"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Partnera izdarīts īpašumtiesību izmaiņu vai līguma nodošanas ierobežojumu pārkāpums;</w:t>
      </w:r>
    </w:p>
    <w:p w14:paraId="264D1B17"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būtisks Partnera izdarīts PPP līguma pārkāpums;</w:t>
      </w:r>
    </w:p>
    <w:p w14:paraId="7D0F3DDF"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negodīga vai krāpnieciska Partnera rīcība;</w:t>
      </w:r>
    </w:p>
    <w:p w14:paraId="518662BA" w14:textId="77777777" w:rsidR="00D43EDD" w:rsidRPr="006A1C4C" w:rsidRDefault="00D43EDD" w:rsidP="00DC1556">
      <w:pPr>
        <w:pStyle w:val="Sarakstarindkopa"/>
        <w:numPr>
          <w:ilvl w:val="0"/>
          <w:numId w:val="88"/>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retos gadījumos augstākas prioritātes aizņēmuma līgumā paredzēto Partnera saistību būtiska neizpilde.</w:t>
      </w:r>
    </w:p>
    <w:p w14:paraId="642B2AF4"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5EDB2B0B" w14:textId="590A90A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izmanto plašu vai vispārīgu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14:paraId="055D75C6"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5CB1624" w14:textId="6D7BEB7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līgumā var noteikt ierobežotu periodu, kurā Partnerim ir jāizpilda attiecīgās saistības vai jānovērš apstākļi, kuru dēļ šīs saistības nav pildītas, lai Iestāde neizbeigtu līguma darbību. Parasti tas ir atkarīgs no saistību neizpildes smaguma pakāpes vai veida (piemēram, vai Partneris ir spējīgs izpildīt attiecīgās saistības).</w:t>
      </w:r>
    </w:p>
    <w:p w14:paraId="46063450"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15CB425" w14:textId="7711BE7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Iestādei, īstenojot tiesības izbeigt PPP līguma darbību Partnera saistību neizpildes dēļ, ir jāņem vērā augstākās prioritātes aizdevēju tiesības iejaukties PPP līgumā, lai censtos novērst saistību neizpildi un nepieļaut līguma darbības izbeigšanu (sk. 14.8. tematu).</w:t>
      </w:r>
    </w:p>
    <w:p w14:paraId="7EC5FB61"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6866DF6"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24423AA" w14:textId="77777777" w:rsidR="006A1C4C"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02CADF88" w14:textId="0B18EBA8"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Eurostat uzskata, ka noteikumi, kuros ir norādīti apstākļi un kārtība, kādā Iestāde var izbeigt PPP līguma darbību Partnera saistību neizpildes dēļ, tostarp</w:t>
      </w:r>
    </w:p>
    <w:p w14:paraId="561536AB"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3A7B4F3B" w14:textId="77777777" w:rsidR="00D43EDD" w:rsidRPr="006A1C4C" w:rsidRDefault="00D43EDD" w:rsidP="00DC1556">
      <w:pPr>
        <w:pStyle w:val="Sarakstarindkopa"/>
        <w:numPr>
          <w:ilvl w:val="0"/>
          <w:numId w:val="89"/>
        </w:numPr>
        <w:spacing w:after="0" w:line="240" w:lineRule="auto"/>
        <w:ind w:left="709" w:hanging="283"/>
        <w:jc w:val="both"/>
        <w:rPr>
          <w:rFonts w:ascii="Times New Roman" w:eastAsia="Times New Roman" w:hAnsi="Times New Roman" w:cs="Times New Roman"/>
          <w:i/>
          <w:iCs/>
          <w:color w:val="4974B9"/>
          <w:sz w:val="24"/>
          <w:szCs w:val="24"/>
          <w:lang w:eastAsia="lv-LV"/>
        </w:rPr>
      </w:pPr>
      <w:r w:rsidRPr="006A1C4C">
        <w:rPr>
          <w:rFonts w:ascii="Times New Roman" w:eastAsia="Times New Roman" w:hAnsi="Times New Roman" w:cs="Times New Roman"/>
          <w:i/>
          <w:iCs/>
          <w:color w:val="4974B9"/>
          <w:sz w:val="24"/>
          <w:szCs w:val="24"/>
          <w:lang w:eastAsia="lv-LV"/>
        </w:rPr>
        <w:t>līguma darbības izbeigšanas iemeslu definīcija (un tas, vai šie iemesli ir uzskaitīti vai definēti vispārīgāk);</w:t>
      </w:r>
    </w:p>
    <w:p w14:paraId="0DB37681" w14:textId="77777777" w:rsidR="00D43EDD" w:rsidRPr="006A1C4C" w:rsidRDefault="00D43EDD" w:rsidP="00DC1556">
      <w:pPr>
        <w:pStyle w:val="Sarakstarindkopa"/>
        <w:numPr>
          <w:ilvl w:val="0"/>
          <w:numId w:val="89"/>
        </w:numPr>
        <w:spacing w:after="0" w:line="240" w:lineRule="auto"/>
        <w:ind w:left="709" w:hanging="283"/>
        <w:jc w:val="both"/>
        <w:rPr>
          <w:rFonts w:ascii="Times New Roman" w:eastAsia="Times New Roman" w:hAnsi="Times New Roman" w:cs="Times New Roman"/>
          <w:i/>
          <w:iCs/>
          <w:color w:val="4974B9"/>
          <w:sz w:val="24"/>
          <w:szCs w:val="24"/>
          <w:lang w:eastAsia="lv-LV"/>
        </w:rPr>
      </w:pPr>
      <w:r w:rsidRPr="006A1C4C">
        <w:rPr>
          <w:rFonts w:ascii="Times New Roman" w:eastAsia="Times New Roman" w:hAnsi="Times New Roman" w:cs="Times New Roman"/>
          <w:i/>
          <w:iCs/>
          <w:color w:val="4974B9"/>
          <w:sz w:val="24"/>
          <w:szCs w:val="24"/>
          <w:lang w:eastAsia="lv-LV"/>
        </w:rPr>
        <w:lastRenderedPageBreak/>
        <w:t>apstākļi, kuros Partnerim var vai nevar sniegt iespēju izpildīt attiecīgās saistības, un, ja tāda sniegta, izpildei atvēlētais laiks,</w:t>
      </w:r>
    </w:p>
    <w:p w14:paraId="3761B122" w14:textId="77777777" w:rsidR="006A1C4C" w:rsidRDefault="006A1C4C" w:rsidP="00D43EDD">
      <w:pPr>
        <w:spacing w:after="0" w:line="240" w:lineRule="auto"/>
        <w:jc w:val="both"/>
        <w:rPr>
          <w:rFonts w:ascii="Times New Roman" w:eastAsia="Times New Roman" w:hAnsi="Times New Roman" w:cs="Times New Roman"/>
          <w:b/>
          <w:bCs/>
          <w:i/>
          <w:iCs/>
          <w:color w:val="4974B9"/>
          <w:sz w:val="24"/>
          <w:szCs w:val="24"/>
          <w:lang w:eastAsia="lv-LV"/>
        </w:rPr>
      </w:pPr>
    </w:p>
    <w:p w14:paraId="0187E28E" w14:textId="1504FE38"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b/>
          <w:bCs/>
          <w:i/>
          <w:iCs/>
          <w:color w:val="4974B9"/>
          <w:sz w:val="24"/>
          <w:szCs w:val="24"/>
          <w:lang w:eastAsia="lv-LV"/>
        </w:rPr>
        <w:t>neietekmē statistisko uzskaiti</w:t>
      </w:r>
      <w:r w:rsidRPr="000761E9">
        <w:rPr>
          <w:rFonts w:ascii="Times New Roman" w:eastAsia="Times New Roman" w:hAnsi="Times New Roman" w:cs="Times New Roman"/>
          <w:i/>
          <w:iCs/>
          <w:color w:val="4974B9"/>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974B9"/>
          <w:sz w:val="24"/>
          <w:szCs w:val="24"/>
          <w:lang w:eastAsia="lv-LV"/>
        </w:rPr>
        <w:t>Tomēr atsevišķi ir jāizvērtē noteikumi par kompensāciju, ko Iestādei var nākties maksāt, ja tā pirms termiņa izbeigs PPP līguma darbību Partnera saistību neizpildes dēļ (sk. 12.1. tematu).</w:t>
      </w:r>
    </w:p>
    <w:p w14:paraId="7B9969BB"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2783FDD9"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11.2. Līguma darbības izbeigšana Iestādes saistību neizpildes dēļ</w:t>
      </w:r>
    </w:p>
    <w:p w14:paraId="32ED0573"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6D297AE5" w14:textId="49F6D0D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parasti uzskaita Iestādes saistību neizpildes gadījumus, kuros Partnerim ir tiesības (bet ne pienākums) izbeigt līguma darbību. Šajā sarakstā parasti iekļaus šādus gadījumus:</w:t>
      </w:r>
    </w:p>
    <w:p w14:paraId="1CB592B5"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57DBFAB7" w14:textId="77777777" w:rsidR="00D43EDD" w:rsidRPr="006A1C4C" w:rsidRDefault="00D43EDD" w:rsidP="00DC1556">
      <w:pPr>
        <w:pStyle w:val="Sarakstarindkopa"/>
        <w:numPr>
          <w:ilvl w:val="0"/>
          <w:numId w:val="90"/>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Iestāde nav veikusi Partnerim pienākošos maksājumus;</w:t>
      </w:r>
    </w:p>
    <w:p w14:paraId="5FA3AE37" w14:textId="77777777" w:rsidR="00D43EDD" w:rsidRPr="006A1C4C" w:rsidRDefault="00D43EDD" w:rsidP="00DC1556">
      <w:pPr>
        <w:pStyle w:val="Sarakstarindkopa"/>
        <w:numPr>
          <w:ilvl w:val="0"/>
          <w:numId w:val="90"/>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Iestādes izdarīts līguma pārkāpums, kura dēļ Partneris nevar izpildīt savas saistības;</w:t>
      </w:r>
    </w:p>
    <w:p w14:paraId="5483FF99" w14:textId="77777777" w:rsidR="00D43EDD" w:rsidRPr="006A1C4C" w:rsidRDefault="00D43EDD" w:rsidP="00DC1556">
      <w:pPr>
        <w:pStyle w:val="Sarakstarindkopa"/>
        <w:numPr>
          <w:ilvl w:val="0"/>
          <w:numId w:val="90"/>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Iestāde ir atsavinājusi vai konfiscējusi aktīvu vai Partnera uzņēmumu;</w:t>
      </w:r>
    </w:p>
    <w:p w14:paraId="57ABF5F9" w14:textId="77777777" w:rsidR="00D43EDD" w:rsidRPr="006A1C4C" w:rsidRDefault="00D43EDD" w:rsidP="00DC1556">
      <w:pPr>
        <w:pStyle w:val="Sarakstarindkopa"/>
        <w:numPr>
          <w:ilvl w:val="0"/>
          <w:numId w:val="90"/>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Iestāde ir pārkāpusi ierobežojumus, kas noteikti tās tiesībām nodot līgumu;</w:t>
      </w:r>
    </w:p>
    <w:p w14:paraId="04DC03FD" w14:textId="77777777" w:rsidR="00D43EDD" w:rsidRPr="006A1C4C" w:rsidRDefault="00D43EDD" w:rsidP="00DC1556">
      <w:pPr>
        <w:pStyle w:val="Sarakstarindkopa"/>
        <w:numPr>
          <w:ilvl w:val="0"/>
          <w:numId w:val="90"/>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dažos gadījumos Iestādes kredītvērtējuma vai juridiskā statusa izmaiņas.</w:t>
      </w:r>
    </w:p>
    <w:p w14:paraId="68A601AE"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E5CEDA1" w14:textId="434A5A1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Iestādes saistību neizpildes definīcija ir plaša, bieži vien balstās uz būtiskuma pārbaudi, lai līguma darbību pirms termiņa varētu pārtraukt tikai tad, ja saistību neizpilde ir nopietna un tai ir nozīmīgas sekas.</w:t>
      </w:r>
    </w:p>
    <w:p w14:paraId="166DF34E"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1FB4C8A7" w14:textId="131BA27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kurās līgumā skaidri netiek paredzētas Partnera tiesības izbeigt līguma darbību Iestādes saistību neizpildes dēļ, Partneris parasti var atsaukties uz līdzīgas iedarbības pamata tiesību aktu noteikumiem.</w:t>
      </w:r>
    </w:p>
    <w:p w14:paraId="2635AD97"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28F5B4D8" w14:textId="7451505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līgumā var noteikt periodu, kurā Iestādei ir jāizpilda attiecīgās saistības (ja tas ir iespējams), lai Partneris neizbeigtu līguma darbību.</w:t>
      </w:r>
    </w:p>
    <w:p w14:paraId="6E834B27"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8E6F3EE" w14:textId="3DE710A1"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475B4E5" w14:textId="77777777" w:rsidR="006A1C4C" w:rsidRPr="000761E9" w:rsidRDefault="006A1C4C" w:rsidP="00D43EDD">
      <w:pPr>
        <w:spacing w:after="0" w:line="240" w:lineRule="auto"/>
        <w:jc w:val="both"/>
        <w:rPr>
          <w:rFonts w:ascii="Times New Roman" w:eastAsia="Times New Roman" w:hAnsi="Times New Roman" w:cs="Times New Roman"/>
          <w:b/>
          <w:bCs/>
          <w:i/>
          <w:iCs/>
          <w:sz w:val="24"/>
          <w:szCs w:val="24"/>
          <w:lang w:eastAsia="lv-LV"/>
        </w:rPr>
      </w:pPr>
    </w:p>
    <w:p w14:paraId="76774F68" w14:textId="12A9AF2E"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Eurostat uzskata, ka noteikumi, kuros ir norādīti apstākļi un kārtība, kādā Partneris var izbeigt līguma darbību Iestādes saistību neizpildes dēļ, tostarp</w:t>
      </w:r>
    </w:p>
    <w:p w14:paraId="12B2201A"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3BA48973" w14:textId="56863540" w:rsidR="00D43EDD" w:rsidRPr="006A1C4C" w:rsidRDefault="00D43EDD" w:rsidP="00DC1556">
      <w:pPr>
        <w:pStyle w:val="Sarakstarindkopa"/>
        <w:numPr>
          <w:ilvl w:val="0"/>
          <w:numId w:val="91"/>
        </w:numPr>
        <w:spacing w:after="0" w:line="240" w:lineRule="auto"/>
        <w:ind w:hanging="294"/>
        <w:jc w:val="both"/>
        <w:rPr>
          <w:rFonts w:ascii="Times New Roman" w:eastAsia="Times New Roman" w:hAnsi="Times New Roman" w:cs="Times New Roman"/>
          <w:i/>
          <w:iCs/>
          <w:color w:val="4974B9"/>
          <w:sz w:val="24"/>
          <w:szCs w:val="24"/>
          <w:lang w:eastAsia="lv-LV"/>
        </w:rPr>
      </w:pPr>
      <w:r w:rsidRPr="006A1C4C">
        <w:rPr>
          <w:rFonts w:ascii="Times New Roman" w:eastAsia="Times New Roman" w:hAnsi="Times New Roman" w:cs="Times New Roman"/>
          <w:i/>
          <w:iCs/>
          <w:color w:val="4974B9"/>
          <w:sz w:val="24"/>
          <w:szCs w:val="24"/>
          <w:lang w:eastAsia="lv-LV"/>
        </w:rPr>
        <w:t>līguma darbības izbeigšanas iemeslu definīcija (un tas, vai šie iemesli ir uzskaitīti vai definēti vispārīgāk);</w:t>
      </w:r>
    </w:p>
    <w:p w14:paraId="75B5ADBD" w14:textId="77777777" w:rsidR="006A1C4C" w:rsidRPr="000761E9" w:rsidRDefault="006A1C4C" w:rsidP="006A1C4C">
      <w:pPr>
        <w:spacing w:after="0" w:line="240" w:lineRule="auto"/>
        <w:ind w:left="720" w:hanging="294"/>
        <w:jc w:val="both"/>
        <w:rPr>
          <w:rFonts w:ascii="Times New Roman" w:eastAsia="Times New Roman" w:hAnsi="Times New Roman" w:cs="Times New Roman"/>
          <w:i/>
          <w:iCs/>
          <w:color w:val="4974B9"/>
          <w:sz w:val="24"/>
          <w:szCs w:val="24"/>
          <w:lang w:eastAsia="lv-LV"/>
        </w:rPr>
      </w:pPr>
    </w:p>
    <w:p w14:paraId="720E7F5A" w14:textId="77777777" w:rsidR="00D43EDD" w:rsidRPr="006A1C4C" w:rsidRDefault="00D43EDD" w:rsidP="00DC1556">
      <w:pPr>
        <w:pStyle w:val="Sarakstarindkopa"/>
        <w:numPr>
          <w:ilvl w:val="0"/>
          <w:numId w:val="91"/>
        </w:numPr>
        <w:spacing w:after="0" w:line="240" w:lineRule="auto"/>
        <w:ind w:hanging="294"/>
        <w:jc w:val="both"/>
        <w:rPr>
          <w:rFonts w:ascii="Times New Roman" w:eastAsia="Times New Roman" w:hAnsi="Times New Roman" w:cs="Times New Roman"/>
          <w:i/>
          <w:iCs/>
          <w:color w:val="4974B9"/>
          <w:sz w:val="24"/>
          <w:szCs w:val="24"/>
          <w:lang w:eastAsia="lv-LV"/>
        </w:rPr>
      </w:pPr>
      <w:r w:rsidRPr="006A1C4C">
        <w:rPr>
          <w:rFonts w:ascii="Times New Roman" w:eastAsia="Times New Roman" w:hAnsi="Times New Roman" w:cs="Times New Roman"/>
          <w:i/>
          <w:iCs/>
          <w:color w:val="4974B9"/>
          <w:sz w:val="24"/>
          <w:szCs w:val="24"/>
          <w:lang w:eastAsia="lv-LV"/>
        </w:rPr>
        <w:t>apstākļi, kuros Iestādei var vai nevar sniegt iespēju izpildīt attiecīgās saistības, un, ja tāda sniegta, izpildei atvēlētais laiks,</w:t>
      </w:r>
    </w:p>
    <w:p w14:paraId="3C2D5E46" w14:textId="77777777" w:rsidR="006A1C4C" w:rsidRDefault="006A1C4C" w:rsidP="00D43EDD">
      <w:pPr>
        <w:spacing w:after="0" w:line="240" w:lineRule="auto"/>
        <w:jc w:val="both"/>
        <w:rPr>
          <w:rFonts w:ascii="Times New Roman" w:eastAsia="Times New Roman" w:hAnsi="Times New Roman" w:cs="Times New Roman"/>
          <w:b/>
          <w:bCs/>
          <w:i/>
          <w:iCs/>
          <w:color w:val="4974B9"/>
          <w:sz w:val="24"/>
          <w:szCs w:val="24"/>
          <w:lang w:eastAsia="lv-LV"/>
        </w:rPr>
      </w:pPr>
    </w:p>
    <w:p w14:paraId="602ADC9D" w14:textId="55D7358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color w:val="4974B9"/>
          <w:sz w:val="24"/>
          <w:szCs w:val="24"/>
          <w:lang w:eastAsia="lv-LV"/>
        </w:rPr>
        <w:t>neietekmē statistisko uzskaiti.</w:t>
      </w:r>
    </w:p>
    <w:p w14:paraId="4311C94F" w14:textId="77777777" w:rsidR="006A1C4C"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2A22033E" w14:textId="1C64A1C2"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 xml:space="preserve">Tomēr jānorāda, ka, ja tādēļ, ka pastāv iemesli līguma darbības izbeigšanai pirms termiņa Iestādes saistību neizpildes dēļ, Iestāde uzņemas riskus, kas saskaņā ar šo rokasgrāmatu </w:t>
      </w:r>
      <w:r w:rsidRPr="000761E9">
        <w:rPr>
          <w:rFonts w:ascii="Times New Roman" w:eastAsia="Times New Roman" w:hAnsi="Times New Roman" w:cs="Times New Roman"/>
          <w:b/>
          <w:bCs/>
          <w:i/>
          <w:iCs/>
          <w:color w:val="4974B9"/>
          <w:sz w:val="24"/>
          <w:szCs w:val="24"/>
          <w:lang w:eastAsia="lv-LV"/>
        </w:rPr>
        <w:t xml:space="preserve">ietekmē statistisko uzskaiti </w:t>
      </w:r>
      <w:r w:rsidRPr="000761E9">
        <w:rPr>
          <w:rFonts w:ascii="Times New Roman" w:eastAsia="Times New Roman" w:hAnsi="Times New Roman" w:cs="Times New Roman"/>
          <w:i/>
          <w:iCs/>
          <w:color w:val="4974B9"/>
          <w:sz w:val="24"/>
          <w:szCs w:val="24"/>
          <w:lang w:eastAsia="lv-LV"/>
        </w:rPr>
        <w:t>(piemēram, Iestāde uzņemas 6. tematā minēto risku attiecībā uz Partnera izpildi vai vispārējus makroekonomikas riskus), tas ir statistiskajā uzskaitē SVARĪGS jautājums.</w:t>
      </w:r>
    </w:p>
    <w:p w14:paraId="5B9E62F2" w14:textId="77777777" w:rsidR="006A1C4C" w:rsidRPr="000761E9" w:rsidRDefault="006A1C4C" w:rsidP="00D43EDD">
      <w:pPr>
        <w:spacing w:after="0" w:line="240" w:lineRule="auto"/>
        <w:jc w:val="both"/>
        <w:rPr>
          <w:rFonts w:ascii="Times New Roman" w:eastAsia="Times New Roman" w:hAnsi="Times New Roman" w:cs="Times New Roman"/>
          <w:sz w:val="24"/>
          <w:szCs w:val="24"/>
          <w:lang w:eastAsia="lv-LV"/>
        </w:rPr>
      </w:pPr>
    </w:p>
    <w:p w14:paraId="28CB1792" w14:textId="77777777" w:rsidR="00D43EDD" w:rsidRPr="000761E9"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Turklāt atsevišķi ir jāizvērtē noteikumi par kompensāciju, ko Iestādei var nākties maksāt, ja tā pirms termiņa izbeigs PPP līguma darbību Iestādes saistību neizpildes dēļ (sk. 12.2. tematu).</w:t>
      </w:r>
    </w:p>
    <w:p w14:paraId="4403E1C4" w14:textId="77777777" w:rsidR="006A1C4C" w:rsidRDefault="006A1C4C" w:rsidP="00D43EDD">
      <w:pPr>
        <w:spacing w:after="0" w:line="240" w:lineRule="auto"/>
        <w:jc w:val="both"/>
        <w:rPr>
          <w:rFonts w:ascii="Times New Roman" w:eastAsia="Times New Roman" w:hAnsi="Times New Roman" w:cs="Times New Roman"/>
          <w:b/>
          <w:bCs/>
          <w:color w:val="231F20"/>
          <w:sz w:val="24"/>
          <w:szCs w:val="24"/>
          <w:lang w:eastAsia="lv-LV"/>
        </w:rPr>
      </w:pPr>
    </w:p>
    <w:p w14:paraId="3E42B123" w14:textId="6646C51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11.3. Līguma darbības izbeigšana, ko brīvprātīgi veic Iestāde</w:t>
      </w:r>
    </w:p>
    <w:p w14:paraId="60405E76"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4BDC2673" w14:textId="2074B9F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Iestādei ir skaidri noteiktas (PPP līgumā vai pamata tiesību aktos) tiesības izbeigt PPP līguma darbību pēc savas vēlēšanās (neatkarīgi no tā, kā abas puses pilda līgumu). Dažreiz šīs tiesības ir tikai gadījumos, kad Iestādes rīcību rosina īpaši apstākļi (piemēram, sevišķi svarīgas sabiedrības intereses).</w:t>
      </w:r>
    </w:p>
    <w:p w14:paraId="390E5407"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606DDB2B"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AD80B8E" w14:textId="77777777" w:rsidR="006A1C4C"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07E747DE" w14:textId="1D3FF4F8"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 xml:space="preserve">Eurostat uzskata, ka tas, ka Iestādei ir paredzētas (vai nav paredzētas) tiesības pēc savas vēlēšanās izbeigt PPP līguma darbību ierobežotu vai neierobežotu iemeslu dēļ, </w:t>
      </w:r>
      <w:r w:rsidRPr="000761E9">
        <w:rPr>
          <w:rFonts w:ascii="Times New Roman" w:eastAsia="Times New Roman" w:hAnsi="Times New Roman" w:cs="Times New Roman"/>
          <w:b/>
          <w:bCs/>
          <w:i/>
          <w:iCs/>
          <w:color w:val="4974B9"/>
          <w:sz w:val="24"/>
          <w:szCs w:val="24"/>
          <w:lang w:eastAsia="lv-LV"/>
        </w:rPr>
        <w:t>neietekmē statistisko uzskaiti</w:t>
      </w:r>
      <w:r w:rsidRPr="000761E9">
        <w:rPr>
          <w:rFonts w:ascii="Times New Roman" w:eastAsia="Times New Roman" w:hAnsi="Times New Roman" w:cs="Times New Roman"/>
          <w:i/>
          <w:iCs/>
          <w:color w:val="4974B9"/>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974B9"/>
          <w:sz w:val="24"/>
          <w:szCs w:val="24"/>
          <w:lang w:eastAsia="lv-LV"/>
        </w:rPr>
        <w:t>Tomēr atsevišķi ir jāizvērtē noteikumi par kompensāciju, ko Iestādei var nākties maksāt, ja tā brīvprātīgi pirms termiņa izbeigs PPP līguma darbību (sk. 12.3. tematu).</w:t>
      </w:r>
    </w:p>
    <w:p w14:paraId="39A59247"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37F012D2"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11.4. Līguma darbības izbeigšana nepārvaramas varas dēļ</w:t>
      </w:r>
    </w:p>
    <w:p w14:paraId="5EB4501F"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21541B60" w14:textId="4672B0A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līgumos bieži tiek atzītas abu pušu tiesības izbeigt līguma darbību, ja nepārvarama vara ir turpinājusies ilgāku laiku – parasti no sešiem līdz divpadsmit mēnešiem.</w:t>
      </w:r>
    </w:p>
    <w:p w14:paraId="38F0702E"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62E26BB5" w14:textId="7B0C694D"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630B1F3" w14:textId="77777777" w:rsidR="006A1C4C" w:rsidRPr="000761E9" w:rsidRDefault="006A1C4C" w:rsidP="00D43EDD">
      <w:pPr>
        <w:spacing w:after="0" w:line="240" w:lineRule="auto"/>
        <w:jc w:val="both"/>
        <w:rPr>
          <w:rFonts w:ascii="Times New Roman" w:eastAsia="Times New Roman" w:hAnsi="Times New Roman" w:cs="Times New Roman"/>
          <w:b/>
          <w:bCs/>
          <w:i/>
          <w:iCs/>
          <w:sz w:val="24"/>
          <w:szCs w:val="24"/>
          <w:lang w:eastAsia="lv-LV"/>
        </w:rPr>
      </w:pPr>
    </w:p>
    <w:p w14:paraId="0D2FA52F" w14:textId="35277E3C"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 xml:space="preserve">Eurostat uzskata, ka ne noteikums, kas ļauj pirms termiņa izbeigt līguma darbību ar nepārvaramu varu saistītu risku dēļ, ne tas, cik ilgi jāturpinās nepārvaramas varas gadījumam, lai tā dēļ izbeigtu līguma darbību, </w:t>
      </w:r>
      <w:r w:rsidRPr="000761E9">
        <w:rPr>
          <w:rFonts w:ascii="Times New Roman" w:eastAsia="Times New Roman" w:hAnsi="Times New Roman" w:cs="Times New Roman"/>
          <w:b/>
          <w:bCs/>
          <w:i/>
          <w:iCs/>
          <w:color w:val="4974B9"/>
          <w:sz w:val="24"/>
          <w:szCs w:val="24"/>
          <w:lang w:eastAsia="lv-LV"/>
        </w:rPr>
        <w:t>neietekmē statistisko uzskaiti</w:t>
      </w:r>
      <w:r w:rsidRPr="000761E9">
        <w:rPr>
          <w:rFonts w:ascii="Times New Roman" w:eastAsia="Times New Roman" w:hAnsi="Times New Roman" w:cs="Times New Roman"/>
          <w:i/>
          <w:iCs/>
          <w:color w:val="4974B9"/>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974B9"/>
          <w:sz w:val="24"/>
          <w:szCs w:val="24"/>
          <w:lang w:eastAsia="lv-LV"/>
        </w:rPr>
        <w:t xml:space="preserve">Tāpat arī, ka ja līgumā nav iekļauti noteikumi, kas ļautu izbeigt līguma darbību ar nepārvaramu varu saistītu risku dēļ, </w:t>
      </w:r>
      <w:r w:rsidRPr="000761E9">
        <w:rPr>
          <w:rFonts w:ascii="Times New Roman" w:eastAsia="Times New Roman" w:hAnsi="Times New Roman" w:cs="Times New Roman"/>
          <w:b/>
          <w:bCs/>
          <w:i/>
          <w:iCs/>
          <w:color w:val="4974B9"/>
          <w:sz w:val="24"/>
          <w:szCs w:val="24"/>
          <w:lang w:eastAsia="lv-LV"/>
        </w:rPr>
        <w:t>neietekmē statistisko uzskaiti</w:t>
      </w:r>
      <w:r w:rsidRPr="000761E9">
        <w:rPr>
          <w:rFonts w:ascii="Times New Roman" w:eastAsia="Times New Roman" w:hAnsi="Times New Roman" w:cs="Times New Roman"/>
          <w:i/>
          <w:iCs/>
          <w:color w:val="4974B9"/>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974B9"/>
          <w:sz w:val="24"/>
          <w:szCs w:val="24"/>
          <w:lang w:eastAsia="lv-LV"/>
        </w:rPr>
        <w:t>Tomēr pašas nepārvaramās varas definīcija var ietekmēt statistisko uzskaiti (sk. 6. tematu), tāpat to var ietekmēt arī noteikumi par kompensāciju, ko Iestādei jāmaksā, PPP līgumu izbeidzot pirms termiņa nepārvaramas varas dēļ (sk. 12.4. tematu).</w:t>
      </w:r>
    </w:p>
    <w:p w14:paraId="47229E29"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7FE41B1A"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11.5. Līguma darbības izbeigšana, kas saistīta ar neapdrošināmību</w:t>
      </w:r>
    </w:p>
    <w:p w14:paraId="0DED8E18"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67102FEA" w14:textId="6D70D93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Daudzos PPP līgumos nosaka, ka Iestāde dala vai uzņemas projekta pamatapdrošināšanu nepieejamības risku. Parasti tas tiek panākts, Iestādei, kad kāds risks kļūst neapdrošināms, nolemjot:</w:t>
      </w:r>
    </w:p>
    <w:p w14:paraId="1D49795C"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B7F140E" w14:textId="77777777" w:rsidR="00D43EDD" w:rsidRPr="006A1C4C" w:rsidRDefault="00D43EDD" w:rsidP="00DC1556">
      <w:pPr>
        <w:pStyle w:val="Sarakstarindkopa"/>
        <w:numPr>
          <w:ilvl w:val="0"/>
          <w:numId w:val="92"/>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nekavējoties izbeigt līguma darbību; vai</w:t>
      </w:r>
    </w:p>
    <w:p w14:paraId="65BFBCB5" w14:textId="77777777" w:rsidR="00D43EDD" w:rsidRPr="006A1C4C" w:rsidRDefault="00D43EDD" w:rsidP="00DC1556">
      <w:pPr>
        <w:pStyle w:val="Sarakstarindkopa"/>
        <w:numPr>
          <w:ilvl w:val="0"/>
          <w:numId w:val="92"/>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pašapdrošināt attiecīgo risku un izmaksāt Partnerim apdrošināšanas atlīdzībai līdzvērtīgu summu, ja šis risks vēlāk īstenojas.</w:t>
      </w:r>
    </w:p>
    <w:p w14:paraId="658EDDFC"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2042C3DF" w14:textId="0F8A3C8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Iestāde izvēlas pašapdrošināt neapdrošināmu risku un tas vēlāk īstenojas, Iestāde parasti var izbeigt PPP līguma darbību tā vietā, lai izmaksātu Partnerim apdrošināšanas atlīdzībai līdzvērtīgu summu. Dažos PPP līgumos tiek skaidri noteikts, ka konkrēti šādā situācijā Iestādei ir tiesības izbeigt līguma darbību, bet, ja šādas tiesības nav skaidri noteiktas, Iestāde var izmantot savas vispārējās vienpusējās tiesības jebkurā laikā izbeigt līguma darbību.</w:t>
      </w:r>
    </w:p>
    <w:p w14:paraId="4540CCBA" w14:textId="295963D5" w:rsidR="00586FD8" w:rsidRDefault="00586FD8">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6557B28D"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10C732E"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E6CB3BA" w14:textId="77777777" w:rsidR="006A1C4C"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23E3D94B" w14:textId="5B37E978" w:rsidR="00D43EDD" w:rsidRDefault="00D43EDD" w:rsidP="00D43EDD">
      <w:pPr>
        <w:spacing w:after="0" w:line="240" w:lineRule="auto"/>
        <w:jc w:val="both"/>
        <w:rPr>
          <w:rFonts w:ascii="Times New Roman" w:eastAsia="Times New Roman" w:hAnsi="Times New Roman" w:cs="Times New Roman"/>
          <w:i/>
          <w:iCs/>
          <w:color w:val="4974B9"/>
          <w:sz w:val="24"/>
          <w:szCs w:val="24"/>
          <w:lang w:eastAsia="lv-LV"/>
        </w:rPr>
      </w:pPr>
      <w:r w:rsidRPr="000761E9">
        <w:rPr>
          <w:rFonts w:ascii="Times New Roman" w:eastAsia="Times New Roman" w:hAnsi="Times New Roman" w:cs="Times New Roman"/>
          <w:i/>
          <w:iCs/>
          <w:color w:val="4974B9"/>
          <w:sz w:val="24"/>
          <w:szCs w:val="24"/>
          <w:lang w:eastAsia="lv-LV"/>
        </w:rPr>
        <w:t xml:space="preserve">Eurostat uzskata, ka tas, ka Iestādei ir vai nav paredzētas tiesības izbeigt līguma darbību ar neapdrošināmību vai neapdrošināmu risku iestāšanos saistītu iemeslu dēļ </w:t>
      </w:r>
      <w:r w:rsidRPr="000761E9">
        <w:rPr>
          <w:rFonts w:ascii="Times New Roman" w:eastAsia="Times New Roman" w:hAnsi="Times New Roman" w:cs="Times New Roman"/>
          <w:b/>
          <w:bCs/>
          <w:i/>
          <w:iCs/>
          <w:color w:val="4974B9"/>
          <w:sz w:val="24"/>
          <w:szCs w:val="24"/>
          <w:lang w:eastAsia="lv-LV"/>
        </w:rPr>
        <w:t>neietekmē statistisko uzskaiti</w:t>
      </w:r>
      <w:r w:rsidRPr="000761E9">
        <w:rPr>
          <w:rFonts w:ascii="Times New Roman" w:eastAsia="Times New Roman" w:hAnsi="Times New Roman" w:cs="Times New Roman"/>
          <w:i/>
          <w:iCs/>
          <w:color w:val="4974B9"/>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974B9"/>
          <w:sz w:val="24"/>
          <w:szCs w:val="24"/>
          <w:lang w:eastAsia="lv-LV"/>
        </w:rPr>
        <w:t>Tomēr paši pamata noteikumi par neapdrošināmību gan var ietekmēt statistisko uzskaiti (sk. 9.4. tematu), tāpat to var ietekmēt arī noteikumi par kompensāciju, ko Iestādei jāmaksā, PPP līguma darbību izbeidzot neapdrošināmības dēļ (sk. 12.5. tematu).</w:t>
      </w:r>
    </w:p>
    <w:p w14:paraId="0B048706" w14:textId="47BCB045" w:rsidR="006A1C4C" w:rsidRDefault="006A1C4C">
      <w:pPr>
        <w:rPr>
          <w:rFonts w:ascii="Times New Roman" w:eastAsia="Times New Roman" w:hAnsi="Times New Roman" w:cs="Times New Roman"/>
          <w:i/>
          <w:iCs/>
          <w:color w:val="4974B9"/>
          <w:sz w:val="24"/>
          <w:szCs w:val="24"/>
          <w:lang w:eastAsia="lv-LV"/>
        </w:rPr>
      </w:pPr>
      <w:r>
        <w:rPr>
          <w:rFonts w:ascii="Times New Roman" w:eastAsia="Times New Roman" w:hAnsi="Times New Roman" w:cs="Times New Roman"/>
          <w:i/>
          <w:iCs/>
          <w:color w:val="4974B9"/>
          <w:sz w:val="24"/>
          <w:szCs w:val="24"/>
          <w:lang w:eastAsia="lv-LV"/>
        </w:rPr>
        <w:br w:type="page"/>
      </w:r>
    </w:p>
    <w:p w14:paraId="2CC31EA9" w14:textId="77777777" w:rsidR="006A1C4C" w:rsidRPr="000761E9" w:rsidRDefault="006A1C4C" w:rsidP="00D43EDD">
      <w:pPr>
        <w:spacing w:after="0" w:line="240" w:lineRule="auto"/>
        <w:jc w:val="both"/>
        <w:rPr>
          <w:rFonts w:ascii="Times New Roman" w:eastAsia="Times New Roman" w:hAnsi="Times New Roman" w:cs="Times New Roman"/>
          <w:i/>
          <w:iCs/>
          <w:color w:val="4974B9"/>
          <w:sz w:val="24"/>
          <w:szCs w:val="24"/>
          <w:lang w:eastAsia="lv-LV"/>
        </w:rPr>
      </w:pPr>
    </w:p>
    <w:p w14:paraId="50B9CC28" w14:textId="77777777" w:rsidR="00D43EDD" w:rsidRPr="00586FD8" w:rsidRDefault="00D43EDD" w:rsidP="00586FD8">
      <w:pPr>
        <w:pStyle w:val="Virsraksts1"/>
        <w:rPr>
          <w:rFonts w:eastAsia="Times New Roman"/>
          <w:b w:val="0"/>
          <w:color w:val="auto"/>
          <w:lang w:eastAsia="lv-LV"/>
        </w:rPr>
      </w:pPr>
      <w:bookmarkStart w:id="17" w:name="_Toc528941581"/>
      <w:r w:rsidRPr="006A1C4C">
        <w:rPr>
          <w:rFonts w:eastAsia="Times New Roman"/>
          <w:color w:val="941D6C"/>
          <w:lang w:eastAsia="lv-LV"/>
        </w:rPr>
        <w:t xml:space="preserve">12. temats. </w:t>
      </w:r>
      <w:r w:rsidRPr="00586FD8">
        <w:rPr>
          <w:rFonts w:eastAsia="Times New Roman"/>
          <w:b w:val="0"/>
          <w:color w:val="auto"/>
          <w:lang w:eastAsia="lv-LV"/>
        </w:rPr>
        <w:t>Kompensācija, izbeidzot PPP līguma darbību pirms termiņa</w:t>
      </w:r>
      <w:bookmarkEnd w:id="17"/>
    </w:p>
    <w:p w14:paraId="21B73A45"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0861AE9" w14:textId="0D4334B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Lielākā daļa PPP līgumu paredz, ka Iestādei ir jāizmaksā Partnerim kompensācija, ja tā</w:t>
      </w:r>
      <w:r w:rsidRPr="000761E9">
        <w:rPr>
          <w:rFonts w:ascii="Times New Roman" w:eastAsia="Times New Roman" w:hAnsi="Times New Roman" w:cs="Times New Roman"/>
          <w:color w:val="231F20"/>
          <w:sz w:val="24"/>
          <w:szCs w:val="24"/>
          <w:lang w:eastAsia="lv-LV"/>
        </w:rPr>
        <w:t xml:space="preserve"> pirms termiņa izbeidz līguma darbību. Saskaņā ar turpmāko skaidrojumu maksājamās kompensācijas apmērs ir atkarīgs no apstākļiem, kuru dēļ tiek izbeigta līguma darbība. Atbildību par pašu aktīvu atkal uzņemsies Iestāde vai, ja attiecībā uz aktīvu tiek rīkots atkārtots konkurss, trešā puse.</w:t>
      </w:r>
    </w:p>
    <w:p w14:paraId="664B4865"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5B4EB4F3"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AA393CF" w14:textId="77777777" w:rsidR="006A1C4C"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65E4CFD7" w14:textId="71252FB1"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941D6C"/>
          <w:sz w:val="24"/>
          <w:szCs w:val="24"/>
          <w:lang w:eastAsia="lv-LV"/>
        </w:rPr>
        <w:t xml:space="preserve">Eurostat attiecībā uz jebkuru situāciju, kurā līguma darbība tiek izbeigta pirms termiņa, uzskata, ka kompensācijas samaksāšanai nevajadzētu atcelt tās Partnera saistības attiecībā pret Iestādi, kas bija spēkā pirms līguma darbības izbeigšanas (piemēram, Iestādes atlīdzības prasījums Partnerim). PPP līguma noteikumi, kas nesaglabā saistības, kuras pastāvēja pirms līguma darbības izbeigšanas, </w:t>
      </w:r>
      <w:r w:rsidRPr="000761E9">
        <w:rPr>
          <w:rFonts w:ascii="Times New Roman" w:eastAsia="Times New Roman" w:hAnsi="Times New Roman" w:cs="Times New Roman"/>
          <w:b/>
          <w:bCs/>
          <w:i/>
          <w:iCs/>
          <w:color w:val="941D6C"/>
          <w:sz w:val="24"/>
          <w:szCs w:val="24"/>
          <w:lang w:eastAsia="lv-LV"/>
        </w:rPr>
        <w:t xml:space="preserve">ietekmē statistisko uzskaiti </w:t>
      </w:r>
      <w:r w:rsidRPr="000761E9">
        <w:rPr>
          <w:rFonts w:ascii="Times New Roman" w:eastAsia="Times New Roman" w:hAnsi="Times New Roman" w:cs="Times New Roman"/>
          <w:i/>
          <w:iCs/>
          <w:color w:val="941D6C"/>
          <w:sz w:val="24"/>
          <w:szCs w:val="24"/>
          <w:lang w:eastAsia="lv-LV"/>
        </w:rPr>
        <w:t>un ir SVARĪGS jautājums.</w:t>
      </w:r>
    </w:p>
    <w:p w14:paraId="77F6C056" w14:textId="77777777" w:rsidR="006A1C4C" w:rsidRDefault="006A1C4C" w:rsidP="00D43EDD">
      <w:pPr>
        <w:spacing w:after="0" w:line="240" w:lineRule="auto"/>
        <w:jc w:val="both"/>
        <w:rPr>
          <w:rFonts w:ascii="Times New Roman" w:eastAsia="Times New Roman" w:hAnsi="Times New Roman" w:cs="Times New Roman"/>
          <w:b/>
          <w:bCs/>
          <w:color w:val="231F20"/>
          <w:sz w:val="24"/>
          <w:szCs w:val="24"/>
          <w:lang w:eastAsia="lv-LV"/>
        </w:rPr>
      </w:pPr>
    </w:p>
    <w:p w14:paraId="0C7B27F7" w14:textId="306A4571"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12.1. Kompensācija, izbeidzot PPP līguma darbību Partnera saistību neizpildes dēļ</w:t>
      </w:r>
    </w:p>
    <w:p w14:paraId="66D3E83F" w14:textId="77777777" w:rsidR="006A1C4C" w:rsidRDefault="006A1C4C" w:rsidP="00D43EDD">
      <w:pPr>
        <w:spacing w:after="0" w:line="240" w:lineRule="auto"/>
        <w:jc w:val="both"/>
        <w:rPr>
          <w:rFonts w:ascii="Times New Roman" w:eastAsia="Times New Roman" w:hAnsi="Times New Roman" w:cs="Times New Roman"/>
          <w:b/>
          <w:bCs/>
          <w:color w:val="888A8C"/>
          <w:sz w:val="24"/>
          <w:szCs w:val="24"/>
          <w:lang w:eastAsia="lv-LV"/>
        </w:rPr>
      </w:pPr>
    </w:p>
    <w:p w14:paraId="2F21190C" w14:textId="503D9D99"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12.1.1. 1. pieeja. Kompensācija nav jāmaksā</w:t>
      </w:r>
    </w:p>
    <w:p w14:paraId="0B0E76E8"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322374B8" w14:textId="6A81A7C7"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agrīni līgumi tirgos, kas tagad ir vairāk nostiprinājušies PPP tirgi, ietver skaidri formulētus noteikumus par to, ka Partnerim nav tiesību uz kompensāciju, ja līguma darbība tiek izbeigta Partnera saistību neizpildes dēļ.</w:t>
      </w:r>
    </w:p>
    <w:p w14:paraId="6B687235" w14:textId="77777777" w:rsidR="006A1C4C" w:rsidRDefault="006A1C4C" w:rsidP="00D43EDD">
      <w:pPr>
        <w:spacing w:after="0" w:line="240" w:lineRule="auto"/>
        <w:jc w:val="both"/>
        <w:rPr>
          <w:rFonts w:ascii="Times New Roman" w:eastAsia="Times New Roman" w:hAnsi="Times New Roman" w:cs="Times New Roman"/>
          <w:b/>
          <w:bCs/>
          <w:i/>
          <w:iCs/>
          <w:sz w:val="24"/>
          <w:szCs w:val="24"/>
          <w:lang w:eastAsia="lv-LV"/>
        </w:rPr>
      </w:pPr>
    </w:p>
    <w:p w14:paraId="0EA62345" w14:textId="44F44E30"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BBCD3EA" w14:textId="77777777" w:rsidR="006A1C4C"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213F5A73" w14:textId="20F2553D"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šī pieeja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1E0D6C0F" w14:textId="77777777" w:rsidR="006A1C4C" w:rsidRDefault="006A1C4C" w:rsidP="00D43EDD">
      <w:pPr>
        <w:spacing w:after="0" w:line="240" w:lineRule="auto"/>
        <w:jc w:val="both"/>
        <w:rPr>
          <w:rFonts w:ascii="Times New Roman" w:eastAsia="Times New Roman" w:hAnsi="Times New Roman" w:cs="Times New Roman"/>
          <w:b/>
          <w:bCs/>
          <w:color w:val="888A8C"/>
          <w:sz w:val="24"/>
          <w:szCs w:val="24"/>
          <w:lang w:eastAsia="lv-LV"/>
        </w:rPr>
      </w:pPr>
    </w:p>
    <w:p w14:paraId="6E7D36D1" w14:textId="661A67CF"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12.1.2. 2. pieeja. PPP līgumā nav noteikumu par kompensāciju</w:t>
      </w:r>
    </w:p>
    <w:p w14:paraId="3E42DB16"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4AB2B9C" w14:textId="03F73898"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nav noteikts, cik liela kompensācija ir jāmaksā, ja līguma darbība tiek izbeigta Partnera saistību neizpildes dēļ. Šādā gadījumā Partneris parasti būs tiesīgs pieprasīt kompensāciju saskaņā ar attiecīgās jurisdikcijas pamata tiesību aktiem.</w:t>
      </w:r>
    </w:p>
    <w:p w14:paraId="7975B862" w14:textId="77777777" w:rsidR="006A1C4C" w:rsidRDefault="006A1C4C" w:rsidP="00D43EDD">
      <w:pPr>
        <w:spacing w:after="0" w:line="240" w:lineRule="auto"/>
        <w:jc w:val="both"/>
        <w:rPr>
          <w:rFonts w:ascii="Times New Roman" w:eastAsia="Times New Roman" w:hAnsi="Times New Roman" w:cs="Times New Roman"/>
          <w:b/>
          <w:bCs/>
          <w:i/>
          <w:iCs/>
          <w:sz w:val="24"/>
          <w:szCs w:val="24"/>
          <w:lang w:eastAsia="lv-LV"/>
        </w:rPr>
      </w:pPr>
    </w:p>
    <w:p w14:paraId="6DD9C68A" w14:textId="25DBB9DA"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D462959" w14:textId="77777777" w:rsidR="006A1C4C"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334C6F58" w14:textId="342F7FCA" w:rsidR="00D43EDD" w:rsidRPr="000761E9"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skaidru noteikumu neiekļaušana PPP līgumā par izmaksājamās kompensācijas apmēru Partnera saistību neizpildes gadījumā rada nenoteiktību, kas </w:t>
      </w:r>
      <w:r w:rsidRPr="000761E9">
        <w:rPr>
          <w:rFonts w:ascii="Times New Roman" w:eastAsia="Times New Roman" w:hAnsi="Times New Roman" w:cs="Times New Roman"/>
          <w:b/>
          <w:bCs/>
          <w:i/>
          <w:iCs/>
          <w:color w:val="941D6C"/>
          <w:sz w:val="24"/>
          <w:szCs w:val="24"/>
          <w:lang w:eastAsia="lv-LV"/>
        </w:rPr>
        <w:t>var ietekmēt statistisko uzskaiti</w:t>
      </w:r>
      <w:r w:rsidRPr="000761E9">
        <w:rPr>
          <w:rFonts w:ascii="Times New Roman" w:eastAsia="Times New Roman" w:hAnsi="Times New Roman" w:cs="Times New Roman"/>
          <w:i/>
          <w:iCs/>
          <w:color w:val="941D6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41D6C"/>
          <w:sz w:val="24"/>
          <w:szCs w:val="24"/>
          <w:lang w:eastAsia="lv-LV"/>
        </w:rPr>
        <w:t>Būtu nepieciešama papildu analīze (piemēram, attiecīgās jurisdikcijas pamata tiesību aktu un tiesu prakses analīze), lai noteiktu, uz cik lielu kompensāciju Partnerim var būt tiesības un kā tas atbilstu šajā 12.1. tematā paustajam Eurostat viedoklim par kompensāciju, kad līguma darbība tiek izbeigta pirms termiņa Partnera saistību neizpildes dēļ.</w:t>
      </w:r>
    </w:p>
    <w:p w14:paraId="33184CEE" w14:textId="77777777" w:rsidR="006A1C4C" w:rsidRDefault="006A1C4C" w:rsidP="00D43EDD">
      <w:pPr>
        <w:spacing w:after="0" w:line="240" w:lineRule="auto"/>
        <w:jc w:val="both"/>
        <w:rPr>
          <w:rFonts w:ascii="Times New Roman" w:eastAsia="Times New Roman" w:hAnsi="Times New Roman" w:cs="Times New Roman"/>
          <w:b/>
          <w:bCs/>
          <w:color w:val="888A8C"/>
          <w:sz w:val="24"/>
          <w:szCs w:val="24"/>
          <w:lang w:eastAsia="lv-LV"/>
        </w:rPr>
      </w:pPr>
    </w:p>
    <w:p w14:paraId="545B007C" w14:textId="27AD0151"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12.1.3. 3. pieeja. Līguma tirgus vērtība</w:t>
      </w:r>
    </w:p>
    <w:p w14:paraId="6E5DFFB9"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0DC20537" w14:textId="27285AD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Šī ir visbiežāk izmantotā pieeja, saskaņā ar kuru Partneris saņem kompensāciju, kas balstīta uz PPP līguma tirgus vērtību, kuru:</w:t>
      </w:r>
    </w:p>
    <w:p w14:paraId="52319CAE"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518A0B11" w14:textId="77777777" w:rsidR="00D43EDD" w:rsidRPr="006A1C4C" w:rsidRDefault="00D43EDD" w:rsidP="00DC1556">
      <w:pPr>
        <w:pStyle w:val="Sarakstarindkopa"/>
        <w:numPr>
          <w:ilvl w:val="0"/>
          <w:numId w:val="93"/>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lastRenderedPageBreak/>
        <w:t>nosaka tirgus, kad tiek atkārtoti rīkots konkurss PPP līguma slēgšanai; vai</w:t>
      </w:r>
    </w:p>
    <w:p w14:paraId="5D4DFBFF" w14:textId="77777777" w:rsidR="00D43EDD" w:rsidRPr="006A1C4C" w:rsidRDefault="00D43EDD" w:rsidP="00DC1556">
      <w:pPr>
        <w:pStyle w:val="Sarakstarindkopa"/>
        <w:numPr>
          <w:ilvl w:val="0"/>
          <w:numId w:val="93"/>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nosaka, aprēķinot, kāda būtu konkrētā PPP līguma tirgus vērtība.</w:t>
      </w:r>
    </w:p>
    <w:p w14:paraId="4FFE512C"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29E5A4E2" w14:textId="7A5BEE1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līgums Iestādei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Iestādei (bet ne Partnerim) tiks ļauts jebkurā laikā pirms cenas piedāvājumu saņemšanas mainīt izvēli un izlemt atkārtota konkursa vietā aprēķināt vērtību.</w:t>
      </w:r>
    </w:p>
    <w:p w14:paraId="33C90F7E"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3311AC9E" w14:textId="43641E6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noteikts, ka atkārtota konkursa laikā Iestādei ir jāturpina Partnerim veikt maksājumus, kuru apmēru atņem no galīgā kompensācijas maksājuma. Dažos PPP līgumos norāda arī termiņu (piemēram, divi gadi no līguma darbības izbeigšanas dienas), kurā Iestādei ir jāpabeidz konkurss un jāizmaksā Partnerim atkārtotajā konkursā noskaidrotā līguma tirgus vērtība.</w:t>
      </w:r>
    </w:p>
    <w:p w14:paraId="72F02AA3"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57D75FA8" w14:textId="02A0B6C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netiek iekļauta iespēja rīkot atkārtotu konkursu, bet tā vietā tikai nosaka kompensācijas apmēru, pamatojoties uz aprēķināto līguma tirgus vērtību. Retāk PPP līgumos paredzēts tikai atkārtots konkurss.</w:t>
      </w:r>
    </w:p>
    <w:p w14:paraId="6A9020F1"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84CD41A" w14:textId="6D5C356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Iestāde ir prognozējusi veikt atlikušajā PPP līguma darbības laikā, un visu to izmaksu neto vērtību, kuras ir prognozētas atlikušajā PPP līguma darbības laikā (tostarp visas </w:t>
      </w:r>
      <w:r w:rsidR="00BD2475">
        <w:rPr>
          <w:rFonts w:ascii="Times New Roman" w:eastAsia="Times New Roman" w:hAnsi="Times New Roman" w:cs="Times New Roman"/>
          <w:color w:val="231F20"/>
          <w:sz w:val="24"/>
          <w:szCs w:val="24"/>
          <w:lang w:eastAsia="lv-LV"/>
        </w:rPr>
        <w:t>neatbilstību novēršanas</w:t>
      </w:r>
      <w:r w:rsidRPr="000761E9">
        <w:rPr>
          <w:rFonts w:ascii="Times New Roman" w:eastAsia="Times New Roman" w:hAnsi="Times New Roman" w:cs="Times New Roman"/>
          <w:color w:val="231F20"/>
          <w:sz w:val="24"/>
          <w:szCs w:val="24"/>
          <w:lang w:eastAsia="lv-LV"/>
        </w:rPr>
        <w:t xml:space="preserve"> pasākumu izmaksas, kas radušās, ja Partnera veiktā izpilde ir neapmierinoša).</w:t>
      </w:r>
    </w:p>
    <w:p w14:paraId="370A7575"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4973EA31" w14:textId="2748CCB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14:paraId="2EE25FB3"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46EA87B9" w14:textId="3D7E19FD"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9B7CF16" w14:textId="77777777" w:rsidR="006A1C4C" w:rsidRPr="000761E9" w:rsidRDefault="006A1C4C" w:rsidP="00D43EDD">
      <w:pPr>
        <w:spacing w:after="0" w:line="240" w:lineRule="auto"/>
        <w:jc w:val="both"/>
        <w:rPr>
          <w:rFonts w:ascii="Times New Roman" w:eastAsia="Times New Roman" w:hAnsi="Times New Roman" w:cs="Times New Roman"/>
          <w:b/>
          <w:bCs/>
          <w:i/>
          <w:iCs/>
          <w:sz w:val="24"/>
          <w:szCs w:val="24"/>
          <w:lang w:eastAsia="lv-LV"/>
        </w:rPr>
      </w:pPr>
    </w:p>
    <w:p w14:paraId="0CC034C6" w14:textId="0B90401C"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Eurostat uzskata, ka var pieņemt, ka gan būvniecības fāzē, gan darbības fāzē PPP līguma tirgus vērtība ir pakārtoto aktīvu (kā minēts Noteikumos) tirgus vērtības aizstājēja.</w:t>
      </w:r>
    </w:p>
    <w:p w14:paraId="37F81FBB" w14:textId="77777777" w:rsidR="006A1C4C" w:rsidRPr="000761E9"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7AB3A9C2" w14:textId="44E60D31"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iepriekš aprakstītā 3. pieeja </w:t>
      </w:r>
      <w:r w:rsidRPr="000761E9">
        <w:rPr>
          <w:rFonts w:ascii="Times New Roman" w:eastAsia="Times New Roman" w:hAnsi="Times New Roman" w:cs="Times New Roman"/>
          <w:b/>
          <w:bCs/>
          <w:i/>
          <w:iCs/>
          <w:color w:val="941D6C"/>
          <w:sz w:val="24"/>
          <w:szCs w:val="24"/>
          <w:lang w:eastAsia="lv-LV"/>
        </w:rPr>
        <w:t xml:space="preserve">neietekmē statistisko uzskaiti, ja </w:t>
      </w:r>
      <w:r w:rsidRPr="000761E9">
        <w:rPr>
          <w:rFonts w:ascii="Times New Roman" w:eastAsia="Times New Roman" w:hAnsi="Times New Roman" w:cs="Times New Roman"/>
          <w:i/>
          <w:iCs/>
          <w:color w:val="941D6C"/>
          <w:sz w:val="24"/>
          <w:szCs w:val="24"/>
          <w:lang w:eastAsia="lv-LV"/>
        </w:rPr>
        <w:t>tiek ievēroti visi šie nosacījumi:</w:t>
      </w:r>
    </w:p>
    <w:p w14:paraId="4894FCD9" w14:textId="77777777" w:rsidR="006A1C4C" w:rsidRPr="000761E9" w:rsidRDefault="006A1C4C" w:rsidP="00D43EDD">
      <w:pPr>
        <w:spacing w:after="0" w:line="240" w:lineRule="auto"/>
        <w:jc w:val="both"/>
        <w:rPr>
          <w:rFonts w:ascii="Times New Roman" w:eastAsia="Times New Roman" w:hAnsi="Times New Roman" w:cs="Times New Roman"/>
          <w:sz w:val="24"/>
          <w:szCs w:val="24"/>
          <w:lang w:eastAsia="lv-LV"/>
        </w:rPr>
      </w:pPr>
    </w:p>
    <w:p w14:paraId="48CAED26" w14:textId="135C3402"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 xml:space="preserve">saskaņā ar PPP līgumā </w:t>
      </w:r>
      <w:r w:rsidR="00BD2475">
        <w:rPr>
          <w:rFonts w:ascii="Times New Roman" w:eastAsia="Times New Roman" w:hAnsi="Times New Roman" w:cs="Times New Roman"/>
          <w:i/>
          <w:iCs/>
          <w:color w:val="941D6C"/>
          <w:sz w:val="24"/>
          <w:szCs w:val="24"/>
          <w:lang w:eastAsia="lv-LV"/>
        </w:rPr>
        <w:t>minētajiem</w:t>
      </w:r>
      <w:r w:rsidRPr="006A1C4C">
        <w:rPr>
          <w:rFonts w:ascii="Times New Roman" w:eastAsia="Times New Roman" w:hAnsi="Times New Roman" w:cs="Times New Roman"/>
          <w:i/>
          <w:iCs/>
          <w:color w:val="941D6C"/>
          <w:sz w:val="24"/>
          <w:szCs w:val="24"/>
          <w:lang w:eastAsia="lv-LV"/>
        </w:rPr>
        <w:t xml:space="preserve"> atkārtota konkursa rīkošanas nosacījumiem piedāvājumu par PPP līgumu iesniedzējiem ir jāņem vērā visas </w:t>
      </w:r>
      <w:r w:rsidR="00BD2475">
        <w:rPr>
          <w:rFonts w:ascii="Times New Roman" w:eastAsia="Times New Roman" w:hAnsi="Times New Roman" w:cs="Times New Roman"/>
          <w:i/>
          <w:iCs/>
          <w:color w:val="941D6C"/>
          <w:sz w:val="24"/>
          <w:szCs w:val="24"/>
          <w:lang w:eastAsia="lv-LV"/>
        </w:rPr>
        <w:t>neatbilstību novēršanas</w:t>
      </w:r>
      <w:r w:rsidRPr="006A1C4C">
        <w:rPr>
          <w:rFonts w:ascii="Times New Roman" w:eastAsia="Times New Roman" w:hAnsi="Times New Roman" w:cs="Times New Roman"/>
          <w:i/>
          <w:iCs/>
          <w:color w:val="941D6C"/>
          <w:sz w:val="24"/>
          <w:szCs w:val="24"/>
          <w:lang w:eastAsia="lv-LV"/>
        </w:rPr>
        <w:t xml:space="preserve"> pasākumu izmaksas, kas radušās Partnera neapmierinošas izpildes dēļ (t. i., izmaksas par aktīva pabeigšanu/izlabošanu, kā arī papildu ekspluatācijas, uzturēšanas un finansēšanas izmaksas);</w:t>
      </w:r>
    </w:p>
    <w:p w14:paraId="7D8BF734" w14:textId="11B04F64"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sz w:val="24"/>
          <w:szCs w:val="24"/>
          <w:lang w:eastAsia="lv-LV"/>
        </w:rPr>
      </w:pPr>
      <w:r w:rsidRPr="006A1C4C">
        <w:rPr>
          <w:rFonts w:ascii="Times New Roman" w:eastAsia="Times New Roman" w:hAnsi="Times New Roman" w:cs="Times New Roman"/>
          <w:i/>
          <w:iCs/>
          <w:color w:val="941D6C"/>
          <w:sz w:val="24"/>
          <w:szCs w:val="24"/>
          <w:lang w:eastAsia="lv-LV"/>
        </w:rPr>
        <w:t xml:space="preserve">līguma tirgus vērtības aprēķināšanai (ja pēc tam netiek atkārtoti rīkots konkurss) izmanto metodoloģiju, kas ir izstrādāta atbilstoši pieejai, kura tirgū tiktu piemērota, lai </w:t>
      </w:r>
      <w:r w:rsidRPr="006A1C4C">
        <w:rPr>
          <w:rFonts w:ascii="Times New Roman" w:eastAsia="Times New Roman" w:hAnsi="Times New Roman" w:cs="Times New Roman"/>
          <w:i/>
          <w:iCs/>
          <w:color w:val="941D6C"/>
          <w:sz w:val="24"/>
          <w:szCs w:val="24"/>
          <w:lang w:eastAsia="lv-LV"/>
        </w:rPr>
        <w:lastRenderedPageBreak/>
        <w:t xml:space="preserve">novērtētu PPP līgumu, nevis lai nodrošinātu Partnerim radušos izmaksu vai nenomaksātu parādsaistību segšanu. Šai metodoloģijai jāņem vērā visas </w:t>
      </w:r>
      <w:r w:rsidR="00BD2475">
        <w:rPr>
          <w:rFonts w:ascii="Times New Roman" w:eastAsia="Times New Roman" w:hAnsi="Times New Roman" w:cs="Times New Roman"/>
          <w:i/>
          <w:iCs/>
          <w:color w:val="941D6C"/>
          <w:sz w:val="24"/>
          <w:szCs w:val="24"/>
          <w:lang w:eastAsia="lv-LV"/>
        </w:rPr>
        <w:t>neatbilstību novēršanas</w:t>
      </w:r>
      <w:r w:rsidRPr="006A1C4C">
        <w:rPr>
          <w:rFonts w:ascii="Times New Roman" w:eastAsia="Times New Roman" w:hAnsi="Times New Roman" w:cs="Times New Roman"/>
          <w:i/>
          <w:iCs/>
          <w:color w:val="941D6C"/>
          <w:sz w:val="24"/>
          <w:szCs w:val="24"/>
          <w:lang w:eastAsia="lv-LV"/>
        </w:rPr>
        <w:t xml:space="preserve"> pasākumu izmaksas, kas rodas, ja Partnera veiktā izpilde ir neapmierinoša (t. i., prognozējot naudas plūsmas, ir jāņem vērā gan izmaksas aktīva pabeigšanai/izlabošanai, gan papildu ekspluatācijas, uzturēšanas un finansēšanas izmaksas);</w:t>
      </w:r>
    </w:p>
    <w:p w14:paraId="3908B827"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ja PPP līgumā iekļauta iespēja izvēlēties starp atkārtotu konkursu vai tirgus vērtības aprēķināšanu, šo izvēli izdara Iestāde, nevis Partneris;</w:t>
      </w:r>
    </w:p>
    <w:p w14:paraId="37223E54"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Iestādei ir pienākums izvēlēties noteikt tirgus vērtību aprēķinot tikai tādā gadījumā, ja nav likvīda tirgus;</w:t>
      </w:r>
    </w:p>
    <w:p w14:paraId="0F2D80E3"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likvīda tirgus definēšana nodrošina to, ka (tā kā tobrīd tiek izdarīta izvēle) tirgū ir pietiekami daudz uzņēmumu, kas spēj un vēlas slēgt attiecīgā veida PPP līgumu vai līdzīgus līgumus, lai varētu noteikt tirgus cenu;</w:t>
      </w:r>
    </w:p>
    <w:p w14:paraId="6D7E5F5B"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ja pēc lēmuma par atkārtota konkursa rīkošanu, bet pirms piedāvājumu saņemšanas Iestāde lemj PPP līguma tirgus vērtību tomēr noteikt aprēķinot, šis lēmums ir tikai Iestādes ziņā, un Partneris to nevar ne ierosināt, ne ietekmēt;</w:t>
      </w:r>
    </w:p>
    <w:p w14:paraId="0D1DEC6B" w14:textId="401ED041"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 xml:space="preserve">saskaņā ar PPP līgumā </w:t>
      </w:r>
      <w:r w:rsidR="00BD2475">
        <w:rPr>
          <w:rFonts w:ascii="Times New Roman" w:eastAsia="Times New Roman" w:hAnsi="Times New Roman" w:cs="Times New Roman"/>
          <w:i/>
          <w:iCs/>
          <w:color w:val="941D6C"/>
          <w:sz w:val="24"/>
          <w:szCs w:val="24"/>
          <w:lang w:eastAsia="lv-LV"/>
        </w:rPr>
        <w:t>minētajiem</w:t>
      </w:r>
      <w:r w:rsidRPr="006A1C4C">
        <w:rPr>
          <w:rFonts w:ascii="Times New Roman" w:eastAsia="Times New Roman" w:hAnsi="Times New Roman" w:cs="Times New Roman"/>
          <w:i/>
          <w:iCs/>
          <w:color w:val="941D6C"/>
          <w:sz w:val="24"/>
          <w:szCs w:val="24"/>
          <w:lang w:eastAsia="lv-LV"/>
        </w:rPr>
        <w:t xml:space="preserve">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14:paraId="30C51927"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14:paraId="286BB816"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14:paraId="5F9D9570"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saskaņā ar PPP līgumā minētajiem atkārtotā konkursa nosacījumiem, ja atkārtotā konkursā konstatē, ka tirgus vērtība ir mazāka par nulli, līgums paredz negatīva kompensācijas maksājuma iespējamību (t. i., Partnerim būtu jāveic maksājums Iestādei);</w:t>
      </w:r>
    </w:p>
    <w:p w14:paraId="741B50A1"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no kompensācijas maksājuma atrēķina jebkādus starpposma maksājumus, ko Iestāde ir veikusi Partnerim laikā no līguma darbības izbeigšanas dienas līdz kompensācijas maksājuma dienai;</w:t>
      </w:r>
    </w:p>
    <w:p w14:paraId="7B594554"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ja atkārtota konkursa nosacījumos ir norādīts kāds termiņš, kurā Iestādei ir jānoslēdz atkārtotais konkurss un jāsamaksā Partnerim līguma tirgus vērtība, tad šis termiņš ir vismaz seši mēneši pēc līguma darbības izbeigšanas dienas;</w:t>
      </w:r>
    </w:p>
    <w:p w14:paraId="7825592D" w14:textId="5DF93B61"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ja nerīko atkārtotu konkursu, tad PPP līguma aprēķināto tirgus vērtību nosaka (izmantojot līgumā norādīto metodoloģiju) vai nu eksperts, vai abas puses kopīgi. Ja saskaņā ar līgumu ir jāizmanto eksperta pakalpojumi, ekspertam ir jābūt neatkarīgam gan no Iestādes, gan no Partnera (un Iestāde un Partneris var vienoties par konkrētām neatkarīguma un kompetences pārbaudēm). Ja saskaņā ar līgum</w:t>
      </w:r>
      <w:r w:rsidR="00AA0A23">
        <w:rPr>
          <w:rFonts w:ascii="Times New Roman" w:eastAsia="Times New Roman" w:hAnsi="Times New Roman" w:cs="Times New Roman"/>
          <w:i/>
          <w:iCs/>
          <w:color w:val="941D6C"/>
          <w:sz w:val="24"/>
          <w:szCs w:val="24"/>
          <w:lang w:eastAsia="lv-LV"/>
        </w:rPr>
        <w:t>a</w:t>
      </w:r>
      <w:r w:rsidRPr="006A1C4C">
        <w:rPr>
          <w:rFonts w:ascii="Times New Roman" w:eastAsia="Times New Roman" w:hAnsi="Times New Roman" w:cs="Times New Roman"/>
          <w:i/>
          <w:iCs/>
          <w:color w:val="941D6C"/>
          <w:sz w:val="24"/>
          <w:szCs w:val="24"/>
          <w:lang w:eastAsia="lv-LV"/>
        </w:rPr>
        <w:t xml:space="preserve"> pusēm ir jāvienojas par aprēķinu, abām pusēm ir jābūt tiesībām jebkuras domstarpības iesniegt izskatīšanai neatkarīgam ekspertam vai PPP līgumā norādītajā strīda izšķiršanas procedūrā;</w:t>
      </w:r>
    </w:p>
    <w:p w14:paraId="2D95850A" w14:textId="77777777" w:rsidR="00D43EDD" w:rsidRPr="006A1C4C" w:rsidRDefault="00D43EDD" w:rsidP="00DC1556">
      <w:pPr>
        <w:pStyle w:val="Sarakstarindkopa"/>
        <w:numPr>
          <w:ilvl w:val="0"/>
          <w:numId w:val="94"/>
        </w:numPr>
        <w:spacing w:after="0" w:line="240" w:lineRule="auto"/>
        <w:ind w:left="709" w:hanging="283"/>
        <w:jc w:val="both"/>
        <w:rPr>
          <w:rFonts w:ascii="Times New Roman" w:eastAsia="Times New Roman" w:hAnsi="Times New Roman" w:cs="Times New Roman"/>
          <w:i/>
          <w:iCs/>
          <w:color w:val="941D6C"/>
          <w:sz w:val="24"/>
          <w:szCs w:val="24"/>
          <w:lang w:eastAsia="lv-LV"/>
        </w:rPr>
      </w:pPr>
      <w:r w:rsidRPr="006A1C4C">
        <w:rPr>
          <w:rFonts w:ascii="Times New Roman" w:eastAsia="Times New Roman" w:hAnsi="Times New Roman" w:cs="Times New Roman"/>
          <w:i/>
          <w:iCs/>
          <w:color w:val="941D6C"/>
          <w:sz w:val="24"/>
          <w:szCs w:val="24"/>
          <w:lang w:eastAsia="lv-LV"/>
        </w:rPr>
        <w:t>ja saskaņā ar metodoloģiju aprēķinātās līguma patiesās vērtības noteikšanai konstatē, ka tirgus vērtība ir mazāka par nulli, līgums paredz negatīva kompensācijas maksājuma iespējamību (t. i., Partnerim būtu jāveic maksājums Iestādei).</w:t>
      </w:r>
    </w:p>
    <w:p w14:paraId="1D7C4942" w14:textId="77777777" w:rsidR="006A1C4C"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7627F7E6" w14:textId="4F021213" w:rsidR="00D43EDD" w:rsidRPr="000761E9"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Ja nav izpildīts kāds no pirmajiem diviem iepriekš minētajiem nosacījumiem, PPP automātiski reģistrē valdības BILANCĒ. Visi pārējie iepriekš uzskaitītie nosacījumi ir SVARĪGI statistiskajā uzskaitē.</w:t>
      </w:r>
    </w:p>
    <w:p w14:paraId="352E5F12" w14:textId="77777777" w:rsidR="006A1C4C" w:rsidRDefault="006A1C4C" w:rsidP="00D43EDD">
      <w:pPr>
        <w:spacing w:after="0" w:line="240" w:lineRule="auto"/>
        <w:jc w:val="both"/>
        <w:rPr>
          <w:rFonts w:ascii="Times New Roman" w:eastAsia="Times New Roman" w:hAnsi="Times New Roman" w:cs="Times New Roman"/>
          <w:b/>
          <w:bCs/>
          <w:color w:val="888A8C"/>
          <w:sz w:val="24"/>
          <w:szCs w:val="24"/>
          <w:lang w:eastAsia="lv-LV"/>
        </w:rPr>
      </w:pPr>
    </w:p>
    <w:p w14:paraId="13AC123C" w14:textId="16B4E7D4"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12.1.4. 4. pieeja. Aktīva uzskaites vērtība</w:t>
      </w:r>
    </w:p>
    <w:p w14:paraId="0F28FC1F"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136940B1" w14:textId="325CE75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ka Partnerim izmaksājamā kompensācija ir balstīta uz aktīva uzskaites vērtību līguma darbības izbeigšanas dienā. Uzskaites vērtību tiecas noteikt, ņemot vērā:</w:t>
      </w:r>
    </w:p>
    <w:p w14:paraId="312493CF"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D8CCFE9" w14:textId="77777777" w:rsidR="00D43EDD" w:rsidRPr="006A1C4C" w:rsidRDefault="00D43EDD" w:rsidP="00DC1556">
      <w:pPr>
        <w:pStyle w:val="Sarakstarindkopa"/>
        <w:numPr>
          <w:ilvl w:val="0"/>
          <w:numId w:val="95"/>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aktīvā izdarīto kapitālieguldījumu (saistību un pašu kapitāla) apmēru; vai</w:t>
      </w:r>
    </w:p>
    <w:p w14:paraId="0EA502C2" w14:textId="77777777" w:rsidR="00D43EDD" w:rsidRPr="006A1C4C" w:rsidRDefault="00D43EDD" w:rsidP="00DC1556">
      <w:pPr>
        <w:pStyle w:val="Sarakstarindkopa"/>
        <w:numPr>
          <w:ilvl w:val="0"/>
          <w:numId w:val="95"/>
        </w:numPr>
        <w:spacing w:after="0" w:line="240" w:lineRule="auto"/>
        <w:ind w:left="709" w:hanging="283"/>
        <w:jc w:val="both"/>
        <w:rPr>
          <w:rFonts w:ascii="Times New Roman" w:eastAsia="Times New Roman" w:hAnsi="Times New Roman" w:cs="Times New Roman"/>
          <w:color w:val="231F20"/>
          <w:sz w:val="24"/>
          <w:szCs w:val="24"/>
          <w:lang w:eastAsia="lv-LV"/>
        </w:rPr>
      </w:pPr>
      <w:r w:rsidRPr="006A1C4C">
        <w:rPr>
          <w:rFonts w:ascii="Times New Roman" w:eastAsia="Times New Roman" w:hAnsi="Times New Roman" w:cs="Times New Roman"/>
          <w:color w:val="231F20"/>
          <w:sz w:val="24"/>
          <w:szCs w:val="24"/>
          <w:lang w:eastAsia="lv-LV"/>
        </w:rPr>
        <w:t>izmaksas, kas Partnerim radušās, būvējot aktīvu.</w:t>
      </w:r>
    </w:p>
    <w:p w14:paraId="3BE75264" w14:textId="77777777" w:rsidR="006A1C4C"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EE08B93" w14:textId="77F9774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Šo pieeju galvenā atšķirība ir tā, ka pirmajā pieejā tiek ņemtas vērā finansēšanas izmaksas, bet otrajā – netiek.</w:t>
      </w:r>
    </w:p>
    <w:p w14:paraId="3861DCC0"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419A93AA" w14:textId="471B505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Šī pieeja pati par sevi neņem vērā izmaksas, kas Iestādei rodas (ja rodas), novēršot neapmierinošas izpildes dēļ radušās problēmas, kas saistītas ar projektu (piemēram, novēršot būvniecības defektus). Tāpēc dažās jurisdikcijās Partnerim izmaksātā kompensācija atbildīs aktīva uzskaites vērtībai, no kuras ir atrēķinātas </w:t>
      </w:r>
      <w:r w:rsidR="00AA0A23">
        <w:rPr>
          <w:rFonts w:ascii="Times New Roman" w:eastAsia="Times New Roman" w:hAnsi="Times New Roman" w:cs="Times New Roman"/>
          <w:color w:val="231F20"/>
          <w:sz w:val="24"/>
          <w:szCs w:val="24"/>
          <w:lang w:eastAsia="lv-LV"/>
        </w:rPr>
        <w:t>neatbilstību novēršanas</w:t>
      </w:r>
      <w:r w:rsidRPr="000761E9">
        <w:rPr>
          <w:rFonts w:ascii="Times New Roman" w:eastAsia="Times New Roman" w:hAnsi="Times New Roman" w:cs="Times New Roman"/>
          <w:color w:val="231F20"/>
          <w:sz w:val="24"/>
          <w:szCs w:val="24"/>
          <w:lang w:eastAsia="lv-LV"/>
        </w:rPr>
        <w:t xml:space="preserve"> pasākumu izmaksas.</w:t>
      </w:r>
    </w:p>
    <w:p w14:paraId="4B525D3D" w14:textId="77777777" w:rsidR="006A1C4C" w:rsidRPr="000761E9" w:rsidRDefault="006A1C4C" w:rsidP="00D43EDD">
      <w:pPr>
        <w:spacing w:after="0" w:line="240" w:lineRule="auto"/>
        <w:jc w:val="both"/>
        <w:rPr>
          <w:rFonts w:ascii="Times New Roman" w:eastAsia="Times New Roman" w:hAnsi="Times New Roman" w:cs="Times New Roman"/>
          <w:color w:val="231F20"/>
          <w:sz w:val="24"/>
          <w:szCs w:val="24"/>
          <w:lang w:eastAsia="lv-LV"/>
        </w:rPr>
      </w:pPr>
    </w:p>
    <w:p w14:paraId="730D565E"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FB32CB8" w14:textId="77777777" w:rsidR="006A1C4C" w:rsidRDefault="006A1C4C" w:rsidP="00D43EDD">
      <w:pPr>
        <w:spacing w:after="0" w:line="240" w:lineRule="auto"/>
        <w:jc w:val="both"/>
        <w:rPr>
          <w:rFonts w:ascii="Times New Roman" w:eastAsia="Times New Roman" w:hAnsi="Times New Roman" w:cs="Times New Roman"/>
          <w:i/>
          <w:iCs/>
          <w:color w:val="941D6C"/>
          <w:sz w:val="24"/>
          <w:szCs w:val="24"/>
          <w:lang w:eastAsia="lv-LV"/>
        </w:rPr>
      </w:pPr>
    </w:p>
    <w:p w14:paraId="60A9E248" w14:textId="5A4121BC"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noteikumi, kuros Partnera saistību neizpildes gadījumā maksājamo kompensāciju aprēķina, pamatojoties uz aktīva uzskaites vērtību, bet neņemot vērā Iestādei radītās </w:t>
      </w:r>
      <w:r w:rsidR="00AA0A23">
        <w:rPr>
          <w:rFonts w:ascii="Times New Roman" w:eastAsia="Times New Roman" w:hAnsi="Times New Roman" w:cs="Times New Roman"/>
          <w:i/>
          <w:iCs/>
          <w:color w:val="941D6C"/>
          <w:sz w:val="24"/>
          <w:szCs w:val="24"/>
          <w:lang w:eastAsia="lv-LV"/>
        </w:rPr>
        <w:t>neatbilstību novēršanas</w:t>
      </w:r>
      <w:r w:rsidRPr="000761E9">
        <w:rPr>
          <w:rFonts w:ascii="Times New Roman" w:eastAsia="Times New Roman" w:hAnsi="Times New Roman" w:cs="Times New Roman"/>
          <w:i/>
          <w:iCs/>
          <w:color w:val="941D6C"/>
          <w:sz w:val="24"/>
          <w:szCs w:val="24"/>
          <w:lang w:eastAsia="lv-LV"/>
        </w:rPr>
        <w:t xml:space="preserve"> pasākumu izmaksas, </w:t>
      </w:r>
      <w:r w:rsidRPr="000761E9">
        <w:rPr>
          <w:rFonts w:ascii="Times New Roman" w:eastAsia="Times New Roman" w:hAnsi="Times New Roman" w:cs="Times New Roman"/>
          <w:b/>
          <w:bCs/>
          <w:i/>
          <w:iCs/>
          <w:color w:val="941D6C"/>
          <w:sz w:val="24"/>
          <w:szCs w:val="24"/>
          <w:lang w:eastAsia="lv-LV"/>
        </w:rPr>
        <w:t xml:space="preserve">ietekmē statistisko uzskaiti </w:t>
      </w:r>
      <w:r w:rsidRPr="000761E9">
        <w:rPr>
          <w:rFonts w:ascii="Times New Roman" w:eastAsia="Times New Roman" w:hAnsi="Times New Roman" w:cs="Times New Roman"/>
          <w:i/>
          <w:iCs/>
          <w:color w:val="941D6C"/>
          <w:sz w:val="24"/>
          <w:szCs w:val="24"/>
          <w:lang w:eastAsia="lv-LV"/>
        </w:rPr>
        <w:t>un PPP automātiski jāreģistrē valdības BILANCĒ.</w:t>
      </w:r>
    </w:p>
    <w:p w14:paraId="2002F79D"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654E84C3" w14:textId="3B079017"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Turpretī noteikumi, kuros Partnera saistību neizpildes gadījumā maksājamo kompensāciju aprēķina, pamatojoties uz aktīva uzskaites vērtību un ņemot vērā Iestādei radītās </w:t>
      </w:r>
      <w:r w:rsidR="00AA0A23">
        <w:rPr>
          <w:rFonts w:ascii="Times New Roman" w:eastAsia="Times New Roman" w:hAnsi="Times New Roman" w:cs="Times New Roman"/>
          <w:i/>
          <w:iCs/>
          <w:color w:val="941D6C"/>
          <w:sz w:val="24"/>
          <w:szCs w:val="24"/>
          <w:lang w:eastAsia="lv-LV"/>
        </w:rPr>
        <w:t>neatbilstību novēršanas</w:t>
      </w:r>
      <w:r w:rsidRPr="000761E9">
        <w:rPr>
          <w:rFonts w:ascii="Times New Roman" w:eastAsia="Times New Roman" w:hAnsi="Times New Roman" w:cs="Times New Roman"/>
          <w:i/>
          <w:iCs/>
          <w:color w:val="941D6C"/>
          <w:sz w:val="24"/>
          <w:szCs w:val="24"/>
          <w:lang w:eastAsia="lv-LV"/>
        </w:rPr>
        <w:t xml:space="preserve"> pasākumu izmaksas (gan izmaksas, kas saistītas ar aktīva pabeigšanu/izlabošanu, gan papildu ekspluatācijas/uzturēšanas izmaksas),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74D665C6"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397C6D1F" w14:textId="1DB74017"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Ja no aprēķinātās aktīva uzskaites vērtības atrēķina tikai daļu </w:t>
      </w:r>
      <w:r w:rsidR="00AA0A23">
        <w:rPr>
          <w:rFonts w:ascii="Times New Roman" w:eastAsia="Times New Roman" w:hAnsi="Times New Roman" w:cs="Times New Roman"/>
          <w:i/>
          <w:iCs/>
          <w:color w:val="941D6C"/>
          <w:sz w:val="24"/>
          <w:szCs w:val="24"/>
          <w:lang w:eastAsia="lv-LV"/>
        </w:rPr>
        <w:t>neatbilstību novēršanas</w:t>
      </w:r>
      <w:r w:rsidRPr="000761E9">
        <w:rPr>
          <w:rFonts w:ascii="Times New Roman" w:eastAsia="Times New Roman" w:hAnsi="Times New Roman" w:cs="Times New Roman"/>
          <w:i/>
          <w:iCs/>
          <w:color w:val="941D6C"/>
          <w:sz w:val="24"/>
          <w:szCs w:val="24"/>
          <w:lang w:eastAsia="lv-LV"/>
        </w:rPr>
        <w:t xml:space="preserve"> pasākumu izmaksu (piemēram, neatrēķina papildu apsaimniekošanas/uzturēšanas izmaksas), šie noteikumi </w:t>
      </w:r>
      <w:r w:rsidRPr="000761E9">
        <w:rPr>
          <w:rFonts w:ascii="Times New Roman" w:eastAsia="Times New Roman" w:hAnsi="Times New Roman" w:cs="Times New Roman"/>
          <w:b/>
          <w:bCs/>
          <w:i/>
          <w:iCs/>
          <w:color w:val="941D6C"/>
          <w:sz w:val="24"/>
          <w:szCs w:val="24"/>
          <w:lang w:eastAsia="lv-LV"/>
        </w:rPr>
        <w:t xml:space="preserve">ietekmē statistisko uzskaiti </w:t>
      </w:r>
      <w:r w:rsidRPr="000761E9">
        <w:rPr>
          <w:rFonts w:ascii="Times New Roman" w:eastAsia="Times New Roman" w:hAnsi="Times New Roman" w:cs="Times New Roman"/>
          <w:i/>
          <w:iCs/>
          <w:color w:val="941D6C"/>
          <w:sz w:val="24"/>
          <w:szCs w:val="24"/>
          <w:lang w:eastAsia="lv-LV"/>
        </w:rPr>
        <w:t>un ir SVARĪGS jautājums.</w:t>
      </w:r>
    </w:p>
    <w:p w14:paraId="2EC175F2"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5942C835"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12.1.5. 5. pieeja. Augstākās prioritātes parāda kompensēšana</w:t>
      </w:r>
    </w:p>
    <w:p w14:paraId="17E622B2"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1DA3CC6" w14:textId="72CDD38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Daži PPP līgumi paredz, ka kompensācija, kas maksājama Partnerim, ir balstīta uz līguma darbības izbeigšanas dienā nenomaksāto augstākās prioritātes parādu (vai procentuālu tā daļu).</w:t>
      </w:r>
    </w:p>
    <w:p w14:paraId="5D393CE8"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CCF68F8" w14:textId="24EF03D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Dažos gadījumos veiks atskaitījumus no nenomaksātā augstākās prioritātes parāda, lai ņemtu vērā Iestādes izmaksas (piemēram, par atkārtotu konkursu un </w:t>
      </w:r>
      <w:r w:rsidR="00AA0A23">
        <w:rPr>
          <w:rFonts w:ascii="Times New Roman" w:eastAsia="Times New Roman" w:hAnsi="Times New Roman" w:cs="Times New Roman"/>
          <w:color w:val="231F20"/>
          <w:sz w:val="24"/>
          <w:szCs w:val="24"/>
          <w:lang w:eastAsia="lv-LV"/>
        </w:rPr>
        <w:t>neatbilstību novēršanu</w:t>
      </w:r>
      <w:r w:rsidRPr="000761E9">
        <w:rPr>
          <w:rFonts w:ascii="Times New Roman" w:eastAsia="Times New Roman" w:hAnsi="Times New Roman" w:cs="Times New Roman"/>
          <w:color w:val="231F20"/>
          <w:sz w:val="24"/>
          <w:szCs w:val="24"/>
          <w:lang w:eastAsia="lv-LV"/>
        </w:rPr>
        <w:t>).</w:t>
      </w:r>
    </w:p>
    <w:p w14:paraId="475B12E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C88C2DC" w14:textId="0BF15E1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visos Partnera saistību neizpildes gadījumos izmanto nenomaksātā augstākās prioritātes parāda aprēķinus. Citās jurisdikcijās to izmanto tikai noteiktā Partnera saistību neizpildes diapazonā (tie parasti ir refinansēšanas noteikumu pārkāpumi un/vai Partnera veikta krāpšana vai korupcija).</w:t>
      </w:r>
    </w:p>
    <w:p w14:paraId="45B2A1D2"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87A1AF5"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lastRenderedPageBreak/>
        <w:t>Eurostat piezīmes</w:t>
      </w:r>
    </w:p>
    <w:p w14:paraId="4569CE33" w14:textId="77777777" w:rsidR="00BA2CDE"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26B0D768" w14:textId="071842B0"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PPP līguma noteikumi, kas Partnera saistību neizpildes gadījumā maksājamo kompensāciju balsta uz nenomaksāto augstākās prioritātes parādu (vai tā procentuālu daļu), ir līdzvērtīgi finansējuma galvojumam (sk. 14.4. tematu) </w:t>
      </w:r>
      <w:r w:rsidRPr="000761E9">
        <w:rPr>
          <w:rFonts w:ascii="Times New Roman" w:eastAsia="Times New Roman" w:hAnsi="Times New Roman" w:cs="Times New Roman"/>
          <w:b/>
          <w:bCs/>
          <w:i/>
          <w:iCs/>
          <w:color w:val="941D6C"/>
          <w:sz w:val="24"/>
          <w:szCs w:val="24"/>
          <w:lang w:eastAsia="lv-LV"/>
        </w:rPr>
        <w:t>un ietekmē statistisko uzskaiti</w:t>
      </w:r>
      <w:r w:rsidRPr="000761E9">
        <w:rPr>
          <w:rFonts w:ascii="Times New Roman" w:eastAsia="Times New Roman" w:hAnsi="Times New Roman" w:cs="Times New Roman"/>
          <w:i/>
          <w:iCs/>
          <w:color w:val="941D6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41D6C"/>
          <w:sz w:val="24"/>
          <w:szCs w:val="24"/>
          <w:lang w:eastAsia="lv-LV"/>
        </w:rPr>
        <w:t>Attiecīgi tas, kā šādi kompensācijas noteikumi ietekmē statistisko uzskaiti, ir jānovērtē (apvienojumā ar citiem noteikumiem par valdības finansējumu) atbilstoši 14.4. tematā minētajiem principiem.</w:t>
      </w:r>
    </w:p>
    <w:p w14:paraId="48C30A57" w14:textId="77777777" w:rsidR="00BA2CDE" w:rsidRPr="000761E9"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032562DB"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12.2. Kompensācija, izbeidzot līguma darbību Iestādes saistību neizpildes dēļ</w:t>
      </w:r>
    </w:p>
    <w:p w14:paraId="62B06195" w14:textId="77777777" w:rsidR="00BA2CDE"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6AAABDB8" w14:textId="239C765C" w:rsidR="00D43EDD"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12.2.1. 1. pieeja. Kompensācija izmaksu un zaudējumu segšanai</w:t>
      </w:r>
    </w:p>
    <w:p w14:paraId="44756A1C" w14:textId="77777777" w:rsidR="00BA2CDE" w:rsidRPr="000761E9"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4D721E56" w14:textId="677480F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lielāko daļu PPP līgumu kompensācija, kas Iestādei jāizmaksā Partnerim, ja līgums tiek izbeigts Iestādes saistību neizpildes dēļ, ir paredzēta, lai nodrošinātu, ka Iestādes saistību neizpildes dēļ Partnera un tā aizdevēju stāvoklis nav sliktāks kā gadījumā, ja PPP līguma darbība turpinātos tā, kā tika gaidīts. Parasti šī kompensācija aptvers šādus pamatkomponentus:</w:t>
      </w:r>
    </w:p>
    <w:p w14:paraId="7B84B143"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55F9800" w14:textId="77777777" w:rsidR="00D43EDD" w:rsidRPr="00BA2CDE" w:rsidRDefault="00D43EDD" w:rsidP="00DC1556">
      <w:pPr>
        <w:pStyle w:val="Sarakstarindkopa"/>
        <w:numPr>
          <w:ilvl w:val="0"/>
          <w:numId w:val="9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augstākās prioritātes parādu;</w:t>
      </w:r>
    </w:p>
    <w:p w14:paraId="3A9653CE" w14:textId="5E0EE67C" w:rsidR="00D43EDD" w:rsidRPr="00BA2CDE" w:rsidRDefault="00D43EDD" w:rsidP="00DC1556">
      <w:pPr>
        <w:pStyle w:val="Sarakstarindkopa"/>
        <w:numPr>
          <w:ilvl w:val="0"/>
          <w:numId w:val="9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 xml:space="preserve">sponsoru pašu kapitālu un </w:t>
      </w:r>
      <w:r w:rsidR="00AA0A23">
        <w:rPr>
          <w:rFonts w:ascii="Times New Roman" w:eastAsia="Times New Roman" w:hAnsi="Times New Roman" w:cs="Times New Roman"/>
          <w:color w:val="231F20"/>
          <w:sz w:val="24"/>
          <w:szCs w:val="24"/>
          <w:lang w:eastAsia="lv-LV"/>
        </w:rPr>
        <w:t>subordinēto</w:t>
      </w:r>
      <w:r w:rsidRPr="00BA2CDE">
        <w:rPr>
          <w:rFonts w:ascii="Times New Roman" w:eastAsia="Times New Roman" w:hAnsi="Times New Roman" w:cs="Times New Roman"/>
          <w:color w:val="231F20"/>
          <w:sz w:val="24"/>
          <w:szCs w:val="24"/>
          <w:lang w:eastAsia="lv-LV"/>
        </w:rPr>
        <w:t xml:space="preserve"> parādu (tostarp zaudēto peļņu);</w:t>
      </w:r>
    </w:p>
    <w:p w14:paraId="5CE0C176" w14:textId="77777777" w:rsidR="00D43EDD" w:rsidRPr="00BA2CDE" w:rsidRDefault="00D43EDD" w:rsidP="00DC1556">
      <w:pPr>
        <w:pStyle w:val="Sarakstarindkopa"/>
        <w:numPr>
          <w:ilvl w:val="0"/>
          <w:numId w:val="9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trešām personām veicamos maksājumus.</w:t>
      </w:r>
    </w:p>
    <w:p w14:paraId="5D00D673"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A635FE5" w14:textId="28EFA36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Pirm</w:t>
      </w:r>
      <w:r w:rsidR="00AA0A23">
        <w:rPr>
          <w:rFonts w:ascii="Times New Roman" w:eastAsia="Times New Roman" w:hAnsi="Times New Roman" w:cs="Times New Roman"/>
          <w:color w:val="231F20"/>
          <w:sz w:val="24"/>
          <w:szCs w:val="24"/>
          <w:lang w:eastAsia="lv-LV"/>
        </w:rPr>
        <w:t>ā komponente</w:t>
      </w:r>
      <w:r w:rsidRPr="000761E9">
        <w:rPr>
          <w:rFonts w:ascii="Times New Roman" w:eastAsia="Times New Roman" w:hAnsi="Times New Roman" w:cs="Times New Roman"/>
          <w:color w:val="231F20"/>
          <w:sz w:val="24"/>
          <w:szCs w:val="24"/>
          <w:lang w:eastAsia="lv-LV"/>
        </w:rPr>
        <w:t>,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14:paraId="662C348B"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37E8646" w14:textId="2A3734A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Otr</w:t>
      </w:r>
      <w:r w:rsidR="00AA0A23">
        <w:rPr>
          <w:rFonts w:ascii="Times New Roman" w:eastAsia="Times New Roman" w:hAnsi="Times New Roman" w:cs="Times New Roman"/>
          <w:color w:val="231F20"/>
          <w:sz w:val="24"/>
          <w:szCs w:val="24"/>
          <w:lang w:eastAsia="lv-LV"/>
        </w:rPr>
        <w:t>ā komponente</w:t>
      </w:r>
      <w:r w:rsidRPr="000761E9">
        <w:rPr>
          <w:rFonts w:ascii="Times New Roman" w:eastAsia="Times New Roman" w:hAnsi="Times New Roman" w:cs="Times New Roman"/>
          <w:color w:val="231F20"/>
          <w:sz w:val="24"/>
          <w:szCs w:val="24"/>
          <w:lang w:eastAsia="lv-LV"/>
        </w:rPr>
        <w:t xml:space="preserve"> parasti kompensē ieguldītājiem pašu kapitālā un </w:t>
      </w:r>
      <w:r w:rsidR="00AA0A23">
        <w:rPr>
          <w:rFonts w:ascii="Times New Roman" w:eastAsia="Times New Roman" w:hAnsi="Times New Roman" w:cs="Times New Roman"/>
          <w:color w:val="231F20"/>
          <w:sz w:val="24"/>
          <w:szCs w:val="24"/>
          <w:lang w:eastAsia="lv-LV"/>
        </w:rPr>
        <w:t>subordinētās</w:t>
      </w:r>
      <w:r w:rsidRPr="000761E9">
        <w:rPr>
          <w:rFonts w:ascii="Times New Roman" w:eastAsia="Times New Roman" w:hAnsi="Times New Roman" w:cs="Times New Roman"/>
          <w:color w:val="231F20"/>
          <w:sz w:val="24"/>
          <w:szCs w:val="24"/>
          <w:lang w:eastAsia="lv-LV"/>
        </w:rPr>
        <w:t xml:space="preserve"> parādsaistībās par to sākotnējo ieguldījumu un zaudēto turpmāko peļņu. To var aprēķināt vairākos veidos, bet trīs visbiežāk izmantotie ir šādi:</w:t>
      </w:r>
    </w:p>
    <w:p w14:paraId="1F08EA7C"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B761197" w14:textId="77777777" w:rsidR="00D43EDD" w:rsidRPr="00BA2CDE" w:rsidRDefault="00D43EDD" w:rsidP="00DC1556">
      <w:pPr>
        <w:pStyle w:val="Sarakstarindkopa"/>
        <w:numPr>
          <w:ilvl w:val="0"/>
          <w:numId w:val="9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sākotnējās pelņas pieeja nodrošina, ka ieguldītāju saņemtā kopējā peļņa ir līdzvērtīga peļņai, kas tika prognozēta finanšu izpildes dienā (neatkarīgi no tā, kā notikusi projekta izpilde);</w:t>
      </w:r>
    </w:p>
    <w:p w14:paraId="45ABFAB9" w14:textId="77777777" w:rsidR="00D43EDD" w:rsidRPr="00BA2CDE" w:rsidRDefault="00D43EDD" w:rsidP="00DC1556">
      <w:pPr>
        <w:pStyle w:val="Sarakstarindkopa"/>
        <w:numPr>
          <w:ilvl w:val="0"/>
          <w:numId w:val="9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tirgus vērtības pieeja nodrošina, ka ieguldītāji saņem summu, par kādu to ieguldījumu būtu varēts pārdot ieinteresētam pircējam līguma darbības izbeigšanas dienā;</w:t>
      </w:r>
    </w:p>
    <w:p w14:paraId="2F59F8FE" w14:textId="77777777" w:rsidR="00D43EDD" w:rsidRPr="00BA2CDE" w:rsidRDefault="00D43EDD" w:rsidP="00DC1556">
      <w:pPr>
        <w:pStyle w:val="Sarakstarindkopa"/>
        <w:numPr>
          <w:ilvl w:val="0"/>
          <w:numId w:val="9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turpmākās peļņas pieeja nodrošina, ka ieguldītāji saņem peļņu, kādu tiem tika prognozēts saņemt finanšu izpildes dienā no līguma darbības izbeigšanas dienas līdz PPP līguma termiņa beigām.</w:t>
      </w:r>
    </w:p>
    <w:p w14:paraId="2306C752"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8C95518" w14:textId="5FBF9C1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Dažos gadījumos ieguldītājiem pašu kapitālā un </w:t>
      </w:r>
      <w:r w:rsidR="00AA0A23">
        <w:rPr>
          <w:rFonts w:ascii="Times New Roman" w:eastAsia="Times New Roman" w:hAnsi="Times New Roman" w:cs="Times New Roman"/>
          <w:color w:val="231F20"/>
          <w:sz w:val="24"/>
          <w:szCs w:val="24"/>
          <w:lang w:eastAsia="lv-LV"/>
        </w:rPr>
        <w:t>subordinētās</w:t>
      </w:r>
      <w:r w:rsidRPr="000761E9">
        <w:rPr>
          <w:rFonts w:ascii="Times New Roman" w:eastAsia="Times New Roman" w:hAnsi="Times New Roman" w:cs="Times New Roman"/>
          <w:color w:val="231F20"/>
          <w:sz w:val="24"/>
          <w:szCs w:val="24"/>
          <w:lang w:eastAsia="lv-LV"/>
        </w:rPr>
        <w:t xml:space="preserve"> parādsaistībās kā kompensāciju izmaksā iepriekš noteiktu summu (piemēram, noteiktu procentuālo daļu no atlikušās līguma vērtības).</w:t>
      </w:r>
    </w:p>
    <w:p w14:paraId="0E135774"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3868185" w14:textId="26174C6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Trešajā kompo</w:t>
      </w:r>
      <w:r w:rsidR="00AA0A23">
        <w:rPr>
          <w:rFonts w:ascii="Times New Roman" w:eastAsia="Times New Roman" w:hAnsi="Times New Roman" w:cs="Times New Roman"/>
          <w:color w:val="231F20"/>
          <w:sz w:val="24"/>
          <w:szCs w:val="24"/>
          <w:lang w:eastAsia="lv-LV"/>
        </w:rPr>
        <w:t>nentē</w:t>
      </w:r>
      <w:r w:rsidRPr="000761E9">
        <w:rPr>
          <w:rFonts w:ascii="Times New Roman" w:eastAsia="Times New Roman" w:hAnsi="Times New Roman" w:cs="Times New Roman"/>
          <w:color w:val="231F20"/>
          <w:sz w:val="24"/>
          <w:szCs w:val="24"/>
          <w:lang w:eastAsia="lv-LV"/>
        </w:rPr>
        <w:t xml:space="preserve"> parasti tiks iekļautas summas, kas Partnerim jāmaksā trešām pusēm, piemēram, apakšuzņēmuma līguma laušanas izmaksas un atlaišanas pabalsti.</w:t>
      </w:r>
    </w:p>
    <w:p w14:paraId="2C355C92" w14:textId="7069B2B2" w:rsidR="00586FD8" w:rsidRDefault="00586FD8">
      <w:pPr>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br w:type="page"/>
      </w:r>
    </w:p>
    <w:p w14:paraId="21F950F3"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66C6B4C"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A0D4BF2" w14:textId="77777777" w:rsidR="00BA2CDE"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00D261BF" w14:textId="4B27566C"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tās kompensācijas aprēķināšana, kas Iestādei jāizmaksā Partnerim, ja līguma darbība tiek izbeigta Iestādes saistību neizpildes gadījumā, atbilstoši iepriekš aprakstītajai 1. pieejai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3F2B44C0"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715E8080"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12.2.2. 2. pieeja. Aktīva uzskaites vērtība</w:t>
      </w:r>
    </w:p>
    <w:p w14:paraId="6DEE8F2E"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00AE2F6" w14:textId="73F7C0D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Lai gan šī pieeja tiek izmantota retāk nekā iepriekš aprakstītā 1. pieeja, daži PPP līgumi nosaka, ka kompensācija, kas Iestādei jāmaksā Partnerim, ir vienāda ar aktīva uzskaites vērtību, kas atbilst:</w:t>
      </w:r>
    </w:p>
    <w:p w14:paraId="02ADA597"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405B3E6" w14:textId="77777777" w:rsidR="00D43EDD" w:rsidRPr="00BA2CDE" w:rsidRDefault="00D43EDD" w:rsidP="00DC1556">
      <w:pPr>
        <w:pStyle w:val="Sarakstarindkopa"/>
        <w:numPr>
          <w:ilvl w:val="0"/>
          <w:numId w:val="98"/>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ieguldījumiem līdz līguma darbības izbeigšanas dienai, ja līguma darbība tiek izbeigta būvniecības fāzē;</w:t>
      </w:r>
    </w:p>
    <w:p w14:paraId="6863B55B" w14:textId="77777777" w:rsidR="00D43EDD" w:rsidRPr="00BA2CDE" w:rsidRDefault="00D43EDD" w:rsidP="00DC1556">
      <w:pPr>
        <w:pStyle w:val="Sarakstarindkopa"/>
        <w:numPr>
          <w:ilvl w:val="0"/>
          <w:numId w:val="98"/>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būvniecībā veiktajiem ieguldījumiem, kuriem piemērojami amortizācijas atskaitījumi, ja līguma darbība tiek izbeigta darbības fāzē.</w:t>
      </w:r>
    </w:p>
    <w:p w14:paraId="1F0A0E7C"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061C8D4D" w14:textId="5AB64F38"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9C1D152" w14:textId="77777777" w:rsidR="00BA2CDE"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1DF41D2B" w14:textId="5FDA6E2E"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tās kompensācijas aprēķināšana, kas Iestādei jāizmaksā Partnerim, ja līguma darbība tiek izbeigta Iestādes saistību neizpildes dēļ, atbilstoši iepriekš aprakstītajai 2. pieejai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3DB650E6"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2DA47812" w14:textId="6DC1C52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12.3. Kompensācija, Iestādei brīvprātīgi izbeidzot līguma darbību</w:t>
      </w:r>
    </w:p>
    <w:p w14:paraId="3EDD6D7C"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4B7434B" w14:textId="4FBDFEE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kompensācija, kas Iestādei jāmaksā Partnerim, ja tā brīvprātīgi izbeidz PPP līguma darbību, ir vienāda ar kompensāciju, kas būtu jāizmaksā, ja līguma darbības izbeigšana notiktu Iestādes saistību neizpildes dēļ (sk. 12.2. tematu).</w:t>
      </w:r>
    </w:p>
    <w:p w14:paraId="46E870A8"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AECD75F"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36022B3" w14:textId="77777777" w:rsidR="00BA2CDE"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458E05D9" w14:textId="4A201FBE"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kompensācijas aprēķināšana, ja līguma darbība izbeigta brīvprātīgi, pamatojoties uz 12.2. tematu,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41D6C"/>
          <w:sz w:val="24"/>
          <w:szCs w:val="24"/>
          <w:lang w:eastAsia="lv-LV"/>
        </w:rPr>
        <w:t>Ja nav līguma noteikuma par kompensāciju, Iestādei brīvprātīgi izbeidzot PPP līguma darbību, nepieciešama papildu analīze (piemēram, attiecīgās jurisdikcijas pamata tiesību aktu un tiesu prakses analīze), lai noteiktu, uz cik lielu kompensāciju Partnerim var būt tiesības un kā tā atbilstu Noteikumiem un citur šajā rokasgrāmatā paustajam Eurostat viedoklim.</w:t>
      </w:r>
    </w:p>
    <w:p w14:paraId="4D6E9975" w14:textId="77777777" w:rsidR="00BA2CDE" w:rsidRPr="000761E9"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667B3A28"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12.4. Kompensācija, izbeidzot līguma darbību nepārvaramas varas dēļ</w:t>
      </w:r>
    </w:p>
    <w:p w14:paraId="14633B26"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630F22D" w14:textId="3DE0DAA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Nosakot, cik liela kompensācija Iestādei ir jāizmaksā Partnerim pēc PPP līguma darbības izbeigšanas nepārvaramas varas dēļ, parasti ņems vērā to, ka līgums ir izbeigts apstākļos, kurus neviena no pusēm nevarēja ietekmēt. Tāpēc visbiežāk izmantotā pieeja ir izmaksāt Partnerim kompensāciju, kas ir pietiekama, lai segtu:</w:t>
      </w:r>
    </w:p>
    <w:p w14:paraId="7630F4D5"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CFBB692" w14:textId="77777777" w:rsidR="00D43EDD" w:rsidRPr="00BA2CDE" w:rsidRDefault="00D43EDD" w:rsidP="00DC1556">
      <w:pPr>
        <w:pStyle w:val="Sarakstarindkopa"/>
        <w:numPr>
          <w:ilvl w:val="0"/>
          <w:numId w:val="9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līguma darbības izbeigšanas dienā nenomaksāto augstākās prioritātes parādu (tostarp uzkrātos procentus un līguma laušanas izmaksas);</w:t>
      </w:r>
    </w:p>
    <w:p w14:paraId="4261BF24" w14:textId="2843EC4D" w:rsidR="00D43EDD" w:rsidRPr="00BA2CDE" w:rsidRDefault="00D43EDD" w:rsidP="00DC1556">
      <w:pPr>
        <w:pStyle w:val="Sarakstarindkopa"/>
        <w:numPr>
          <w:ilvl w:val="0"/>
          <w:numId w:val="9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 xml:space="preserve">ieguldītāju faktiski ieguldīto pašu kapitālu un </w:t>
      </w:r>
      <w:r w:rsidR="00AA0A23">
        <w:rPr>
          <w:rFonts w:ascii="Times New Roman" w:eastAsia="Times New Roman" w:hAnsi="Times New Roman" w:cs="Times New Roman"/>
          <w:color w:val="231F20"/>
          <w:sz w:val="24"/>
          <w:szCs w:val="24"/>
          <w:lang w:eastAsia="lv-LV"/>
        </w:rPr>
        <w:t>subordinēto</w:t>
      </w:r>
      <w:r w:rsidRPr="00BA2CDE">
        <w:rPr>
          <w:rFonts w:ascii="Times New Roman" w:eastAsia="Times New Roman" w:hAnsi="Times New Roman" w:cs="Times New Roman"/>
          <w:color w:val="231F20"/>
          <w:sz w:val="24"/>
          <w:szCs w:val="24"/>
          <w:lang w:eastAsia="lv-LV"/>
        </w:rPr>
        <w:t xml:space="preserve"> parādu (bet ne zaudēto turpmāko peļņu, un parasti atrēķinot peļņu, ko ieguldītāji jau saņēmuši);</w:t>
      </w:r>
    </w:p>
    <w:p w14:paraId="6D0645BA" w14:textId="4F2D8A1C" w:rsidR="00D43EDD" w:rsidRPr="00BA2CDE" w:rsidRDefault="00D43EDD" w:rsidP="00DC1556">
      <w:pPr>
        <w:pStyle w:val="Sarakstarindkopa"/>
        <w:numPr>
          <w:ilvl w:val="0"/>
          <w:numId w:val="9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lastRenderedPageBreak/>
        <w:t>summas, kas maksājamas trešām pusēm (piemēram, apakšuzņēmuma līguma laušanas izmaksas un atlaišanas pabalsti).</w:t>
      </w:r>
    </w:p>
    <w:p w14:paraId="21184265"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BFE3B83" w14:textId="26E954C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tieši ieguldītāju zaudētās peļņas nekompensēšana ir tas, ar ko šis kompensācijas veids atšķiras no kompensācijas, izbeidzot līguma darbību Iestādes saistību neizpildes dēļ vai Iestādei brīvprātīgi izbeidzot līguma darbību (tādējādi parādot, ka nepārvaramas varas gadījumos nav vainīgo).</w:t>
      </w:r>
    </w:p>
    <w:p w14:paraId="606631B4"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A0C677D" w14:textId="4B8DB74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Tomēr dažos PPP līgumos nepārvaramas varas gadījumi ir apvienoti ar citiem gadījumiem, par kuriem risku ir uzņēmusies Iestāde (piemēram, Iestādes saistību neizpilde).</w:t>
      </w:r>
    </w:p>
    <w:p w14:paraId="16BE2147"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5FA7C87" w14:textId="170F5086"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190F334"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0BC53BF3" w14:textId="70CEF984"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iepriekš aprakstītā kompensācijas aprēķināšanas pieeja, kad nav vainīgo, izbeidzot līguma darbību nepārvaramas varas dēļ,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41D6C"/>
          <w:sz w:val="24"/>
          <w:szCs w:val="24"/>
          <w:lang w:eastAsia="lv-LV"/>
        </w:rPr>
        <w:t>Tomēr statistisko uzskaiti var ietekmēt pašas nepārvaramās varas definīcija (sk. 6. tematu).</w:t>
      </w:r>
    </w:p>
    <w:p w14:paraId="4F471ECF" w14:textId="77777777" w:rsidR="00BA2CDE" w:rsidRPr="000761E9"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2737E896" w14:textId="7675CDBA"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Kompensācijas aprēķināšanas pieeja, saskaņā ar kuru, izbeidzot līguma darbību nepārvaramas varas dēļ, balstās uz tiem pašiem apsvērumiem, ko ņem vērā, aprēķinot kompensāciju, kad līguma darbība tiek izbeigta Iestādes neizpildes dēļ vai kad Iestāde brīvprātīgi izbeidz līguma darbību, </w:t>
      </w:r>
      <w:r w:rsidRPr="000761E9">
        <w:rPr>
          <w:rFonts w:ascii="Times New Roman" w:eastAsia="Times New Roman" w:hAnsi="Times New Roman" w:cs="Times New Roman"/>
          <w:b/>
          <w:bCs/>
          <w:i/>
          <w:iCs/>
          <w:color w:val="941D6C"/>
          <w:sz w:val="24"/>
          <w:szCs w:val="24"/>
          <w:lang w:eastAsia="lv-LV"/>
        </w:rPr>
        <w:t xml:space="preserve">ietekmē statistisko uzskaiti </w:t>
      </w:r>
      <w:r w:rsidRPr="000761E9">
        <w:rPr>
          <w:rFonts w:ascii="Times New Roman" w:eastAsia="Times New Roman" w:hAnsi="Times New Roman" w:cs="Times New Roman"/>
          <w:i/>
          <w:iCs/>
          <w:color w:val="941D6C"/>
          <w:sz w:val="24"/>
          <w:szCs w:val="24"/>
          <w:lang w:eastAsia="lv-LV"/>
        </w:rPr>
        <w:t>un ir VIDĒJI SVARĪGS jautājums.</w:t>
      </w:r>
    </w:p>
    <w:p w14:paraId="2062534E"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5CDC6E56"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12.5. Kompensācija, izbeidzot līguma darbību neapdrošināmības dēļ</w:t>
      </w:r>
    </w:p>
    <w:p w14:paraId="0641FC10"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02FC23E" w14:textId="2C6F9C9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Kompensāciju, kas izmaksājama, kad Iestāde ir izvēlējusies izbeigt PPP līguma darbību tāpēc, ka kāds risks ir kļuvis neapdrošināms, parasti aprēķina tāpat kā kompensāciju, kad līguma darbība tiek izbeigta nepārvaramas varas dēļ.</w:t>
      </w:r>
    </w:p>
    <w:p w14:paraId="50D7688E"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99D1F03" w14:textId="72D2FAA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noteikts, ka tāpat aprēķināma arī maksājamā summa, ja Iestāde izbeidz līguma darbību vēlāk, kad iestājas neapdrošināms risks.</w:t>
      </w:r>
    </w:p>
    <w:p w14:paraId="22E6EE87"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60EC950" w14:textId="10596F50"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5210015D"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26DFF43F" w14:textId="77777777" w:rsidR="00D43EDD" w:rsidRPr="000761E9"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iepriekš aprakstītās pieejas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941D6C"/>
          <w:sz w:val="24"/>
          <w:szCs w:val="24"/>
          <w:lang w:eastAsia="lv-LV"/>
        </w:rPr>
        <w:t>Tomēr pamata noteikumi par neapdrošināmību var ietekmēt statistisko uzskaiti (sk. 9.4. tematu).</w:t>
      </w:r>
    </w:p>
    <w:p w14:paraId="6F003765"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26BD0F56" w14:textId="765A076A"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12.6. Kompensācijas izmaksa</w:t>
      </w:r>
    </w:p>
    <w:p w14:paraId="76DB52BC" w14:textId="77777777" w:rsidR="00BA2CDE" w:rsidRPr="000761E9"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70E5165F" w14:textId="5701DF6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Iestāde parasti maksās kompensāciju vienreizēja maksājuma veidā noteiktā periodā pēc līguma darbības izbeigšanas dienas.</w:t>
      </w:r>
    </w:p>
    <w:p w14:paraId="7DE50613"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E958A48" w14:textId="562710E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dažiem PPP līgumiem Iestādei ir tiesības izvēlēties visu kompensāciju vai kādu tās daļu maksāt vairākos maksājumos. Parasti Iestādei nebūs tiesību maksāt kompensāciju pa daļām, ja tā līguma darbību izbeidz brīvprātīgi vai ja līguma darbība tiek izbeigta Iestādes saistību neizpildes dēļ.</w:t>
      </w:r>
    </w:p>
    <w:p w14:paraId="33C0F7B1"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0D72C64" w14:textId="0CEAFF7F"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E585579"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50CB917D" w14:textId="0DD3CE7D" w:rsidR="00D43EDD" w:rsidRDefault="00D43EDD" w:rsidP="00D43EDD">
      <w:pPr>
        <w:spacing w:after="0" w:line="240" w:lineRule="auto"/>
        <w:jc w:val="both"/>
        <w:rPr>
          <w:rFonts w:ascii="Times New Roman" w:eastAsia="Times New Roman" w:hAnsi="Times New Roman" w:cs="Times New Roman"/>
          <w:i/>
          <w:iCs/>
          <w:color w:val="941D6C"/>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kompensācijas izmaksāšanas mehānisms un maksāšanas laika izvēle, izbeidzot līguma darbību pirms termiņa,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11A5487C"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0DF14A0A" w14:textId="0CDA83EF"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12.7. Partnera pienākumi, izbeidzot līguma darbību</w:t>
      </w:r>
    </w:p>
    <w:p w14:paraId="360414DB" w14:textId="77777777" w:rsidR="00BA2CDE" w:rsidRPr="000761E9"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56484BB2" w14:textId="55A0F5C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iekļauti noteikumi, saskaņā ar kuriem Partnerim ir jāsadarbojas ar Iestādi, lai nodrošinātu, ka aktīva būvniecības, ekspluatācijas un uzturēšanas nodošana atpakaļ Iestādes (vai kādas trešās puses) pārziņā notiek bez sarežģījumiem. Šajos noteikumos parasti iekļauj šādus Partnera pienākumus:</w:t>
      </w:r>
    </w:p>
    <w:p w14:paraId="1B0142BD"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D6FCA45" w14:textId="77777777" w:rsidR="00D43EDD" w:rsidRPr="00BA2CDE" w:rsidRDefault="00D43EDD" w:rsidP="00DC1556">
      <w:pPr>
        <w:pStyle w:val="Sarakstarindkopa"/>
        <w:numPr>
          <w:ilvl w:val="0"/>
          <w:numId w:val="10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sniegt informāciju par aktīva projektēšanu, būvniecību un ekspluatāciju;</w:t>
      </w:r>
    </w:p>
    <w:p w14:paraId="10E2862B" w14:textId="77777777" w:rsidR="00D43EDD" w:rsidRPr="00BA2CDE" w:rsidRDefault="00D43EDD" w:rsidP="00DC1556">
      <w:pPr>
        <w:pStyle w:val="Sarakstarindkopa"/>
        <w:numPr>
          <w:ilvl w:val="0"/>
          <w:numId w:val="10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sniegt informāciju par personālu un pildīt savus pienākumus saskaņā ar attiecīgiem tiesību aktiem;</w:t>
      </w:r>
    </w:p>
    <w:p w14:paraId="3F804C72" w14:textId="77777777" w:rsidR="00D43EDD" w:rsidRPr="00BA2CDE" w:rsidRDefault="00D43EDD" w:rsidP="00DC1556">
      <w:pPr>
        <w:pStyle w:val="Sarakstarindkopa"/>
        <w:numPr>
          <w:ilvl w:val="0"/>
          <w:numId w:val="10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atbrīvot aktīvu (vai projekta īstenošanas vietu, ja līguma darbība tiek pārtraukta būvniecības fāzē) un atstāt to labā kārtībā;</w:t>
      </w:r>
    </w:p>
    <w:p w14:paraId="2F4AC2A6" w14:textId="77777777" w:rsidR="00D43EDD" w:rsidRPr="00BA2CDE" w:rsidRDefault="00D43EDD" w:rsidP="00DC1556">
      <w:pPr>
        <w:pStyle w:val="Sarakstarindkopa"/>
        <w:numPr>
          <w:ilvl w:val="0"/>
          <w:numId w:val="10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nodot priekšrocības, ko nodrošina trešās personas sniegtās garantijas attiecībā uz aktīva projektēšanu, būvniecību un ekspluatāciju (piemēram, garantijas, kuras sniedz trešā persona, kas nodrošina iekārtas).</w:t>
      </w:r>
    </w:p>
    <w:p w14:paraId="6EC239D3"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1E66EE1F" w14:textId="1A69FAAB"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A70B57B" w14:textId="77777777" w:rsidR="00BA2CDE" w:rsidRDefault="00BA2CDE" w:rsidP="00D43EDD">
      <w:pPr>
        <w:spacing w:after="0" w:line="240" w:lineRule="auto"/>
        <w:jc w:val="both"/>
        <w:rPr>
          <w:rFonts w:ascii="Times New Roman" w:eastAsia="Times New Roman" w:hAnsi="Times New Roman" w:cs="Times New Roman"/>
          <w:i/>
          <w:iCs/>
          <w:color w:val="941D6C"/>
          <w:sz w:val="24"/>
          <w:szCs w:val="24"/>
          <w:lang w:eastAsia="lv-LV"/>
        </w:rPr>
      </w:pPr>
    </w:p>
    <w:p w14:paraId="742F21C2" w14:textId="2C314D56"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941D6C"/>
          <w:sz w:val="24"/>
          <w:szCs w:val="24"/>
          <w:lang w:eastAsia="lv-LV"/>
        </w:rPr>
        <w:t xml:space="preserve">Eurostat uzskata, ka noteikumi, kas Partnerim uzliek pienākumus, kas ir līdzīgi iepriekš aprakstītajiem (t. i., pienākumus, kuru mērķis ir pēc PPP līguma darbības beigām atvieglot aktīva būvniecības, ekspluatācijas un uzturēšanas nodošanu Iestādes vai kādas trešās puses pārziņā), </w:t>
      </w:r>
      <w:r w:rsidRPr="000761E9">
        <w:rPr>
          <w:rFonts w:ascii="Times New Roman" w:eastAsia="Times New Roman" w:hAnsi="Times New Roman" w:cs="Times New Roman"/>
          <w:b/>
          <w:bCs/>
          <w:i/>
          <w:iCs/>
          <w:color w:val="941D6C"/>
          <w:sz w:val="24"/>
          <w:szCs w:val="24"/>
          <w:lang w:eastAsia="lv-LV"/>
        </w:rPr>
        <w:t>neietekmē statistisko uzskaiti</w:t>
      </w:r>
      <w:r w:rsidRPr="000761E9">
        <w:rPr>
          <w:rFonts w:ascii="Times New Roman" w:eastAsia="Times New Roman" w:hAnsi="Times New Roman" w:cs="Times New Roman"/>
          <w:i/>
          <w:iCs/>
          <w:color w:val="941D6C"/>
          <w:sz w:val="24"/>
          <w:szCs w:val="24"/>
          <w:lang w:eastAsia="lv-LV"/>
        </w:rPr>
        <w:t>.</w:t>
      </w:r>
    </w:p>
    <w:p w14:paraId="7428BCDF" w14:textId="59E2B1AB" w:rsidR="00BA2CDE" w:rsidRDefault="00BA2CDE">
      <w:pPr>
        <w:rPr>
          <w:rFonts w:ascii="Times New Roman" w:eastAsia="Times New Roman" w:hAnsi="Times New Roman" w:cs="Times New Roman"/>
          <w:b/>
          <w:bCs/>
          <w:color w:val="475773"/>
          <w:sz w:val="24"/>
          <w:szCs w:val="24"/>
          <w:lang w:eastAsia="lv-LV"/>
        </w:rPr>
      </w:pPr>
      <w:r>
        <w:rPr>
          <w:rFonts w:ascii="Times New Roman" w:eastAsia="Times New Roman" w:hAnsi="Times New Roman" w:cs="Times New Roman"/>
          <w:b/>
          <w:bCs/>
          <w:color w:val="475773"/>
          <w:sz w:val="24"/>
          <w:szCs w:val="24"/>
          <w:lang w:eastAsia="lv-LV"/>
        </w:rPr>
        <w:br w:type="page"/>
      </w:r>
    </w:p>
    <w:p w14:paraId="68C6D44C" w14:textId="77777777" w:rsidR="00BA2CDE" w:rsidRDefault="00BA2CDE" w:rsidP="00D43EDD">
      <w:pPr>
        <w:spacing w:after="0" w:line="240" w:lineRule="auto"/>
        <w:jc w:val="both"/>
        <w:rPr>
          <w:rFonts w:ascii="Times New Roman" w:eastAsia="Times New Roman" w:hAnsi="Times New Roman" w:cs="Times New Roman"/>
          <w:b/>
          <w:bCs/>
          <w:color w:val="475773"/>
          <w:sz w:val="24"/>
          <w:szCs w:val="24"/>
          <w:lang w:eastAsia="lv-LV"/>
        </w:rPr>
      </w:pPr>
    </w:p>
    <w:p w14:paraId="590C73E4" w14:textId="1F53FD4A" w:rsidR="00D43EDD" w:rsidRPr="00586FD8" w:rsidRDefault="00D43EDD" w:rsidP="00586FD8">
      <w:pPr>
        <w:pStyle w:val="Virsraksts1"/>
        <w:rPr>
          <w:rFonts w:eastAsia="Times New Roman"/>
          <w:b w:val="0"/>
          <w:color w:val="auto"/>
          <w:szCs w:val="28"/>
          <w:lang w:eastAsia="lv-LV"/>
        </w:rPr>
      </w:pPr>
      <w:bookmarkStart w:id="18" w:name="_Toc528941582"/>
      <w:r w:rsidRPr="000761E9">
        <w:rPr>
          <w:rFonts w:eastAsia="Times New Roman"/>
          <w:color w:val="475773"/>
          <w:lang w:eastAsia="lv-LV"/>
        </w:rPr>
        <w:t xml:space="preserve">13. temats. </w:t>
      </w:r>
      <w:r w:rsidRPr="00586FD8">
        <w:rPr>
          <w:rFonts w:eastAsia="Times New Roman"/>
          <w:b w:val="0"/>
          <w:color w:val="auto"/>
          <w:szCs w:val="28"/>
          <w:lang w:eastAsia="lv-LV"/>
        </w:rPr>
        <w:t>PPP līguma darbības termiņš</w:t>
      </w:r>
      <w:bookmarkEnd w:id="18"/>
    </w:p>
    <w:p w14:paraId="474A028F"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60A53817" w14:textId="2ECB4605"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13.1. Termiņš</w:t>
      </w:r>
    </w:p>
    <w:p w14:paraId="2A3F7737"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20DA4AC" w14:textId="5FCD542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Lai norādītu datumu, kurā beidzas līguma darbības termiņš, PPP līgumos parasti izmanto vienu no šīm divām pieejām:</w:t>
      </w:r>
    </w:p>
    <w:p w14:paraId="6322D1A2"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97E0172" w14:textId="77777777" w:rsidR="00D43EDD" w:rsidRPr="00BA2CDE" w:rsidRDefault="00D43EDD" w:rsidP="00DC1556">
      <w:pPr>
        <w:pStyle w:val="Sarakstarindkopa"/>
        <w:numPr>
          <w:ilvl w:val="0"/>
          <w:numId w:val="10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dažu līgumu darbības termiņš beidzas dienā, kad ir pagājis kāds noteikts laiks no finanšu izpildes dienas (t. i., ir noteikts kopējais PPP līguma darbības termiņš);</w:t>
      </w:r>
    </w:p>
    <w:p w14:paraId="50BD240B" w14:textId="77777777" w:rsidR="00D43EDD" w:rsidRPr="00BA2CDE" w:rsidRDefault="00D43EDD" w:rsidP="00DC1556">
      <w:pPr>
        <w:pStyle w:val="Sarakstarindkopa"/>
        <w:numPr>
          <w:ilvl w:val="0"/>
          <w:numId w:val="10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citu līgumu darbības termiņš beidzas dienā, kad ir pagājis noteikts laiks no dienas, kurā aktīvs ir nodots ekspluatācijā (t. i., ir noteikts darbības fāzes ilgums).</w:t>
      </w:r>
    </w:p>
    <w:p w14:paraId="74578D59"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7A380C39" w14:textId="49D10FCA"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7B547F2"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6C7102F1" w14:textId="6E0D1A42"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75773"/>
          <w:sz w:val="24"/>
          <w:szCs w:val="24"/>
          <w:lang w:eastAsia="lv-LV"/>
        </w:rPr>
        <w:t xml:space="preserve">Eurostat uzskata, ka iepriekš aprakstītās pieejas PPP līguma darbības termiņa noteikšanai </w:t>
      </w:r>
      <w:r w:rsidRPr="000761E9">
        <w:rPr>
          <w:rFonts w:ascii="Times New Roman" w:eastAsia="Times New Roman" w:hAnsi="Times New Roman" w:cs="Times New Roman"/>
          <w:b/>
          <w:bCs/>
          <w:i/>
          <w:iCs/>
          <w:color w:val="475773"/>
          <w:sz w:val="24"/>
          <w:szCs w:val="24"/>
          <w:lang w:eastAsia="lv-LV"/>
        </w:rPr>
        <w:t>neietekmē statistisko uzskaiti</w:t>
      </w:r>
      <w:r w:rsidRPr="000761E9">
        <w:rPr>
          <w:rFonts w:ascii="Times New Roman" w:eastAsia="Times New Roman" w:hAnsi="Times New Roman" w:cs="Times New Roman"/>
          <w:i/>
          <w:iCs/>
          <w:color w:val="475773"/>
          <w:sz w:val="24"/>
          <w:szCs w:val="24"/>
          <w:lang w:eastAsia="lv-LV"/>
        </w:rPr>
        <w:t>.</w:t>
      </w:r>
    </w:p>
    <w:p w14:paraId="0B308DD0"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55AF4DDD" w14:textId="5DD68EC9"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13.2. Aktīva piešķiršana, beidzoties līguma darbības termiņam</w:t>
      </w:r>
    </w:p>
    <w:p w14:paraId="1DE775A3"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5EE2951" w14:textId="5398BDD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projektu pēc PPP līguma darbības termiņa beigām Iestāde uzņemas atbildību par aktīvu, un tai vairs nav jāveic nekādi maksājumi Partnerim par šo aktīvu. Šī nostāja var būt skaidri norādīta PPP līgumā, bet parasti uz to norāda tas, ka, līgumam beidzoties, beidzas arī Partnera tiesības un pienākumi attiecībā uz aktīvu.</w:t>
      </w:r>
    </w:p>
    <w:p w14:paraId="25B8A45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F68D4EF" w14:textId="3785B4B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Retos gadījumos Iestāde pēc PPP līguma darbības termiņa beigām uzņemas atbildību par aktīvu un veic maksājumu Partnerim par aktīvu. Tas, visticamāk, varētu notikt, ja prognozē, ka ieņēmumi, kurus Partneris ir tiesīgs saņemt PPP līguma darbības laikā, nekompensēs Partnera ieguldījumus un nesegs dzīves cikla izmaksas.</w:t>
      </w:r>
    </w:p>
    <w:p w14:paraId="1F73784D"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A6D54C5" w14:textId="2BDAD9F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Citos retos gadījumos Partnerim nodod projekta īstenošanas vietas un aktīva likumīgās īpašumtiesības, kuras tas saglabā pēc PPP līguma termiņa beigām. Šajos gadījumos Iestādei var būt tiesības pagarināt PPP līgumu un/vai nopirkt aktīvu. Tomēr, ja šīs tiesības netiek izmantotas, tad, beidzoties līguma darbības termiņam, beidzas arī attiecības starp Iestādi un Partneri, un Iestādei vairs nav ne tiesību, ne kontroles attiecībā uz aktīvu.</w:t>
      </w:r>
    </w:p>
    <w:p w14:paraId="05E7E6B2"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A1C146C"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FE10B03"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1B31BE88" w14:textId="377050BA" w:rsidR="00D43EDD" w:rsidRDefault="00D43EDD" w:rsidP="00D43EDD">
      <w:pPr>
        <w:spacing w:after="0" w:line="240" w:lineRule="auto"/>
        <w:jc w:val="both"/>
        <w:rPr>
          <w:rFonts w:ascii="Times New Roman" w:eastAsia="Times New Roman" w:hAnsi="Times New Roman" w:cs="Times New Roman"/>
          <w:i/>
          <w:iCs/>
          <w:color w:val="475773"/>
          <w:sz w:val="24"/>
          <w:szCs w:val="24"/>
          <w:lang w:eastAsia="lv-LV"/>
        </w:rPr>
      </w:pPr>
      <w:r w:rsidRPr="000761E9">
        <w:rPr>
          <w:rFonts w:ascii="Times New Roman" w:eastAsia="Times New Roman" w:hAnsi="Times New Roman" w:cs="Times New Roman"/>
          <w:i/>
          <w:iCs/>
          <w:color w:val="475773"/>
          <w:sz w:val="24"/>
          <w:szCs w:val="24"/>
          <w:lang w:eastAsia="lv-LV"/>
        </w:rPr>
        <w:t xml:space="preserve">Eurostat uzskata, ka noteikumi (skaidri formulēti vai netieši izteikti) par to, ka pēc līguma darbības termiņa beigām aktīvs tiek piešķirts Iestādei (neatkarīgi no tā, vai Iestādei vēl ir jāveic maksājums Partnerim par šo aktīvu), </w:t>
      </w:r>
      <w:r w:rsidRPr="000761E9">
        <w:rPr>
          <w:rFonts w:ascii="Times New Roman" w:eastAsia="Times New Roman" w:hAnsi="Times New Roman" w:cs="Times New Roman"/>
          <w:b/>
          <w:bCs/>
          <w:i/>
          <w:iCs/>
          <w:color w:val="475773"/>
          <w:sz w:val="24"/>
          <w:szCs w:val="24"/>
          <w:lang w:eastAsia="lv-LV"/>
        </w:rPr>
        <w:t>neietekmē statistisko uzskaiti, ja</w:t>
      </w:r>
      <w:r w:rsidRPr="000761E9">
        <w:rPr>
          <w:rFonts w:ascii="Times New Roman" w:eastAsia="Times New Roman" w:hAnsi="Times New Roman" w:cs="Times New Roman"/>
          <w:i/>
          <w:iCs/>
          <w:color w:val="475773"/>
          <w:sz w:val="24"/>
          <w:szCs w:val="24"/>
          <w:lang w:eastAsia="lv-LV"/>
        </w:rPr>
        <w:t>:</w:t>
      </w:r>
    </w:p>
    <w:p w14:paraId="6AD5B2DB"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3916CCE1" w14:textId="77777777" w:rsidR="00D43EDD" w:rsidRPr="00BA2CDE" w:rsidRDefault="00D43EDD" w:rsidP="00DC1556">
      <w:pPr>
        <w:pStyle w:val="Sarakstarindkopa"/>
        <w:numPr>
          <w:ilvl w:val="0"/>
          <w:numId w:val="102"/>
        </w:numPr>
        <w:spacing w:after="0" w:line="240" w:lineRule="auto"/>
        <w:ind w:left="709" w:hanging="283"/>
        <w:jc w:val="both"/>
        <w:rPr>
          <w:rFonts w:ascii="Times New Roman" w:eastAsia="Times New Roman" w:hAnsi="Times New Roman" w:cs="Times New Roman"/>
          <w:i/>
          <w:iCs/>
          <w:color w:val="475773"/>
          <w:sz w:val="24"/>
          <w:szCs w:val="24"/>
          <w:lang w:eastAsia="lv-LV"/>
        </w:rPr>
      </w:pPr>
      <w:r w:rsidRPr="00BA2CDE">
        <w:rPr>
          <w:rFonts w:ascii="Times New Roman" w:eastAsia="Times New Roman" w:hAnsi="Times New Roman" w:cs="Times New Roman"/>
          <w:i/>
          <w:iCs/>
          <w:color w:val="475773"/>
          <w:sz w:val="24"/>
          <w:szCs w:val="24"/>
          <w:lang w:eastAsia="lv-LV"/>
        </w:rPr>
        <w:t>ir pierādījumi, ka ieņēmumi, ko Partneris gūs PPP līguma darbības laikā, kompensēs tā prognozētos ieguldījumus un dzīves cikla izmaksas;</w:t>
      </w:r>
    </w:p>
    <w:p w14:paraId="406374F2" w14:textId="77777777" w:rsidR="00D43EDD" w:rsidRPr="00BA2CDE" w:rsidRDefault="00D43EDD" w:rsidP="00DC1556">
      <w:pPr>
        <w:pStyle w:val="Sarakstarindkopa"/>
        <w:numPr>
          <w:ilvl w:val="0"/>
          <w:numId w:val="102"/>
        </w:numPr>
        <w:spacing w:after="0" w:line="240" w:lineRule="auto"/>
        <w:ind w:left="709" w:hanging="283"/>
        <w:jc w:val="both"/>
        <w:rPr>
          <w:rFonts w:ascii="Times New Roman" w:eastAsia="Times New Roman" w:hAnsi="Times New Roman" w:cs="Times New Roman"/>
          <w:i/>
          <w:iCs/>
          <w:color w:val="475773"/>
          <w:sz w:val="24"/>
          <w:szCs w:val="24"/>
          <w:lang w:eastAsia="lv-LV"/>
        </w:rPr>
      </w:pPr>
      <w:r w:rsidRPr="00BA2CDE">
        <w:rPr>
          <w:rFonts w:ascii="Times New Roman" w:eastAsia="Times New Roman" w:hAnsi="Times New Roman" w:cs="Times New Roman"/>
          <w:i/>
          <w:iCs/>
          <w:color w:val="475773"/>
          <w:sz w:val="24"/>
          <w:szCs w:val="24"/>
          <w:lang w:eastAsia="lv-LV"/>
        </w:rPr>
        <w:t>darbības fāze ilgst vismaz 10 gadus.</w:t>
      </w:r>
    </w:p>
    <w:p w14:paraId="36EEB44D"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4D8AB4F7" w14:textId="233B59BF"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75773"/>
          <w:sz w:val="24"/>
          <w:szCs w:val="24"/>
          <w:lang w:eastAsia="lv-LV"/>
        </w:rPr>
        <w:t xml:space="preserve">Ja šie nosacījumi nav izpildīti, aktīva piešķiršana Iestādei bez maksas, beidzoties līguma darbības termiņam, </w:t>
      </w:r>
      <w:r w:rsidRPr="000761E9">
        <w:rPr>
          <w:rFonts w:ascii="Times New Roman" w:eastAsia="Times New Roman" w:hAnsi="Times New Roman" w:cs="Times New Roman"/>
          <w:b/>
          <w:bCs/>
          <w:i/>
          <w:iCs/>
          <w:color w:val="475773"/>
          <w:sz w:val="24"/>
          <w:szCs w:val="24"/>
          <w:lang w:eastAsia="lv-LV"/>
        </w:rPr>
        <w:t xml:space="preserve">ietekmē statistisko uzskaiti </w:t>
      </w:r>
      <w:r w:rsidRPr="000761E9">
        <w:rPr>
          <w:rFonts w:ascii="Times New Roman" w:eastAsia="Times New Roman" w:hAnsi="Times New Roman" w:cs="Times New Roman"/>
          <w:i/>
          <w:iCs/>
          <w:color w:val="475773"/>
          <w:sz w:val="24"/>
          <w:szCs w:val="24"/>
          <w:lang w:eastAsia="lv-LV"/>
        </w:rPr>
        <w:t>un ir VIDĒJI SVARĪGS jautājums.</w:t>
      </w:r>
    </w:p>
    <w:p w14:paraId="39B02C3F" w14:textId="759E216D" w:rsidR="00586FD8" w:rsidRDefault="00586FD8">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4E7551D3"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78BC657E" w14:textId="7E87C57C"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13.3. Aktīva stāvoklis līguma darbības termiņa beigās</w:t>
      </w:r>
    </w:p>
    <w:p w14:paraId="0C587F1E"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BCC5378" w14:textId="6D3E5BE6"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līgumā iekļauj noteikumus, saskaņā ar kuriem Partneris uzņemas risku, ka pēc līguma darbības termiņa beigām aktīva fiziskais stāvoklis atbildīs noteiktajam minimālajam standartam, kādam šim aktīvam būtu jāatbilst, ja tas ir ticis uzturēts saskaņā ar līgumā noteikto.</w:t>
      </w:r>
    </w:p>
    <w:p w14:paraId="47864438"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4D666B8" w14:textId="04F3E29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Dažādos projektos to panāk, izmantojot atšķirīgus mehānismus (piemēram, norādot nepieciešamo aktīva stāvokli, aktīva stāvokļa novērtēšanas metodi vai sekas, kādas ir nepilnībām aktīva stāvoklī), bet parasti:</w:t>
      </w:r>
    </w:p>
    <w:p w14:paraId="1B48E1A6"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EEBB38E" w14:textId="77777777" w:rsidR="00D43EDD" w:rsidRPr="00BA2CDE" w:rsidRDefault="00D43EDD" w:rsidP="00DC1556">
      <w:pPr>
        <w:pStyle w:val="Sarakstarindkopa"/>
        <w:numPr>
          <w:ilvl w:val="0"/>
          <w:numId w:val="103"/>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PPP līgums nosaka, ka vairākus gadus (parasti no diviem līdz pieciem) pirms līguma darbības termiņa beigām ir jāveic neatkarīgs aktīva stāvokļa novērtējums;</w:t>
      </w:r>
    </w:p>
    <w:p w14:paraId="58F41094" w14:textId="77777777" w:rsidR="00D43EDD" w:rsidRPr="00BA2CDE" w:rsidRDefault="00D43EDD" w:rsidP="00DC1556">
      <w:pPr>
        <w:pStyle w:val="Sarakstarindkopa"/>
        <w:numPr>
          <w:ilvl w:val="0"/>
          <w:numId w:val="103"/>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balstoties uz neatkarīgo novērtējumu, puses vienojas par darbu, kas jāveic, lai līguma darbības termiņa beigās aktīvs būtu vajadzīgajā stāvoklī, un aprēķina šā darba izmaksas;</w:t>
      </w:r>
    </w:p>
    <w:p w14:paraId="22B3F756" w14:textId="77777777" w:rsidR="00D43EDD" w:rsidRPr="00BA2CDE" w:rsidRDefault="00D43EDD" w:rsidP="00DC1556">
      <w:pPr>
        <w:pStyle w:val="Sarakstarindkopa"/>
        <w:numPr>
          <w:ilvl w:val="0"/>
          <w:numId w:val="103"/>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Partnerim līdz līguma darbības termiņa beigām ir jāveic saskaņotie darbi;</w:t>
      </w:r>
    </w:p>
    <w:p w14:paraId="2551722A" w14:textId="3348F451" w:rsidR="00D43EDD" w:rsidRPr="00BA2CDE" w:rsidRDefault="00D43EDD" w:rsidP="00DC1556">
      <w:pPr>
        <w:pStyle w:val="Sarakstarindkopa"/>
        <w:numPr>
          <w:ilvl w:val="0"/>
          <w:numId w:val="103"/>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Partnerim var</w:t>
      </w:r>
      <w:r w:rsidR="00AA0A23">
        <w:rPr>
          <w:rFonts w:ascii="Times New Roman" w:eastAsia="Times New Roman" w:hAnsi="Times New Roman" w:cs="Times New Roman"/>
          <w:color w:val="231F20"/>
          <w:sz w:val="24"/>
          <w:szCs w:val="24"/>
          <w:lang w:eastAsia="lv-LV"/>
        </w:rPr>
        <w:t xml:space="preserve"> tikt pieprasīts </w:t>
      </w:r>
      <w:r w:rsidRPr="00BA2CDE">
        <w:rPr>
          <w:rFonts w:ascii="Times New Roman" w:eastAsia="Times New Roman" w:hAnsi="Times New Roman" w:cs="Times New Roman"/>
          <w:color w:val="231F20"/>
          <w:sz w:val="24"/>
          <w:szCs w:val="24"/>
          <w:lang w:eastAsia="lv-LV"/>
        </w:rPr>
        <w:t>izveido</w:t>
      </w:r>
      <w:r w:rsidR="00AA0A23">
        <w:rPr>
          <w:rFonts w:ascii="Times New Roman" w:eastAsia="Times New Roman" w:hAnsi="Times New Roman" w:cs="Times New Roman"/>
          <w:color w:val="231F20"/>
          <w:sz w:val="24"/>
          <w:szCs w:val="24"/>
          <w:lang w:eastAsia="lv-LV"/>
        </w:rPr>
        <w:t>t</w:t>
      </w:r>
      <w:r w:rsidRPr="00BA2CDE">
        <w:rPr>
          <w:rFonts w:ascii="Times New Roman" w:eastAsia="Times New Roman" w:hAnsi="Times New Roman" w:cs="Times New Roman"/>
          <w:color w:val="231F20"/>
          <w:sz w:val="24"/>
          <w:szCs w:val="24"/>
          <w:lang w:eastAsia="lv-LV"/>
        </w:rPr>
        <w:t xml:space="preserve"> fond</w:t>
      </w:r>
      <w:r w:rsidR="00AA0A23">
        <w:rPr>
          <w:rFonts w:ascii="Times New Roman" w:eastAsia="Times New Roman" w:hAnsi="Times New Roman" w:cs="Times New Roman"/>
          <w:color w:val="231F20"/>
          <w:sz w:val="24"/>
          <w:szCs w:val="24"/>
          <w:lang w:eastAsia="lv-LV"/>
        </w:rPr>
        <w:t>u</w:t>
      </w:r>
      <w:r w:rsidRPr="00BA2CDE">
        <w:rPr>
          <w:rFonts w:ascii="Times New Roman" w:eastAsia="Times New Roman" w:hAnsi="Times New Roman" w:cs="Times New Roman"/>
          <w:color w:val="231F20"/>
          <w:sz w:val="24"/>
          <w:szCs w:val="24"/>
          <w:lang w:eastAsia="lv-LV"/>
        </w:rPr>
        <w:t xml:space="preserve"> vai nodrošin</w:t>
      </w:r>
      <w:r w:rsidR="00AA0A23">
        <w:rPr>
          <w:rFonts w:ascii="Times New Roman" w:eastAsia="Times New Roman" w:hAnsi="Times New Roman" w:cs="Times New Roman"/>
          <w:color w:val="231F20"/>
          <w:sz w:val="24"/>
          <w:szCs w:val="24"/>
          <w:lang w:eastAsia="lv-LV"/>
        </w:rPr>
        <w:t>āt</w:t>
      </w:r>
      <w:r w:rsidRPr="00BA2CDE">
        <w:rPr>
          <w:rFonts w:ascii="Times New Roman" w:eastAsia="Times New Roman" w:hAnsi="Times New Roman" w:cs="Times New Roman"/>
          <w:color w:val="231F20"/>
          <w:sz w:val="24"/>
          <w:szCs w:val="24"/>
          <w:lang w:eastAsia="lv-LV"/>
        </w:rPr>
        <w:t xml:space="preserve"> drošības naud</w:t>
      </w:r>
      <w:r w:rsidR="00AA0A23">
        <w:rPr>
          <w:rFonts w:ascii="Times New Roman" w:eastAsia="Times New Roman" w:hAnsi="Times New Roman" w:cs="Times New Roman"/>
          <w:color w:val="231F20"/>
          <w:sz w:val="24"/>
          <w:szCs w:val="24"/>
          <w:lang w:eastAsia="lv-LV"/>
        </w:rPr>
        <w:t>u</w:t>
      </w:r>
      <w:r w:rsidRPr="00BA2CDE">
        <w:rPr>
          <w:rFonts w:ascii="Times New Roman" w:eastAsia="Times New Roman" w:hAnsi="Times New Roman" w:cs="Times New Roman"/>
          <w:color w:val="231F20"/>
          <w:sz w:val="24"/>
          <w:szCs w:val="24"/>
          <w:lang w:eastAsia="lv-LV"/>
        </w:rPr>
        <w:t xml:space="preserve"> vai cit</w:t>
      </w:r>
      <w:r w:rsidR="00AA0A23">
        <w:rPr>
          <w:rFonts w:ascii="Times New Roman" w:eastAsia="Times New Roman" w:hAnsi="Times New Roman" w:cs="Times New Roman"/>
          <w:color w:val="231F20"/>
          <w:sz w:val="24"/>
          <w:szCs w:val="24"/>
          <w:lang w:eastAsia="lv-LV"/>
        </w:rPr>
        <w:t>u</w:t>
      </w:r>
      <w:r w:rsidRPr="00BA2CDE">
        <w:rPr>
          <w:rFonts w:ascii="Times New Roman" w:eastAsia="Times New Roman" w:hAnsi="Times New Roman" w:cs="Times New Roman"/>
          <w:color w:val="231F20"/>
          <w:sz w:val="24"/>
          <w:szCs w:val="24"/>
          <w:lang w:eastAsia="lv-LV"/>
        </w:rPr>
        <w:t xml:space="preserve"> garantij</w:t>
      </w:r>
      <w:r w:rsidR="00AA0A23">
        <w:rPr>
          <w:rFonts w:ascii="Times New Roman" w:eastAsia="Times New Roman" w:hAnsi="Times New Roman" w:cs="Times New Roman"/>
          <w:color w:val="231F20"/>
          <w:sz w:val="24"/>
          <w:szCs w:val="24"/>
          <w:lang w:eastAsia="lv-LV"/>
        </w:rPr>
        <w:t>u</w:t>
      </w:r>
      <w:r w:rsidRPr="00BA2CDE">
        <w:rPr>
          <w:rFonts w:ascii="Times New Roman" w:eastAsia="Times New Roman" w:hAnsi="Times New Roman" w:cs="Times New Roman"/>
          <w:color w:val="231F20"/>
          <w:sz w:val="24"/>
          <w:szCs w:val="24"/>
          <w:lang w:eastAsia="lv-LV"/>
        </w:rPr>
        <w:t>, kuras vērtība atbilst aprēķinātajām darba izmaksām un kurai Iestāde ir tiesīga piekļūt, ja Partneris līdz līguma darbības termiņa beigām darbus nav veicis;</w:t>
      </w:r>
    </w:p>
    <w:p w14:paraId="41E7E30D" w14:textId="77777777" w:rsidR="00D43EDD" w:rsidRPr="00BA2CDE" w:rsidRDefault="00D43EDD" w:rsidP="00DC1556">
      <w:pPr>
        <w:pStyle w:val="Sarakstarindkopa"/>
        <w:numPr>
          <w:ilvl w:val="0"/>
          <w:numId w:val="103"/>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ja aktīva fiziskais stāvoklis ir labāks, nekā noteikts standartā, Partnerim no Iestādes nepienākas ne maksājums, ne kompensācija.</w:t>
      </w:r>
    </w:p>
    <w:p w14:paraId="26E18458"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05BBE04" w14:textId="56055D84"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Šie noteikumi neparādās retākos PPP līgumos, saskaņā ar kuriem pēc līguma darbības termiņa beigām aktīvs paliek Partnera atbildībā.</w:t>
      </w:r>
    </w:p>
    <w:p w14:paraId="50E951FA"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28404B9C" w14:textId="349EF352"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B730C42"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5AEB345C" w14:textId="3BF7D424" w:rsidR="00D43EDD" w:rsidRDefault="00D43EDD" w:rsidP="00D43EDD">
      <w:pPr>
        <w:spacing w:after="0" w:line="240" w:lineRule="auto"/>
        <w:jc w:val="both"/>
        <w:rPr>
          <w:rFonts w:ascii="Times New Roman" w:eastAsia="Times New Roman" w:hAnsi="Times New Roman" w:cs="Times New Roman"/>
          <w:i/>
          <w:iCs/>
          <w:color w:val="475773"/>
          <w:sz w:val="24"/>
          <w:szCs w:val="24"/>
          <w:lang w:eastAsia="lv-LV"/>
        </w:rPr>
      </w:pPr>
      <w:r w:rsidRPr="000761E9">
        <w:rPr>
          <w:rFonts w:ascii="Times New Roman" w:eastAsia="Times New Roman" w:hAnsi="Times New Roman" w:cs="Times New Roman"/>
          <w:i/>
          <w:iCs/>
          <w:color w:val="475773"/>
          <w:sz w:val="24"/>
          <w:szCs w:val="24"/>
          <w:lang w:eastAsia="lv-LV"/>
        </w:rPr>
        <w:t xml:space="preserve">Eurostat uzskata, ka, ja pēc PPP līguma darbības termiņa beigām aktīvs atkal nonāks Iestādes atbildībā, Partnerim ir jāuzņemas risks par to, ka aktīva fiziskais stāvoklis PPP līguma darbības termiņa beigās atbilst standartam, kādam tam būtu jāatbilst, ja tas ticis uzturēts saskaņā ar līgumā noteikto. Šā riska nenodošana Partnerim saskaņā ar PPP līgumu </w:t>
      </w:r>
      <w:r w:rsidRPr="000761E9">
        <w:rPr>
          <w:rFonts w:ascii="Times New Roman" w:eastAsia="Times New Roman" w:hAnsi="Times New Roman" w:cs="Times New Roman"/>
          <w:b/>
          <w:bCs/>
          <w:i/>
          <w:iCs/>
          <w:color w:val="475773"/>
          <w:sz w:val="24"/>
          <w:szCs w:val="24"/>
          <w:lang w:eastAsia="lv-LV"/>
        </w:rPr>
        <w:t xml:space="preserve">ietekmē statistisko uzskaiti </w:t>
      </w:r>
      <w:r w:rsidRPr="000761E9">
        <w:rPr>
          <w:rFonts w:ascii="Times New Roman" w:eastAsia="Times New Roman" w:hAnsi="Times New Roman" w:cs="Times New Roman"/>
          <w:i/>
          <w:iCs/>
          <w:color w:val="475773"/>
          <w:sz w:val="24"/>
          <w:szCs w:val="24"/>
          <w:lang w:eastAsia="lv-LV"/>
        </w:rPr>
        <w:t>un ir SVARĪGS jautājums.</w:t>
      </w:r>
    </w:p>
    <w:p w14:paraId="2D924012"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3F951E04" w14:textId="77777777"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75773"/>
          <w:sz w:val="24"/>
          <w:szCs w:val="24"/>
          <w:lang w:eastAsia="lv-LV"/>
        </w:rPr>
        <w:t xml:space="preserve">Tomēr konkrēti mehānismi, kas izmantoti, lai piešķirtu šo risku Partnerim (piemēram, sīki izstrādāti noteikumi, kas atbilst iepriekš aprakstītajai parastajai pieejai, vispārīgāki noteikumi vai izlabošanas pasākumi līguma pārkāpšanas gadījumā), </w:t>
      </w:r>
      <w:r w:rsidRPr="000761E9">
        <w:rPr>
          <w:rFonts w:ascii="Times New Roman" w:eastAsia="Times New Roman" w:hAnsi="Times New Roman" w:cs="Times New Roman"/>
          <w:b/>
          <w:bCs/>
          <w:i/>
          <w:iCs/>
          <w:color w:val="475773"/>
          <w:sz w:val="24"/>
          <w:szCs w:val="24"/>
          <w:lang w:eastAsia="lv-LV"/>
        </w:rPr>
        <w:t>neietekmē statistisko uzskaiti</w:t>
      </w:r>
      <w:r w:rsidRPr="000761E9">
        <w:rPr>
          <w:rFonts w:ascii="Times New Roman" w:eastAsia="Times New Roman" w:hAnsi="Times New Roman" w:cs="Times New Roman"/>
          <w:i/>
          <w:iCs/>
          <w:color w:val="475773"/>
          <w:sz w:val="24"/>
          <w:szCs w:val="24"/>
          <w:lang w:eastAsia="lv-LV"/>
        </w:rPr>
        <w:t>.</w:t>
      </w:r>
    </w:p>
    <w:p w14:paraId="3EF3DE8A"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52E8882F" w14:textId="5EB0C7F5"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75773"/>
          <w:sz w:val="24"/>
          <w:szCs w:val="24"/>
          <w:lang w:eastAsia="lv-LV"/>
        </w:rPr>
        <w:t xml:space="preserve">Tas, ka PPP līgums neparedz kompensāciju Partnerim, ja līguma darbības termiņa beigās aktīva stāvoklis ir labāks, nekā noteikts standartā, </w:t>
      </w:r>
      <w:r w:rsidRPr="000761E9">
        <w:rPr>
          <w:rFonts w:ascii="Times New Roman" w:eastAsia="Times New Roman" w:hAnsi="Times New Roman" w:cs="Times New Roman"/>
          <w:b/>
          <w:bCs/>
          <w:i/>
          <w:iCs/>
          <w:color w:val="475773"/>
          <w:sz w:val="24"/>
          <w:szCs w:val="24"/>
          <w:lang w:eastAsia="lv-LV"/>
        </w:rPr>
        <w:t>neietekmē statistisko uzskaiti</w:t>
      </w:r>
      <w:r w:rsidRPr="000761E9">
        <w:rPr>
          <w:rFonts w:ascii="Times New Roman" w:eastAsia="Times New Roman" w:hAnsi="Times New Roman" w:cs="Times New Roman"/>
          <w:i/>
          <w:iCs/>
          <w:color w:val="475773"/>
          <w:sz w:val="24"/>
          <w:szCs w:val="24"/>
          <w:lang w:eastAsia="lv-LV"/>
        </w:rPr>
        <w:t>.</w:t>
      </w:r>
    </w:p>
    <w:p w14:paraId="0CA98589"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254D3B60" w14:textId="2CAD3A7D"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13.4. Partnera pienākumi, beidzoties līguma darbības termiņam</w:t>
      </w:r>
    </w:p>
    <w:p w14:paraId="387CFB54"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0361386" w14:textId="5E748E1E"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iekļauti noteikumi, saskaņā ar kuriem Partnerim ir jāsadarbojas ar Iestādi, lai nodrošinātu, ka aktīva ekspluatācijas un uzturēšanas nodošana atpakaļ Iestādes (vai kādas trešās puses) pārziņā notiek bez sarežģījumiem. Šajos noteikumos parasti iekļauj šādus Partnera pienākumus:</w:t>
      </w:r>
    </w:p>
    <w:p w14:paraId="1A6605E7"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0315B18" w14:textId="2DC2849B" w:rsidR="00D43EDD" w:rsidRPr="00BA2CDE" w:rsidRDefault="00D43EDD" w:rsidP="00DC1556">
      <w:pPr>
        <w:pStyle w:val="Sarakstarindkopa"/>
        <w:numPr>
          <w:ilvl w:val="0"/>
          <w:numId w:val="104"/>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sniegt informāciju par aktīva projektēšanu, būvniecību un ekspluatāciju;</w:t>
      </w:r>
    </w:p>
    <w:p w14:paraId="4FEB1AC2" w14:textId="77777777" w:rsidR="00D43EDD" w:rsidRPr="00BA2CDE" w:rsidRDefault="00D43EDD" w:rsidP="00DC1556">
      <w:pPr>
        <w:pStyle w:val="Sarakstarindkopa"/>
        <w:numPr>
          <w:ilvl w:val="0"/>
          <w:numId w:val="104"/>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sniegt informāciju par personālu un pildīt savus pienākumus saskaņā ar attiecīgajiem tiesību aktiem;</w:t>
      </w:r>
    </w:p>
    <w:p w14:paraId="6AB7B480" w14:textId="77777777" w:rsidR="00D43EDD" w:rsidRPr="00BA2CDE" w:rsidRDefault="00D43EDD" w:rsidP="00DC1556">
      <w:pPr>
        <w:pStyle w:val="Sarakstarindkopa"/>
        <w:numPr>
          <w:ilvl w:val="0"/>
          <w:numId w:val="104"/>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lastRenderedPageBreak/>
        <w:t>nodot priekšrocības, ko nodrošina trešo personu sniegtās garantijas attiecībā uz aktīva projektēšanu, būvniecību un ekspluatāciju (piemēram, garantijas, ko sniegusi trešā persona, kas nodrošina iekārtas).</w:t>
      </w:r>
    </w:p>
    <w:p w14:paraId="4A0E97FD"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6FFB5585" w14:textId="56FD2F5B"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C4CD58F" w14:textId="77777777" w:rsidR="00BA2CDE" w:rsidRDefault="00BA2CDE" w:rsidP="00D43EDD">
      <w:pPr>
        <w:spacing w:after="0" w:line="240" w:lineRule="auto"/>
        <w:jc w:val="both"/>
        <w:rPr>
          <w:rFonts w:ascii="Times New Roman" w:eastAsia="Times New Roman" w:hAnsi="Times New Roman" w:cs="Times New Roman"/>
          <w:i/>
          <w:iCs/>
          <w:color w:val="475773"/>
          <w:sz w:val="24"/>
          <w:szCs w:val="24"/>
          <w:lang w:eastAsia="lv-LV"/>
        </w:rPr>
      </w:pPr>
    </w:p>
    <w:p w14:paraId="3E3A165F" w14:textId="09D99C46"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75773"/>
          <w:sz w:val="24"/>
          <w:szCs w:val="24"/>
          <w:lang w:eastAsia="lv-LV"/>
        </w:rPr>
        <w:t xml:space="preserve">Eurostat uzskata, ka noteikumi, kas Partnerim uzliek pienākumus, kas ir līdzīgi iepriekš aprakstītajiem (t. i., pienākumus, kuru mērķis ir pēc PPP līguma darbības beigām atvieglot aktīva nodošanu Iestādes vai kādas trešās puses pārziņā), </w:t>
      </w:r>
      <w:r w:rsidRPr="000761E9">
        <w:rPr>
          <w:rFonts w:ascii="Times New Roman" w:eastAsia="Times New Roman" w:hAnsi="Times New Roman" w:cs="Times New Roman"/>
          <w:b/>
          <w:bCs/>
          <w:i/>
          <w:iCs/>
          <w:color w:val="475773"/>
          <w:sz w:val="24"/>
          <w:szCs w:val="24"/>
          <w:lang w:eastAsia="lv-LV"/>
        </w:rPr>
        <w:t>neietekmē statistisko uzskaiti</w:t>
      </w:r>
      <w:r w:rsidRPr="000761E9">
        <w:rPr>
          <w:rFonts w:ascii="Times New Roman" w:eastAsia="Times New Roman" w:hAnsi="Times New Roman" w:cs="Times New Roman"/>
          <w:i/>
          <w:iCs/>
          <w:color w:val="475773"/>
          <w:sz w:val="24"/>
          <w:szCs w:val="24"/>
          <w:lang w:eastAsia="lv-LV"/>
        </w:rPr>
        <w:t>.</w:t>
      </w:r>
    </w:p>
    <w:p w14:paraId="4F68BDBF" w14:textId="00441844" w:rsidR="00BA2CDE" w:rsidRDefault="00BA2CDE">
      <w:pPr>
        <w:rPr>
          <w:rFonts w:ascii="Times New Roman" w:eastAsia="Times New Roman" w:hAnsi="Times New Roman" w:cs="Times New Roman"/>
          <w:b/>
          <w:bCs/>
          <w:color w:val="436F65"/>
          <w:sz w:val="24"/>
          <w:szCs w:val="24"/>
          <w:lang w:eastAsia="lv-LV"/>
        </w:rPr>
      </w:pPr>
      <w:r>
        <w:rPr>
          <w:rFonts w:ascii="Times New Roman" w:eastAsia="Times New Roman" w:hAnsi="Times New Roman" w:cs="Times New Roman"/>
          <w:b/>
          <w:bCs/>
          <w:color w:val="436F65"/>
          <w:sz w:val="24"/>
          <w:szCs w:val="24"/>
          <w:lang w:eastAsia="lv-LV"/>
        </w:rPr>
        <w:br w:type="page"/>
      </w:r>
    </w:p>
    <w:p w14:paraId="4F638DF1" w14:textId="77777777" w:rsidR="00BA2CDE" w:rsidRDefault="00BA2CDE" w:rsidP="00D43EDD">
      <w:pPr>
        <w:spacing w:after="0" w:line="240" w:lineRule="auto"/>
        <w:jc w:val="both"/>
        <w:rPr>
          <w:rFonts w:ascii="Times New Roman" w:eastAsia="Times New Roman" w:hAnsi="Times New Roman" w:cs="Times New Roman"/>
          <w:b/>
          <w:bCs/>
          <w:color w:val="436F65"/>
          <w:sz w:val="24"/>
          <w:szCs w:val="24"/>
          <w:lang w:eastAsia="lv-LV"/>
        </w:rPr>
      </w:pPr>
    </w:p>
    <w:p w14:paraId="21452FEA" w14:textId="2AA9CEA1" w:rsidR="00D43EDD" w:rsidRPr="00586FD8" w:rsidRDefault="00D43EDD" w:rsidP="00586FD8">
      <w:pPr>
        <w:pStyle w:val="Virsraksts1"/>
        <w:rPr>
          <w:rFonts w:eastAsia="Times New Roman"/>
          <w:b w:val="0"/>
          <w:color w:val="auto"/>
          <w:szCs w:val="28"/>
          <w:lang w:eastAsia="lv-LV"/>
        </w:rPr>
      </w:pPr>
      <w:bookmarkStart w:id="19" w:name="_Toc528941583"/>
      <w:r w:rsidRPr="000761E9">
        <w:rPr>
          <w:rFonts w:eastAsia="Times New Roman"/>
          <w:color w:val="436F65"/>
          <w:lang w:eastAsia="lv-LV"/>
        </w:rPr>
        <w:t xml:space="preserve">14. temats. </w:t>
      </w:r>
      <w:r w:rsidRPr="00586FD8">
        <w:rPr>
          <w:rFonts w:eastAsia="Times New Roman"/>
          <w:b w:val="0"/>
          <w:color w:val="auto"/>
          <w:szCs w:val="28"/>
          <w:lang w:eastAsia="lv-LV"/>
        </w:rPr>
        <w:t>Finansēšanas noteikumi</w:t>
      </w:r>
      <w:bookmarkEnd w:id="19"/>
    </w:p>
    <w:p w14:paraId="49679A27"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5648E536" w14:textId="39493AF5"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14.1. Finanšu izpildes dienas izvēle</w:t>
      </w:r>
    </w:p>
    <w:p w14:paraId="3AACE527"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82BBB6A" w14:textId="15DFD24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Projektos, kuros PPP līgums tiek parakstīts finanšu izpildes dienā, līgumā neiekļauj noteikumus par pamatdarbības maksājumu koriģēšanu atbilstoši Partnera faktiskajām finansēšanas izmaksām.</w:t>
      </w:r>
    </w:p>
    <w:p w14:paraId="4693923D"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69CC49A" w14:textId="265E05D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14:paraId="00125D6D"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BAD8E73" w14:textId="5B96D60B"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14:paraId="449E4DB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DEE1FAD"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EBEF12F"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0BC1A557" w14:textId="6E3753DD"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Kā minēts 1. nodaļā, saskaņā ar Eurostat nostāju statistisko uzskaiti var apstiprināt tikai finanšu izpildes dienā. Tātad noteikuma par pamatdarbības maksājumu koriģēšanu atbilstoši finanšu izpildes ietekmei iekļaušana (vai neiekļaušana) PPP līgumā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5B99438A"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12AC494B"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14.2. Procentu likmes korekcijas</w:t>
      </w:r>
    </w:p>
    <w:p w14:paraId="7F9883BA"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66DC04C" w14:textId="190283A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agrīnai būvniecības fāzei (piemēram, kamēr nav saņemtas pamatatļaujas).</w:t>
      </w:r>
    </w:p>
    <w:p w14:paraId="1081C570"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DAF846B" w14:textId="5D80016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PPP līguma parakstīšana, finanšu izpilde un riska ierobežošana nenotiek vienlaicīgi, tad PPP līgumā paredz pamatdarbības maksājumu koriģēšanu, ņemot vērā procentu likmi, kas tiks noteikta sākotnējos riska ierobežošanas noteikumos.</w:t>
      </w:r>
    </w:p>
    <w:p w14:paraId="12C28A3D"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B1930F3" w14:textId="4C3DF40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Retos projektos netiek ierobežots (vai netiek pilnībā ierobežots) Partnera risks, kas saistīts ar procentu likmju svārstībām, un līgums paredz PPP līguma darbības laikā regulāri koriģēt (vai daļēji koriģēt) pamatdarbības maksājumus atbilstoši pamata procentu likmēm.</w:t>
      </w:r>
    </w:p>
    <w:p w14:paraId="7FC71D95"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8AAD294" w14:textId="14C6DF0F"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C67F4BA"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3CCC8CA5" w14:textId="2B2458D7"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fāzē),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 xml:space="preserve">Tomēr noteikumi par pamatdarbības maksājumu koriģēšanu atbilstoši procentu likmju svārstībām citās situācijās (piemēram, ja tiek piemēroti tikai daļēji riska ierobežošanas noteikumi)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un ir SVARĪGS jautājums.</w:t>
      </w:r>
    </w:p>
    <w:p w14:paraId="2C70FEB5"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416398BD"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lastRenderedPageBreak/>
        <w:t>14.3. Finansējuma pieejamība</w:t>
      </w:r>
    </w:p>
    <w:p w14:paraId="3738FA48"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BB6D7CB" w14:textId="1FE67EE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Publiskajā un privātajā partnerībā Partnera pienākums ir piesaistīt projekta īstenošanai nepieciešamo finansējumu un parasti Partneris uzņemas risku, kas saistīts ar finansējuma pieejamību un izmaksām pēc finanšu izpildes dienas. Ļoti retos gadījumos šo risku uzņemas vai dala Iestāde (piemēram, iekļaujot līgumā noteikumus par pamatdarbības maksājumu palielināšanu/samazināšanu atbilstoši finansēšanas izmaksu izmaiņām pēc tam, kad tiek refinansētas īstermiņa parādsaistības, kas stājās spēkā finanšu izpildes dienā).</w:t>
      </w:r>
    </w:p>
    <w:p w14:paraId="689F99EB"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E5D6C6C"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F8309B6"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5932AE20" w14:textId="211859CB"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Eurostat uzskata, ka noteikumi, saskaņā ar kuriem Iestāde uzņemas risku par finansējuma pieejamību un/vai izmaksām pēc finanšu izpildes dienas, piemēram,</w:t>
      </w:r>
    </w:p>
    <w:p w14:paraId="3E398FF2"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533DC1CD" w14:textId="77777777" w:rsidR="00D43EDD" w:rsidRPr="00BA2CDE" w:rsidRDefault="00D43EDD" w:rsidP="00DC1556">
      <w:pPr>
        <w:pStyle w:val="Sarakstarindkopa"/>
        <w:numPr>
          <w:ilvl w:val="0"/>
          <w:numId w:val="105"/>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apņemoties pati nodrošināt finansējumu un/vai</w:t>
      </w:r>
    </w:p>
    <w:p w14:paraId="62D4AA45" w14:textId="77777777" w:rsidR="00D43EDD" w:rsidRPr="00BA2CDE" w:rsidRDefault="00D43EDD" w:rsidP="00DC1556">
      <w:pPr>
        <w:pStyle w:val="Sarakstarindkopa"/>
        <w:numPr>
          <w:ilvl w:val="0"/>
          <w:numId w:val="105"/>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palielinot pamatdarbības maksājumus atbilstoši finanšu izpildes dienā piemēroto finansēšanas nosacījumu vai izmaksu izmaiņām,</w:t>
      </w:r>
    </w:p>
    <w:p w14:paraId="510AEE2C"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54AA91C8" w14:textId="7A203DF6"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jāuzskata par finanšu garantijām. 14.4.4. tematā ir izskaidrots, kā finanšu garantiju sniegšana </w:t>
      </w:r>
      <w:r w:rsidRPr="000761E9">
        <w:rPr>
          <w:rFonts w:ascii="Times New Roman" w:eastAsia="Times New Roman" w:hAnsi="Times New Roman" w:cs="Times New Roman"/>
          <w:b/>
          <w:bCs/>
          <w:i/>
          <w:iCs/>
          <w:color w:val="436F65"/>
          <w:sz w:val="24"/>
          <w:szCs w:val="24"/>
          <w:lang w:eastAsia="lv-LV"/>
        </w:rPr>
        <w:t>ietekmē statistisko uzskaiti</w:t>
      </w:r>
      <w:r w:rsidRPr="000761E9">
        <w:rPr>
          <w:rFonts w:ascii="Times New Roman" w:eastAsia="Times New Roman" w:hAnsi="Times New Roman" w:cs="Times New Roman"/>
          <w:i/>
          <w:iCs/>
          <w:color w:val="436F65"/>
          <w:sz w:val="24"/>
          <w:szCs w:val="24"/>
          <w:lang w:eastAsia="lv-LV"/>
        </w:rPr>
        <w:t>.</w:t>
      </w:r>
    </w:p>
    <w:p w14:paraId="41F60DC3"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6D70BEAC" w14:textId="5129308E"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Turklāt Eurostat uzskata, ka noteikumi par pamatdarbības maksājumu samazināšanu atbilstoši izmaiņām finansēšanas nosacījumos vai izmaksās pēc tam, kad refinansēti finanšu izpildes dienā noslēgtie īstermiņa kredītlīgumi, Iestādei dod tiesības saņemt daļu no refinansējot gūtās peļņas (sk. 14.6.2. tematu, kurā izskaidrots, kā refinansējot gūtās peļņas daļas saņemšana var ietekmēt statistisko uzskaiti).</w:t>
      </w:r>
      <w:r w:rsidR="00BA2CDE">
        <w:rPr>
          <w:rStyle w:val="Vresatsauce"/>
          <w:rFonts w:ascii="Times New Roman" w:eastAsia="Times New Roman" w:hAnsi="Times New Roman" w:cs="Times New Roman"/>
          <w:i/>
          <w:iCs/>
          <w:color w:val="436F65"/>
          <w:sz w:val="24"/>
          <w:szCs w:val="24"/>
          <w:lang w:eastAsia="lv-LV"/>
        </w:rPr>
        <w:footnoteReference w:id="35"/>
      </w:r>
    </w:p>
    <w:p w14:paraId="41B17D85"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530BE5A5" w14:textId="4257E9CF"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14.4. Iestādes/valdības līdzdalība finansēšanā</w:t>
      </w:r>
    </w:p>
    <w:p w14:paraId="4507419F"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38698C4" w14:textId="654C8E98"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Atšķiras gan dažādos projektos norādītie iemesli, kuru dēļ Iestāde var piedalīties projekta finansēšanā, gan veidi, kādos Iestāde var nolemt to darīt. Visbiežāk sastopamie piemēri ir šādi:</w:t>
      </w:r>
    </w:p>
    <w:p w14:paraId="5A55EA0C"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81E2D3B" w14:textId="2D00AB92" w:rsidR="00BA2CDE" w:rsidRPr="00BA2CDE" w:rsidRDefault="00D43EDD" w:rsidP="00DC1556">
      <w:pPr>
        <w:pStyle w:val="Sarakstarindkopa"/>
        <w:numPr>
          <w:ilvl w:val="0"/>
          <w:numId w:val="10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starpposmu maksājumi (neatlīdzināmi) Partnerim būvniecības fāzē vai tās beigās (sk. 14.4.1. tematu);</w:t>
      </w:r>
    </w:p>
    <w:p w14:paraId="3A033F23" w14:textId="77777777" w:rsidR="00D43EDD" w:rsidRPr="00BA2CDE" w:rsidRDefault="00D43EDD" w:rsidP="00DC1556">
      <w:pPr>
        <w:pStyle w:val="Sarakstarindkopa"/>
        <w:numPr>
          <w:ilvl w:val="0"/>
          <w:numId w:val="10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aizdevumi (sk. 14.4.2. tematu);</w:t>
      </w:r>
    </w:p>
    <w:p w14:paraId="14F51582" w14:textId="77777777" w:rsidR="00D43EDD" w:rsidRPr="00BA2CDE" w:rsidRDefault="00D43EDD" w:rsidP="00DC1556">
      <w:pPr>
        <w:pStyle w:val="Sarakstarindkopa"/>
        <w:numPr>
          <w:ilvl w:val="0"/>
          <w:numId w:val="10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pašu kapitāls (sk. 14.4.3. tematu);</w:t>
      </w:r>
    </w:p>
    <w:p w14:paraId="4EF982C6" w14:textId="77777777" w:rsidR="00D43EDD" w:rsidRPr="00BA2CDE" w:rsidRDefault="00D43EDD" w:rsidP="00DC1556">
      <w:pPr>
        <w:pStyle w:val="Sarakstarindkopa"/>
        <w:numPr>
          <w:ilvl w:val="0"/>
          <w:numId w:val="10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finanšu garantijas (sk. 14.4.4. tematu);</w:t>
      </w:r>
    </w:p>
    <w:p w14:paraId="001604E7" w14:textId="77777777" w:rsidR="00D43EDD" w:rsidRPr="00BA2CDE" w:rsidRDefault="00D43EDD" w:rsidP="00DC1556">
      <w:pPr>
        <w:pStyle w:val="Sarakstarindkopa"/>
        <w:numPr>
          <w:ilvl w:val="0"/>
          <w:numId w:val="10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atbrīvojumi no saistībām (piemēram, no uzņēmuma peļņas nodokļa vai pievienotās vērtības nodokļa), kas citādi būtu radušies Partnerim (sk. 14.4.5. tematu).</w:t>
      </w:r>
    </w:p>
    <w:p w14:paraId="06F3E100"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11393E8" w14:textId="00193EF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Dažreiz šāda veida finansējumu vai garantijas Iestādes vietā vai papildus tai var sniegt citas valdības iestādes vai valsts iestādes, kas statistikas vajadzībām tiek klasificētas ārpus vispārējās valdības sektora (sk. 2. nodaļu).</w:t>
      </w:r>
    </w:p>
    <w:p w14:paraId="63927FEC"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4CE7268"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B405136"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3F2E0CA7" w14:textId="2D78576A"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valdības saistības finansēt projektu jebkādā veidā un apmērā (t. i., ņemot vērā visas saistības, piemēram, iepriekš aprakstītās Iestādes vai citu valdības iestāžu saistības)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šādā veidā:</w:t>
      </w:r>
    </w:p>
    <w:p w14:paraId="7CBE4C54"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24EC9B7D" w14:textId="77777777" w:rsidR="00D43EDD" w:rsidRPr="00BA2CDE" w:rsidRDefault="00D43EDD" w:rsidP="00DC1556">
      <w:pPr>
        <w:pStyle w:val="Sarakstarindkopa"/>
        <w:numPr>
          <w:ilvl w:val="0"/>
          <w:numId w:val="107"/>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ja valdības finansiālās saistības vai cita veida atbalsts ir vismaz 50 % kapitālizdevumu, kas radušies aktīva būvniecībā, PPP automātiski reģistrē valdības BILANCĒ;</w:t>
      </w:r>
    </w:p>
    <w:p w14:paraId="71EBB615" w14:textId="77777777" w:rsidR="00D43EDD" w:rsidRPr="00BA2CDE" w:rsidRDefault="00D43EDD" w:rsidP="00DC1556">
      <w:pPr>
        <w:pStyle w:val="Sarakstarindkopa"/>
        <w:numPr>
          <w:ilvl w:val="0"/>
          <w:numId w:val="107"/>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ja valdības finansiālās saistības vai cita veida atbalsts ir mazāks par 50 %, bet lielāks par vienu trešdaļu kapitālizdevumu, kas radušies aktīva būvniecībā, šis jautājums statistiskajā uzskaitē ir ĻOTI SVARĪGS;</w:t>
      </w:r>
    </w:p>
    <w:p w14:paraId="13EA374E" w14:textId="77777777" w:rsidR="00D43EDD" w:rsidRPr="00BA2CDE" w:rsidRDefault="00D43EDD" w:rsidP="00DC1556">
      <w:pPr>
        <w:pStyle w:val="Sarakstarindkopa"/>
        <w:numPr>
          <w:ilvl w:val="0"/>
          <w:numId w:val="107"/>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ja valdības finansiālās saistības vai cita veida atbalsts nepārsniedz vienu trešdaļu, bet ir vairāk par 10 % kapitālizdevumu, kas radušies aktīva būvniecībā, šis jautājums statistiskajā uzskaitē ir SVARĪGS;</w:t>
      </w:r>
    </w:p>
    <w:p w14:paraId="2A79095F" w14:textId="77777777" w:rsidR="00D43EDD" w:rsidRPr="00BA2CDE" w:rsidRDefault="00D43EDD" w:rsidP="00DC1556">
      <w:pPr>
        <w:pStyle w:val="Sarakstarindkopa"/>
        <w:numPr>
          <w:ilvl w:val="0"/>
          <w:numId w:val="107"/>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ja valdības finansiālās saistības vai cita veida atbalsts nepārsniedz 10 % kapitālizdevumu, kas radušies aktīva būvniecībā, šis jautājums statistiskajā uzskaitē ir VIDĒJI SVARĪGS.</w:t>
      </w:r>
    </w:p>
    <w:p w14:paraId="63BC08E6"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62083E37" w14:textId="696C82D8"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Apsverot valdības finansējuma ietekmi uz statistisko uzskaiti, ir jāņem vērā šādi apsvērumi:</w:t>
      </w:r>
    </w:p>
    <w:p w14:paraId="02E481D2"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6510CF3D" w14:textId="77777777" w:rsidR="00D43EDD" w:rsidRPr="00BA2CDE" w:rsidRDefault="00D43EDD" w:rsidP="00DC1556">
      <w:pPr>
        <w:pStyle w:val="Sarakstarindkopa"/>
        <w:numPr>
          <w:ilvl w:val="0"/>
          <w:numId w:val="108"/>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finanšu iemaksu analīzē neņem vērā finansējumu, kas saskaņā ar starpvaldību līgumiem saņemts no starptautiskām organizācijām, piemēram, no ES fondiem (neatkarīgi no tā, vai šo finansējumu saņem Partneris, vai kāda valdības iestāde);</w:t>
      </w:r>
    </w:p>
    <w:p w14:paraId="6E8667D6" w14:textId="77777777" w:rsidR="00D43EDD" w:rsidRPr="00BA2CDE" w:rsidRDefault="00D43EDD" w:rsidP="00DC1556">
      <w:pPr>
        <w:pStyle w:val="Sarakstarindkopa"/>
        <w:numPr>
          <w:ilvl w:val="0"/>
          <w:numId w:val="108"/>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Eiropas Investīciju bankas finansējumu uzskata par privātā sektora finansējumu;</w:t>
      </w:r>
    </w:p>
    <w:p w14:paraId="027206A7" w14:textId="77777777" w:rsidR="00D43EDD" w:rsidRPr="00BA2CDE" w:rsidRDefault="00D43EDD" w:rsidP="00DC1556">
      <w:pPr>
        <w:pStyle w:val="Sarakstarindkopa"/>
        <w:numPr>
          <w:ilvl w:val="0"/>
          <w:numId w:val="108"/>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2. nodaļā iekļautās piezīmes par Partnera statistiskā sektora klasifikāciju);</w:t>
      </w:r>
    </w:p>
    <w:p w14:paraId="24B98C3B" w14:textId="77777777" w:rsidR="00D43EDD" w:rsidRPr="00BA2CDE" w:rsidRDefault="00D43EDD" w:rsidP="00DC1556">
      <w:pPr>
        <w:pStyle w:val="Sarakstarindkopa"/>
        <w:numPr>
          <w:ilvl w:val="0"/>
          <w:numId w:val="108"/>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izvērtējot visa veida saistības kopumā, kas ir radušās, īstenojot projektu, ir jāņem vērā arī valdības kopējās finanšu saistības (sk. 14.4.1.–14.4.4. tematu un 14.5. tematu);</w:t>
      </w:r>
    </w:p>
    <w:p w14:paraId="6D63E977" w14:textId="77777777" w:rsidR="00D43EDD" w:rsidRPr="00BA2CDE" w:rsidRDefault="00D43EDD" w:rsidP="00DC1556">
      <w:pPr>
        <w:pStyle w:val="Sarakstarindkopa"/>
        <w:numPr>
          <w:ilvl w:val="0"/>
          <w:numId w:val="108"/>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šī summa jākoriģē, ņemot vērā jebkādus valdības piešķirtos aizdevumus, lai atbilstoši parādītu aizdevuma riska profilu. Pilnīgi subordinēta parāda gadījumā (t. i., augstākā riska parāds) šo parādsaistību apmēru</w:t>
      </w:r>
      <w:r w:rsidRPr="00BA2CDE">
        <w:rPr>
          <w:rFonts w:ascii="Times New Roman" w:eastAsia="Times New Roman" w:hAnsi="Times New Roman" w:cs="Times New Roman"/>
          <w:color w:val="000000"/>
          <w:sz w:val="24"/>
          <w:szCs w:val="24"/>
          <w:lang w:eastAsia="lv-LV"/>
        </w:rPr>
        <w:t> </w:t>
      </w:r>
      <w:r w:rsidRPr="00BA2CDE">
        <w:rPr>
          <w:rFonts w:ascii="Times New Roman" w:eastAsia="Times New Roman" w:hAnsi="Times New Roman" w:cs="Times New Roman"/>
          <w:i/>
          <w:iCs/>
          <w:color w:val="436F65"/>
          <w:sz w:val="24"/>
          <w:szCs w:val="24"/>
          <w:lang w:eastAsia="lv-LV"/>
        </w:rPr>
        <w:t>jākoriģē, reizinot ar 2,5.</w:t>
      </w:r>
      <w:r w:rsidRPr="00BA2CDE">
        <w:rPr>
          <w:rFonts w:ascii="Times New Roman" w:eastAsia="Times New Roman" w:hAnsi="Times New Roman" w:cs="Times New Roman"/>
          <w:sz w:val="24"/>
          <w:szCs w:val="24"/>
          <w:lang w:eastAsia="lv-LV"/>
        </w:rPr>
        <w:t> </w:t>
      </w:r>
      <w:r w:rsidRPr="00BA2CDE">
        <w:rPr>
          <w:rFonts w:ascii="Times New Roman" w:eastAsia="Times New Roman" w:hAnsi="Times New Roman" w:cs="Times New Roman"/>
          <w:i/>
          <w:iCs/>
          <w:color w:val="436F65"/>
          <w:sz w:val="24"/>
          <w:szCs w:val="24"/>
          <w:lang w:eastAsia="lv-LV"/>
        </w:rPr>
        <w:t>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14:paraId="42773F45" w14:textId="77777777" w:rsidR="00BA2CDE"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04B0D9BC" w14:textId="1355179B"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14.4.1. Starpposmu vai citi vienreizēji maksājumi</w:t>
      </w:r>
    </w:p>
    <w:p w14:paraId="242BD8D4"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D4A22D7" w14:textId="4129EFF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Iestādei (vai citām valdības iestādēm) var būt jāveic šādu veidu maksājumi Partnerim:</w:t>
      </w:r>
    </w:p>
    <w:p w14:paraId="00E7C45B"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111EF5B" w14:textId="77777777" w:rsidR="00D43EDD" w:rsidRPr="00BA2CDE" w:rsidRDefault="00D43EDD" w:rsidP="00DC1556">
      <w:pPr>
        <w:pStyle w:val="Sarakstarindkopa"/>
        <w:numPr>
          <w:ilvl w:val="0"/>
          <w:numId w:val="10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tāds ievērojama apmēra maksājums drīz pēc PPP līguma parakstīšanas, kura mērķis ir segt Partnerim radušās cenu piedāvājuma sagatavošanas un sākotnējās resursu mobilizācijas izmaksas;</w:t>
      </w:r>
    </w:p>
    <w:p w14:paraId="19088D5B" w14:textId="77777777" w:rsidR="00D43EDD" w:rsidRPr="00BA2CDE" w:rsidRDefault="00D43EDD" w:rsidP="00DC1556">
      <w:pPr>
        <w:pStyle w:val="Sarakstarindkopa"/>
        <w:numPr>
          <w:ilvl w:val="0"/>
          <w:numId w:val="10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lastRenderedPageBreak/>
        <w:t>viens vai vairāki maksājumi būvniecības fāzē vai tās beigās (parasti saistībā ar noteiktu aktīva būvniecības starpposma vērtību sasniegšanu);</w:t>
      </w:r>
    </w:p>
    <w:p w14:paraId="0AEC826A" w14:textId="77777777" w:rsidR="00D43EDD" w:rsidRPr="00BA2CDE" w:rsidRDefault="00D43EDD" w:rsidP="00DC1556">
      <w:pPr>
        <w:pStyle w:val="Sarakstarindkopa"/>
        <w:numPr>
          <w:ilvl w:val="0"/>
          <w:numId w:val="109"/>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viens vai vairāki tādi maksājumi darbības fāzē vai tās beigās, kas neatbilst vispārējam principam, kurš nosaka, ka saskaņā ar PPP līgumu Iestādes maksājumi Partnerim ir proporcionāli aktīva pieejamībai vai lietošanas apmēram (piemēram, maksājumi, lai segtu ievērojamas aktīva dzīvescikla uzturēšanas izmaksas, kad šīs izmaksas radušās).</w:t>
      </w:r>
    </w:p>
    <w:p w14:paraId="785C1985"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0D1C30B" w14:textId="23AE7F73"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starpposma maksājumu mērķis ir vai nu samazināt finansējumu, kas Partnerim ir jāpiesaista projektam, vai Partnerim radīt iespēju agri sākt atmaksāt daļu no finansējuma.</w:t>
      </w:r>
    </w:p>
    <w:p w14:paraId="68A52CA4"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78EDB3A1" w14:textId="73D6BBE2"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FF2C19E"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76F305A2" w14:textId="77777777"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to (iepriekš minēto veidu) starpposma maksājumu apmērs, kurus valdība ir apņēmusies veikt,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(kā minēts 14.4. tematā).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 xml:space="preserve">Tomēr šo maksājumu profils un to veikšanas laika izvēle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1D56AE0C" w14:textId="77777777" w:rsidR="00BA2CDE"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06B8700C" w14:textId="215FB889" w:rsidR="00D43EDD"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14.4.2. Aizdevumi</w:t>
      </w:r>
    </w:p>
    <w:p w14:paraId="70371FC1" w14:textId="77777777" w:rsidR="00BA2CDE" w:rsidRPr="000761E9"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16E220E4" w14:textId="0DCA33F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Nav tipiskas pieejas, kas attiektos uz tā aizdevuma summu un noteikumiem, ko Iestāde (vai cita valsts iestāde) piešķir Partnerim.</w:t>
      </w:r>
    </w:p>
    <w:p w14:paraId="21384028"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D37DA3A" w14:textId="06020591"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69C46A6"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17118AE8" w14:textId="044EFFE9"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jebkādu aizdevumu summa, ko valdība ir apņēmusies piešķirt,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(kā minēts 14.4. tematā).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Jebkādas kontroles tiesības, kas Iestādei (vai valdībai) ir attiecībā uz Partneri saskaņā ar aizdevuma noteikumiem, var būt svarīgas, nosakot Partnera sektora klasifikāciju un tātad arī to, vai projekts atbilst Eurostat noteiktajai PPP definīcijai (sk. piezīmes 2. nodaļā).</w:t>
      </w:r>
    </w:p>
    <w:p w14:paraId="65BC4A8F"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0D82B019" w14:textId="038543A4" w:rsidR="00D43EDD"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14.4.3. Pašu kapitāls</w:t>
      </w:r>
    </w:p>
    <w:p w14:paraId="2A80AF70" w14:textId="77777777" w:rsidR="00BA2CDE" w:rsidRPr="000761E9"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4B45BA95" w14:textId="4779191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Dažos PPP projektos Iestādei (vai citai valsts iestādei) pieder Partnera pašu kapitāla daļas. Pašu kapitālu parasti veido tīrais pašu kapitāls (piemēram, akciju kapitāls) un akcionāru aizdevumi (t. i., </w:t>
      </w:r>
      <w:r w:rsidR="00AA0A23">
        <w:rPr>
          <w:rFonts w:ascii="Times New Roman" w:eastAsia="Times New Roman" w:hAnsi="Times New Roman" w:cs="Times New Roman"/>
          <w:color w:val="231F20"/>
          <w:sz w:val="24"/>
          <w:szCs w:val="24"/>
          <w:lang w:eastAsia="lv-LV"/>
        </w:rPr>
        <w:t>subordinētais</w:t>
      </w:r>
      <w:r w:rsidRPr="000761E9">
        <w:rPr>
          <w:rFonts w:ascii="Times New Roman" w:eastAsia="Times New Roman" w:hAnsi="Times New Roman" w:cs="Times New Roman"/>
          <w:color w:val="231F20"/>
          <w:sz w:val="24"/>
          <w:szCs w:val="24"/>
          <w:lang w:eastAsia="lv-LV"/>
        </w:rPr>
        <w:t xml:space="preserve"> parāds). Parasti tīrais pašu kapitāls kopējā finanšu struktūrā ir niecīga summa (piemēram, 2 %). Tīrais pašu kapitāls un </w:t>
      </w:r>
      <w:r w:rsidR="00AA0A23">
        <w:rPr>
          <w:rFonts w:ascii="Times New Roman" w:eastAsia="Times New Roman" w:hAnsi="Times New Roman" w:cs="Times New Roman"/>
          <w:color w:val="231F20"/>
          <w:sz w:val="24"/>
          <w:szCs w:val="24"/>
          <w:lang w:eastAsia="lv-LV"/>
        </w:rPr>
        <w:t>subordinētais</w:t>
      </w:r>
      <w:r w:rsidRPr="000761E9">
        <w:rPr>
          <w:rFonts w:ascii="Times New Roman" w:eastAsia="Times New Roman" w:hAnsi="Times New Roman" w:cs="Times New Roman"/>
          <w:color w:val="231F20"/>
          <w:sz w:val="24"/>
          <w:szCs w:val="24"/>
          <w:lang w:eastAsia="lv-LV"/>
        </w:rPr>
        <w:t xml:space="preserve"> parāds parasti ir vienu un to pašu pušu turējumā.</w:t>
      </w:r>
    </w:p>
    <w:p w14:paraId="4BC2F280"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AE91110" w14:textId="10DDF0EB"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D7027BC"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7C8AF0EF" w14:textId="4B362365"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iepriekš aprakstītajā situācijā jebkāda apmēra valdības nodrošināts pašu kapitāls ir valdības finansējums, un tāpēc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(kā minēts 14.4. tematā).</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 xml:space="preserve">Statistiskās uzskaites vajadzībām pašu kapitālam ir tāds pats svērums kā </w:t>
      </w:r>
      <w:r w:rsidR="00AA0A23">
        <w:rPr>
          <w:rFonts w:ascii="Times New Roman" w:eastAsia="Times New Roman" w:hAnsi="Times New Roman" w:cs="Times New Roman"/>
          <w:i/>
          <w:iCs/>
          <w:color w:val="436F65"/>
          <w:sz w:val="24"/>
          <w:szCs w:val="24"/>
          <w:lang w:eastAsia="lv-LV"/>
        </w:rPr>
        <w:t>subordinētajam</w:t>
      </w:r>
      <w:r w:rsidRPr="000761E9">
        <w:rPr>
          <w:rFonts w:ascii="Times New Roman" w:eastAsia="Times New Roman" w:hAnsi="Times New Roman" w:cs="Times New Roman"/>
          <w:i/>
          <w:iCs/>
          <w:color w:val="436F65"/>
          <w:sz w:val="24"/>
          <w:szCs w:val="24"/>
          <w:lang w:eastAsia="lv-LV"/>
        </w:rPr>
        <w:t xml:space="preserve"> parādam.</w:t>
      </w:r>
    </w:p>
    <w:p w14:paraId="22E1FB73"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268681C2" w14:textId="52782CB7"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Turklāt jebkuras tiesības, kas Iestādei (vai valdībai) ir uz Partnera pelņas daļu,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(sk. 15.1. tematu).</w:t>
      </w:r>
    </w:p>
    <w:p w14:paraId="67583C53"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7B93585B" w14:textId="3F0F1FCF"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Jebkādas kontroles tiesības, kas Iestādei (vai valdībai) ir attiecībā uz Partneri, pamatojoties uz tai piederošu pašu kapitāla daļu, ir svarīgas, nosakot Partnera sektora klasifikāciju un tātad arī to, vai projekts atbilst Eurostat noteiktajai PPP definīcijai (sk. piezīmes 2. nodaļā).</w:t>
      </w:r>
    </w:p>
    <w:p w14:paraId="42441201"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5F5622CF" w14:textId="77777777"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14.4.4. Finanšu garantijas</w:t>
      </w:r>
    </w:p>
    <w:p w14:paraId="130E2420"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E8512C7" w14:textId="208CAA6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projektos valdības garantijas tiek sniegtas trešām personām, kas ir parāda vai pašu kapitāla nodrošinātāji, lai projektam piesaistītu finansējumu vai gūtu labumu no zemākām finansēšanas izmaksām.</w:t>
      </w:r>
    </w:p>
    <w:p w14:paraId="4F7215E5"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089776A" w14:textId="66BEE24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Dažādos projektos ievērojami atšķiras šādu garantiju noteikumi (kas var būt un var nebūt no PPP līguma atsevišķs juridisks dokuments). Parasti</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Partnerim būs jāatlīdzina valdībai jebkādi maksājumi, kurus tā veic saskaņā ar šādu garantiju.</w:t>
      </w:r>
    </w:p>
    <w:p w14:paraId="43FBDA2B"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08EB9224" w14:textId="2FED80AF"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56E83FA"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7777F09D" w14:textId="3BC9F5D2"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jebkura apmēra Partnera parāds, ko garantē valdība,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(sk. 14.4. tematu).</w:t>
      </w:r>
    </w:p>
    <w:p w14:paraId="4DE857A0"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4925BA7F" w14:textId="657662E6"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Garantijas summa jākoriģē atbilstoši pamatparāda / garantijas dokumenta riska profilam (piemēram, iepriekš minētais koeficients, kas piemērojams pamatparādam, jāpiemēro arī garantijai).</w:t>
      </w:r>
    </w:p>
    <w:p w14:paraId="09BD003A"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3F29BA7C" w14:textId="32BE6F69"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14.5. Citi Iestādes/valdības atbalsta veidi</w:t>
      </w:r>
    </w:p>
    <w:p w14:paraId="4EC4EDC7" w14:textId="77777777" w:rsidR="00BA2CDE" w:rsidRPr="000761E9"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4CB22E3F" w14:textId="73E2D4F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Iestādes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14:paraId="600FFFBC"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599AB467" w14:textId="3E2EB88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Dažreiz projektos, kuros pastāv bažas par to, vai Iestāde visā līguma darbības laikā spēs pildī</w:t>
      </w:r>
      <w:r w:rsidR="00AA0A23">
        <w:rPr>
          <w:rFonts w:ascii="Times New Roman" w:eastAsia="Times New Roman" w:hAnsi="Times New Roman" w:cs="Times New Roman"/>
          <w:color w:val="231F20"/>
          <w:sz w:val="24"/>
          <w:szCs w:val="24"/>
          <w:lang w:eastAsia="lv-LV"/>
        </w:rPr>
        <w:t>t</w:t>
      </w:r>
      <w:r w:rsidRPr="000761E9">
        <w:rPr>
          <w:rFonts w:ascii="Times New Roman" w:eastAsia="Times New Roman" w:hAnsi="Times New Roman" w:cs="Times New Roman"/>
          <w:color w:val="231F20"/>
          <w:sz w:val="24"/>
          <w:szCs w:val="24"/>
          <w:lang w:eastAsia="lv-LV"/>
        </w:rPr>
        <w:t xml:space="preserve"> savas saistības, garantiju attiecībā uz dažu vai visu PPP līgumā paredzēto Iestādes saistību izpildi sniedz kāda cita valdības iestāde (piemēram, dažreiz, ja pastāv bažas par Iestādes kredītspēju, tiek sniegta garantija attiecībā uz Iestādes maksājumu saistību izpildi).</w:t>
      </w:r>
    </w:p>
    <w:p w14:paraId="0E8C9FEC"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4BF6C74" w14:textId="43DFDA34"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DC2E2F1"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0E268157" w14:textId="38892087"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Kā jau minēts 4.10.3. tematā, Eurostat uzskata, ka valdības atbalsts, sniedzot minimālo ieņēmumu garantiju vai minimālā pieprasījuma garantiju (kas ir vai nu atsevišķs pasākums, vai maksājumu mehānisma daļa), </w:t>
      </w:r>
      <w:r w:rsidRPr="000761E9">
        <w:rPr>
          <w:rFonts w:ascii="Times New Roman" w:eastAsia="Times New Roman" w:hAnsi="Times New Roman" w:cs="Times New Roman"/>
          <w:b/>
          <w:bCs/>
          <w:i/>
          <w:iCs/>
          <w:color w:val="436F65"/>
          <w:sz w:val="24"/>
          <w:szCs w:val="24"/>
          <w:lang w:eastAsia="lv-LV"/>
        </w:rPr>
        <w:t xml:space="preserve">ietekmē statistisko uzskaiti </w:t>
      </w:r>
      <w:r w:rsidRPr="000761E9">
        <w:rPr>
          <w:rFonts w:ascii="Times New Roman" w:eastAsia="Times New Roman" w:hAnsi="Times New Roman" w:cs="Times New Roman"/>
          <w:i/>
          <w:iCs/>
          <w:color w:val="436F65"/>
          <w:sz w:val="24"/>
          <w:szCs w:val="24"/>
          <w:lang w:eastAsia="lv-LV"/>
        </w:rPr>
        <w:t>un tāpēc PPP ir automātiski reģistrējama valdības BILANCĒ.</w:t>
      </w:r>
    </w:p>
    <w:p w14:paraId="7FB1A0F3"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0E5A4485" w14:textId="5C78762C"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valdības atbalsts, sniedzot garantiju, kas attiecas tikai uz pašas Iestādes līgumsaistību izpildi,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145A6568"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73161D61" w14:textId="6AF0FE13"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14.6. Refinansēšana</w:t>
      </w:r>
    </w:p>
    <w:p w14:paraId="3A50210E" w14:textId="77777777" w:rsidR="00BA2CDE" w:rsidRPr="000761E9"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5DF80243" w14:textId="2F10DD3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iekļauj noteikumus, kas apskata situāciju, kad Partneris vēlas refinansēt visu sākotnējo finansējuma paketi, kas tika noteikta finanšu izpildes dienā. Šajos noteikumos parasti:</w:t>
      </w:r>
    </w:p>
    <w:p w14:paraId="3502891A"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7E5F715" w14:textId="77777777" w:rsidR="00D43EDD" w:rsidRPr="00BA2CDE" w:rsidRDefault="00D43EDD" w:rsidP="00DC1556">
      <w:pPr>
        <w:pStyle w:val="Sarakstarindkopa"/>
        <w:numPr>
          <w:ilvl w:val="0"/>
          <w:numId w:val="11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nosaka Partnera tiesības veikt refinansēšanu ar Iestādes atļauju vai bez tās (sk. 14.6.1. tematu);</w:t>
      </w:r>
    </w:p>
    <w:p w14:paraId="414E1AD0" w14:textId="77777777" w:rsidR="00D43EDD" w:rsidRPr="00BA2CDE" w:rsidRDefault="00D43EDD" w:rsidP="00DC1556">
      <w:pPr>
        <w:pStyle w:val="Sarakstarindkopa"/>
        <w:numPr>
          <w:ilvl w:val="0"/>
          <w:numId w:val="110"/>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lastRenderedPageBreak/>
        <w:t>nosaka Iestādes tiesības uz daļu no refinansējot gūtās peļņas (sk. 14.6.2. tematu).</w:t>
      </w:r>
    </w:p>
    <w:p w14:paraId="20C3C08A" w14:textId="77777777" w:rsidR="00BA2CDE"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579BE4C1" w14:textId="3D527E4A"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14.6.1. Iestādes atļauja veikt refinansēšanu</w:t>
      </w:r>
    </w:p>
    <w:p w14:paraId="427A0E7E"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A69EAE6" w14:textId="5F8AC4F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PPP līgumos izmanto vienu no turpmāk izklāstītajām pieejām saistībā ar Iestādes atļauju veikt ierosināto refinansēšanu:</w:t>
      </w:r>
    </w:p>
    <w:p w14:paraId="69B3EB8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45FF0D6" w14:textId="77777777" w:rsidR="00D43EDD" w:rsidRPr="00BA2CDE" w:rsidRDefault="00D43EDD" w:rsidP="00DC1556">
      <w:pPr>
        <w:pStyle w:val="Sarakstarindkopa"/>
        <w:numPr>
          <w:ilvl w:val="0"/>
          <w:numId w:val="11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 pamatojoties uz jebkādiem iemesliem, var nedot atļauju;</w:t>
      </w:r>
    </w:p>
    <w:p w14:paraId="0211C2EB" w14:textId="77777777" w:rsidR="00D43EDD" w:rsidRPr="00BA2CDE" w:rsidRDefault="00D43EDD" w:rsidP="00DC1556">
      <w:pPr>
        <w:pStyle w:val="Sarakstarindkopa"/>
        <w:numPr>
          <w:ilvl w:val="0"/>
          <w:numId w:val="11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 nevar nepamatoti nedot atļauju vai novilcināt tās došanu;</w:t>
      </w:r>
    </w:p>
    <w:p w14:paraId="11BEF30B" w14:textId="77777777" w:rsidR="00D43EDD" w:rsidRPr="00BA2CDE" w:rsidRDefault="00D43EDD" w:rsidP="00DC1556">
      <w:pPr>
        <w:pStyle w:val="Sarakstarindkopa"/>
        <w:numPr>
          <w:ilvl w:val="0"/>
          <w:numId w:val="11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 var nedot atļauju tikai, ja ierosinātā refinansēšana negatīvi ietekmētu PPP līguma izpildi vai palielinātu Iestādes saistības pēc PPP līguma darbības termiņa beigām;</w:t>
      </w:r>
    </w:p>
    <w:p w14:paraId="49C766A0" w14:textId="77777777" w:rsidR="00D43EDD" w:rsidRPr="00BA2CDE" w:rsidRDefault="00D43EDD" w:rsidP="00DC1556">
      <w:pPr>
        <w:pStyle w:val="Sarakstarindkopa"/>
        <w:numPr>
          <w:ilvl w:val="0"/>
          <w:numId w:val="11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Iestādes atļauja nav nepieciešama, bet Iestāde ir tiesīga auditēt refinansēšanu, lai noteiktu, cik liela daļa no refinansējot gūtās peļņas tai pienākas (attiecīgā gadījumā);</w:t>
      </w:r>
    </w:p>
    <w:p w14:paraId="2A7CEC87" w14:textId="77777777" w:rsidR="00D43EDD" w:rsidRPr="00BA2CDE" w:rsidRDefault="00D43EDD" w:rsidP="00DC1556">
      <w:pPr>
        <w:pStyle w:val="Sarakstarindkopa"/>
        <w:numPr>
          <w:ilvl w:val="0"/>
          <w:numId w:val="111"/>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Iestādes atļauja nav nepieciešama.</w:t>
      </w:r>
    </w:p>
    <w:p w14:paraId="13756673"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7B06B79" w14:textId="1E13264A"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saskaņā ar PPP līgumu nav nepieciešama Iestādes atļauja veikt refinansēšanu, ir iespējams, ka jaunie finansēšanas noteikumi, kas stāsies spēkā pēc refinansēšanas, automātiski netiks parādīti noteikumos par kompensāciju līguma darbības izbeigšanas gadījumā. Tas nozīmē, ka praksē Partneris neveiks refinansēšanu bez Iestādes atļaujas un bez apstiprinājuma tam, ka, beidzot līguma darbību pirms termiņa, kompensācija tiks aprēķināta, balstoties uz jaunajiem finansēšanas noteikumiem.</w:t>
      </w:r>
    </w:p>
    <w:p w14:paraId="5FB0B607"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618BC02" w14:textId="19441FE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ir noteiktas Iestādes tiesības pieprasīt, lai Partneris izpēta refinansēšanas iespējas un/vai veic refinansēšanu.</w:t>
      </w:r>
    </w:p>
    <w:p w14:paraId="6587E5CF"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ED9C37B" w14:textId="298825B2"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671ADBED"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47DF69AB" w14:textId="0C741121"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Eurostat viedoklis par iepriekš aprakstītajām pieejām ir šāds:</w:t>
      </w:r>
    </w:p>
    <w:p w14:paraId="5BC1E665"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622A4AE5" w14:textId="77777777" w:rsidR="00D43EDD" w:rsidRPr="00BA2CDE" w:rsidRDefault="00D43EDD" w:rsidP="00DC1556">
      <w:pPr>
        <w:pStyle w:val="Sarakstarindkopa"/>
        <w:numPr>
          <w:ilvl w:val="0"/>
          <w:numId w:val="112"/>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 xml:space="preserve">Iestādes tiesības nedot atļauju veikt ierosināto refinansēšanu </w:t>
      </w:r>
      <w:r w:rsidRPr="00BA2CDE">
        <w:rPr>
          <w:rFonts w:ascii="Times New Roman" w:eastAsia="Times New Roman" w:hAnsi="Times New Roman" w:cs="Times New Roman"/>
          <w:b/>
          <w:bCs/>
          <w:i/>
          <w:iCs/>
          <w:color w:val="436F65"/>
          <w:sz w:val="24"/>
          <w:szCs w:val="24"/>
          <w:lang w:eastAsia="lv-LV"/>
        </w:rPr>
        <w:t xml:space="preserve">neietekmē statistisko uzskaiti, ja </w:t>
      </w:r>
      <w:r w:rsidRPr="00BA2CDE">
        <w:rPr>
          <w:rFonts w:ascii="Times New Roman" w:eastAsia="Times New Roman" w:hAnsi="Times New Roman" w:cs="Times New Roman"/>
          <w:i/>
          <w:iCs/>
          <w:color w:val="436F65"/>
          <w:sz w:val="24"/>
          <w:szCs w:val="24"/>
          <w:lang w:eastAsia="lv-LV"/>
        </w:rPr>
        <w:t>Iestāde nevar nepamatoti nedot atļauju vai novilcināt tās došanu un ja Iestāde var nedot atļauju tikai, ja ierosinātā refinansēšana negatīvi ietekmētu vai nu Iestādi (piemēram, palielinātu Iestādes potenciālās saistības, beidzot līguma darbību pirms termiņa), vai projekta izpildi.</w:t>
      </w:r>
      <w:r w:rsidRPr="00BA2CDE">
        <w:rPr>
          <w:rFonts w:ascii="Times New Roman" w:eastAsia="Times New Roman" w:hAnsi="Times New Roman" w:cs="Times New Roman"/>
          <w:sz w:val="24"/>
          <w:szCs w:val="24"/>
          <w:lang w:eastAsia="lv-LV"/>
        </w:rPr>
        <w:t> </w:t>
      </w:r>
      <w:r w:rsidRPr="00BA2CDE">
        <w:rPr>
          <w:rFonts w:ascii="Times New Roman" w:eastAsia="Times New Roman" w:hAnsi="Times New Roman" w:cs="Times New Roman"/>
          <w:i/>
          <w:iCs/>
          <w:color w:val="436F65"/>
          <w:sz w:val="24"/>
          <w:szCs w:val="24"/>
          <w:lang w:eastAsia="lv-LV"/>
        </w:rPr>
        <w:t>Citos gadījumos šis jautājums ir SVARĪGS statistiskajā uzskaitē;</w:t>
      </w:r>
    </w:p>
    <w:p w14:paraId="7E3A9422" w14:textId="77777777" w:rsidR="00D43EDD" w:rsidRPr="00BA2CDE" w:rsidRDefault="00D43EDD" w:rsidP="00DC1556">
      <w:pPr>
        <w:pStyle w:val="Sarakstarindkopa"/>
        <w:numPr>
          <w:ilvl w:val="0"/>
          <w:numId w:val="112"/>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 xml:space="preserve">Partnera tiesības veikt refinansēšanu bez Iestādes atļaujas </w:t>
      </w:r>
      <w:r w:rsidRPr="00BA2CDE">
        <w:rPr>
          <w:rFonts w:ascii="Times New Roman" w:eastAsia="Times New Roman" w:hAnsi="Times New Roman" w:cs="Times New Roman"/>
          <w:b/>
          <w:bCs/>
          <w:i/>
          <w:iCs/>
          <w:color w:val="436F65"/>
          <w:sz w:val="24"/>
          <w:szCs w:val="24"/>
          <w:lang w:eastAsia="lv-LV"/>
        </w:rPr>
        <w:t xml:space="preserve">ietekmē statistisko uzskaiti, ja </w:t>
      </w:r>
      <w:r w:rsidRPr="00BA2CDE">
        <w:rPr>
          <w:rFonts w:ascii="Times New Roman" w:eastAsia="Times New Roman" w:hAnsi="Times New Roman" w:cs="Times New Roman"/>
          <w:i/>
          <w:iCs/>
          <w:color w:val="436F65"/>
          <w:sz w:val="24"/>
          <w:szCs w:val="24"/>
          <w:lang w:eastAsia="lv-LV"/>
        </w:rPr>
        <w:t>tādējādi bez Iestādes iepriekšējas piekrišanas varētu palielināties tās PPP līgumam atbilstošās saistības.</w:t>
      </w:r>
      <w:r w:rsidRPr="00BA2CDE">
        <w:rPr>
          <w:rFonts w:ascii="Times New Roman" w:eastAsia="Times New Roman" w:hAnsi="Times New Roman" w:cs="Times New Roman"/>
          <w:sz w:val="24"/>
          <w:szCs w:val="24"/>
          <w:lang w:eastAsia="lv-LV"/>
        </w:rPr>
        <w:t> </w:t>
      </w:r>
      <w:r w:rsidRPr="00BA2CDE">
        <w:rPr>
          <w:rFonts w:ascii="Times New Roman" w:eastAsia="Times New Roman" w:hAnsi="Times New Roman" w:cs="Times New Roman"/>
          <w:i/>
          <w:iCs/>
          <w:color w:val="436F65"/>
          <w:sz w:val="24"/>
          <w:szCs w:val="24"/>
          <w:lang w:eastAsia="lv-LV"/>
        </w:rPr>
        <w:t>Citos gadījumos šis jautājums ir SVARĪGS statistiskajā uzskaitē;</w:t>
      </w:r>
    </w:p>
    <w:p w14:paraId="685E9BB5" w14:textId="77777777" w:rsidR="00D43EDD" w:rsidRPr="00BA2CDE" w:rsidRDefault="00D43EDD" w:rsidP="00DC1556">
      <w:pPr>
        <w:pStyle w:val="Sarakstarindkopa"/>
        <w:numPr>
          <w:ilvl w:val="0"/>
          <w:numId w:val="112"/>
        </w:numPr>
        <w:spacing w:after="0" w:line="240" w:lineRule="auto"/>
        <w:ind w:left="709" w:hanging="283"/>
        <w:jc w:val="both"/>
        <w:rPr>
          <w:rFonts w:ascii="Times New Roman" w:eastAsia="Times New Roman" w:hAnsi="Times New Roman" w:cs="Times New Roman"/>
          <w:sz w:val="24"/>
          <w:szCs w:val="24"/>
          <w:lang w:eastAsia="lv-LV"/>
        </w:rPr>
      </w:pPr>
      <w:r w:rsidRPr="00BA2CDE">
        <w:rPr>
          <w:rFonts w:ascii="Times New Roman" w:eastAsia="Times New Roman" w:hAnsi="Times New Roman" w:cs="Times New Roman"/>
          <w:i/>
          <w:iCs/>
          <w:color w:val="436F65"/>
          <w:sz w:val="24"/>
          <w:szCs w:val="24"/>
          <w:lang w:eastAsia="lv-LV"/>
        </w:rPr>
        <w:t xml:space="preserve">Iestādes tiesības PPP līguma darbības laikā pieprasīt, lai Partneris izpēta refinansēšanas iespējas, </w:t>
      </w:r>
      <w:r w:rsidRPr="00BA2CDE">
        <w:rPr>
          <w:rFonts w:ascii="Times New Roman" w:eastAsia="Times New Roman" w:hAnsi="Times New Roman" w:cs="Times New Roman"/>
          <w:b/>
          <w:bCs/>
          <w:i/>
          <w:iCs/>
          <w:color w:val="436F65"/>
          <w:sz w:val="24"/>
          <w:szCs w:val="24"/>
          <w:lang w:eastAsia="lv-LV"/>
        </w:rPr>
        <w:t xml:space="preserve">ietekmē statistisko uzskaiti, ja </w:t>
      </w:r>
      <w:r w:rsidRPr="00BA2CDE">
        <w:rPr>
          <w:rFonts w:ascii="Times New Roman" w:eastAsia="Times New Roman" w:hAnsi="Times New Roman" w:cs="Times New Roman"/>
          <w:i/>
          <w:iCs/>
          <w:color w:val="436F65"/>
          <w:sz w:val="24"/>
          <w:szCs w:val="24"/>
          <w:lang w:eastAsia="lv-LV"/>
        </w:rPr>
        <w:t>Iestādei ir tiesības pieprasīt, lai Partneris veic refinansēšanu (sk. turpmāk);</w:t>
      </w:r>
    </w:p>
    <w:p w14:paraId="5907CD5C" w14:textId="77777777" w:rsidR="00D43EDD" w:rsidRPr="00BA2CDE" w:rsidRDefault="00D43EDD" w:rsidP="00DC1556">
      <w:pPr>
        <w:pStyle w:val="Sarakstarindkopa"/>
        <w:numPr>
          <w:ilvl w:val="0"/>
          <w:numId w:val="112"/>
        </w:numPr>
        <w:spacing w:after="0" w:line="240" w:lineRule="auto"/>
        <w:ind w:left="709" w:hanging="283"/>
        <w:jc w:val="both"/>
        <w:rPr>
          <w:rFonts w:ascii="Times New Roman" w:eastAsia="Times New Roman" w:hAnsi="Times New Roman" w:cs="Times New Roman"/>
          <w:sz w:val="24"/>
          <w:szCs w:val="24"/>
          <w:lang w:eastAsia="lv-LV"/>
        </w:rPr>
      </w:pPr>
      <w:r w:rsidRPr="00BA2CDE">
        <w:rPr>
          <w:rFonts w:ascii="Times New Roman" w:eastAsia="Times New Roman" w:hAnsi="Times New Roman" w:cs="Times New Roman"/>
          <w:i/>
          <w:iCs/>
          <w:color w:val="436F65"/>
          <w:sz w:val="24"/>
          <w:szCs w:val="24"/>
          <w:lang w:eastAsia="lv-LV"/>
        </w:rPr>
        <w:t xml:space="preserve">Iestādes tiesības pieprasīt, lai Partneris veic refinansēšanu, </w:t>
      </w:r>
      <w:r w:rsidRPr="00BA2CDE">
        <w:rPr>
          <w:rFonts w:ascii="Times New Roman" w:eastAsia="Times New Roman" w:hAnsi="Times New Roman" w:cs="Times New Roman"/>
          <w:b/>
          <w:bCs/>
          <w:i/>
          <w:iCs/>
          <w:color w:val="436F65"/>
          <w:sz w:val="24"/>
          <w:szCs w:val="24"/>
          <w:lang w:eastAsia="lv-LV"/>
        </w:rPr>
        <w:t xml:space="preserve">ietekmē statistisko uzskaiti, </w:t>
      </w:r>
      <w:r w:rsidRPr="00BA2CDE">
        <w:rPr>
          <w:rFonts w:ascii="Times New Roman" w:eastAsia="Times New Roman" w:hAnsi="Times New Roman" w:cs="Times New Roman"/>
          <w:i/>
          <w:iCs/>
          <w:color w:val="436F65"/>
          <w:sz w:val="24"/>
          <w:szCs w:val="24"/>
          <w:lang w:eastAsia="lv-LV"/>
        </w:rPr>
        <w:t>un to dēļ PPP ir automātiski reģistrējama valdības BILANCĒ.</w:t>
      </w:r>
    </w:p>
    <w:p w14:paraId="6857AE39" w14:textId="77777777" w:rsidR="00BA2CDE" w:rsidRDefault="00BA2CDE" w:rsidP="00D43EDD">
      <w:pPr>
        <w:spacing w:after="0" w:line="240" w:lineRule="auto"/>
        <w:jc w:val="both"/>
        <w:rPr>
          <w:rFonts w:ascii="Times New Roman" w:eastAsia="Times New Roman" w:hAnsi="Times New Roman" w:cs="Times New Roman"/>
          <w:b/>
          <w:bCs/>
          <w:color w:val="888A8C"/>
          <w:sz w:val="24"/>
          <w:szCs w:val="24"/>
          <w:lang w:eastAsia="lv-LV"/>
        </w:rPr>
      </w:pPr>
    </w:p>
    <w:p w14:paraId="08D8B531" w14:textId="38B08E81" w:rsidR="00D43EDD" w:rsidRPr="000761E9" w:rsidRDefault="00D43EDD" w:rsidP="00D43EDD">
      <w:pPr>
        <w:spacing w:after="0" w:line="240" w:lineRule="auto"/>
        <w:jc w:val="both"/>
        <w:rPr>
          <w:rFonts w:ascii="Times New Roman" w:eastAsia="Times New Roman" w:hAnsi="Times New Roman" w:cs="Times New Roman"/>
          <w:b/>
          <w:bCs/>
          <w:color w:val="888A8C"/>
          <w:sz w:val="24"/>
          <w:szCs w:val="24"/>
          <w:lang w:eastAsia="lv-LV"/>
        </w:rPr>
      </w:pPr>
      <w:r w:rsidRPr="000761E9">
        <w:rPr>
          <w:rFonts w:ascii="Times New Roman" w:eastAsia="Times New Roman" w:hAnsi="Times New Roman" w:cs="Times New Roman"/>
          <w:b/>
          <w:bCs/>
          <w:color w:val="888A8C"/>
          <w:sz w:val="24"/>
          <w:szCs w:val="24"/>
          <w:lang w:eastAsia="lv-LV"/>
        </w:rPr>
        <w:t>14.6.2. Refinansējot gūtā peļņa</w:t>
      </w:r>
    </w:p>
    <w:p w14:paraId="1801F8C3"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4784098" w14:textId="1EB10A7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Refinansējot gūtā peļņa rodas no projektam pieejamo finansēšanas noteikumu uzlabošanas, un vairumā PPP līgumu tiek paredzēts, ka Iestādei ir tiesības saņemt daļu no šīs peļņas.</w:t>
      </w:r>
    </w:p>
    <w:p w14:paraId="08EB1E7F"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2DC6E923" w14:textId="3EFDA88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Iestādes daļa parasti tiek norādīta kā noteikta procentuāla peļņas daļa (Iestādes procentuālās daļas apmērs mainās atbilstoši peļņas lielumam).</w:t>
      </w:r>
    </w:p>
    <w:p w14:paraId="243649D0"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E3DF2E2" w14:textId="51BA681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refinansējot gūto peļņu paredzēts aprēķināt, pamatojoties uz pieņēmumu, ka projekta izpilde atbilst finanšu izpildes dienā prognozētajam.</w:t>
      </w:r>
    </w:p>
    <w:p w14:paraId="7737DE51"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4CE1323" w14:textId="3558D0D2"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Iestāde būs tiesīga saņemt savu peļņas daļu kā vienreizēju maksājumu un/vai kā pamatdarbības maksājumu korekciju (atkarībā no peļņas veida un gūšanas laika).</w:t>
      </w:r>
    </w:p>
    <w:p w14:paraId="2B4FEAD2"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23374A5" w14:textId="33F04EA9"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2506711A"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0DAA90F9" w14:textId="032DC5C5"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pastāv divas dažādas pieejas refinansējot gūtās peļņas sadalei, kas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0E08C972"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7E0EE041" w14:textId="77777777" w:rsidR="00D43EDD" w:rsidRPr="00BA2CDE" w:rsidRDefault="00D43EDD" w:rsidP="00DC1556">
      <w:pPr>
        <w:pStyle w:val="Sarakstarindkopa"/>
        <w:numPr>
          <w:ilvl w:val="0"/>
          <w:numId w:val="113"/>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saskaņā ar pirmo pieeju PPP līgumā nosaka, ka Iestāde ir tiesīga saņemt daļu no jebkādas refinansējot gūtās peļņas, kas radusies identificējamas valdības rīcības dēļ. Šīs pieejas mērķis ir ļaut Iestādei saņemt daļu no refinansējot gūtās peļņas, ciktāl projektam pieejamie finansēšanas noteikumi ir uzlabojušies valdības rīcības dēļ. Piemērs būtu Iestādes (vai valdības) rīcība, kuras dēļ uzlabojas tās kredītvērtējums un tāpēc finanšu tirgus pārskata projekta riska profilu un piedāvā labvēlīgākus finansēšanas noteikumus. Eurostat neuzskata, ka vienkārša atļauja, ko Iestāde devusi Partnerim refinansēšanas veikšanai (piemēram, ja Iestādes atļauja ir nepieciešama, jo refinansēšanas peļņa palielinātu tās saistības līguma darbības izbeigšanas gadījumā), nav konkrēta valdības rīcība, kuras dēļ Iestāde tiktu piešķirtas tiesības uz refinansējot gūtās peļņas daļu;</w:t>
      </w:r>
    </w:p>
    <w:p w14:paraId="66EF73A7" w14:textId="77777777" w:rsidR="00D43EDD" w:rsidRPr="00BA2CDE" w:rsidRDefault="00D43EDD" w:rsidP="00DC1556">
      <w:pPr>
        <w:pStyle w:val="Sarakstarindkopa"/>
        <w:numPr>
          <w:ilvl w:val="0"/>
          <w:numId w:val="113"/>
        </w:numPr>
        <w:spacing w:after="0" w:line="240" w:lineRule="auto"/>
        <w:ind w:left="709" w:hanging="283"/>
        <w:jc w:val="both"/>
        <w:rPr>
          <w:rFonts w:ascii="Times New Roman" w:eastAsia="Times New Roman" w:hAnsi="Times New Roman" w:cs="Times New Roman"/>
          <w:i/>
          <w:iCs/>
          <w:color w:val="436F65"/>
          <w:sz w:val="24"/>
          <w:szCs w:val="24"/>
          <w:lang w:eastAsia="lv-LV"/>
        </w:rPr>
      </w:pPr>
      <w:r w:rsidRPr="00BA2CDE">
        <w:rPr>
          <w:rFonts w:ascii="Times New Roman" w:eastAsia="Times New Roman" w:hAnsi="Times New Roman" w:cs="Times New Roman"/>
          <w:i/>
          <w:iCs/>
          <w:color w:val="436F65"/>
          <w:sz w:val="24"/>
          <w:szCs w:val="24"/>
          <w:lang w:eastAsia="lv-LV"/>
        </w:rPr>
        <w:t>saskaņā ar otro pieeju PPP līgumā nosaka, ka Iestāde ir tiesīga saņemt noteiktu daļu (kas nepārsniedz vienu trešdaļu) no jebkādas refinansējot gūtās peļņas. Atbilstoši šai pieejai netiek vērtēts, vai refinansējot gūtā peļņa radusies Iestādes rīcības, Partnera rīcības vai citu apstākļu dēļ. Atbilstoši šai pieejai, ja norāda, ka Iestāde ir tiesīga saņemt vairāk par vienu trešdaļu no jebkādas refinansējot gūtās peļņas, PPP automātiski reģistrē valdības BILANCĒ.</w:t>
      </w:r>
    </w:p>
    <w:p w14:paraId="5AE71663"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039F97A1" w14:textId="29A76200"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Eurostat uzskata, ka PPP līgumā var izmantot jebkuru no šīm divām iepriekš aprakstītajām pieejām. Ja līgumā iekļauj jebkādus noteikumus, kas mēģina apvienot abas pieejas vai izmantot kādu alternatīvu refinansējot gūtās peļņas sadales pieeju, PPP automātiski reģistrē valdības BILANCĒ.</w:t>
      </w:r>
    </w:p>
    <w:p w14:paraId="15675772"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405FC5EA" w14:textId="389261CB"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Turklāt Eurostat uzskata, ka:</w:t>
      </w:r>
    </w:p>
    <w:p w14:paraId="62BE771F" w14:textId="77777777" w:rsidR="00BA2CDE" w:rsidRPr="000761E9"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530264DB" w14:textId="77777777" w:rsidR="00D43EDD" w:rsidRPr="00BA2CDE" w:rsidRDefault="00D43EDD" w:rsidP="00DC1556">
      <w:pPr>
        <w:pStyle w:val="Sarakstarindkopa"/>
        <w:numPr>
          <w:ilvl w:val="0"/>
          <w:numId w:val="114"/>
        </w:numPr>
        <w:spacing w:after="0" w:line="240" w:lineRule="auto"/>
        <w:ind w:left="709" w:hanging="283"/>
        <w:jc w:val="both"/>
        <w:rPr>
          <w:rFonts w:ascii="Times New Roman" w:eastAsia="Times New Roman" w:hAnsi="Times New Roman" w:cs="Times New Roman"/>
          <w:sz w:val="24"/>
          <w:szCs w:val="24"/>
          <w:lang w:eastAsia="lv-LV"/>
        </w:rPr>
      </w:pPr>
      <w:r w:rsidRPr="00BA2CDE">
        <w:rPr>
          <w:rFonts w:ascii="Times New Roman" w:eastAsia="Times New Roman" w:hAnsi="Times New Roman" w:cs="Times New Roman"/>
          <w:i/>
          <w:iCs/>
          <w:color w:val="436F65"/>
          <w:sz w:val="24"/>
          <w:szCs w:val="24"/>
          <w:lang w:eastAsia="lv-LV"/>
        </w:rPr>
        <w:t xml:space="preserve">ja Iestādei nav tiesību uz daļu no refinansējot gūtās peļņas, tas </w:t>
      </w:r>
      <w:r w:rsidRPr="00BA2CDE">
        <w:rPr>
          <w:rFonts w:ascii="Times New Roman" w:eastAsia="Times New Roman" w:hAnsi="Times New Roman" w:cs="Times New Roman"/>
          <w:b/>
          <w:bCs/>
          <w:i/>
          <w:iCs/>
          <w:color w:val="436F65"/>
          <w:sz w:val="24"/>
          <w:szCs w:val="24"/>
          <w:lang w:eastAsia="lv-LV"/>
        </w:rPr>
        <w:t>neietekmē statistisko uzskaiti</w:t>
      </w:r>
      <w:r w:rsidRPr="00BA2CDE">
        <w:rPr>
          <w:rFonts w:ascii="Times New Roman" w:eastAsia="Times New Roman" w:hAnsi="Times New Roman" w:cs="Times New Roman"/>
          <w:i/>
          <w:iCs/>
          <w:color w:val="436F65"/>
          <w:sz w:val="24"/>
          <w:szCs w:val="24"/>
          <w:lang w:eastAsia="lv-LV"/>
        </w:rPr>
        <w:t>;</w:t>
      </w:r>
    </w:p>
    <w:p w14:paraId="5161BFDA" w14:textId="77777777" w:rsidR="00D43EDD" w:rsidRPr="00BA2CDE" w:rsidRDefault="00D43EDD" w:rsidP="00DC1556">
      <w:pPr>
        <w:pStyle w:val="Sarakstarindkopa"/>
        <w:numPr>
          <w:ilvl w:val="0"/>
          <w:numId w:val="114"/>
        </w:numPr>
        <w:spacing w:after="0" w:line="240" w:lineRule="auto"/>
        <w:ind w:left="709" w:hanging="283"/>
        <w:jc w:val="both"/>
        <w:rPr>
          <w:rFonts w:ascii="Times New Roman" w:eastAsia="Times New Roman" w:hAnsi="Times New Roman" w:cs="Times New Roman"/>
          <w:sz w:val="24"/>
          <w:szCs w:val="24"/>
          <w:lang w:eastAsia="lv-LV"/>
        </w:rPr>
      </w:pPr>
      <w:r w:rsidRPr="00BA2CDE">
        <w:rPr>
          <w:rFonts w:ascii="Times New Roman" w:eastAsia="Times New Roman" w:hAnsi="Times New Roman" w:cs="Times New Roman"/>
          <w:i/>
          <w:iCs/>
          <w:color w:val="436F65"/>
          <w:sz w:val="24"/>
          <w:szCs w:val="24"/>
          <w:lang w:eastAsia="lv-LV"/>
        </w:rPr>
        <w:t xml:space="preserve">refinansējot gūtās peļņas aprēķināšana, pamatojoties uz pieņēmumu, ka Partnera izpilde atbilst finanšu izpildes dienā prognozētajam, </w:t>
      </w:r>
      <w:r w:rsidRPr="00BA2CDE">
        <w:rPr>
          <w:rFonts w:ascii="Times New Roman" w:eastAsia="Times New Roman" w:hAnsi="Times New Roman" w:cs="Times New Roman"/>
          <w:b/>
          <w:bCs/>
          <w:i/>
          <w:iCs/>
          <w:color w:val="436F65"/>
          <w:sz w:val="24"/>
          <w:szCs w:val="24"/>
          <w:lang w:eastAsia="lv-LV"/>
        </w:rPr>
        <w:t>neietekmē statistisko uzskaiti</w:t>
      </w:r>
      <w:r w:rsidRPr="00BA2CDE">
        <w:rPr>
          <w:rFonts w:ascii="Times New Roman" w:eastAsia="Times New Roman" w:hAnsi="Times New Roman" w:cs="Times New Roman"/>
          <w:i/>
          <w:iCs/>
          <w:color w:val="436F65"/>
          <w:sz w:val="24"/>
          <w:szCs w:val="24"/>
          <w:lang w:eastAsia="lv-LV"/>
        </w:rPr>
        <w:t>;</w:t>
      </w:r>
    </w:p>
    <w:p w14:paraId="4E17476E" w14:textId="77777777" w:rsidR="00D43EDD" w:rsidRPr="00BA2CDE" w:rsidRDefault="00D43EDD" w:rsidP="00DC1556">
      <w:pPr>
        <w:pStyle w:val="Sarakstarindkopa"/>
        <w:numPr>
          <w:ilvl w:val="0"/>
          <w:numId w:val="114"/>
        </w:numPr>
        <w:spacing w:after="0" w:line="240" w:lineRule="auto"/>
        <w:ind w:left="709" w:hanging="283"/>
        <w:jc w:val="both"/>
        <w:rPr>
          <w:rFonts w:ascii="Times New Roman" w:eastAsia="Times New Roman" w:hAnsi="Times New Roman" w:cs="Times New Roman"/>
          <w:sz w:val="24"/>
          <w:szCs w:val="24"/>
          <w:lang w:eastAsia="lv-LV"/>
        </w:rPr>
      </w:pPr>
      <w:r w:rsidRPr="00BA2CDE">
        <w:rPr>
          <w:rFonts w:ascii="Times New Roman" w:eastAsia="Times New Roman" w:hAnsi="Times New Roman" w:cs="Times New Roman"/>
          <w:i/>
          <w:iCs/>
          <w:color w:val="436F65"/>
          <w:sz w:val="24"/>
          <w:szCs w:val="24"/>
          <w:lang w:eastAsia="lv-LV"/>
        </w:rPr>
        <w:t xml:space="preserve">mehānisms, saskaņā ar kuru Iestāde saņem tās daļu no refinansējot gūtās peļņas, </w:t>
      </w:r>
      <w:r w:rsidRPr="00BA2CDE">
        <w:rPr>
          <w:rFonts w:ascii="Times New Roman" w:eastAsia="Times New Roman" w:hAnsi="Times New Roman" w:cs="Times New Roman"/>
          <w:b/>
          <w:bCs/>
          <w:color w:val="436F65"/>
          <w:sz w:val="24"/>
          <w:szCs w:val="24"/>
          <w:lang w:eastAsia="lv-LV"/>
        </w:rPr>
        <w:t>neietekmē statistisko uzskaiti.</w:t>
      </w:r>
    </w:p>
    <w:p w14:paraId="77A6895F" w14:textId="05D0F5FB" w:rsidR="00586FD8" w:rsidRDefault="00586FD8">
      <w:pPr>
        <w:rPr>
          <w:rFonts w:ascii="Times New Roman" w:eastAsia="Times New Roman" w:hAnsi="Times New Roman" w:cs="Times New Roman"/>
          <w:b/>
          <w:bCs/>
          <w:color w:val="231F20"/>
          <w:sz w:val="24"/>
          <w:szCs w:val="24"/>
          <w:lang w:eastAsia="lv-LV"/>
        </w:rPr>
      </w:pPr>
      <w:r>
        <w:rPr>
          <w:rFonts w:ascii="Times New Roman" w:eastAsia="Times New Roman" w:hAnsi="Times New Roman" w:cs="Times New Roman"/>
          <w:b/>
          <w:bCs/>
          <w:color w:val="231F20"/>
          <w:sz w:val="24"/>
          <w:szCs w:val="24"/>
          <w:lang w:eastAsia="lv-LV"/>
        </w:rPr>
        <w:br w:type="page"/>
      </w:r>
    </w:p>
    <w:p w14:paraId="3C7947FE"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4A98ADD2" w14:textId="3FECB9F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14.7. Risks, kas saistīts ar ārvalsts valūtas maiņas kursu</w:t>
      </w:r>
    </w:p>
    <w:p w14:paraId="0B5F753F"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6D9C83E1" w14:textId="682196D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Projektos, kuros viss Partnera piesaistītais finansējums vai tā daļa ir valūtā, kas nav valsts valūta, Iestāde bieži uzņemsies risku, kas saistīts ar attiecīgā valūtas maiņas kursa svārstībām. To parasti dara:</w:t>
      </w:r>
    </w:p>
    <w:p w14:paraId="6BA40B8B"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09A6B94" w14:textId="77777777" w:rsidR="00D43EDD" w:rsidRPr="00BA2CDE" w:rsidRDefault="00D43EDD" w:rsidP="00DC1556">
      <w:pPr>
        <w:pStyle w:val="Sarakstarindkopa"/>
        <w:numPr>
          <w:ilvl w:val="0"/>
          <w:numId w:val="115"/>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pamatdarbības maksājumus izsakot valsts valūtā un periodiski veicot pamatdarbības maksājumiem proporcionālas korekcijas atbilstoši valūtas maiņas kursa svārstību ietekmei;</w:t>
      </w:r>
    </w:p>
    <w:p w14:paraId="38F3BC2E" w14:textId="77777777" w:rsidR="00D43EDD" w:rsidRPr="00BA2CDE" w:rsidRDefault="00D43EDD" w:rsidP="00DC1556">
      <w:pPr>
        <w:pStyle w:val="Sarakstarindkopa"/>
        <w:numPr>
          <w:ilvl w:val="0"/>
          <w:numId w:val="115"/>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pamatdarbības maksājumu daļu izsakot finansējuma valūtā.</w:t>
      </w:r>
    </w:p>
    <w:p w14:paraId="4FD85727"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B9E610D" w14:textId="1BB0A83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Tā pamatdarbības maksājumu daļa, kas tiek koriģēta vai izteikta ārvalstu valūtā, atbilst tai Partnera izmaksu daļai, kas ir radušās attiecīgajā valūtā.</w:t>
      </w:r>
    </w:p>
    <w:p w14:paraId="6331997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E40254B" w14:textId="00D994D9"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62FECCC" w14:textId="77777777" w:rsidR="00BA2CDE" w:rsidRPr="000761E9"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6E69B455" w14:textId="77777777"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noteikumi, saskaņā ar kuriem Iestāde uzņemas risku, kas saistīts ar valūtas maiņas kursa svārstībām (kā aprakstīts iepriekš),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6DC965FF"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4A040F46" w14:textId="679C2F24"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14.8. Aizdevēja tiesības iejaukties</w:t>
      </w:r>
    </w:p>
    <w:p w14:paraId="4974073A"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9B288BA" w14:textId="3FB6234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parasti ietver Iestādes vienošanos ar aizdevējiem par to, ka aizdevējiem ir tiesības iejaukties un censties novērst Partnera saistību neizpildi, ja citādi Iestādei rastos tiesības pirms termiņa izbeigt PPP līguma darbību.</w:t>
      </w:r>
    </w:p>
    <w:p w14:paraId="516C383B"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66E7C47" w14:textId="03460AE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Iejaucoties aizdevēji parasti drīkst īstenot Partnera tiesības saskaņā ar PPP līgumu, bet tiem ir jāuzņemas arī Partnera saistības saskaņā ar PPP līgumu.</w:t>
      </w:r>
    </w:p>
    <w:p w14:paraId="311CD054"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1E989F48" w14:textId="3970F7E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saistībā:</w:t>
      </w:r>
    </w:p>
    <w:p w14:paraId="3DE2BA59"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398B6D8" w14:textId="77777777" w:rsidR="00D43EDD" w:rsidRPr="00BA2CDE" w:rsidRDefault="00D43EDD" w:rsidP="00DC1556">
      <w:pPr>
        <w:pStyle w:val="Sarakstarindkopa"/>
        <w:numPr>
          <w:ilvl w:val="0"/>
          <w:numId w:val="11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dažos PPP līgumos iekļauti noteikumi par to, ka Iestādei ir jāvienojas ar aizdevējiem par Partnera saistību apmēru, kas ir uzkrājies līdz aizdevēju iejaukšanās brīdim, un tādā veidā jānoskaidro aizdevēju saistības pret Iestādi;</w:t>
      </w:r>
    </w:p>
    <w:p w14:paraId="49C22166" w14:textId="77777777" w:rsidR="00D43EDD" w:rsidRPr="00BA2CDE" w:rsidRDefault="00D43EDD" w:rsidP="00DC1556">
      <w:pPr>
        <w:pStyle w:val="Sarakstarindkopa"/>
        <w:numPr>
          <w:ilvl w:val="0"/>
          <w:numId w:val="116"/>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14:paraId="166BEAE7"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7EC328C3" w14:textId="5D79F3E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aizdevēju iejaukšanās tiesības ietver tiesības pilnvarot citus subjektus uz laiku vai pastāvīgi aizvietot saistības nepildošo Partneri, ja tam piekrīt Iestāde.</w:t>
      </w:r>
    </w:p>
    <w:p w14:paraId="2A8E8224"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309240D9" w14:textId="382372C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aizdevēju iejaukšanās tiesības ir noteiktas tiesību aktos. Visās jurisdikcijās, pat ja iejaukšanās tiesības ir noteiktas līgumā vai tiesību aktos, aizdevēji parasti var pārņemt Partnera uzņēmumu, īstenojot galvojuma tiesības, kas tiem ir attiecībā uz Partnera akcijām.</w:t>
      </w:r>
    </w:p>
    <w:p w14:paraId="42F6EBA6"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0EE149BE"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44957F90" w14:textId="77777777" w:rsidR="00BA2CDE" w:rsidRDefault="00BA2CDE" w:rsidP="00D43EDD">
      <w:pPr>
        <w:spacing w:after="0" w:line="240" w:lineRule="auto"/>
        <w:jc w:val="both"/>
        <w:rPr>
          <w:rFonts w:ascii="Times New Roman" w:eastAsia="Times New Roman" w:hAnsi="Times New Roman" w:cs="Times New Roman"/>
          <w:i/>
          <w:iCs/>
          <w:color w:val="436F65"/>
          <w:sz w:val="24"/>
          <w:szCs w:val="24"/>
          <w:lang w:eastAsia="lv-LV"/>
        </w:rPr>
      </w:pPr>
    </w:p>
    <w:p w14:paraId="0F7E0080" w14:textId="364B974C"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Eurostat uzskata, ka noteikumi par aizdevēju iejaukšanās tiesībām (saskaņā ar līgumu starp Iestādi un aizdevējiem, saskaņā ar tiesību aktiem vai saskaņā ar aizdevēju drošības </w:t>
      </w:r>
      <w:r w:rsidRPr="000761E9">
        <w:rPr>
          <w:rFonts w:ascii="Times New Roman" w:eastAsia="Times New Roman" w:hAnsi="Times New Roman" w:cs="Times New Roman"/>
          <w:i/>
          <w:iCs/>
          <w:color w:val="436F65"/>
          <w:sz w:val="24"/>
          <w:szCs w:val="24"/>
          <w:lang w:eastAsia="lv-LV"/>
        </w:rPr>
        <w:lastRenderedPageBreak/>
        <w:t xml:space="preserve">pasākumiem attiecībā uz Partnera akcijām) </w:t>
      </w:r>
      <w:r w:rsidRPr="000761E9">
        <w:rPr>
          <w:rFonts w:ascii="Times New Roman" w:eastAsia="Times New Roman" w:hAnsi="Times New Roman" w:cs="Times New Roman"/>
          <w:b/>
          <w:bCs/>
          <w:i/>
          <w:iCs/>
          <w:color w:val="436F65"/>
          <w:sz w:val="24"/>
          <w:szCs w:val="24"/>
          <w:lang w:eastAsia="lv-LV"/>
        </w:rPr>
        <w:t xml:space="preserve">ietekmē statistisko uzskaiti, ja </w:t>
      </w:r>
      <w:r w:rsidRPr="000761E9">
        <w:rPr>
          <w:rFonts w:ascii="Times New Roman" w:eastAsia="Times New Roman" w:hAnsi="Times New Roman" w:cs="Times New Roman"/>
          <w:i/>
          <w:iCs/>
          <w:color w:val="436F65"/>
          <w:sz w:val="24"/>
          <w:szCs w:val="24"/>
          <w:lang w:eastAsia="lv-LV"/>
        </w:rPr>
        <w:t>šo aizdevēju tiesību īstenošana izmaina PPP līgumā Iestādei noteiktās tiesības vai saistības pirms iejaukšanās, tās laikā vai pēc tās.</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Šādā gadījumā šis jautājums ir VIDĒJI SVARĪGS statistiskajā uzskaitē.</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436F65"/>
          <w:sz w:val="24"/>
          <w:szCs w:val="24"/>
          <w:lang w:eastAsia="lv-LV"/>
        </w:rPr>
        <w:t xml:space="preserve">Noteikumi, kas ļauj Iestādei un aizdevējiem vienoties par saistībām pirms iejaukšanās un tās izpildīt,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0CF80C3D"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63C166F8" w14:textId="22FA3A88" w:rsidR="00D43EDD" w:rsidRDefault="00D43EDD" w:rsidP="00D43EDD">
      <w:pPr>
        <w:spacing w:after="0" w:line="240" w:lineRule="auto"/>
        <w:jc w:val="both"/>
        <w:rPr>
          <w:rFonts w:ascii="Times New Roman" w:eastAsia="Times New Roman" w:hAnsi="Times New Roman" w:cs="Times New Roman"/>
          <w:i/>
          <w:iCs/>
          <w:color w:val="436F65"/>
          <w:sz w:val="24"/>
          <w:szCs w:val="24"/>
          <w:lang w:eastAsia="lv-LV"/>
        </w:rPr>
      </w:pPr>
      <w:r w:rsidRPr="000761E9">
        <w:rPr>
          <w:rFonts w:ascii="Times New Roman" w:eastAsia="Times New Roman" w:hAnsi="Times New Roman" w:cs="Times New Roman"/>
          <w:i/>
          <w:iCs/>
          <w:color w:val="436F65"/>
          <w:sz w:val="24"/>
          <w:szCs w:val="24"/>
          <w:lang w:eastAsia="lv-LV"/>
        </w:rPr>
        <w:t xml:space="preserve">Noteikumi, saskaņā ar kuriem, lai piemērotu iemeslus līguma darbības pārtraukšanai pirms termiņa, neņem vērā Partnera izpildi pirms iejaukšanās, bet tomēr saglabā tā finansiālās saistības, </w:t>
      </w:r>
      <w:r w:rsidRPr="000761E9">
        <w:rPr>
          <w:rFonts w:ascii="Times New Roman" w:eastAsia="Times New Roman" w:hAnsi="Times New Roman" w:cs="Times New Roman"/>
          <w:b/>
          <w:bCs/>
          <w:i/>
          <w:iCs/>
          <w:color w:val="436F65"/>
          <w:sz w:val="24"/>
          <w:szCs w:val="24"/>
          <w:lang w:eastAsia="lv-LV"/>
        </w:rPr>
        <w:t>neietekmē statistisko uzskaiti</w:t>
      </w:r>
      <w:r w:rsidRPr="000761E9">
        <w:rPr>
          <w:rFonts w:ascii="Times New Roman" w:eastAsia="Times New Roman" w:hAnsi="Times New Roman" w:cs="Times New Roman"/>
          <w:i/>
          <w:iCs/>
          <w:color w:val="436F65"/>
          <w:sz w:val="24"/>
          <w:szCs w:val="24"/>
          <w:lang w:eastAsia="lv-LV"/>
        </w:rPr>
        <w:t>.</w:t>
      </w:r>
    </w:p>
    <w:p w14:paraId="74A439FC" w14:textId="5B517CCB" w:rsidR="00BA2CDE" w:rsidRDefault="00BA2C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02D6883"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21A3A514" w14:textId="5FFAF387" w:rsidR="00D43EDD" w:rsidRPr="00586FD8" w:rsidRDefault="00D43EDD" w:rsidP="00586FD8">
      <w:pPr>
        <w:pStyle w:val="Virsraksts1"/>
        <w:rPr>
          <w:rFonts w:eastAsia="Times New Roman"/>
          <w:b w:val="0"/>
          <w:color w:val="auto"/>
          <w:szCs w:val="28"/>
          <w:lang w:eastAsia="lv-LV"/>
        </w:rPr>
      </w:pPr>
      <w:bookmarkStart w:id="20" w:name="_Toc528941584"/>
      <w:r w:rsidRPr="00BA2CDE">
        <w:rPr>
          <w:rFonts w:eastAsia="Times New Roman"/>
          <w:color w:val="C57368"/>
          <w:lang w:eastAsia="lv-LV"/>
        </w:rPr>
        <w:t>15. temats.</w:t>
      </w:r>
      <w:r w:rsidR="00586FD8">
        <w:rPr>
          <w:rFonts w:eastAsia="Times New Roman"/>
          <w:color w:val="C57368"/>
          <w:lang w:eastAsia="lv-LV"/>
        </w:rPr>
        <w:t xml:space="preserve"> </w:t>
      </w:r>
      <w:r w:rsidRPr="00586FD8">
        <w:rPr>
          <w:rFonts w:eastAsia="Times New Roman"/>
          <w:b w:val="0"/>
          <w:color w:val="auto"/>
          <w:szCs w:val="28"/>
          <w:lang w:eastAsia="lv-LV"/>
        </w:rPr>
        <w:t>Valdības ietekme</w:t>
      </w:r>
      <w:bookmarkEnd w:id="20"/>
    </w:p>
    <w:p w14:paraId="6BB9EC30" w14:textId="77777777" w:rsidR="00BA2CDE" w:rsidRDefault="00BA2CDE" w:rsidP="00D43EDD">
      <w:pPr>
        <w:spacing w:after="0" w:line="240" w:lineRule="auto"/>
        <w:jc w:val="both"/>
        <w:rPr>
          <w:rFonts w:ascii="Times New Roman" w:eastAsia="Times New Roman" w:hAnsi="Times New Roman" w:cs="Times New Roman"/>
          <w:b/>
          <w:bCs/>
          <w:color w:val="231F20"/>
          <w:sz w:val="24"/>
          <w:szCs w:val="24"/>
          <w:lang w:eastAsia="lv-LV"/>
        </w:rPr>
      </w:pPr>
    </w:p>
    <w:p w14:paraId="1DEC0FC7" w14:textId="490F5197" w:rsidR="00D43EDD" w:rsidRPr="00BA2CDE"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BA2CDE">
        <w:rPr>
          <w:rFonts w:ascii="Times New Roman" w:eastAsia="Times New Roman" w:hAnsi="Times New Roman" w:cs="Times New Roman"/>
          <w:b/>
          <w:bCs/>
          <w:color w:val="231F20"/>
          <w:sz w:val="24"/>
          <w:szCs w:val="24"/>
          <w:lang w:eastAsia="lv-LV"/>
        </w:rPr>
        <w:t>15.1. Iestādei piederošās Partnera īpašumtiesību daļas</w:t>
      </w:r>
    </w:p>
    <w:p w14:paraId="5B28B338" w14:textId="77777777" w:rsidR="00BA2CDE"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2C7CC94" w14:textId="43705DF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Dažos projektos Iestādei</w:t>
      </w:r>
      <w:r w:rsidRPr="000761E9">
        <w:rPr>
          <w:rFonts w:ascii="Times New Roman" w:eastAsia="Times New Roman" w:hAnsi="Times New Roman" w:cs="Times New Roman"/>
          <w:color w:val="231F20"/>
          <w:sz w:val="24"/>
          <w:szCs w:val="24"/>
          <w:lang w:eastAsia="lv-LV"/>
        </w:rPr>
        <w:t xml:space="preserve"> (un/vai citai valdības iestādei) pieder Partnera īpašumtiesību daļas. Dažādos projektos ir sastopami dažādi noteikumi par Iestādes īpašumtiesībām (piemēram, līgumā norāda īpašumtiesību daļas lielumu un ar to saistītās tiesības). Tomēr biežāk izmantotie elementi ir šādi:</w:t>
      </w:r>
    </w:p>
    <w:p w14:paraId="48D262F0" w14:textId="77777777" w:rsidR="00BA2CDE" w:rsidRPr="000761E9" w:rsidRDefault="00BA2CDE" w:rsidP="00D43EDD">
      <w:pPr>
        <w:spacing w:after="0" w:line="240" w:lineRule="auto"/>
        <w:jc w:val="both"/>
        <w:rPr>
          <w:rFonts w:ascii="Times New Roman" w:eastAsia="Times New Roman" w:hAnsi="Times New Roman" w:cs="Times New Roman"/>
          <w:color w:val="231F20"/>
          <w:sz w:val="24"/>
          <w:szCs w:val="24"/>
          <w:lang w:eastAsia="lv-LV"/>
        </w:rPr>
      </w:pPr>
    </w:p>
    <w:p w14:paraId="4F87F5CA" w14:textId="77777777" w:rsidR="00D43EDD" w:rsidRPr="00BA2CDE" w:rsidRDefault="00D43EDD" w:rsidP="00DC1556">
      <w:pPr>
        <w:pStyle w:val="Sarakstarindkopa"/>
        <w:numPr>
          <w:ilvl w:val="0"/>
          <w:numId w:val="11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Iestādei (vai valdībai) pieder mazākuma akciju daļas (no 10 % līdz 30 %);</w:t>
      </w:r>
    </w:p>
    <w:p w14:paraId="7D27FA4E" w14:textId="77777777" w:rsidR="00D43EDD" w:rsidRPr="00BA2CDE" w:rsidRDefault="00D43EDD" w:rsidP="00DC1556">
      <w:pPr>
        <w:pStyle w:val="Sarakstarindkopa"/>
        <w:numPr>
          <w:ilvl w:val="0"/>
          <w:numId w:val="11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Iestādei (vai valdībai) ir tiesības iecelt Partnera valdes direktoru;</w:t>
      </w:r>
    </w:p>
    <w:p w14:paraId="6CBB6808" w14:textId="77777777" w:rsidR="00D43EDD" w:rsidRPr="00BA2CDE" w:rsidRDefault="00D43EDD" w:rsidP="00DC1556">
      <w:pPr>
        <w:pStyle w:val="Sarakstarindkopa"/>
        <w:numPr>
          <w:ilvl w:val="0"/>
          <w:numId w:val="11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Iestādei (vai valdībai) ir balsstiesības/veto tiesības, kas attiecas uz noteiktiem Partnera lēmumiem un kas tai ir, pamatojoties uz īpašām akcionāru līgumā noteiktām tiesībām un/vai saskaņā ar vispārējiem uzņēmējdarbības tiesību aktiem;</w:t>
      </w:r>
    </w:p>
    <w:p w14:paraId="59F5553F" w14:textId="77777777" w:rsidR="00D43EDD" w:rsidRPr="00BA2CDE" w:rsidRDefault="00D43EDD" w:rsidP="00DC1556">
      <w:pPr>
        <w:pStyle w:val="Sarakstarindkopa"/>
        <w:numPr>
          <w:ilvl w:val="0"/>
          <w:numId w:val="117"/>
        </w:numPr>
        <w:spacing w:after="0" w:line="240" w:lineRule="auto"/>
        <w:ind w:left="709" w:hanging="283"/>
        <w:jc w:val="both"/>
        <w:rPr>
          <w:rFonts w:ascii="Times New Roman" w:eastAsia="Times New Roman" w:hAnsi="Times New Roman" w:cs="Times New Roman"/>
          <w:color w:val="231F20"/>
          <w:sz w:val="24"/>
          <w:szCs w:val="24"/>
          <w:lang w:eastAsia="lv-LV"/>
        </w:rPr>
      </w:pPr>
      <w:r w:rsidRPr="00BA2CDE">
        <w:rPr>
          <w:rFonts w:ascii="Times New Roman" w:eastAsia="Times New Roman" w:hAnsi="Times New Roman" w:cs="Times New Roman"/>
          <w:color w:val="231F20"/>
          <w:sz w:val="24"/>
          <w:szCs w:val="24"/>
          <w:lang w:eastAsia="lv-LV"/>
        </w:rPr>
        <w:t>Iestādes (vai valdības) īpašumtiesību daļa tai dod tiesības saņemt dividendes.</w:t>
      </w:r>
    </w:p>
    <w:p w14:paraId="5AD400A2" w14:textId="77777777" w:rsidR="00BA2CDE" w:rsidRDefault="00BA2CDE" w:rsidP="00D43EDD">
      <w:pPr>
        <w:spacing w:after="0" w:line="240" w:lineRule="auto"/>
        <w:jc w:val="both"/>
        <w:rPr>
          <w:rFonts w:ascii="Times New Roman" w:eastAsia="Times New Roman" w:hAnsi="Times New Roman" w:cs="Times New Roman"/>
          <w:b/>
          <w:bCs/>
          <w:i/>
          <w:iCs/>
          <w:sz w:val="24"/>
          <w:szCs w:val="24"/>
          <w:lang w:eastAsia="lv-LV"/>
        </w:rPr>
      </w:pPr>
    </w:p>
    <w:p w14:paraId="6D2B556A" w14:textId="4A2A7B96"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10F3CDF" w14:textId="77777777" w:rsidR="00BA2CDE" w:rsidRDefault="00BA2CDE" w:rsidP="00D43EDD">
      <w:pPr>
        <w:spacing w:after="0" w:line="240" w:lineRule="auto"/>
        <w:jc w:val="both"/>
        <w:rPr>
          <w:rFonts w:ascii="Times New Roman" w:eastAsia="Times New Roman" w:hAnsi="Times New Roman" w:cs="Times New Roman"/>
          <w:i/>
          <w:iCs/>
          <w:color w:val="C57368"/>
          <w:sz w:val="24"/>
          <w:szCs w:val="24"/>
          <w:lang w:eastAsia="lv-LV"/>
        </w:rPr>
      </w:pPr>
    </w:p>
    <w:p w14:paraId="59DCDE32" w14:textId="109EFB20"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Ja, pamatojoties uz Iestādei (vai valdībai) piederošo Partnera īpašumtiesību daļu, statistikas vajadzībām Partneri klasificē vispārējās valdības sektorā, Eurostat attiecīgo projektu neuzskata par PPP un to reģistrē valdības bilancē (sk. 2. nodaļu).</w:t>
      </w:r>
    </w:p>
    <w:p w14:paraId="3E14B25F" w14:textId="77777777" w:rsidR="00BA2CDE" w:rsidRPr="000761E9" w:rsidRDefault="00BA2CDE" w:rsidP="00D43EDD">
      <w:pPr>
        <w:spacing w:after="0" w:line="240" w:lineRule="auto"/>
        <w:jc w:val="both"/>
        <w:rPr>
          <w:rFonts w:ascii="Times New Roman" w:eastAsia="Times New Roman" w:hAnsi="Times New Roman" w:cs="Times New Roman"/>
          <w:i/>
          <w:iCs/>
          <w:color w:val="C57368"/>
          <w:sz w:val="24"/>
          <w:szCs w:val="24"/>
          <w:lang w:eastAsia="lv-LV"/>
        </w:rPr>
      </w:pPr>
    </w:p>
    <w:p w14:paraId="399CFDD5" w14:textId="3B0BC5BF"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Pat ja ar to nepietiek, lai statistikas vajadzībām Partneri klasificētu vispārējās valdības sektorā, Iestādei (vai valdībai) piederošā Partnera īpašumtiesību daļa </w:t>
      </w:r>
      <w:r w:rsidRPr="000761E9">
        <w:rPr>
          <w:rFonts w:ascii="Times New Roman" w:eastAsia="Times New Roman" w:hAnsi="Times New Roman" w:cs="Times New Roman"/>
          <w:b/>
          <w:bCs/>
          <w:i/>
          <w:iCs/>
          <w:color w:val="C57368"/>
          <w:sz w:val="24"/>
          <w:szCs w:val="24"/>
          <w:lang w:eastAsia="lv-LV"/>
        </w:rPr>
        <w:t xml:space="preserve">ietekmē statistisko uzskaiti </w:t>
      </w:r>
      <w:r w:rsidRPr="000761E9">
        <w:rPr>
          <w:rFonts w:ascii="Times New Roman" w:eastAsia="Times New Roman" w:hAnsi="Times New Roman" w:cs="Times New Roman"/>
          <w:i/>
          <w:iCs/>
          <w:color w:val="C57368"/>
          <w:sz w:val="24"/>
          <w:szCs w:val="24"/>
          <w:lang w:eastAsia="lv-LV"/>
        </w:rPr>
        <w:t>divos turpmāk aprakstītajos veidos.</w:t>
      </w:r>
    </w:p>
    <w:p w14:paraId="4DAE050E"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0703FC1D" w14:textId="2804CDAB"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Pirmkārt, summu, ko Iestāde ir ieguldījusi Partnera akcijās, uzskata par valdības finansējumu (sk. 14.4. tematu).</w:t>
      </w:r>
    </w:p>
    <w:p w14:paraId="5B52DBF5" w14:textId="77777777" w:rsidR="00BA2CDE" w:rsidRPr="000761E9" w:rsidRDefault="00BA2CDE" w:rsidP="00D43EDD">
      <w:pPr>
        <w:spacing w:after="0" w:line="240" w:lineRule="auto"/>
        <w:jc w:val="both"/>
        <w:rPr>
          <w:rFonts w:ascii="Times New Roman" w:eastAsia="Times New Roman" w:hAnsi="Times New Roman" w:cs="Times New Roman"/>
          <w:i/>
          <w:iCs/>
          <w:color w:val="C57368"/>
          <w:sz w:val="24"/>
          <w:szCs w:val="24"/>
          <w:lang w:eastAsia="lv-LV"/>
        </w:rPr>
      </w:pPr>
    </w:p>
    <w:p w14:paraId="6DE8EBA2" w14:textId="14CD20BF"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Otrkārt, jebkādas tiesības uz Partnera peļņu uzskata par Iestādes (vai valdības) atlīdzību no aktīva (sk. 1. nodaļu), un tas šādi </w:t>
      </w:r>
      <w:r w:rsidRPr="000761E9">
        <w:rPr>
          <w:rFonts w:ascii="Times New Roman" w:eastAsia="Times New Roman" w:hAnsi="Times New Roman" w:cs="Times New Roman"/>
          <w:b/>
          <w:bCs/>
          <w:i/>
          <w:iCs/>
          <w:color w:val="C57368"/>
          <w:sz w:val="24"/>
          <w:szCs w:val="24"/>
          <w:lang w:eastAsia="lv-LV"/>
        </w:rPr>
        <w:t>ietekmē statistisko uzskaiti</w:t>
      </w:r>
      <w:r w:rsidRPr="000761E9">
        <w:rPr>
          <w:rFonts w:ascii="Times New Roman" w:eastAsia="Times New Roman" w:hAnsi="Times New Roman" w:cs="Times New Roman"/>
          <w:i/>
          <w:iCs/>
          <w:color w:val="C57368"/>
          <w:sz w:val="24"/>
          <w:szCs w:val="24"/>
          <w:lang w:eastAsia="lv-LV"/>
        </w:rPr>
        <w:t>:</w:t>
      </w:r>
    </w:p>
    <w:p w14:paraId="1C6DF197" w14:textId="77777777" w:rsidR="00BA2CDE" w:rsidRPr="000761E9" w:rsidRDefault="00BA2CDE" w:rsidP="00D43EDD">
      <w:pPr>
        <w:spacing w:after="0" w:line="240" w:lineRule="auto"/>
        <w:jc w:val="both"/>
        <w:rPr>
          <w:rFonts w:ascii="Times New Roman" w:eastAsia="Times New Roman" w:hAnsi="Times New Roman" w:cs="Times New Roman"/>
          <w:sz w:val="24"/>
          <w:szCs w:val="24"/>
          <w:lang w:eastAsia="lv-LV"/>
        </w:rPr>
      </w:pPr>
    </w:p>
    <w:p w14:paraId="12BA847E" w14:textId="77777777" w:rsidR="00D43EDD" w:rsidRPr="00085CE9" w:rsidRDefault="00D43EDD" w:rsidP="00DC1556">
      <w:pPr>
        <w:pStyle w:val="Sarakstarindkopa"/>
        <w:numPr>
          <w:ilvl w:val="0"/>
          <w:numId w:val="118"/>
        </w:numPr>
        <w:spacing w:after="0" w:line="240" w:lineRule="auto"/>
        <w:ind w:left="709" w:hanging="283"/>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ja tās ir tiesības uz 50 % vai lielāku Partnera peļņas daļu, tad PPP ir automātiski reģistrējama valdības BILANCĒ;</w:t>
      </w:r>
    </w:p>
    <w:p w14:paraId="0CC0A953" w14:textId="77777777" w:rsidR="00D43EDD" w:rsidRPr="00085CE9" w:rsidRDefault="00D43EDD" w:rsidP="00DC1556">
      <w:pPr>
        <w:pStyle w:val="Sarakstarindkopa"/>
        <w:numPr>
          <w:ilvl w:val="0"/>
          <w:numId w:val="118"/>
        </w:numPr>
        <w:spacing w:after="0" w:line="240" w:lineRule="auto"/>
        <w:ind w:left="709" w:hanging="283"/>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ja tās ir tiesības uz mazāk par 50 %, bet vairāk par vienu trešdaļu Partnera peļņas, tas statistiskajā uzskaitē ir ĻOTI SVARĪGI;</w:t>
      </w:r>
    </w:p>
    <w:p w14:paraId="08E3933D" w14:textId="77777777" w:rsidR="00D43EDD" w:rsidRPr="00085CE9" w:rsidRDefault="00D43EDD" w:rsidP="00DC1556">
      <w:pPr>
        <w:pStyle w:val="Sarakstarindkopa"/>
        <w:numPr>
          <w:ilvl w:val="0"/>
          <w:numId w:val="118"/>
        </w:numPr>
        <w:spacing w:after="0" w:line="240" w:lineRule="auto"/>
        <w:ind w:left="709" w:hanging="283"/>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ja tās ir tiesības uz ne vairāk par vienu trešdaļu, bet vairāk par 20 % Partnera peļņas, tas statistiskajā uzskaitē ir SVARĪGI;</w:t>
      </w:r>
    </w:p>
    <w:p w14:paraId="5936FBC7" w14:textId="77777777" w:rsidR="00D43EDD" w:rsidRPr="00085CE9" w:rsidRDefault="00D43EDD" w:rsidP="00DC1556">
      <w:pPr>
        <w:pStyle w:val="Sarakstarindkopa"/>
        <w:numPr>
          <w:ilvl w:val="0"/>
          <w:numId w:val="118"/>
        </w:numPr>
        <w:spacing w:after="0" w:line="240" w:lineRule="auto"/>
        <w:ind w:left="709" w:hanging="283"/>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ja tās ir tiesības uz ne vairāk par 20 %, bet vairāk par 10% Partnera peļņas, tas statistiskajā uzskaitē ir VIDĒJI SVARĪGI.</w:t>
      </w:r>
    </w:p>
    <w:p w14:paraId="549D7716" w14:textId="77777777" w:rsidR="00085C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379758E5" w14:textId="28620D1A"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C57368"/>
          <w:sz w:val="24"/>
          <w:szCs w:val="24"/>
          <w:lang w:eastAsia="lv-LV"/>
        </w:rPr>
        <w:t xml:space="preserve">Tiesības uz ne vairāk par 10 % Partnera peļņas </w:t>
      </w:r>
      <w:r w:rsidRPr="000761E9">
        <w:rPr>
          <w:rFonts w:ascii="Times New Roman" w:eastAsia="Times New Roman" w:hAnsi="Times New Roman" w:cs="Times New Roman"/>
          <w:b/>
          <w:bCs/>
          <w:i/>
          <w:iCs/>
          <w:color w:val="C57368"/>
          <w:sz w:val="24"/>
          <w:szCs w:val="24"/>
          <w:lang w:eastAsia="lv-LV"/>
        </w:rPr>
        <w:t>neietekmē statistisko uzskaiti</w:t>
      </w:r>
      <w:r w:rsidRPr="000761E9">
        <w:rPr>
          <w:rFonts w:ascii="Times New Roman" w:eastAsia="Times New Roman" w:hAnsi="Times New Roman" w:cs="Times New Roman"/>
          <w:i/>
          <w:iCs/>
          <w:color w:val="C57368"/>
          <w:sz w:val="24"/>
          <w:szCs w:val="24"/>
          <w:lang w:eastAsia="lv-LV"/>
        </w:rPr>
        <w:t>.</w:t>
      </w:r>
    </w:p>
    <w:p w14:paraId="2BDB6B65" w14:textId="77777777" w:rsidR="00085C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04AF6379" w14:textId="5E9F99C8" w:rsidR="00D43EDD" w:rsidRPr="000761E9"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Kā norādīts 2. nodaļā, ja valsts iestāde, kas ir klasificēta ārpus vispārējās valdības sektora, rīkojoties valdības vārdā vai saskaņā ar tiešiem vai netiešiem valdības norādījumiem, iegādājas Partnera īpašumtiesību daļas, uzskatīs, ka šīs daļas pieder valdībai. Tāpat, kā norādīts šīs nodaļas ievadā, ja valsts iestādei, kas klasificēta ārpus vispārējās valdības sektora, pieder Partnera īpašumtiesību daļas un ja tas atbilstoši īpašai kārtībai novirza no šīs daļas gūto peļņu valdības iestādei, uzskatīs, ka šī peļņa ir atlīdzība valdībai no projekta.</w:t>
      </w:r>
    </w:p>
    <w:p w14:paraId="4E5644F0" w14:textId="77777777" w:rsidR="00085CE9" w:rsidRDefault="00085CE9" w:rsidP="00D43EDD">
      <w:pPr>
        <w:spacing w:after="0" w:line="240" w:lineRule="auto"/>
        <w:jc w:val="both"/>
        <w:rPr>
          <w:rFonts w:ascii="Times New Roman" w:eastAsia="Times New Roman" w:hAnsi="Times New Roman" w:cs="Times New Roman"/>
          <w:b/>
          <w:bCs/>
          <w:color w:val="231F20"/>
          <w:sz w:val="24"/>
          <w:szCs w:val="24"/>
          <w:lang w:eastAsia="lv-LV"/>
        </w:rPr>
      </w:pPr>
    </w:p>
    <w:p w14:paraId="0D170E64" w14:textId="37EE5C43"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15.2. Iestādes atļaujas došanas tiesības</w:t>
      </w:r>
    </w:p>
    <w:p w14:paraId="542ABB2C"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4FFA521E" w14:textId="065B6A9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Lielākajā daļā PPP līgumu norāda dažādas darbības, ko Partneris nevar veikt bez Iestādes atļaujas. Parasti Partneris nevar:</w:t>
      </w:r>
    </w:p>
    <w:p w14:paraId="7C13FF82"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4CC850C1"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mainīt nosaukumu, uzņēmuma struktūru un nodokļu rezidences valsti;</w:t>
      </w:r>
    </w:p>
    <w:p w14:paraId="07467696"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veikt ar projektu nesaistītu uzņēmējdarbību;</w:t>
      </w:r>
    </w:p>
    <w:p w14:paraId="750F5B27"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mainīt galveno personālu, kas piedalās projekta īstenošanā;</w:t>
      </w:r>
    </w:p>
    <w:p w14:paraId="5D4A46FC"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mainīt, izbeigt vai slēgt pamata apakšuzņēmuma līgumu;</w:t>
      </w:r>
    </w:p>
    <w:p w14:paraId="505B34A9"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piešķirt aizdevējiem galvojuma tiesības uz aktīviem;</w:t>
      </w:r>
    </w:p>
    <w:p w14:paraId="5BF558B8"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veikt refinansēšanu (sk. 14.6. tematu);</w:t>
      </w:r>
    </w:p>
    <w:p w14:paraId="75BD87A6"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mainīt noteikumus, saskaņā ar kuriem Iestāde nosūta personālu darbam Partnera uzņēmumā;</w:t>
      </w:r>
    </w:p>
    <w:p w14:paraId="2E746DC9" w14:textId="77777777" w:rsidR="00D43EDD" w:rsidRPr="00085CE9" w:rsidRDefault="00D43EDD" w:rsidP="00DC1556">
      <w:pPr>
        <w:pStyle w:val="Sarakstarindkopa"/>
        <w:numPr>
          <w:ilvl w:val="0"/>
          <w:numId w:val="119"/>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izvēlēties apdrošinātāju PPP līgumā obligātajai apdrošināšanai.</w:t>
      </w:r>
    </w:p>
    <w:p w14:paraId="3844B228"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99C8332" w14:textId="3300CD4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Turklāt saskaņā ar lielāko daļu PPP līgumu Partnerim ir jāiegūst Iestādes atļauja arī, ja tas vēlas veikt kādas izmaiņas savās īpašumtiesībās / akcionāru sastāvā. Dažādos projektos atšķiras tas, cik svarīgas ir Iestādes tiesības dot atļauju, bet bieži vien tās ir svarīgākas pirmajos PPP līguma darbības gados. Piemēram, Iestādes atļauja veikt jebkādas ierosinātās izmaiņas īpašumtiesībās var būt nepieciešama būvniecības fāzes laikā un 2–5 gadus pēc būvniecības pabeigšanas, bet pēc tam tā var būt nepieciešama tikai lai:</w:t>
      </w:r>
    </w:p>
    <w:p w14:paraId="40CEEB4A"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A549F78" w14:textId="77777777" w:rsidR="00D43EDD" w:rsidRPr="00085CE9" w:rsidRDefault="00D43EDD" w:rsidP="00DC1556">
      <w:pPr>
        <w:pStyle w:val="Sarakstarindkopa"/>
        <w:numPr>
          <w:ilvl w:val="0"/>
          <w:numId w:val="120"/>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nodotu īpašumtiesības no tiem, kuriem papildus īpašnieku/akcionāru statusam projektā ir vēl citas funkcijas (piemēram, būvlīguma slēdzēji vai pakalpojumu sniedzēji); un/vai</w:t>
      </w:r>
    </w:p>
    <w:p w14:paraId="0F892E96" w14:textId="77777777" w:rsidR="00D43EDD" w:rsidRPr="00085CE9" w:rsidRDefault="00D43EDD" w:rsidP="00DC1556">
      <w:pPr>
        <w:pStyle w:val="Sarakstarindkopa"/>
        <w:numPr>
          <w:ilvl w:val="0"/>
          <w:numId w:val="120"/>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nodotu īpašumtiesības trešām personām uzņēmumos, uz kuriem attiecas valsts politikas apsvērumi (piemēram, tabakas nozares uzņēmums).</w:t>
      </w:r>
    </w:p>
    <w:p w14:paraId="29DE2261"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7C216973" w14:textId="7AD3C94A" w:rsidR="00D43EDD" w:rsidRPr="000761E9"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noteikts, ka Iestādes atļauja ir nepieciešama, ikreiz līguma darbības laikā izdarot izmaiņas īpašumtiesībās.</w:t>
      </w:r>
    </w:p>
    <w:p w14:paraId="79ACF22E" w14:textId="77777777" w:rsidR="00085CE9" w:rsidRDefault="00085CE9" w:rsidP="00D43EDD">
      <w:pPr>
        <w:spacing w:after="0" w:line="240" w:lineRule="auto"/>
        <w:jc w:val="both"/>
        <w:rPr>
          <w:rFonts w:ascii="Times New Roman" w:eastAsia="Times New Roman" w:hAnsi="Times New Roman" w:cs="Times New Roman"/>
          <w:b/>
          <w:bCs/>
          <w:i/>
          <w:iCs/>
          <w:sz w:val="24"/>
          <w:szCs w:val="24"/>
          <w:lang w:eastAsia="lv-LV"/>
        </w:rPr>
      </w:pPr>
    </w:p>
    <w:p w14:paraId="6B25FE1E" w14:textId="5D2543F5"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2247C05" w14:textId="77777777" w:rsidR="00085C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340E5CC1" w14:textId="1CB68058"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Eurostat uzskata, ka iepriekš aprakstītās Iestādes tiesības dot atļauju </w:t>
      </w:r>
      <w:r w:rsidRPr="000761E9">
        <w:rPr>
          <w:rFonts w:ascii="Times New Roman" w:eastAsia="Times New Roman" w:hAnsi="Times New Roman" w:cs="Times New Roman"/>
          <w:b/>
          <w:bCs/>
          <w:i/>
          <w:iCs/>
          <w:color w:val="C57368"/>
          <w:sz w:val="24"/>
          <w:szCs w:val="24"/>
          <w:lang w:eastAsia="lv-LV"/>
        </w:rPr>
        <w:t>neietekmē statistisko uzskaiti</w:t>
      </w:r>
      <w:r w:rsidRPr="000761E9">
        <w:rPr>
          <w:rFonts w:ascii="Times New Roman" w:eastAsia="Times New Roman" w:hAnsi="Times New Roman" w:cs="Times New Roman"/>
          <w:i/>
          <w:iCs/>
          <w:color w:val="C57368"/>
          <w:sz w:val="24"/>
          <w:szCs w:val="24"/>
          <w:lang w:eastAsia="lv-LV"/>
        </w:rPr>
        <w:t>.</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i/>
          <w:iCs/>
          <w:color w:val="C57368"/>
          <w:sz w:val="24"/>
          <w:szCs w:val="24"/>
          <w:lang w:eastAsia="lv-LV"/>
        </w:rPr>
        <w:t>Tomēr attiecībā uz atļauju veikt refinansēšanu sk. 14.6. tematu.</w:t>
      </w:r>
    </w:p>
    <w:p w14:paraId="2066701C" w14:textId="77777777" w:rsidR="00085CE9" w:rsidRPr="000761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4821E295"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15.3. Iestādes tiesības iejaukties</w:t>
      </w:r>
    </w:p>
    <w:p w14:paraId="162DB2E8"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74132727" w14:textId="72352F1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PPP līgumā parasti iekļaus noteikumus, saskaņā ar kuriem Iestāde var iejaukties un uz laiku no Partnera pārņemt projekta īstenošanu, ja:</w:t>
      </w:r>
    </w:p>
    <w:p w14:paraId="7D5C8A20"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8E172FD" w14:textId="77777777" w:rsidR="00D43EDD" w:rsidRPr="00085CE9" w:rsidRDefault="00D43EDD" w:rsidP="00DC1556">
      <w:pPr>
        <w:pStyle w:val="Sarakstarindkopa"/>
        <w:numPr>
          <w:ilvl w:val="0"/>
          <w:numId w:val="121"/>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šāda Iestādes rīcība ir sabiedrības interesēs (piemēram, veselības un drošības apsvērumu, valsts drošības jautājumu vai citu ar Iestādes sabiedriskajiem pienākumiem saistītu iemeslu dēļ); un/vai</w:t>
      </w:r>
    </w:p>
    <w:p w14:paraId="0988C0AA" w14:textId="77777777" w:rsidR="00D43EDD" w:rsidRPr="00085CE9" w:rsidRDefault="00D43EDD" w:rsidP="00DC1556">
      <w:pPr>
        <w:pStyle w:val="Sarakstarindkopa"/>
        <w:numPr>
          <w:ilvl w:val="0"/>
          <w:numId w:val="121"/>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Partneris nepilda savas saistības saskaņā ar PPP līgumu.</w:t>
      </w:r>
    </w:p>
    <w:p w14:paraId="498C388E"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51444B8" w14:textId="0466896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Parasti šīs Iestādes tiesības ierobežo, norādot gan darbības, ko Iestāde var veikt, gan periodu, kurā tā šīs tiesības var īstenot. Citiem vārdiem sakot, tā ir tiesīga darīt to, kas ir nepieciešams, tik ilgi, cik tas ir nepieciešams, lai novērstu iejaukšanās iemeslu un turpinātu</w:t>
      </w:r>
      <w:r w:rsidRPr="000761E9">
        <w:rPr>
          <w:rFonts w:ascii="Times New Roman" w:eastAsia="Times New Roman" w:hAnsi="Times New Roman" w:cs="Times New Roman"/>
          <w:color w:val="000000"/>
          <w:sz w:val="24"/>
          <w:szCs w:val="24"/>
          <w:lang w:eastAsia="lv-LV"/>
        </w:rPr>
        <w:t> </w:t>
      </w:r>
      <w:r w:rsidRPr="000761E9">
        <w:rPr>
          <w:rFonts w:ascii="Times New Roman" w:eastAsia="Times New Roman" w:hAnsi="Times New Roman" w:cs="Times New Roman"/>
          <w:color w:val="231F20"/>
          <w:sz w:val="24"/>
          <w:szCs w:val="24"/>
          <w:lang w:eastAsia="lv-LV"/>
        </w:rPr>
        <w:t xml:space="preserve">PPP līguma </w:t>
      </w:r>
      <w:r w:rsidRPr="000761E9">
        <w:rPr>
          <w:rFonts w:ascii="Times New Roman" w:eastAsia="Times New Roman" w:hAnsi="Times New Roman" w:cs="Times New Roman"/>
          <w:color w:val="231F20"/>
          <w:sz w:val="24"/>
          <w:szCs w:val="24"/>
          <w:lang w:eastAsia="lv-LV"/>
        </w:rPr>
        <w:lastRenderedPageBreak/>
        <w:t>izpildi.</w:t>
      </w:r>
      <w:r w:rsidRPr="000761E9">
        <w:rPr>
          <w:rFonts w:ascii="Times New Roman" w:eastAsia="Times New Roman" w:hAnsi="Times New Roman" w:cs="Times New Roman"/>
          <w:sz w:val="24"/>
          <w:szCs w:val="24"/>
          <w:lang w:eastAsia="lv-LV"/>
        </w:rPr>
        <w:t> </w:t>
      </w:r>
      <w:r w:rsidRPr="000761E9">
        <w:rPr>
          <w:rFonts w:ascii="Times New Roman" w:eastAsia="Times New Roman" w:hAnsi="Times New Roman" w:cs="Times New Roman"/>
          <w:color w:val="231F20"/>
          <w:sz w:val="24"/>
          <w:szCs w:val="24"/>
          <w:lang w:eastAsia="lv-LV"/>
        </w:rPr>
        <w:t>Iestādei par savu nodomu iejaukties ir iepriekš jāinformē Partneris (un dažreiz arī aizdevēji).</w:t>
      </w:r>
    </w:p>
    <w:p w14:paraId="6CB19372"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7740D3A6" w14:textId="73727F9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Saskaņā ar dažiem PPP līgumiem Iestādei iejaukšanās periodā ir jāturpina pilnā apmērā veikt pamatdarbības maksājumus Partnerim, bet Iestāde var atrēķināt jebkādas iejaukšanās izmaksas, kas tai radušās, ja tā ir iejaukusies Partnera neapmierinošas izpildes dēļ.</w:t>
      </w:r>
    </w:p>
    <w:p w14:paraId="0A9685FA"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1A439D8" w14:textId="4B9E768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Dažās jurisdikcijās (vai dažos noteiktos jurisdikcijas sektoros) Iestādes tiesības iejaukties PPP līgumu īstenošanā ir noteiktas tiesību aktos. Tiesību aktos parasti būs noteikti arī visi prasījumi, ko Partneris iesniedz saistībā ar šādas iejaukšanās dēļ radušos izmaksu un/vai zaudējumu segšanu.</w:t>
      </w:r>
    </w:p>
    <w:p w14:paraId="1934EC90"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37CEBE1A" w14:textId="1E63FE8C"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7D28F71B" w14:textId="77777777" w:rsidR="00085CE9" w:rsidRPr="000761E9" w:rsidRDefault="00085CE9" w:rsidP="00D43EDD">
      <w:pPr>
        <w:spacing w:after="0" w:line="240" w:lineRule="auto"/>
        <w:jc w:val="both"/>
        <w:rPr>
          <w:rFonts w:ascii="Times New Roman" w:eastAsia="Times New Roman" w:hAnsi="Times New Roman" w:cs="Times New Roman"/>
          <w:b/>
          <w:bCs/>
          <w:i/>
          <w:iCs/>
          <w:sz w:val="24"/>
          <w:szCs w:val="24"/>
          <w:lang w:eastAsia="lv-LV"/>
        </w:rPr>
      </w:pPr>
    </w:p>
    <w:p w14:paraId="1E2830DF" w14:textId="74A761BA"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Eurostat uzskata, ka noteikumi, saskaņā ar kuriem Iestāde var iejaukties un no Partnera pārņemt projekta īstenošanu (vai nu konkrētu līgumā norādītu iemeslu dēļ, vai tiesību aktos noteiktu vispārēju iemeslu dēļ) </w:t>
      </w:r>
      <w:r w:rsidRPr="000761E9">
        <w:rPr>
          <w:rFonts w:ascii="Times New Roman" w:eastAsia="Times New Roman" w:hAnsi="Times New Roman" w:cs="Times New Roman"/>
          <w:b/>
          <w:bCs/>
          <w:i/>
          <w:iCs/>
          <w:color w:val="C57368"/>
          <w:sz w:val="24"/>
          <w:szCs w:val="24"/>
          <w:lang w:eastAsia="lv-LV"/>
        </w:rPr>
        <w:t>neietekmē statistisko uzskaiti</w:t>
      </w:r>
      <w:r w:rsidRPr="000761E9">
        <w:rPr>
          <w:rFonts w:ascii="Times New Roman" w:eastAsia="Times New Roman" w:hAnsi="Times New Roman" w:cs="Times New Roman"/>
          <w:i/>
          <w:iCs/>
          <w:color w:val="C57368"/>
          <w:sz w:val="24"/>
          <w:szCs w:val="24"/>
          <w:lang w:eastAsia="lv-LV"/>
        </w:rPr>
        <w:t>.</w:t>
      </w:r>
    </w:p>
    <w:p w14:paraId="545D0385"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01542968" w14:textId="0F5CF556"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Iestādes pienākums iejaukšanās periodā turpināt pilnā apmērā veikt pamatdarbības maksājumus Partnerim, </w:t>
      </w:r>
      <w:r w:rsidRPr="000761E9">
        <w:rPr>
          <w:rFonts w:ascii="Times New Roman" w:eastAsia="Times New Roman" w:hAnsi="Times New Roman" w:cs="Times New Roman"/>
          <w:b/>
          <w:bCs/>
          <w:i/>
          <w:iCs/>
          <w:color w:val="C57368"/>
          <w:sz w:val="24"/>
          <w:szCs w:val="24"/>
          <w:lang w:eastAsia="lv-LV"/>
        </w:rPr>
        <w:t>neietekmē statistisko uzskaiti, ja</w:t>
      </w:r>
      <w:r w:rsidRPr="000761E9">
        <w:rPr>
          <w:rFonts w:ascii="Times New Roman" w:eastAsia="Times New Roman" w:hAnsi="Times New Roman" w:cs="Times New Roman"/>
          <w:i/>
          <w:iCs/>
          <w:color w:val="C57368"/>
          <w:sz w:val="24"/>
          <w:szCs w:val="24"/>
          <w:lang w:eastAsia="lv-LV"/>
        </w:rPr>
        <w:t>:</w:t>
      </w:r>
    </w:p>
    <w:p w14:paraId="7C3CACEB"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6BFF6679" w14:textId="77777777" w:rsidR="00D43EDD" w:rsidRPr="00085CE9" w:rsidRDefault="00D43EDD" w:rsidP="00DC1556">
      <w:pPr>
        <w:pStyle w:val="Sarakstarindkopa"/>
        <w:numPr>
          <w:ilvl w:val="0"/>
          <w:numId w:val="122"/>
        </w:numPr>
        <w:spacing w:after="0" w:line="240" w:lineRule="auto"/>
        <w:ind w:left="709" w:hanging="294"/>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pamatdarbības maksājumu atskaitījumus par nepieejamību un/vai neapmierinošu pakalpojumu izpildi līdz dienai, kurā Iestāde iejaucas, un pēc dienas, kad Iestāde beidz iejaukšanos, piemēro atbilstoši tam, kā paredzēts normālā līguma darbībā;</w:t>
      </w:r>
    </w:p>
    <w:p w14:paraId="08367744" w14:textId="77777777" w:rsidR="00D43EDD" w:rsidRPr="00085CE9" w:rsidRDefault="00D43EDD" w:rsidP="00DC1556">
      <w:pPr>
        <w:pStyle w:val="Sarakstarindkopa"/>
        <w:numPr>
          <w:ilvl w:val="0"/>
          <w:numId w:val="122"/>
        </w:numPr>
        <w:spacing w:after="0" w:line="240" w:lineRule="auto"/>
        <w:ind w:left="709" w:hanging="294"/>
        <w:jc w:val="both"/>
        <w:rPr>
          <w:rFonts w:ascii="Times New Roman" w:eastAsia="Times New Roman" w:hAnsi="Times New Roman" w:cs="Times New Roman"/>
          <w:i/>
          <w:iCs/>
          <w:color w:val="C57368"/>
          <w:sz w:val="24"/>
          <w:szCs w:val="24"/>
          <w:lang w:eastAsia="lv-LV"/>
        </w:rPr>
      </w:pPr>
      <w:r w:rsidRPr="00085CE9">
        <w:rPr>
          <w:rFonts w:ascii="Times New Roman" w:eastAsia="Times New Roman" w:hAnsi="Times New Roman" w:cs="Times New Roman"/>
          <w:i/>
          <w:iCs/>
          <w:color w:val="C57368"/>
          <w:sz w:val="24"/>
          <w:szCs w:val="24"/>
          <w:lang w:eastAsia="lv-LV"/>
        </w:rPr>
        <w:t>Iestāde ir tiesīga atgūt no Partnera savas iejaukšanās izmaksas, ja Iestāde ir iejaukusies neapmierinošas Partnera izpildes dēļ.</w:t>
      </w:r>
    </w:p>
    <w:p w14:paraId="4F899379" w14:textId="77777777" w:rsidR="00085C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48626A53" w14:textId="3EC2BAEB" w:rsidR="00D43EDD" w:rsidRPr="000761E9"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Ja nav izpildīts kāds no šiem nosacījumiem, šis jautājums ir VIDĒJI SVARĪGS statistiskajā uzskaitē.</w:t>
      </w:r>
    </w:p>
    <w:p w14:paraId="43EBB33C" w14:textId="77777777" w:rsidR="00085CE9" w:rsidRDefault="00085CE9" w:rsidP="00D43EDD">
      <w:pPr>
        <w:spacing w:after="0" w:line="240" w:lineRule="auto"/>
        <w:jc w:val="both"/>
        <w:rPr>
          <w:rFonts w:ascii="Times New Roman" w:eastAsia="Times New Roman" w:hAnsi="Times New Roman" w:cs="Times New Roman"/>
          <w:b/>
          <w:bCs/>
          <w:color w:val="231F20"/>
          <w:sz w:val="24"/>
          <w:szCs w:val="24"/>
          <w:lang w:eastAsia="lv-LV"/>
        </w:rPr>
      </w:pPr>
    </w:p>
    <w:p w14:paraId="4818BCF0" w14:textId="6BEB7B72"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15.4. Partnera peļņas vai ieņēmumu maksimālais apmērs</w:t>
      </w:r>
    </w:p>
    <w:p w14:paraId="3280301F"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B1074D9" w14:textId="7AC2DAA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iekļauj noteikumus, kuros nosaka maksimālo peļņu, ko Partneris var gūt no PPP. Šo maksimālo vērtību var izteikt, piemēram, kā naudas summu vai kā pašu kapitāla atdevi. Parasti saskaņā ar šiem noteikumiem Partnerim ir jāatmaksā Iestādei (vai valdībai kopumā) visa tā peļņa, kas pārsniedz noteikto maksimālo vērtību.</w:t>
      </w:r>
    </w:p>
    <w:p w14:paraId="204ACD6D"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6B552D6D" w14:textId="70B78E3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kuros ir uz pieprasījumu balstīti pamatdarbības maksājumi, Partnera peļņa tiek netieši ierobežota, nosakot maksimālos ieņēmumus, ko Partneris var gūt. Šie PPP līgumi ne vienmēr paredz, ka pārsniegtā summa ir jāatmaksā Iestādei (vai valdībai kopumā). Piemērs ir gadījums, kad uz pieprasījumu balstīti pamatdarbības maksājumi tiek grupēti un kad vienības cena visbiežāk lietotajai grupai atbilst nullei (sk. 4.10.2. tematu).</w:t>
      </w:r>
    </w:p>
    <w:p w14:paraId="4CD78F9F"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78E22A0"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7555ED2" w14:textId="77777777" w:rsidR="00085CE9" w:rsidRDefault="00085CE9" w:rsidP="00D43EDD">
      <w:pPr>
        <w:spacing w:after="0" w:line="240" w:lineRule="auto"/>
        <w:jc w:val="both"/>
        <w:rPr>
          <w:rFonts w:ascii="Times New Roman" w:eastAsia="Times New Roman" w:hAnsi="Times New Roman" w:cs="Times New Roman"/>
          <w:i/>
          <w:iCs/>
          <w:color w:val="C57368"/>
          <w:sz w:val="24"/>
          <w:szCs w:val="24"/>
          <w:lang w:eastAsia="lv-LV"/>
        </w:rPr>
      </w:pPr>
    </w:p>
    <w:p w14:paraId="235EE190" w14:textId="41236EFD"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Eurostat uzskata, ka noteikumi, kas nosaka maksimālo Partnera peļņu, </w:t>
      </w:r>
      <w:r w:rsidRPr="000761E9">
        <w:rPr>
          <w:rFonts w:ascii="Times New Roman" w:eastAsia="Times New Roman" w:hAnsi="Times New Roman" w:cs="Times New Roman"/>
          <w:b/>
          <w:bCs/>
          <w:i/>
          <w:iCs/>
          <w:color w:val="C57368"/>
          <w:sz w:val="24"/>
          <w:szCs w:val="24"/>
          <w:lang w:eastAsia="lv-LV"/>
        </w:rPr>
        <w:t xml:space="preserve">ietekmē statistisko uzskaiti </w:t>
      </w:r>
      <w:r w:rsidRPr="000761E9">
        <w:rPr>
          <w:rFonts w:ascii="Times New Roman" w:eastAsia="Times New Roman" w:hAnsi="Times New Roman" w:cs="Times New Roman"/>
          <w:i/>
          <w:iCs/>
          <w:color w:val="C57368"/>
          <w:sz w:val="24"/>
          <w:szCs w:val="24"/>
          <w:lang w:eastAsia="lv-LV"/>
        </w:rPr>
        <w:t>un PPP automātiski jāreģistrē valdības BILANCĒ.</w:t>
      </w:r>
    </w:p>
    <w:p w14:paraId="0765AB71"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3E2086EB" w14:textId="626EC51F"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lastRenderedPageBreak/>
        <w:t xml:space="preserve">Tāpat jebkādi maksimālie ierobežojumi, kas noteikti līgumā, kurš paredz uz pieprasījumu balstītus pamatdarbības maksājumus, </w:t>
      </w:r>
      <w:r w:rsidRPr="000761E9">
        <w:rPr>
          <w:rFonts w:ascii="Times New Roman" w:eastAsia="Times New Roman" w:hAnsi="Times New Roman" w:cs="Times New Roman"/>
          <w:b/>
          <w:bCs/>
          <w:i/>
          <w:iCs/>
          <w:color w:val="C57368"/>
          <w:sz w:val="24"/>
          <w:szCs w:val="24"/>
          <w:lang w:eastAsia="lv-LV"/>
        </w:rPr>
        <w:t xml:space="preserve">ietekmē statistisko uzskaiti, </w:t>
      </w:r>
      <w:r w:rsidRPr="000761E9">
        <w:rPr>
          <w:rFonts w:ascii="Times New Roman" w:eastAsia="Times New Roman" w:hAnsi="Times New Roman" w:cs="Times New Roman"/>
          <w:i/>
          <w:iCs/>
          <w:color w:val="C57368"/>
          <w:sz w:val="24"/>
          <w:szCs w:val="24"/>
          <w:lang w:eastAsia="lv-LV"/>
        </w:rPr>
        <w:t>un PPP automātiski jāreģistrē valdības BILANCĒ (sk. 4.10.2. tematu).</w:t>
      </w:r>
    </w:p>
    <w:p w14:paraId="4E8D2382"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5FF32A08" w14:textId="179805A0" w:rsidR="00D43EDD" w:rsidRDefault="00D43EDD" w:rsidP="00D43EDD">
      <w:pPr>
        <w:spacing w:after="0" w:line="240" w:lineRule="auto"/>
        <w:jc w:val="both"/>
        <w:rPr>
          <w:rFonts w:ascii="Times New Roman" w:eastAsia="Times New Roman" w:hAnsi="Times New Roman" w:cs="Times New Roman"/>
          <w:i/>
          <w:iCs/>
          <w:color w:val="C57368"/>
          <w:sz w:val="24"/>
          <w:szCs w:val="24"/>
          <w:lang w:eastAsia="lv-LV"/>
        </w:rPr>
      </w:pPr>
      <w:r w:rsidRPr="000761E9">
        <w:rPr>
          <w:rFonts w:ascii="Times New Roman" w:eastAsia="Times New Roman" w:hAnsi="Times New Roman" w:cs="Times New Roman"/>
          <w:i/>
          <w:iCs/>
          <w:color w:val="C57368"/>
          <w:sz w:val="24"/>
          <w:szCs w:val="24"/>
          <w:lang w:eastAsia="lv-LV"/>
        </w:rPr>
        <w:t xml:space="preserve">Eurostat uzskata, ka noteikumi, saskaņā ar kuriem PPP līguma darbība beidzas tad, kad Partneris ir guvis noteiktu ieņēmumu apmēru, ir līdzvērtīgi Partnera maksimālo ieņēmumu vai maksimālās peļņas noteikšanai, kas </w:t>
      </w:r>
      <w:r w:rsidRPr="000761E9">
        <w:rPr>
          <w:rFonts w:ascii="Times New Roman" w:eastAsia="Times New Roman" w:hAnsi="Times New Roman" w:cs="Times New Roman"/>
          <w:b/>
          <w:bCs/>
          <w:i/>
          <w:iCs/>
          <w:color w:val="C57368"/>
          <w:sz w:val="24"/>
          <w:szCs w:val="24"/>
          <w:lang w:eastAsia="lv-LV"/>
        </w:rPr>
        <w:t xml:space="preserve">ietekmē statistisko uzskaiti, </w:t>
      </w:r>
      <w:r w:rsidRPr="000761E9">
        <w:rPr>
          <w:rFonts w:ascii="Times New Roman" w:eastAsia="Times New Roman" w:hAnsi="Times New Roman" w:cs="Times New Roman"/>
          <w:i/>
          <w:iCs/>
          <w:color w:val="C57368"/>
          <w:sz w:val="24"/>
          <w:szCs w:val="24"/>
          <w:lang w:eastAsia="lv-LV"/>
        </w:rPr>
        <w:t>un PPP automātiski jāreģistrē valdības BILANCĒ.</w:t>
      </w:r>
    </w:p>
    <w:p w14:paraId="3E1C84F8" w14:textId="6726009F" w:rsidR="00085CE9" w:rsidRDefault="00085CE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F2CE7F"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3AF9247C" w14:textId="77777777" w:rsidR="00D43EDD" w:rsidRPr="00586FD8" w:rsidRDefault="00D43EDD" w:rsidP="00586FD8">
      <w:pPr>
        <w:pStyle w:val="Virsraksts1"/>
        <w:rPr>
          <w:rFonts w:eastAsia="Times New Roman"/>
          <w:b w:val="0"/>
          <w:color w:val="auto"/>
          <w:szCs w:val="28"/>
          <w:lang w:eastAsia="lv-LV"/>
        </w:rPr>
      </w:pPr>
      <w:bookmarkStart w:id="21" w:name="_Toc528941585"/>
      <w:r w:rsidRPr="000761E9">
        <w:rPr>
          <w:rFonts w:eastAsia="Times New Roman"/>
          <w:color w:val="004D65"/>
          <w:lang w:eastAsia="lv-LV"/>
        </w:rPr>
        <w:t xml:space="preserve">16. temats. </w:t>
      </w:r>
      <w:r w:rsidRPr="00586FD8">
        <w:rPr>
          <w:rFonts w:eastAsia="Times New Roman"/>
          <w:b w:val="0"/>
          <w:color w:val="auto"/>
          <w:szCs w:val="28"/>
          <w:lang w:eastAsia="lv-LV"/>
        </w:rPr>
        <w:t>Dažādi noteikumi</w:t>
      </w:r>
      <w:bookmarkEnd w:id="21"/>
    </w:p>
    <w:p w14:paraId="102F22CB" w14:textId="77777777" w:rsidR="00085CE9" w:rsidRDefault="00085CE9" w:rsidP="00D43EDD">
      <w:pPr>
        <w:spacing w:after="0" w:line="240" w:lineRule="auto"/>
        <w:jc w:val="both"/>
        <w:rPr>
          <w:rFonts w:ascii="Times New Roman" w:eastAsia="Times New Roman" w:hAnsi="Times New Roman" w:cs="Times New Roman"/>
          <w:b/>
          <w:bCs/>
          <w:color w:val="231F20"/>
          <w:sz w:val="24"/>
          <w:szCs w:val="24"/>
          <w:lang w:eastAsia="lv-LV"/>
        </w:rPr>
      </w:pPr>
    </w:p>
    <w:p w14:paraId="3675CECA" w14:textId="78E8A5D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16.1. Strīdu izšķiršanas procedūra</w:t>
      </w:r>
    </w:p>
    <w:p w14:paraId="3F5E526A"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4AC0F8FB" w14:textId="208C80A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Dažādos līgumos izmanto dažādas pieejas strīdu izšķiršanai starp Iestādi un Partneri atkarībā no attiecīgajā jurisdikcijā pieejamās procedūras un Iestādes vispārējās politikas attiecībā uz publiskajiem līgumiem. Parasti strīdu gadījumā galīgo lēmumu pieņems vietējā un/vai valsts līmeņa tiesas vai šķīrējtiesa.</w:t>
      </w:r>
    </w:p>
    <w:p w14:paraId="49305FD5"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2B87E0C4" w14:textId="5FD94E1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Vairums PPP līgumu paredz alternatīvu strīdu izšķiršanas procedūru (piemēram, mediācija), kas jāizmanto pirms prasības iesniegšanas tiesā vai šķīrējtiesā.</w:t>
      </w:r>
    </w:p>
    <w:p w14:paraId="2E9493EE"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9AB2688" w14:textId="77777777"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07C5538E" w14:textId="77777777" w:rsidR="00085CE9" w:rsidRDefault="00085CE9" w:rsidP="00D43EDD">
      <w:pPr>
        <w:spacing w:after="0" w:line="240" w:lineRule="auto"/>
        <w:jc w:val="both"/>
        <w:rPr>
          <w:rFonts w:ascii="Times New Roman" w:eastAsia="Times New Roman" w:hAnsi="Times New Roman" w:cs="Times New Roman"/>
          <w:i/>
          <w:iCs/>
          <w:color w:val="004D65"/>
          <w:sz w:val="24"/>
          <w:szCs w:val="24"/>
          <w:lang w:eastAsia="lv-LV"/>
        </w:rPr>
      </w:pPr>
    </w:p>
    <w:p w14:paraId="04112844" w14:textId="34C86B33" w:rsidR="00D43EDD" w:rsidRDefault="00D43EDD" w:rsidP="00D43EDD">
      <w:pPr>
        <w:spacing w:after="0" w:line="240" w:lineRule="auto"/>
        <w:jc w:val="both"/>
        <w:rPr>
          <w:rFonts w:ascii="Times New Roman" w:eastAsia="Times New Roman" w:hAnsi="Times New Roman" w:cs="Times New Roman"/>
          <w:b/>
          <w:bCs/>
          <w:color w:val="004D65"/>
          <w:sz w:val="24"/>
          <w:szCs w:val="24"/>
          <w:lang w:eastAsia="lv-LV"/>
        </w:rPr>
      </w:pPr>
      <w:r w:rsidRPr="000761E9">
        <w:rPr>
          <w:rFonts w:ascii="Times New Roman" w:eastAsia="Times New Roman" w:hAnsi="Times New Roman" w:cs="Times New Roman"/>
          <w:i/>
          <w:iCs/>
          <w:color w:val="004D65"/>
          <w:sz w:val="24"/>
          <w:szCs w:val="24"/>
          <w:lang w:eastAsia="lv-LV"/>
        </w:rPr>
        <w:t xml:space="preserve">Eurostat uzskata, ka pušu strīdu izšķiršanas procedūra </w:t>
      </w:r>
      <w:r w:rsidRPr="000761E9">
        <w:rPr>
          <w:rFonts w:ascii="Times New Roman" w:eastAsia="Times New Roman" w:hAnsi="Times New Roman" w:cs="Times New Roman"/>
          <w:b/>
          <w:bCs/>
          <w:color w:val="004D65"/>
          <w:sz w:val="24"/>
          <w:szCs w:val="24"/>
          <w:lang w:eastAsia="lv-LV"/>
        </w:rPr>
        <w:t>neietekmē statistisko uzskaiti.</w:t>
      </w:r>
    </w:p>
    <w:p w14:paraId="1D3FD483"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0C3172E7"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16.2. Informācija un konfidencialitāte</w:t>
      </w:r>
    </w:p>
    <w:p w14:paraId="36D31201"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25B607B0" w14:textId="5A6673DF"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ir noteikumi, kas attiecas uz:</w:t>
      </w:r>
    </w:p>
    <w:p w14:paraId="2778251A"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2F6D7F8" w14:textId="77777777" w:rsidR="00D43EDD" w:rsidRPr="00085CE9" w:rsidRDefault="00D43EDD" w:rsidP="00DC1556">
      <w:pPr>
        <w:pStyle w:val="Sarakstarindkopa"/>
        <w:numPr>
          <w:ilvl w:val="0"/>
          <w:numId w:val="123"/>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informāciju, kas saistīta projektu un ar kuru pusēm ir pienākums apmainīties;</w:t>
      </w:r>
    </w:p>
    <w:p w14:paraId="5C868B7D" w14:textId="77777777" w:rsidR="00D43EDD" w:rsidRPr="00085CE9" w:rsidRDefault="00D43EDD" w:rsidP="00DC1556">
      <w:pPr>
        <w:pStyle w:val="Sarakstarindkopa"/>
        <w:numPr>
          <w:ilvl w:val="0"/>
          <w:numId w:val="123"/>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informāciju, kas saistīta ar projektu un kuru pusēm ir tiesības sniegt trešām personām;</w:t>
      </w:r>
    </w:p>
    <w:p w14:paraId="5645BD88" w14:textId="77777777" w:rsidR="00D43EDD" w:rsidRPr="00085CE9" w:rsidRDefault="00D43EDD" w:rsidP="00DC1556">
      <w:pPr>
        <w:pStyle w:val="Sarakstarindkopa"/>
        <w:numPr>
          <w:ilvl w:val="0"/>
          <w:numId w:val="123"/>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informāciju, kas saistīta ar projektu un ir konfidenciāla.</w:t>
      </w:r>
    </w:p>
    <w:p w14:paraId="382D3231" w14:textId="77777777" w:rsidR="00085CE9" w:rsidRDefault="00085CE9" w:rsidP="00D43EDD">
      <w:pPr>
        <w:spacing w:after="0" w:line="240" w:lineRule="auto"/>
        <w:jc w:val="both"/>
        <w:rPr>
          <w:rFonts w:ascii="Times New Roman" w:eastAsia="Times New Roman" w:hAnsi="Times New Roman" w:cs="Times New Roman"/>
          <w:b/>
          <w:bCs/>
          <w:i/>
          <w:iCs/>
          <w:sz w:val="24"/>
          <w:szCs w:val="24"/>
          <w:lang w:eastAsia="lv-LV"/>
        </w:rPr>
      </w:pPr>
    </w:p>
    <w:p w14:paraId="2262E8FB" w14:textId="47343049" w:rsidR="00D43EDD" w:rsidRPr="000761E9"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38163507" w14:textId="77777777" w:rsidR="00085CE9" w:rsidRDefault="00085CE9" w:rsidP="00D43EDD">
      <w:pPr>
        <w:spacing w:after="0" w:line="240" w:lineRule="auto"/>
        <w:jc w:val="both"/>
        <w:rPr>
          <w:rFonts w:ascii="Times New Roman" w:eastAsia="Times New Roman" w:hAnsi="Times New Roman" w:cs="Times New Roman"/>
          <w:i/>
          <w:iCs/>
          <w:color w:val="004D65"/>
          <w:sz w:val="24"/>
          <w:szCs w:val="24"/>
          <w:lang w:eastAsia="lv-LV"/>
        </w:rPr>
      </w:pPr>
    </w:p>
    <w:p w14:paraId="1550CE20" w14:textId="46FD194C" w:rsidR="00D43EDD" w:rsidRDefault="00D43EDD" w:rsidP="00D43EDD">
      <w:pPr>
        <w:spacing w:after="0" w:line="240" w:lineRule="auto"/>
        <w:jc w:val="both"/>
        <w:rPr>
          <w:rFonts w:ascii="Times New Roman" w:eastAsia="Times New Roman" w:hAnsi="Times New Roman" w:cs="Times New Roman"/>
          <w:i/>
          <w:iCs/>
          <w:color w:val="004D65"/>
          <w:sz w:val="24"/>
          <w:szCs w:val="24"/>
          <w:lang w:eastAsia="lv-LV"/>
        </w:rPr>
      </w:pPr>
      <w:r w:rsidRPr="000761E9">
        <w:rPr>
          <w:rFonts w:ascii="Times New Roman" w:eastAsia="Times New Roman" w:hAnsi="Times New Roman" w:cs="Times New Roman"/>
          <w:i/>
          <w:iCs/>
          <w:color w:val="004D65"/>
          <w:sz w:val="24"/>
          <w:szCs w:val="24"/>
          <w:lang w:eastAsia="lv-LV"/>
        </w:rPr>
        <w:t xml:space="preserve">Eurostat uzskata, ka PPP līgumu noteikumi, kas attiecas uz informāciju un konfidencialitāti, </w:t>
      </w:r>
      <w:r w:rsidRPr="000761E9">
        <w:rPr>
          <w:rFonts w:ascii="Times New Roman" w:eastAsia="Times New Roman" w:hAnsi="Times New Roman" w:cs="Times New Roman"/>
          <w:b/>
          <w:bCs/>
          <w:i/>
          <w:iCs/>
          <w:color w:val="004D65"/>
          <w:sz w:val="24"/>
          <w:szCs w:val="24"/>
          <w:lang w:eastAsia="lv-LV"/>
        </w:rPr>
        <w:t>neietekmē statistisko uzskaiti</w:t>
      </w:r>
      <w:r w:rsidRPr="000761E9">
        <w:rPr>
          <w:rFonts w:ascii="Times New Roman" w:eastAsia="Times New Roman" w:hAnsi="Times New Roman" w:cs="Times New Roman"/>
          <w:i/>
          <w:iCs/>
          <w:color w:val="004D65"/>
          <w:sz w:val="24"/>
          <w:szCs w:val="24"/>
          <w:lang w:eastAsia="lv-LV"/>
        </w:rPr>
        <w:t>.</w:t>
      </w:r>
    </w:p>
    <w:p w14:paraId="76C04495"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1FC4F882" w14:textId="49140F60" w:rsidR="00D43EDD"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16.3. Tiesību aktu ievērošana</w:t>
      </w:r>
    </w:p>
    <w:p w14:paraId="219EAA79" w14:textId="77777777" w:rsidR="00085CE9" w:rsidRPr="000761E9" w:rsidRDefault="00085CE9" w:rsidP="00D43EDD">
      <w:pPr>
        <w:spacing w:after="0" w:line="240" w:lineRule="auto"/>
        <w:jc w:val="both"/>
        <w:rPr>
          <w:rFonts w:ascii="Times New Roman" w:eastAsia="Times New Roman" w:hAnsi="Times New Roman" w:cs="Times New Roman"/>
          <w:b/>
          <w:bCs/>
          <w:color w:val="231F20"/>
          <w:sz w:val="24"/>
          <w:szCs w:val="24"/>
          <w:lang w:eastAsia="lv-LV"/>
        </w:rPr>
      </w:pPr>
    </w:p>
    <w:p w14:paraId="23344480" w14:textId="5EFE9A34"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abām pusēm uzliek skaidri formulētu pienākumu pildīt līguma saistības saskaņā ar attiecīgajiem tiesību aktiem, labu nozares praksi u. c.</w:t>
      </w:r>
    </w:p>
    <w:p w14:paraId="686EAA35"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2CA30D5B" w14:textId="7884B3FA"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5F98046" w14:textId="77777777" w:rsidR="00085CE9" w:rsidRPr="000761E9" w:rsidRDefault="00085CE9" w:rsidP="00D43EDD">
      <w:pPr>
        <w:spacing w:after="0" w:line="240" w:lineRule="auto"/>
        <w:jc w:val="both"/>
        <w:rPr>
          <w:rFonts w:ascii="Times New Roman" w:eastAsia="Times New Roman" w:hAnsi="Times New Roman" w:cs="Times New Roman"/>
          <w:b/>
          <w:bCs/>
          <w:i/>
          <w:iCs/>
          <w:sz w:val="24"/>
          <w:szCs w:val="24"/>
          <w:lang w:eastAsia="lv-LV"/>
        </w:rPr>
      </w:pPr>
    </w:p>
    <w:p w14:paraId="020B27C6" w14:textId="1FBABA0D" w:rsidR="00D43EDD" w:rsidRDefault="00D43EDD" w:rsidP="00D43EDD">
      <w:pPr>
        <w:spacing w:after="0" w:line="240" w:lineRule="auto"/>
        <w:jc w:val="both"/>
        <w:rPr>
          <w:rFonts w:ascii="Times New Roman" w:eastAsia="Times New Roman" w:hAnsi="Times New Roman" w:cs="Times New Roman"/>
          <w:i/>
          <w:iCs/>
          <w:color w:val="004D65"/>
          <w:sz w:val="24"/>
          <w:szCs w:val="24"/>
          <w:lang w:eastAsia="lv-LV"/>
        </w:rPr>
      </w:pPr>
      <w:r w:rsidRPr="000761E9">
        <w:rPr>
          <w:rFonts w:ascii="Times New Roman" w:eastAsia="Times New Roman" w:hAnsi="Times New Roman" w:cs="Times New Roman"/>
          <w:i/>
          <w:iCs/>
          <w:color w:val="004D65"/>
          <w:sz w:val="24"/>
          <w:szCs w:val="24"/>
          <w:lang w:eastAsia="lv-LV"/>
        </w:rPr>
        <w:t xml:space="preserve">Eurostat uzskata, ka vispārīgi PPP līgumu noteikumi par to, ka abām pusēm ir jāievēro tiesību akti, laba nozares prakse u. c., </w:t>
      </w:r>
      <w:r w:rsidRPr="000761E9">
        <w:rPr>
          <w:rFonts w:ascii="Times New Roman" w:eastAsia="Times New Roman" w:hAnsi="Times New Roman" w:cs="Times New Roman"/>
          <w:b/>
          <w:bCs/>
          <w:i/>
          <w:iCs/>
          <w:color w:val="004D65"/>
          <w:sz w:val="24"/>
          <w:szCs w:val="24"/>
          <w:lang w:eastAsia="lv-LV"/>
        </w:rPr>
        <w:t>neietekmē statistisko uzskaiti</w:t>
      </w:r>
      <w:r w:rsidRPr="000761E9">
        <w:rPr>
          <w:rFonts w:ascii="Times New Roman" w:eastAsia="Times New Roman" w:hAnsi="Times New Roman" w:cs="Times New Roman"/>
          <w:i/>
          <w:iCs/>
          <w:color w:val="004D65"/>
          <w:sz w:val="24"/>
          <w:szCs w:val="24"/>
          <w:lang w:eastAsia="lv-LV"/>
        </w:rPr>
        <w:t>.</w:t>
      </w:r>
    </w:p>
    <w:p w14:paraId="5980362D" w14:textId="77777777" w:rsidR="00085CE9" w:rsidRPr="000761E9" w:rsidRDefault="00085CE9" w:rsidP="00D43EDD">
      <w:pPr>
        <w:spacing w:after="0" w:line="240" w:lineRule="auto"/>
        <w:jc w:val="both"/>
        <w:rPr>
          <w:rFonts w:ascii="Times New Roman" w:eastAsia="Times New Roman" w:hAnsi="Times New Roman" w:cs="Times New Roman"/>
          <w:sz w:val="24"/>
          <w:szCs w:val="24"/>
          <w:lang w:eastAsia="lv-LV"/>
        </w:rPr>
      </w:pPr>
    </w:p>
    <w:p w14:paraId="32D9ECF3" w14:textId="77777777" w:rsidR="00D43EDD" w:rsidRPr="000761E9" w:rsidRDefault="00D43EDD" w:rsidP="00D43EDD">
      <w:pPr>
        <w:spacing w:after="0" w:line="240" w:lineRule="auto"/>
        <w:jc w:val="both"/>
        <w:rPr>
          <w:rFonts w:ascii="Times New Roman" w:eastAsia="Times New Roman" w:hAnsi="Times New Roman" w:cs="Times New Roman"/>
          <w:b/>
          <w:bCs/>
          <w:color w:val="231F20"/>
          <w:sz w:val="24"/>
          <w:szCs w:val="24"/>
          <w:lang w:eastAsia="lv-LV"/>
        </w:rPr>
      </w:pPr>
      <w:r w:rsidRPr="000761E9">
        <w:rPr>
          <w:rFonts w:ascii="Times New Roman" w:eastAsia="Times New Roman" w:hAnsi="Times New Roman" w:cs="Times New Roman"/>
          <w:b/>
          <w:bCs/>
          <w:color w:val="231F20"/>
          <w:sz w:val="24"/>
          <w:szCs w:val="24"/>
          <w:lang w:eastAsia="lv-LV"/>
        </w:rPr>
        <w:t>16.4. Ierobežojumi attiecībā uz PPP līguma piešķiršanu (nodošanu)</w:t>
      </w:r>
    </w:p>
    <w:p w14:paraId="1B281586"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2D73F8F3" w14:textId="6BCE789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Vairumā PPP līgumu Partnerim tiek noteikts pilnīgs aizliegums bez iepriekšējas Iestādes atļaujas piešķirt vai nodot līgumu trešai personai.</w:t>
      </w:r>
    </w:p>
    <w:p w14:paraId="6AF51A8F"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DC26FC9" w14:textId="5808DAC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Dažos PPP līgumos šis aizliegums ir noteikts arī attiecībā uz gadījumu, kad Iestāde piešķir vai nodod PPP līgumu trešai personai (t. i., Iestādei pirms tam ir jāsaņem Partnera atļauja), bet daudzos PPP līgumos Iestādei sniegta lielāka rīcības brīvība (piemēram, gadījumā, kad restrukturizācijas vai reorganizācijas procesā līgumu piešķir vai nodod Iestādes tiesību pārņēmējiem vai citām valsts iestādēm).</w:t>
      </w:r>
    </w:p>
    <w:p w14:paraId="66BD1339"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27E67E5" w14:textId="7E976E3C" w:rsidR="00D43EDD" w:rsidRDefault="00D43EDD" w:rsidP="00D43EDD">
      <w:pPr>
        <w:spacing w:after="0" w:line="240" w:lineRule="auto"/>
        <w:jc w:val="both"/>
        <w:rPr>
          <w:rFonts w:ascii="Times New Roman" w:eastAsia="Times New Roman" w:hAnsi="Times New Roman" w:cs="Times New Roman"/>
          <w:b/>
          <w:bCs/>
          <w:i/>
          <w:iCs/>
          <w:sz w:val="24"/>
          <w:szCs w:val="24"/>
          <w:lang w:eastAsia="lv-LV"/>
        </w:rPr>
      </w:pPr>
      <w:r w:rsidRPr="000761E9">
        <w:rPr>
          <w:rFonts w:ascii="Times New Roman" w:eastAsia="Times New Roman" w:hAnsi="Times New Roman" w:cs="Times New Roman"/>
          <w:b/>
          <w:bCs/>
          <w:i/>
          <w:iCs/>
          <w:sz w:val="24"/>
          <w:szCs w:val="24"/>
          <w:lang w:eastAsia="lv-LV"/>
        </w:rPr>
        <w:t>Eurostat piezīmes</w:t>
      </w:r>
    </w:p>
    <w:p w14:paraId="126CEFA8" w14:textId="77777777" w:rsidR="00085CE9" w:rsidRPr="000761E9" w:rsidRDefault="00085CE9" w:rsidP="00D43EDD">
      <w:pPr>
        <w:spacing w:after="0" w:line="240" w:lineRule="auto"/>
        <w:jc w:val="both"/>
        <w:rPr>
          <w:rFonts w:ascii="Times New Roman" w:eastAsia="Times New Roman" w:hAnsi="Times New Roman" w:cs="Times New Roman"/>
          <w:b/>
          <w:bCs/>
          <w:i/>
          <w:iCs/>
          <w:sz w:val="24"/>
          <w:szCs w:val="24"/>
          <w:lang w:eastAsia="lv-LV"/>
        </w:rPr>
      </w:pPr>
    </w:p>
    <w:p w14:paraId="2605C5D4" w14:textId="77777777" w:rsidR="00D43EDD" w:rsidRPr="000761E9" w:rsidRDefault="00D43EDD" w:rsidP="00D43EDD">
      <w:pPr>
        <w:spacing w:after="0" w:line="240" w:lineRule="auto"/>
        <w:jc w:val="both"/>
        <w:rPr>
          <w:rFonts w:ascii="Times New Roman" w:eastAsia="Times New Roman" w:hAnsi="Times New Roman" w:cs="Times New Roman"/>
          <w:sz w:val="24"/>
          <w:szCs w:val="24"/>
          <w:lang w:eastAsia="lv-LV"/>
        </w:rPr>
      </w:pPr>
      <w:r w:rsidRPr="000761E9">
        <w:rPr>
          <w:rFonts w:ascii="Times New Roman" w:eastAsia="Times New Roman" w:hAnsi="Times New Roman" w:cs="Times New Roman"/>
          <w:i/>
          <w:iCs/>
          <w:color w:val="004D65"/>
          <w:sz w:val="24"/>
          <w:szCs w:val="24"/>
          <w:lang w:eastAsia="lv-LV"/>
        </w:rPr>
        <w:t xml:space="preserve">Eurostat uzskata, ka noteikumi, kas ierobežo (pilnīgi vai ar nosacījumiem) pušu tiesības piešķirt vai nodot PPP līgumu trešām personām, </w:t>
      </w:r>
      <w:r w:rsidRPr="000761E9">
        <w:rPr>
          <w:rFonts w:ascii="Times New Roman" w:eastAsia="Times New Roman" w:hAnsi="Times New Roman" w:cs="Times New Roman"/>
          <w:b/>
          <w:bCs/>
          <w:i/>
          <w:iCs/>
          <w:color w:val="004D65"/>
          <w:sz w:val="24"/>
          <w:szCs w:val="24"/>
          <w:lang w:eastAsia="lv-LV"/>
        </w:rPr>
        <w:t>neietekmē statistisko uzskaiti</w:t>
      </w:r>
      <w:r w:rsidRPr="000761E9">
        <w:rPr>
          <w:rFonts w:ascii="Times New Roman" w:eastAsia="Times New Roman" w:hAnsi="Times New Roman" w:cs="Times New Roman"/>
          <w:i/>
          <w:iCs/>
          <w:color w:val="004D65"/>
          <w:sz w:val="24"/>
          <w:szCs w:val="24"/>
          <w:lang w:eastAsia="lv-LV"/>
        </w:rPr>
        <w:t>.</w:t>
      </w:r>
    </w:p>
    <w:p w14:paraId="4D930316" w14:textId="1BEA3DBC" w:rsidR="00085CE9" w:rsidRDefault="00085CE9">
      <w:pPr>
        <w:rPr>
          <w:rFonts w:ascii="Times New Roman" w:eastAsia="Times New Roman" w:hAnsi="Times New Roman" w:cs="Times New Roman"/>
          <w:b/>
          <w:bCs/>
          <w:color w:val="005CAB"/>
          <w:sz w:val="24"/>
          <w:szCs w:val="24"/>
          <w:lang w:eastAsia="lv-LV"/>
        </w:rPr>
      </w:pPr>
      <w:r>
        <w:rPr>
          <w:rFonts w:ascii="Times New Roman" w:eastAsia="Times New Roman" w:hAnsi="Times New Roman" w:cs="Times New Roman"/>
          <w:b/>
          <w:bCs/>
          <w:color w:val="005CAB"/>
          <w:sz w:val="24"/>
          <w:szCs w:val="24"/>
          <w:lang w:eastAsia="lv-LV"/>
        </w:rPr>
        <w:br w:type="page"/>
      </w:r>
    </w:p>
    <w:p w14:paraId="044F0781" w14:textId="77777777" w:rsidR="00085CE9" w:rsidRDefault="00085CE9" w:rsidP="00D43EDD">
      <w:pPr>
        <w:spacing w:after="0" w:line="240" w:lineRule="auto"/>
        <w:jc w:val="both"/>
        <w:rPr>
          <w:rFonts w:ascii="Times New Roman" w:eastAsia="Times New Roman" w:hAnsi="Times New Roman" w:cs="Times New Roman"/>
          <w:b/>
          <w:bCs/>
          <w:color w:val="005CAB"/>
          <w:sz w:val="24"/>
          <w:szCs w:val="24"/>
          <w:lang w:eastAsia="lv-LV"/>
        </w:rPr>
      </w:pPr>
    </w:p>
    <w:p w14:paraId="30EF8052" w14:textId="7832BD3F" w:rsidR="00D43EDD" w:rsidRPr="00586FD8" w:rsidRDefault="00D43EDD" w:rsidP="00586FD8">
      <w:pPr>
        <w:pStyle w:val="Virsraksts1"/>
        <w:rPr>
          <w:rFonts w:eastAsia="Times New Roman"/>
          <w:b w:val="0"/>
          <w:color w:val="auto"/>
          <w:szCs w:val="28"/>
          <w:lang w:eastAsia="lv-LV"/>
        </w:rPr>
      </w:pPr>
      <w:bookmarkStart w:id="22" w:name="_Toc528941586"/>
      <w:r w:rsidRPr="000761E9">
        <w:rPr>
          <w:rFonts w:eastAsia="Times New Roman"/>
          <w:bCs/>
          <w:lang w:eastAsia="lv-LV"/>
        </w:rPr>
        <w:t xml:space="preserve">4. nodaļa. </w:t>
      </w:r>
      <w:r w:rsidRPr="00586FD8">
        <w:rPr>
          <w:rFonts w:eastAsia="Times New Roman"/>
          <w:b w:val="0"/>
          <w:color w:val="auto"/>
          <w:szCs w:val="28"/>
          <w:lang w:eastAsia="lv-LV"/>
        </w:rPr>
        <w:t>Slēdziena izdarīšana par statistiskās uzskaites novērtējumu</w:t>
      </w:r>
      <w:bookmarkEnd w:id="22"/>
    </w:p>
    <w:p w14:paraId="28699632" w14:textId="77777777" w:rsidR="00085CE9" w:rsidRDefault="00085CE9" w:rsidP="00D43EDD">
      <w:pPr>
        <w:spacing w:after="0" w:line="240" w:lineRule="auto"/>
        <w:jc w:val="both"/>
        <w:rPr>
          <w:rFonts w:ascii="Times New Roman" w:eastAsia="Times New Roman" w:hAnsi="Times New Roman" w:cs="Times New Roman"/>
          <w:b/>
          <w:bCs/>
          <w:color w:val="005CAB"/>
          <w:sz w:val="24"/>
          <w:szCs w:val="24"/>
          <w:lang w:eastAsia="lv-LV"/>
        </w:rPr>
      </w:pPr>
    </w:p>
    <w:p w14:paraId="6860D30F" w14:textId="66DF87CC"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Pārskats</w:t>
      </w:r>
    </w:p>
    <w:p w14:paraId="0C73D514"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EAB73CB" w14:textId="6C9927E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4. nodaļā ir apkopota metodoloģija, ko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izmanto, lai praksē izdarītu slēdzienu par PPP statistisko uzskaiti, pieņemot, ka PPP līgumā ir izmantoti 3. nodaļā aprakstītie parastie noteikumi.</w:t>
      </w:r>
      <w:r w:rsidR="00085CE9">
        <w:rPr>
          <w:rStyle w:val="Vresatsauce"/>
          <w:rFonts w:ascii="Times New Roman" w:eastAsia="Times New Roman" w:hAnsi="Times New Roman" w:cs="Times New Roman"/>
          <w:color w:val="231F20"/>
          <w:sz w:val="24"/>
          <w:szCs w:val="24"/>
          <w:lang w:eastAsia="lv-LV"/>
        </w:rPr>
        <w:footnoteReference w:id="36"/>
      </w:r>
    </w:p>
    <w:p w14:paraId="4269B6DE"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A13F357" w14:textId="0D4FD7A3"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Ir svarīgi 4. nodaļu neizmantot kā atsevišķu rīku slēdziena izdarīšanai par noteikta PPP projekta statistiskās uzskaites novērtējumu. Tā kā 4. nodaļas pamatā ir 3. nodaļā aprakstītie tipiskie noteikumi, lietotājiem ir jāpatur prātā ierobežojumi un nosacījumi, kas minēti Rokasgrāmatas ievadā un 3. nodaļas sākumā.</w:t>
      </w:r>
    </w:p>
    <w:p w14:paraId="4B103120"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CE3621B" w14:textId="47397935"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 xml:space="preserve">Eurostat </w:t>
      </w:r>
      <w:r w:rsidRPr="000761E9">
        <w:rPr>
          <w:rFonts w:ascii="Times New Roman" w:eastAsia="Times New Roman" w:hAnsi="Times New Roman" w:cs="Times New Roman"/>
          <w:color w:val="231F20"/>
          <w:sz w:val="24"/>
          <w:szCs w:val="24"/>
          <w:lang w:eastAsia="lv-LV"/>
        </w:rPr>
        <w:t>metodoloģija PPP statistiskās uzskaites novērtēšanai ir balstīta uz trīs galvenajiem posmiem:</w:t>
      </w:r>
    </w:p>
    <w:p w14:paraId="02EBC544"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097D0AC8" w14:textId="77777777" w:rsidR="00D43EDD" w:rsidRPr="00085CE9" w:rsidRDefault="00D43EDD" w:rsidP="00DC1556">
      <w:pPr>
        <w:pStyle w:val="Sarakstarindkopa"/>
        <w:numPr>
          <w:ilvl w:val="0"/>
          <w:numId w:val="124"/>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jautājumu, kas parasti ietekmē statistisko uzskaiti, identificēšana;</w:t>
      </w:r>
    </w:p>
    <w:p w14:paraId="06CC157F" w14:textId="77777777" w:rsidR="00D43EDD" w:rsidRPr="00085CE9" w:rsidRDefault="00D43EDD" w:rsidP="00DC1556">
      <w:pPr>
        <w:pStyle w:val="Sarakstarindkopa"/>
        <w:numPr>
          <w:ilvl w:val="0"/>
          <w:numId w:val="124"/>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jautājumu, kas ietekmē statistisko uzskaiti, svarīguma analīze;</w:t>
      </w:r>
    </w:p>
    <w:p w14:paraId="5722509B" w14:textId="77777777" w:rsidR="00D43EDD" w:rsidRPr="00085CE9" w:rsidRDefault="00D43EDD" w:rsidP="00DC1556">
      <w:pPr>
        <w:pStyle w:val="Sarakstarindkopa"/>
        <w:numPr>
          <w:ilvl w:val="0"/>
          <w:numId w:val="124"/>
        </w:numPr>
        <w:spacing w:after="0" w:line="240" w:lineRule="auto"/>
        <w:ind w:left="709" w:hanging="283"/>
        <w:jc w:val="both"/>
        <w:rPr>
          <w:rFonts w:ascii="Times New Roman" w:eastAsia="Times New Roman" w:hAnsi="Times New Roman" w:cs="Times New Roman"/>
          <w:color w:val="231F20"/>
          <w:sz w:val="24"/>
          <w:szCs w:val="24"/>
          <w:lang w:eastAsia="lv-LV"/>
        </w:rPr>
      </w:pPr>
      <w:r w:rsidRPr="00085CE9">
        <w:rPr>
          <w:rFonts w:ascii="Times New Roman" w:eastAsia="Times New Roman" w:hAnsi="Times New Roman" w:cs="Times New Roman"/>
          <w:color w:val="231F20"/>
          <w:sz w:val="24"/>
          <w:szCs w:val="24"/>
          <w:lang w:eastAsia="lv-LV"/>
        </w:rPr>
        <w:t>slēdziena izdarīšana par statistiskās uzskaites novērtējumu.</w:t>
      </w:r>
    </w:p>
    <w:p w14:paraId="30A2A22D" w14:textId="77777777" w:rsidR="00085CE9" w:rsidRDefault="00085CE9" w:rsidP="00D43EDD">
      <w:pPr>
        <w:spacing w:after="0" w:line="240" w:lineRule="auto"/>
        <w:jc w:val="both"/>
        <w:rPr>
          <w:rFonts w:ascii="Times New Roman" w:eastAsia="Times New Roman" w:hAnsi="Times New Roman" w:cs="Times New Roman"/>
          <w:b/>
          <w:bCs/>
          <w:color w:val="005CAB"/>
          <w:sz w:val="24"/>
          <w:szCs w:val="24"/>
          <w:lang w:eastAsia="lv-LV"/>
        </w:rPr>
      </w:pPr>
    </w:p>
    <w:p w14:paraId="4068E003" w14:textId="29FB8178"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1. posms. Jautājumu, kas parasti ietekmē statistisko uzskaiti, identificēšana</w:t>
      </w:r>
    </w:p>
    <w:p w14:paraId="6E3A435C"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D5F145D" w14:textId="422408D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Pirmajā posmā tiek identificēti visi attiecīgie PPP līgumu (kā arī saistīto dokumentu un pamata tiesību aktu) noteikumi, kas ietekmē statistisko uzskaiti, un šie noteikumi uzskaitīti atbilstoši to svarīgumam (t. i., reģistrējams BILANCĒ, ĻOTI SVARĪGS, SVARĪGS vai</w:t>
      </w:r>
      <w:r w:rsidR="00085CE9">
        <w:rPr>
          <w:rFonts w:ascii="Times New Roman" w:eastAsia="Times New Roman" w:hAnsi="Times New Roman" w:cs="Times New Roman"/>
          <w:color w:val="231F20"/>
          <w:sz w:val="24"/>
          <w:szCs w:val="24"/>
          <w:lang w:eastAsia="lv-LV"/>
        </w:rPr>
        <w:t xml:space="preserve"> </w:t>
      </w:r>
      <w:r w:rsidRPr="000761E9">
        <w:rPr>
          <w:rFonts w:ascii="Times New Roman" w:eastAsia="Times New Roman" w:hAnsi="Times New Roman" w:cs="Times New Roman"/>
          <w:color w:val="231F20"/>
          <w:sz w:val="24"/>
          <w:szCs w:val="24"/>
          <w:lang w:eastAsia="lv-LV"/>
        </w:rPr>
        <w:t>VIDĒJI SVARĪGS). Ērtības labad 3. nodaļā identificētie tipiskie PPP noteikumi, kas ietekmē statistisko uzskaiti, ir uzskaitīti un sagrupēti Rokasgrāmatas pielikumā iekļautajā tabulā.</w:t>
      </w:r>
    </w:p>
    <w:p w14:paraId="7E2E52B0"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1527499A" w14:textId="7B74CC91"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šajā posmā netiek identificēts neviens noteikums, kas ietekmētu statistisko uzskaiti, ir pamats pieņemt, ka PPP reģistrējams ārpus valdības bilances. Šādā gadījumā turpmākais 2. un 3. posms netiek piemērots.</w:t>
      </w:r>
    </w:p>
    <w:p w14:paraId="4AD8BF0D"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B2CD3DA" w14:textId="7826309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šajā posmā tiek identificēts viens vai vairāki noteikumi, saskaņā ar kuriem PPP ir reģistrējama BILANCĒ, tad PPP reģistrē valdības bilancē, un turpmākais 2. un 3. posms netiek piemērots.</w:t>
      </w:r>
    </w:p>
    <w:p w14:paraId="25F10C54"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5A0007E7" w14:textId="2B72BA4C"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Ja šajā posmā neidentificē nevienu noteikumu, saskaņā ar kuru PPP ir reģistrējama BILANCĒ, bet identificē vienu vai vairākus ĻOTI SVARĪGUS, SVARĪGUS vai VIDĒJI SVARĪGUS jautājumus, piemēro 2. un 3. posmu.</w:t>
      </w:r>
    </w:p>
    <w:p w14:paraId="6B61CFE5"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70735070" w14:textId="77777777"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2. posms. Jautājumu, kas ietekmē statistisko uzskaiti, svarīguma analīze</w:t>
      </w:r>
    </w:p>
    <w:p w14:paraId="773BD082" w14:textId="77777777" w:rsidR="00085C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7B000EF4" w14:textId="4CBB0210"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Otrajā posmā tiek analizēts, cik liela ietekme uz projekta ekonomisko būtību ir katram no 1. posmā identificētajiem noteikumiem.</w:t>
      </w:r>
    </w:p>
    <w:p w14:paraId="3D4AFCF3"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676B18BA" w14:textId="00D6C7A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Analīzes mērķis ir apsvērt, vai 1. posmā identificēto jautājumu iedalījums kategorijās ir atbilstošs un vai šis dalījums nav jākoriģē, ņemot vērā attiecīgā projekta faktus un apstākļus. Šī </w:t>
      </w:r>
      <w:r w:rsidRPr="000761E9">
        <w:rPr>
          <w:rFonts w:ascii="Times New Roman" w:eastAsia="Times New Roman" w:hAnsi="Times New Roman" w:cs="Times New Roman"/>
          <w:color w:val="231F20"/>
          <w:sz w:val="24"/>
          <w:szCs w:val="24"/>
          <w:lang w:eastAsia="lv-LV"/>
        </w:rPr>
        <w:lastRenderedPageBreak/>
        <w:t xml:space="preserve">analīze jāveic, paturot prātā 3. nodaļā paustos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viedokļus. Dažos gadījumos var kvantitatīvi novērtēt noteikuma faktisko vai potenciālo ietekmi, un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var uzskatīt, ka tas ir nozīmīgi šīs analīzes veikšanai. Piemēram, šīs analīzes iznākums varētu liecināt par to, ka noteikums, kas 1. posmā tika klasificēts SVARĪGO noteikumu kategorijā, būtu jāpārklasificē VIDĒJI SVARĪGO noteikumu kategorijā.</w:t>
      </w:r>
    </w:p>
    <w:p w14:paraId="4AB60F2F"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34618A52" w14:textId="45715CC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Ir svarīgi norādīt, ka 2. posmā:</w:t>
      </w:r>
    </w:p>
    <w:p w14:paraId="290160BD" w14:textId="77777777" w:rsidR="00085CE9" w:rsidRPr="000761E9" w:rsidRDefault="00085CE9" w:rsidP="00D43EDD">
      <w:pPr>
        <w:spacing w:after="0" w:line="240" w:lineRule="auto"/>
        <w:jc w:val="both"/>
        <w:rPr>
          <w:rFonts w:ascii="Times New Roman" w:eastAsia="Times New Roman" w:hAnsi="Times New Roman" w:cs="Times New Roman"/>
          <w:color w:val="231F20"/>
          <w:sz w:val="24"/>
          <w:szCs w:val="24"/>
          <w:lang w:eastAsia="lv-LV"/>
        </w:rPr>
      </w:pPr>
    </w:p>
    <w:p w14:paraId="463DF6B0" w14:textId="77777777" w:rsidR="00D43EDD" w:rsidRPr="00CE5D8A" w:rsidRDefault="00D43EDD" w:rsidP="00DC1556">
      <w:pPr>
        <w:pStyle w:val="Sarakstarindkopa"/>
        <w:numPr>
          <w:ilvl w:val="0"/>
          <w:numId w:val="125"/>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i/>
          <w:iCs/>
          <w:color w:val="231F20"/>
          <w:sz w:val="24"/>
          <w:szCs w:val="24"/>
          <w:lang w:eastAsia="lv-LV"/>
        </w:rPr>
        <w:t>Eurostat</w:t>
      </w:r>
      <w:r w:rsidRPr="00CE5D8A">
        <w:rPr>
          <w:rFonts w:ascii="Times New Roman" w:eastAsia="Times New Roman" w:hAnsi="Times New Roman" w:cs="Times New Roman"/>
          <w:color w:val="231F20"/>
          <w:sz w:val="24"/>
          <w:szCs w:val="24"/>
          <w:lang w:eastAsia="lv-LV"/>
        </w:rPr>
        <w:t xml:space="preserve"> nepārklasificēs noteikumu no ĻOTI SVARĪGA uz SVARĪGU vai VIDĒJI SVARĪGU un no SVARĪGA vai VIDĒJI SVARĪGA uz ĻOTI SVARĪGU;</w:t>
      </w:r>
    </w:p>
    <w:p w14:paraId="66FDE503" w14:textId="1F0FD422" w:rsidR="00085CE9" w:rsidRPr="00CE5D8A" w:rsidRDefault="00D43EDD" w:rsidP="00DC1556">
      <w:pPr>
        <w:pStyle w:val="Sarakstarindkopa"/>
        <w:numPr>
          <w:ilvl w:val="0"/>
          <w:numId w:val="125"/>
        </w:numPr>
        <w:spacing w:after="0" w:line="240" w:lineRule="auto"/>
        <w:ind w:left="709" w:hanging="283"/>
        <w:jc w:val="both"/>
        <w:rPr>
          <w:rFonts w:ascii="Times New Roman" w:eastAsia="Times New Roman" w:hAnsi="Times New Roman" w:cs="Times New Roman"/>
          <w:sz w:val="24"/>
          <w:szCs w:val="24"/>
          <w:lang w:eastAsia="lv-LV"/>
        </w:rPr>
      </w:pPr>
      <w:r w:rsidRPr="00CE5D8A">
        <w:rPr>
          <w:rFonts w:ascii="Times New Roman" w:eastAsia="Times New Roman" w:hAnsi="Times New Roman" w:cs="Times New Roman"/>
          <w:i/>
          <w:iCs/>
          <w:color w:val="231F20"/>
          <w:sz w:val="24"/>
          <w:szCs w:val="24"/>
          <w:lang w:eastAsia="lv-LV"/>
        </w:rPr>
        <w:t>Eurostat</w:t>
      </w:r>
      <w:r w:rsidRPr="00CE5D8A">
        <w:rPr>
          <w:rFonts w:ascii="Times New Roman" w:eastAsia="Times New Roman" w:hAnsi="Times New Roman" w:cs="Times New Roman"/>
          <w:color w:val="231F20"/>
          <w:sz w:val="24"/>
          <w:szCs w:val="24"/>
          <w:lang w:eastAsia="lv-LV"/>
        </w:rPr>
        <w:t xml:space="preserve"> nepārklasificēts noteikumu, ja tā svarīgums statistiskajā uzskaitē (saskaņā ar 3. nodaļu) ir balstīts uz kādu konkrētu proporciju vai procentuālo daļu;</w:t>
      </w:r>
      <w:r w:rsidR="00CE5D8A">
        <w:rPr>
          <w:rStyle w:val="Vresatsauce"/>
          <w:rFonts w:ascii="Times New Roman" w:eastAsia="Times New Roman" w:hAnsi="Times New Roman" w:cs="Times New Roman"/>
          <w:color w:val="231F20"/>
          <w:sz w:val="24"/>
          <w:szCs w:val="24"/>
          <w:lang w:eastAsia="lv-LV"/>
        </w:rPr>
        <w:footnoteReference w:id="37"/>
      </w:r>
    </w:p>
    <w:p w14:paraId="60079339" w14:textId="3CFBD1DC" w:rsidR="00D43EDD" w:rsidRPr="00CE5D8A" w:rsidRDefault="00D43EDD" w:rsidP="00DC1556">
      <w:pPr>
        <w:pStyle w:val="Sarakstarindkopa"/>
        <w:numPr>
          <w:ilvl w:val="0"/>
          <w:numId w:val="125"/>
        </w:numPr>
        <w:spacing w:after="0" w:line="240" w:lineRule="auto"/>
        <w:ind w:left="709" w:hanging="283"/>
        <w:jc w:val="both"/>
        <w:rPr>
          <w:rFonts w:ascii="Times New Roman" w:eastAsia="Times New Roman" w:hAnsi="Times New Roman" w:cs="Times New Roman"/>
          <w:sz w:val="24"/>
          <w:szCs w:val="24"/>
          <w:lang w:eastAsia="lv-LV"/>
        </w:rPr>
      </w:pPr>
      <w:r w:rsidRPr="00CE5D8A">
        <w:rPr>
          <w:rFonts w:ascii="Times New Roman" w:eastAsia="Times New Roman" w:hAnsi="Times New Roman" w:cs="Times New Roman"/>
          <w:color w:val="231F20"/>
          <w:sz w:val="24"/>
          <w:szCs w:val="24"/>
          <w:lang w:eastAsia="lv-LV"/>
        </w:rPr>
        <w:t xml:space="preserve">Galējos gadījumos </w:t>
      </w:r>
      <w:r w:rsidRPr="00CE5D8A">
        <w:rPr>
          <w:rFonts w:ascii="Times New Roman" w:eastAsia="Times New Roman" w:hAnsi="Times New Roman" w:cs="Times New Roman"/>
          <w:i/>
          <w:iCs/>
          <w:color w:val="231F20"/>
          <w:sz w:val="24"/>
          <w:szCs w:val="24"/>
          <w:lang w:eastAsia="lv-LV"/>
        </w:rPr>
        <w:t>Eurostat</w:t>
      </w:r>
      <w:r w:rsidRPr="00CE5D8A">
        <w:rPr>
          <w:rFonts w:ascii="Times New Roman" w:eastAsia="Times New Roman" w:hAnsi="Times New Roman" w:cs="Times New Roman"/>
          <w:color w:val="231F20"/>
          <w:sz w:val="24"/>
          <w:szCs w:val="24"/>
          <w:lang w:eastAsia="lv-LV"/>
        </w:rPr>
        <w:t xml:space="preserve"> noteikumu var pārklasificēt no SVARĪGA</w:t>
      </w:r>
      <w:r w:rsidR="00CE5D8A">
        <w:rPr>
          <w:rStyle w:val="Vresatsauce"/>
          <w:rFonts w:ascii="Times New Roman" w:eastAsia="Times New Roman" w:hAnsi="Times New Roman" w:cs="Times New Roman"/>
          <w:color w:val="231F20"/>
          <w:sz w:val="24"/>
          <w:szCs w:val="24"/>
          <w:lang w:eastAsia="lv-LV"/>
        </w:rPr>
        <w:footnoteReference w:id="38"/>
      </w:r>
      <w:r w:rsidRPr="00CE5D8A">
        <w:rPr>
          <w:rFonts w:ascii="Times New Roman" w:eastAsia="Times New Roman" w:hAnsi="Times New Roman" w:cs="Times New Roman"/>
          <w:b/>
          <w:bCs/>
          <w:color w:val="231F20"/>
          <w:sz w:val="24"/>
          <w:szCs w:val="24"/>
          <w:lang w:eastAsia="lv-LV"/>
        </w:rPr>
        <w:t> </w:t>
      </w:r>
      <w:r w:rsidRPr="00CE5D8A">
        <w:rPr>
          <w:rFonts w:ascii="Times New Roman" w:eastAsia="Times New Roman" w:hAnsi="Times New Roman" w:cs="Times New Roman"/>
          <w:color w:val="231F20"/>
          <w:sz w:val="24"/>
          <w:szCs w:val="24"/>
          <w:lang w:eastAsia="lv-LV"/>
        </w:rPr>
        <w:t>uz tādu, kura dēļ PPP jāreģistrē valdības BILANCĒ.</w:t>
      </w:r>
    </w:p>
    <w:p w14:paraId="7911DA97" w14:textId="77777777"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072B0FB7" w14:textId="6BECE938"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Turpmāk minētie divi piemēri paskaidro, kā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var praksē veikt 2. posmu:</w:t>
      </w:r>
    </w:p>
    <w:p w14:paraId="7ABBFE27"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0BD2D510" w14:textId="77777777" w:rsidR="00D43EDD" w:rsidRPr="00CE5D8A" w:rsidRDefault="00D43EDD" w:rsidP="00DC1556">
      <w:pPr>
        <w:pStyle w:val="Sarakstarindkopa"/>
        <w:numPr>
          <w:ilvl w:val="0"/>
          <w:numId w:val="126"/>
        </w:numPr>
        <w:spacing w:after="0" w:line="240" w:lineRule="auto"/>
        <w:ind w:hanging="294"/>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3. nodaļā norādīts, ka atskaitījumu atvieglojumu periods, kas pārsniedz sešus mēnešus, ir klasificējams kā VIDĒJI SVARĪGS jautājums (sk. 4.7.2. tematu). Protams, astoņus mēnešus ilga atvieglojumu perioda ekonomiskā ietekme ir ļoti atšķirīga no divus gadus ilga atvieglojumu perioda ekonomiskās ietekmes. Lai gan, piemērojot 2. posmu, varētu būt piemēroti saglabāt astoņus mēnešu ilga atvieglojumu perioda klasifikāciju kā VIDĒJI SVARĪGU, iespējams, ka divus gadus ilgs atvieglojumu periods tiktu pārklasificēts kā SVARĪGS;</w:t>
      </w:r>
    </w:p>
    <w:p w14:paraId="0A5040D3" w14:textId="77777777" w:rsidR="00D43EDD" w:rsidRPr="00CE5D8A" w:rsidRDefault="00D43EDD" w:rsidP="00DC1556">
      <w:pPr>
        <w:pStyle w:val="Sarakstarindkopa"/>
        <w:numPr>
          <w:ilvl w:val="0"/>
          <w:numId w:val="126"/>
        </w:numPr>
        <w:spacing w:after="0" w:line="240" w:lineRule="auto"/>
        <w:ind w:hanging="294"/>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3. nodaļā norādīts, ka 6.1. temata nosacījumiem neatbilstošie noteikumi par gadījumiem, kad izmaksājama kompensācija, ir klasificēti kā SVARĪGI. Iespējams, kādā konkrētā projektā noteikumus, kas neatbilst šiem nosacījumiem, pārklasificētu kā VIDĒJI SVARĪGUS (piemēram, ja kompensācija būtu jāizmaksā par gadījumu, kas ir prognozējams, bet kura īstenošanās iespējamība ir ļoti maza un kuram, visticamāk, būtu ļoti maza ekonomiskā ietekme). Ir arī iespējams, ka kādā konkrētā projektā noteikumi neatbilstu šiem nosacījumiem tādā mērā, ka tie būtu jāpārklasificē kā tādi, kuru dēļ PPP reģistrētu BILANCĒ. Tāds, piemēram, varētu būt gadījums, kad izmaksājama kompensācija, ja šis gadījums attiecas uz makroekonomikas nosacījumiem vai ja Partneris šo gadījumu var prognozēt vai kontrolēt tādā mērā, ka nevar uzskatīt, ka Partneris uzņemas risku saistībā ar aktīva būvniecības cenu/kvalitāti/grafiku.</w:t>
      </w:r>
    </w:p>
    <w:p w14:paraId="682C685C" w14:textId="77777777" w:rsidR="00CE5D8A" w:rsidRDefault="00CE5D8A" w:rsidP="00D43EDD">
      <w:pPr>
        <w:spacing w:after="0" w:line="240" w:lineRule="auto"/>
        <w:jc w:val="both"/>
        <w:rPr>
          <w:rFonts w:ascii="Times New Roman" w:eastAsia="Times New Roman" w:hAnsi="Times New Roman" w:cs="Times New Roman"/>
          <w:b/>
          <w:bCs/>
          <w:color w:val="005CAB"/>
          <w:sz w:val="24"/>
          <w:szCs w:val="24"/>
          <w:lang w:eastAsia="lv-LV"/>
        </w:rPr>
      </w:pPr>
    </w:p>
    <w:p w14:paraId="245DC766" w14:textId="19122544" w:rsidR="00D43EDD" w:rsidRPr="000761E9" w:rsidRDefault="00D43EDD" w:rsidP="00D43EDD">
      <w:pPr>
        <w:spacing w:after="0" w:line="240" w:lineRule="auto"/>
        <w:jc w:val="both"/>
        <w:rPr>
          <w:rFonts w:ascii="Times New Roman" w:eastAsia="Times New Roman" w:hAnsi="Times New Roman" w:cs="Times New Roman"/>
          <w:b/>
          <w:bCs/>
          <w:color w:val="005CAB"/>
          <w:sz w:val="24"/>
          <w:szCs w:val="24"/>
          <w:lang w:eastAsia="lv-LV"/>
        </w:rPr>
      </w:pPr>
      <w:r w:rsidRPr="000761E9">
        <w:rPr>
          <w:rFonts w:ascii="Times New Roman" w:eastAsia="Times New Roman" w:hAnsi="Times New Roman" w:cs="Times New Roman"/>
          <w:b/>
          <w:bCs/>
          <w:color w:val="005CAB"/>
          <w:sz w:val="24"/>
          <w:szCs w:val="24"/>
          <w:lang w:eastAsia="lv-LV"/>
        </w:rPr>
        <w:t>3. posms. Slēdziena izdarīšana par statistiskās uzskaites novērtējumu</w:t>
      </w:r>
    </w:p>
    <w:p w14:paraId="75AF1EA7" w14:textId="77777777"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605985E4" w14:textId="5A37ED9E"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Kad ir identificēti visi nozīmīgie noteikumi (1. posms) un izanalizēts to svarīgums (t. i., ĻOTI SVARĪGI, SVARĪGI, VIDĒJI SVARĪGI) (2. posms), var izdarīt slēdzienu par attiecīgās PPP statistisko uzskaiti.</w:t>
      </w:r>
    </w:p>
    <w:p w14:paraId="2EA3B777"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737A772C" w14:textId="59C22DBD"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lastRenderedPageBreak/>
        <w:t xml:space="preserve">Ņemot vērā, ka ļoti atšķiras dažādu PPP projektu fakti un apstākļi, nebūtu lietderīgi izmantot tikai kvantitatīvu/aprēķinu pieeju, lai izdarītu slēdzienu par statistiskās uzskaites novērtējumu. Tomēr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uzskata, ka turpmākajām vadlīnijām jāpalīdz izdarīt slēdzienu.</w:t>
      </w:r>
    </w:p>
    <w:p w14:paraId="09619FE1"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34B3ED91" w14:textId="013F23A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uzskata, ka būtu pamatoti pieņemt, ka PPP reģistrējama </w:t>
      </w:r>
      <w:r w:rsidRPr="000761E9">
        <w:rPr>
          <w:rFonts w:ascii="Times New Roman" w:eastAsia="Times New Roman" w:hAnsi="Times New Roman" w:cs="Times New Roman"/>
          <w:color w:val="231F20"/>
          <w:sz w:val="24"/>
          <w:szCs w:val="24"/>
          <w:u w:val="single"/>
          <w:lang w:eastAsia="lv-LV"/>
        </w:rPr>
        <w:t>ārpus valdības bilances</w:t>
      </w:r>
      <w:r w:rsidRPr="000761E9">
        <w:rPr>
          <w:rFonts w:ascii="Times New Roman" w:eastAsia="Times New Roman" w:hAnsi="Times New Roman" w:cs="Times New Roman"/>
          <w:color w:val="231F20"/>
          <w:sz w:val="24"/>
          <w:szCs w:val="24"/>
          <w:lang w:eastAsia="lv-LV"/>
        </w:rPr>
        <w:t>, ja pēc 2. posma:</w:t>
      </w:r>
    </w:p>
    <w:p w14:paraId="6E4777E2" w14:textId="77777777" w:rsidR="00CE5D8A" w:rsidRPr="000761E9" w:rsidRDefault="00CE5D8A" w:rsidP="00D43EDD">
      <w:pPr>
        <w:spacing w:after="0" w:line="240" w:lineRule="auto"/>
        <w:jc w:val="both"/>
        <w:rPr>
          <w:rFonts w:ascii="Times New Roman" w:eastAsia="Times New Roman" w:hAnsi="Times New Roman" w:cs="Times New Roman"/>
          <w:sz w:val="24"/>
          <w:szCs w:val="24"/>
          <w:lang w:eastAsia="lv-LV"/>
        </w:rPr>
      </w:pPr>
    </w:p>
    <w:p w14:paraId="210C27F7" w14:textId="77777777" w:rsidR="00D43EDD" w:rsidRPr="00CE5D8A" w:rsidRDefault="00D43EDD" w:rsidP="00DC1556">
      <w:pPr>
        <w:pStyle w:val="Sarakstarindkopa"/>
        <w:numPr>
          <w:ilvl w:val="0"/>
          <w:numId w:val="127"/>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nav identificēts vairāk par vienu ĻOTI SVARĪGU noteikumu, neviens SVARĪGS noteikums un vairāk par diviem VIDĒJI SVARĪGIEM noteikumiem;</w:t>
      </w:r>
    </w:p>
    <w:p w14:paraId="65BFED97" w14:textId="77777777" w:rsidR="00D43EDD" w:rsidRPr="00CE5D8A" w:rsidRDefault="00D43EDD" w:rsidP="00DC1556">
      <w:pPr>
        <w:pStyle w:val="Sarakstarindkopa"/>
        <w:numPr>
          <w:ilvl w:val="0"/>
          <w:numId w:val="127"/>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nav identificēts neviens ĻOTI SVARĪGS noteikums, vairāk par diviem SVARĪGIEM noteikumiem un vairāk par vienu VIDĒJI SVARĪGU noteikumu;</w:t>
      </w:r>
    </w:p>
    <w:p w14:paraId="27ADB8DA" w14:textId="77777777" w:rsidR="00D43EDD" w:rsidRPr="00CE5D8A" w:rsidRDefault="00D43EDD" w:rsidP="00DC1556">
      <w:pPr>
        <w:pStyle w:val="Sarakstarindkopa"/>
        <w:numPr>
          <w:ilvl w:val="0"/>
          <w:numId w:val="127"/>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nav identificēts neviens ĻOTI SVARĪGS noteikums, vairāk par vienu SVARĪGU noteikumu un vairāk par četriem VIDĒJI SVARĪGIEM noteikumiem;</w:t>
      </w:r>
    </w:p>
    <w:p w14:paraId="6706F3D4" w14:textId="77777777" w:rsidR="00D43EDD" w:rsidRPr="00CE5D8A" w:rsidRDefault="00D43EDD" w:rsidP="00DC1556">
      <w:pPr>
        <w:pStyle w:val="Sarakstarindkopa"/>
        <w:numPr>
          <w:ilvl w:val="0"/>
          <w:numId w:val="127"/>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nav identificēts neviens ĻOTI SVARĪGS noteikums, neviens SVARĪGS noteikums un vairāk par septiņiem VIDĒJI SVARĪGIEM noteikumiem.</w:t>
      </w:r>
    </w:p>
    <w:p w14:paraId="12D0F9A0" w14:textId="77777777"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6D03509B" w14:textId="37ABA5F7"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Ja PPP ir identificēti vairāki ĻOTI SVARĪGI, SVARĪGI un/vai VIDĒJI SVARĪGI noteikumi, kas neatbilst iepriekš minētajiem nosacījumiem, ir ļoti iespējams, ka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izdarīs slēdzienu, ka projekts ir jāreģistrē valdības bilancē.</w:t>
      </w:r>
    </w:p>
    <w:p w14:paraId="4F0AD191"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117296A2" w14:textId="6D16838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 xml:space="preserve">Kad ir konstatēta tikai neliela neatbilstība iepriekš minētajiem nosacījumiem, </w:t>
      </w:r>
      <w:r w:rsidRPr="000761E9">
        <w:rPr>
          <w:rFonts w:ascii="Times New Roman" w:eastAsia="Times New Roman" w:hAnsi="Times New Roman" w:cs="Times New Roman"/>
          <w:i/>
          <w:iCs/>
          <w:color w:val="231F20"/>
          <w:sz w:val="24"/>
          <w:szCs w:val="24"/>
          <w:lang w:eastAsia="lv-LV"/>
        </w:rPr>
        <w:t>Eurostat</w:t>
      </w:r>
      <w:r w:rsidRPr="000761E9">
        <w:rPr>
          <w:rFonts w:ascii="Times New Roman" w:eastAsia="Times New Roman" w:hAnsi="Times New Roman" w:cs="Times New Roman"/>
          <w:color w:val="231F20"/>
          <w:sz w:val="24"/>
          <w:szCs w:val="24"/>
          <w:lang w:eastAsia="lv-LV"/>
        </w:rPr>
        <w:t xml:space="preserve"> var uzskatīt, ka analīze nav bijusi galīga un, lai izdarītu slēdzienu par statistisko uzskaiti, novērtēs, cik liela ir Iestādes kontrole pār aktīvu tā saimnieciskās izmantošanas laikā. Novērtējot kontroli, tiks ņemts vērā arī (bet ne tikai):</w:t>
      </w:r>
    </w:p>
    <w:p w14:paraId="13C11323"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2BC15006" w14:textId="77777777" w:rsidR="00D43EDD" w:rsidRPr="00CE5D8A" w:rsidRDefault="00D43EDD" w:rsidP="00DC1556">
      <w:pPr>
        <w:pStyle w:val="Sarakstarindkopa"/>
        <w:numPr>
          <w:ilvl w:val="0"/>
          <w:numId w:val="128"/>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tas, kādā mērā Iestāde lemj par aktīva projektēšanu un kvalitāti un par tā uzturēšanu un ekspluatāciju;</w:t>
      </w:r>
    </w:p>
    <w:p w14:paraId="39E03E75" w14:textId="77777777" w:rsidR="00D43EDD" w:rsidRPr="00CE5D8A" w:rsidRDefault="00D43EDD" w:rsidP="00DC1556">
      <w:pPr>
        <w:pStyle w:val="Sarakstarindkopa"/>
        <w:numPr>
          <w:ilvl w:val="0"/>
          <w:numId w:val="128"/>
        </w:numPr>
        <w:spacing w:after="0" w:line="240" w:lineRule="auto"/>
        <w:ind w:left="709" w:hanging="283"/>
        <w:jc w:val="both"/>
        <w:rPr>
          <w:rFonts w:ascii="Times New Roman" w:eastAsia="Times New Roman" w:hAnsi="Times New Roman" w:cs="Times New Roman"/>
          <w:color w:val="231F20"/>
          <w:sz w:val="24"/>
          <w:szCs w:val="24"/>
          <w:lang w:eastAsia="lv-LV"/>
        </w:rPr>
      </w:pPr>
      <w:r w:rsidRPr="00CE5D8A">
        <w:rPr>
          <w:rFonts w:ascii="Times New Roman" w:eastAsia="Times New Roman" w:hAnsi="Times New Roman" w:cs="Times New Roman"/>
          <w:color w:val="231F20"/>
          <w:sz w:val="24"/>
          <w:szCs w:val="24"/>
          <w:lang w:eastAsia="lv-LV"/>
        </w:rPr>
        <w:t>ja pēc PPP līguma darbības termiņa aktīvam vēl ir atlicis saimnieciskās izmantošanas laiks, tas, kādu ieguvuma daļu no aktīva Iestāde saņems pēc šī datuma.</w:t>
      </w:r>
    </w:p>
    <w:p w14:paraId="55A83886" w14:textId="322BA100" w:rsidR="00CE5D8A" w:rsidRDefault="00CE5D8A">
      <w:pPr>
        <w:rPr>
          <w:rFonts w:ascii="Times New Roman" w:eastAsia="Times New Roman" w:hAnsi="Times New Roman" w:cs="Times New Roman"/>
          <w:b/>
          <w:bCs/>
          <w:color w:val="005CAB"/>
          <w:sz w:val="24"/>
          <w:szCs w:val="24"/>
          <w:lang w:eastAsia="lv-LV"/>
        </w:rPr>
      </w:pPr>
      <w:r>
        <w:rPr>
          <w:rFonts w:ascii="Times New Roman" w:eastAsia="Times New Roman" w:hAnsi="Times New Roman" w:cs="Times New Roman"/>
          <w:b/>
          <w:bCs/>
          <w:color w:val="005CAB"/>
          <w:sz w:val="24"/>
          <w:szCs w:val="24"/>
          <w:lang w:eastAsia="lv-LV"/>
        </w:rPr>
        <w:br w:type="page"/>
      </w:r>
    </w:p>
    <w:p w14:paraId="4ECC52CB" w14:textId="77777777" w:rsidR="00CE5D8A" w:rsidRDefault="00CE5D8A" w:rsidP="00D43EDD">
      <w:pPr>
        <w:spacing w:after="0" w:line="240" w:lineRule="auto"/>
        <w:jc w:val="both"/>
        <w:rPr>
          <w:rFonts w:ascii="Times New Roman" w:eastAsia="Times New Roman" w:hAnsi="Times New Roman" w:cs="Times New Roman"/>
          <w:b/>
          <w:bCs/>
          <w:color w:val="005CAB"/>
          <w:sz w:val="24"/>
          <w:szCs w:val="24"/>
          <w:lang w:eastAsia="lv-LV"/>
        </w:rPr>
      </w:pPr>
    </w:p>
    <w:p w14:paraId="38D10647" w14:textId="7107DCA2" w:rsidR="00D43EDD" w:rsidRPr="00586FD8" w:rsidRDefault="00D43EDD" w:rsidP="00586FD8">
      <w:pPr>
        <w:pStyle w:val="Virsraksts1"/>
        <w:rPr>
          <w:rFonts w:eastAsia="Times New Roman"/>
          <w:b w:val="0"/>
          <w:color w:val="auto"/>
          <w:lang w:eastAsia="lv-LV"/>
        </w:rPr>
      </w:pPr>
      <w:bookmarkStart w:id="23" w:name="_Toc528941587"/>
      <w:r w:rsidRPr="000761E9">
        <w:rPr>
          <w:rFonts w:eastAsia="Times New Roman"/>
          <w:bCs/>
          <w:lang w:eastAsia="lv-LV"/>
        </w:rPr>
        <w:t>Pielikums. </w:t>
      </w:r>
      <w:r w:rsidRPr="00586FD8">
        <w:rPr>
          <w:rFonts w:eastAsia="Times New Roman"/>
          <w:b w:val="0"/>
          <w:color w:val="auto"/>
          <w:lang w:eastAsia="lv-LV"/>
        </w:rPr>
        <w:t>Tabula, kurā iekļauti tipiski PPP līguma noteikumi, kas ietekmē statistisko uzskaiti</w:t>
      </w:r>
      <w:bookmarkEnd w:id="23"/>
    </w:p>
    <w:p w14:paraId="4AF02096" w14:textId="77777777"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57E6AA97" w14:textId="791EFAD9"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Šajā tabulā ir uzskaitīti tipiski PPP noteikumi, kas saskaņā ar 3. nodaļu ietekmē statistisko uzskaiti. Tajā ir arī norādīts, vai noteikums ir tāds, ar kuru pietiek, lai PPP automātiski iekļautu valdības BILANCĒ, vai arī tas ir ĻOTI SVARĪGS, SVARĪGS vai VIDĒJI SVARĪGS statistiskajā uzskaitē. To var lietot kā atskaites punktu, lai veiktu 1. posmu metodoloģijā, kas attiecas uz statistiskās uzskaites slēdziena izdarīšanu (sk. 4. nodaļu). Tomēr ir svarīgi ņemt vērā, ka šīs metodoloģijas 2. posma (sk. 4. nodaļu) piemērošanas dēļ noteikumi var tikt pārklasificēti no turpmākajā tabulā norādītajām kategorijām.</w:t>
      </w:r>
    </w:p>
    <w:p w14:paraId="348A474D" w14:textId="77777777" w:rsidR="00CE5D8A" w:rsidRPr="000761E9"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622E7A0A" w14:textId="52F79616" w:rsidR="00D43EDD" w:rsidRDefault="00D43EDD" w:rsidP="00D43EDD">
      <w:pPr>
        <w:spacing w:after="0" w:line="240" w:lineRule="auto"/>
        <w:jc w:val="both"/>
        <w:rPr>
          <w:rFonts w:ascii="Times New Roman" w:eastAsia="Times New Roman" w:hAnsi="Times New Roman" w:cs="Times New Roman"/>
          <w:color w:val="231F20"/>
          <w:sz w:val="24"/>
          <w:szCs w:val="24"/>
          <w:lang w:eastAsia="lv-LV"/>
        </w:rPr>
      </w:pPr>
      <w:r w:rsidRPr="000761E9">
        <w:rPr>
          <w:rFonts w:ascii="Times New Roman" w:eastAsia="Times New Roman" w:hAnsi="Times New Roman" w:cs="Times New Roman"/>
          <w:color w:val="231F20"/>
          <w:sz w:val="24"/>
          <w:szCs w:val="24"/>
          <w:lang w:eastAsia="lv-LV"/>
        </w:rPr>
        <w:t>Šo tabulu nevajadzētu izmantot atsevišķi kā rīku, lai noteiktu PPP statistisko uzskaiti. Tā ir jālasa kopā ar 3. nodaļas tekstu, kurā ir izskaidroti konkrēti tipiska PPP līguma noteikumu elementi, kas ietekmē statistisko uzskaiti. Tajā pašā laikā ir svarīgi, lai lietotāji apzinātos pašas 3. nodaļas ierobežojumus (t. i., lai gan 3. nodaļā ir aplūkots plašs tipisku PPP līgumu noteikumu kopums, tajā pēc būtības nevarēja ņemt vērā visus katra PPP līguma faktus, apstākļus un noteikumus).</w:t>
      </w:r>
    </w:p>
    <w:p w14:paraId="7F45A0C1" w14:textId="2D35195B"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tbl>
      <w:tblPr>
        <w:tblW w:w="5000" w:type="pct"/>
        <w:tblCellMar>
          <w:top w:w="28" w:type="dxa"/>
          <w:left w:w="28" w:type="dxa"/>
          <w:bottom w:w="28" w:type="dxa"/>
          <w:right w:w="28" w:type="dxa"/>
        </w:tblCellMar>
        <w:tblLook w:val="0000" w:firstRow="0" w:lastRow="0" w:firstColumn="0" w:lastColumn="0" w:noHBand="0" w:noVBand="0"/>
      </w:tblPr>
      <w:tblGrid>
        <w:gridCol w:w="3069"/>
        <w:gridCol w:w="1173"/>
        <w:gridCol w:w="1432"/>
        <w:gridCol w:w="1106"/>
        <w:gridCol w:w="1035"/>
        <w:gridCol w:w="1236"/>
      </w:tblGrid>
      <w:tr w:rsidR="00CE5D8A" w:rsidRPr="00427B3A" w14:paraId="36076189" w14:textId="77777777" w:rsidTr="00586FD8">
        <w:trPr>
          <w:trHeight w:hRule="exact" w:val="937"/>
        </w:trPr>
        <w:tc>
          <w:tcPr>
            <w:tcW w:w="1695" w:type="pct"/>
            <w:tcBorders>
              <w:top w:val="single" w:sz="8" w:space="0" w:color="58595B"/>
              <w:left w:val="single" w:sz="8" w:space="0" w:color="58595B"/>
              <w:bottom w:val="nil"/>
              <w:right w:val="single" w:sz="4" w:space="0" w:color="auto"/>
            </w:tcBorders>
            <w:shd w:val="clear" w:color="auto" w:fill="58595B"/>
          </w:tcPr>
          <w:p w14:paraId="55A24392" w14:textId="77777777" w:rsidR="00CE5D8A" w:rsidRPr="00427B3A" w:rsidRDefault="00CE5D8A" w:rsidP="00586FD8">
            <w:pPr>
              <w:pStyle w:val="TableParagraph"/>
              <w:tabs>
                <w:tab w:val="left" w:pos="4892"/>
                <w:tab w:val="left" w:pos="6682"/>
                <w:tab w:val="left" w:pos="7896"/>
                <w:tab w:val="left" w:pos="8175"/>
                <w:tab w:val="left" w:pos="9110"/>
              </w:tabs>
              <w:kinsoku w:val="0"/>
              <w:overflowPunct w:val="0"/>
              <w:jc w:val="both"/>
              <w:rPr>
                <w:sz w:val="20"/>
                <w:szCs w:val="20"/>
              </w:rPr>
            </w:pPr>
          </w:p>
        </w:tc>
        <w:tc>
          <w:tcPr>
            <w:tcW w:w="648" w:type="pct"/>
            <w:tcBorders>
              <w:top w:val="single" w:sz="8" w:space="0" w:color="58595B"/>
              <w:left w:val="single" w:sz="4" w:space="0" w:color="auto"/>
              <w:bottom w:val="nil"/>
              <w:right w:val="single" w:sz="4" w:space="0" w:color="auto"/>
            </w:tcBorders>
            <w:shd w:val="clear" w:color="auto" w:fill="58595B"/>
            <w:vAlign w:val="center"/>
          </w:tcPr>
          <w:p w14:paraId="4D0708E3" w14:textId="731F2D90" w:rsidR="00CE5D8A" w:rsidRPr="00CE5D8A" w:rsidRDefault="00CE5D8A" w:rsidP="00586FD8">
            <w:pPr>
              <w:pStyle w:val="TableParagraph"/>
              <w:tabs>
                <w:tab w:val="left" w:pos="4892"/>
                <w:tab w:val="left" w:pos="6682"/>
                <w:tab w:val="left" w:pos="7896"/>
                <w:tab w:val="left" w:pos="8175"/>
                <w:tab w:val="left" w:pos="9110"/>
              </w:tabs>
              <w:kinsoku w:val="0"/>
              <w:overflowPunct w:val="0"/>
              <w:jc w:val="center"/>
              <w:rPr>
                <w:b/>
                <w:color w:val="FFFFFF" w:themeColor="background1"/>
                <w:sz w:val="20"/>
                <w:szCs w:val="20"/>
              </w:rPr>
            </w:pPr>
            <w:r w:rsidRPr="00CE5D8A">
              <w:rPr>
                <w:b/>
                <w:bCs/>
                <w:color w:val="FFFFFF" w:themeColor="background1"/>
                <w:sz w:val="20"/>
                <w:szCs w:val="20"/>
              </w:rPr>
              <w:t>Atsauce uz 3. nodaļu</w:t>
            </w:r>
          </w:p>
        </w:tc>
        <w:tc>
          <w:tcPr>
            <w:tcW w:w="791" w:type="pct"/>
            <w:tcBorders>
              <w:top w:val="single" w:sz="8" w:space="0" w:color="58595B"/>
              <w:left w:val="single" w:sz="4" w:space="0" w:color="auto"/>
              <w:bottom w:val="nil"/>
              <w:right w:val="single" w:sz="4" w:space="0" w:color="auto"/>
            </w:tcBorders>
            <w:shd w:val="clear" w:color="auto" w:fill="58595B"/>
            <w:vAlign w:val="center"/>
          </w:tcPr>
          <w:p w14:paraId="21ECC5EE" w14:textId="48399C48" w:rsidR="00CE5D8A" w:rsidRPr="00CE5D8A" w:rsidRDefault="00CE5D8A" w:rsidP="00586FD8">
            <w:pPr>
              <w:pStyle w:val="TableParagraph"/>
              <w:tabs>
                <w:tab w:val="left" w:pos="4892"/>
                <w:tab w:val="left" w:pos="6682"/>
                <w:tab w:val="left" w:pos="7896"/>
                <w:tab w:val="left" w:pos="8175"/>
                <w:tab w:val="left" w:pos="9110"/>
              </w:tabs>
              <w:kinsoku w:val="0"/>
              <w:overflowPunct w:val="0"/>
              <w:jc w:val="center"/>
              <w:rPr>
                <w:b/>
                <w:color w:val="FFFFFF" w:themeColor="background1"/>
                <w:sz w:val="20"/>
                <w:szCs w:val="20"/>
              </w:rPr>
            </w:pPr>
            <w:r w:rsidRPr="00CE5D8A">
              <w:rPr>
                <w:b/>
                <w:bCs/>
                <w:color w:val="FFFFFF" w:themeColor="background1"/>
                <w:sz w:val="20"/>
                <w:szCs w:val="20"/>
              </w:rPr>
              <w:t>Automātiski iekļauj BILANCĒ</w:t>
            </w:r>
          </w:p>
        </w:tc>
        <w:tc>
          <w:tcPr>
            <w:tcW w:w="611" w:type="pct"/>
            <w:tcBorders>
              <w:top w:val="single" w:sz="8" w:space="0" w:color="58595B"/>
              <w:left w:val="single" w:sz="4" w:space="0" w:color="auto"/>
              <w:bottom w:val="nil"/>
              <w:right w:val="single" w:sz="4" w:space="0" w:color="auto"/>
            </w:tcBorders>
            <w:shd w:val="clear" w:color="auto" w:fill="58595B"/>
            <w:vAlign w:val="center"/>
          </w:tcPr>
          <w:p w14:paraId="137210A8" w14:textId="565A170C" w:rsidR="00CE5D8A" w:rsidRPr="00CE5D8A" w:rsidRDefault="00CE5D8A" w:rsidP="00586FD8">
            <w:pPr>
              <w:pStyle w:val="TableParagraph"/>
              <w:tabs>
                <w:tab w:val="left" w:pos="4892"/>
                <w:tab w:val="left" w:pos="6682"/>
                <w:tab w:val="left" w:pos="7896"/>
                <w:tab w:val="left" w:pos="8175"/>
                <w:tab w:val="left" w:pos="9110"/>
              </w:tabs>
              <w:kinsoku w:val="0"/>
              <w:overflowPunct w:val="0"/>
              <w:jc w:val="center"/>
              <w:rPr>
                <w:b/>
                <w:color w:val="FFFFFF" w:themeColor="background1"/>
                <w:sz w:val="20"/>
                <w:szCs w:val="20"/>
              </w:rPr>
            </w:pPr>
            <w:r w:rsidRPr="00CE5D8A">
              <w:rPr>
                <w:b/>
                <w:bCs/>
                <w:color w:val="FFFFFF" w:themeColor="background1"/>
                <w:sz w:val="20"/>
                <w:szCs w:val="20"/>
              </w:rPr>
              <w:t>ĻOTI SVARĪGI</w:t>
            </w:r>
          </w:p>
        </w:tc>
        <w:tc>
          <w:tcPr>
            <w:tcW w:w="572" w:type="pct"/>
            <w:tcBorders>
              <w:top w:val="single" w:sz="8" w:space="0" w:color="58595B"/>
              <w:left w:val="single" w:sz="4" w:space="0" w:color="auto"/>
              <w:bottom w:val="nil"/>
              <w:right w:val="single" w:sz="4" w:space="0" w:color="auto"/>
            </w:tcBorders>
            <w:shd w:val="clear" w:color="auto" w:fill="58595B"/>
            <w:vAlign w:val="center"/>
          </w:tcPr>
          <w:p w14:paraId="19F5C4AA" w14:textId="1EB846F2" w:rsidR="00CE5D8A" w:rsidRPr="00CE5D8A" w:rsidRDefault="00CE5D8A" w:rsidP="00586FD8">
            <w:pPr>
              <w:pStyle w:val="TableParagraph"/>
              <w:tabs>
                <w:tab w:val="left" w:pos="4892"/>
                <w:tab w:val="left" w:pos="6682"/>
                <w:tab w:val="left" w:pos="7896"/>
                <w:tab w:val="left" w:pos="8175"/>
                <w:tab w:val="left" w:pos="9110"/>
              </w:tabs>
              <w:kinsoku w:val="0"/>
              <w:overflowPunct w:val="0"/>
              <w:jc w:val="center"/>
              <w:rPr>
                <w:b/>
                <w:color w:val="FFFFFF" w:themeColor="background1"/>
                <w:sz w:val="20"/>
                <w:szCs w:val="20"/>
              </w:rPr>
            </w:pPr>
            <w:r w:rsidRPr="00CE5D8A">
              <w:rPr>
                <w:b/>
                <w:bCs/>
                <w:color w:val="FFFFFF" w:themeColor="background1"/>
                <w:sz w:val="20"/>
                <w:szCs w:val="20"/>
              </w:rPr>
              <w:t>SVARĪGI</w:t>
            </w:r>
          </w:p>
        </w:tc>
        <w:tc>
          <w:tcPr>
            <w:tcW w:w="683" w:type="pct"/>
            <w:tcBorders>
              <w:top w:val="single" w:sz="8" w:space="0" w:color="58595B"/>
              <w:left w:val="single" w:sz="4" w:space="0" w:color="auto"/>
              <w:bottom w:val="nil"/>
              <w:right w:val="single" w:sz="8" w:space="0" w:color="58595B"/>
            </w:tcBorders>
            <w:shd w:val="clear" w:color="auto" w:fill="58595B"/>
            <w:vAlign w:val="center"/>
          </w:tcPr>
          <w:p w14:paraId="04867A1D" w14:textId="335BDEAA" w:rsidR="00CE5D8A" w:rsidRPr="00CE5D8A" w:rsidRDefault="00CE5D8A" w:rsidP="00586FD8">
            <w:pPr>
              <w:pStyle w:val="TableParagraph"/>
              <w:tabs>
                <w:tab w:val="left" w:pos="4892"/>
                <w:tab w:val="left" w:pos="6682"/>
                <w:tab w:val="left" w:pos="7896"/>
                <w:tab w:val="left" w:pos="8175"/>
                <w:tab w:val="left" w:pos="9110"/>
              </w:tabs>
              <w:kinsoku w:val="0"/>
              <w:overflowPunct w:val="0"/>
              <w:jc w:val="center"/>
              <w:rPr>
                <w:b/>
                <w:color w:val="FFFFFF" w:themeColor="background1"/>
                <w:sz w:val="20"/>
                <w:szCs w:val="20"/>
              </w:rPr>
            </w:pPr>
            <w:r w:rsidRPr="00CE5D8A">
              <w:rPr>
                <w:b/>
                <w:bCs/>
                <w:color w:val="FFFFFF" w:themeColor="background1"/>
                <w:sz w:val="20"/>
                <w:szCs w:val="20"/>
              </w:rPr>
              <w:t>VIDĒJI SVARĪGI</w:t>
            </w:r>
          </w:p>
        </w:tc>
      </w:tr>
      <w:tr w:rsidR="00CE5D8A" w:rsidRPr="00427B3A" w14:paraId="24300518" w14:textId="77777777" w:rsidTr="00586FD8">
        <w:trPr>
          <w:trHeight w:hRule="exact" w:val="454"/>
        </w:trPr>
        <w:tc>
          <w:tcPr>
            <w:tcW w:w="5000" w:type="pct"/>
            <w:gridSpan w:val="6"/>
            <w:tcBorders>
              <w:top w:val="nil"/>
              <w:left w:val="single" w:sz="8" w:space="0" w:color="CC6A28"/>
              <w:bottom w:val="single" w:sz="4" w:space="0" w:color="CC6A28"/>
              <w:right w:val="single" w:sz="8" w:space="0" w:color="CC6A28"/>
            </w:tcBorders>
            <w:shd w:val="clear" w:color="auto" w:fill="CC6A28"/>
          </w:tcPr>
          <w:p w14:paraId="543584AF" w14:textId="3067B02D" w:rsidR="00CE5D8A" w:rsidRPr="00CE5D8A" w:rsidRDefault="00CE5D8A" w:rsidP="00CE5D8A">
            <w:pPr>
              <w:spacing w:after="0" w:line="240" w:lineRule="auto"/>
              <w:jc w:val="both"/>
              <w:rPr>
                <w:rFonts w:ascii="Times New Roman" w:eastAsia="Times New Roman" w:hAnsi="Times New Roman" w:cs="Times New Roman"/>
                <w:b/>
                <w:bCs/>
                <w:color w:val="FFFFFF" w:themeColor="background1"/>
                <w:sz w:val="20"/>
                <w:szCs w:val="20"/>
                <w:lang w:eastAsia="lv-LV"/>
              </w:rPr>
            </w:pPr>
            <w:r w:rsidRPr="00CE5D8A">
              <w:rPr>
                <w:rFonts w:ascii="Times New Roman" w:eastAsia="Times New Roman" w:hAnsi="Times New Roman" w:cs="Times New Roman"/>
                <w:b/>
                <w:bCs/>
                <w:color w:val="FFFFFF" w:themeColor="background1"/>
                <w:sz w:val="20"/>
                <w:szCs w:val="20"/>
                <w:lang w:eastAsia="lv-LV"/>
              </w:rPr>
              <w:t>2. temats. Aktīva projektēšana un būvniecība</w:t>
            </w:r>
          </w:p>
        </w:tc>
      </w:tr>
      <w:tr w:rsidR="00CE5D8A" w:rsidRPr="00427B3A" w14:paraId="3F90DEB0" w14:textId="77777777" w:rsidTr="00586FD8">
        <w:trPr>
          <w:trHeight w:hRule="exact" w:val="1107"/>
        </w:trPr>
        <w:tc>
          <w:tcPr>
            <w:tcW w:w="1695" w:type="pct"/>
            <w:tcBorders>
              <w:top w:val="single" w:sz="4" w:space="0" w:color="CC6A28"/>
              <w:left w:val="single" w:sz="8" w:space="0" w:color="CC6A28"/>
              <w:bottom w:val="single" w:sz="4" w:space="0" w:color="CC6A28"/>
              <w:right w:val="single" w:sz="4" w:space="0" w:color="CC6A28"/>
            </w:tcBorders>
          </w:tcPr>
          <w:p w14:paraId="61402330" w14:textId="6187F835" w:rsidR="00CE5D8A" w:rsidRPr="00427B3A" w:rsidRDefault="00CE5D8A" w:rsidP="00586FD8">
            <w:pPr>
              <w:pStyle w:val="TableParagraph"/>
              <w:kinsoku w:val="0"/>
              <w:overflowPunct w:val="0"/>
              <w:jc w:val="both"/>
              <w:rPr>
                <w:sz w:val="20"/>
                <w:szCs w:val="20"/>
              </w:rPr>
            </w:pPr>
            <w:r w:rsidRPr="000761E9">
              <w:rPr>
                <w:color w:val="231F20"/>
                <w:sz w:val="20"/>
                <w:szCs w:val="20"/>
              </w:rPr>
              <w:t>Atbildība par projektēšanu. 2.1. tematā aprakstītie jautājumi, kas saistīti ar gadījumiem, kad Iestāde uzņemas risku</w:t>
            </w:r>
          </w:p>
        </w:tc>
        <w:tc>
          <w:tcPr>
            <w:tcW w:w="648" w:type="pct"/>
            <w:tcBorders>
              <w:top w:val="single" w:sz="4" w:space="0" w:color="CC6A28"/>
              <w:left w:val="single" w:sz="4" w:space="0" w:color="CC6A28"/>
              <w:bottom w:val="single" w:sz="4" w:space="0" w:color="CC6A28"/>
              <w:right w:val="single" w:sz="4" w:space="0" w:color="CC6A28"/>
            </w:tcBorders>
            <w:vAlign w:val="center"/>
          </w:tcPr>
          <w:p w14:paraId="7492CE7D" w14:textId="70F5E253" w:rsidR="00CE5D8A" w:rsidRPr="00427B3A" w:rsidRDefault="00CE5D8A" w:rsidP="00586FD8">
            <w:pPr>
              <w:pStyle w:val="TableParagraph"/>
              <w:kinsoku w:val="0"/>
              <w:overflowPunct w:val="0"/>
              <w:jc w:val="center"/>
              <w:rPr>
                <w:sz w:val="20"/>
                <w:szCs w:val="20"/>
              </w:rPr>
            </w:pPr>
            <w:r w:rsidRPr="00427B3A">
              <w:rPr>
                <w:color w:val="231F20"/>
                <w:sz w:val="20"/>
                <w:szCs w:val="20"/>
              </w:rPr>
              <w:t>2.1</w:t>
            </w:r>
            <w:r w:rsidR="00DC1556">
              <w:rPr>
                <w:color w:val="231F20"/>
                <w:sz w:val="20"/>
                <w:szCs w:val="20"/>
              </w:rPr>
              <w:t>.</w:t>
            </w:r>
          </w:p>
        </w:tc>
        <w:tc>
          <w:tcPr>
            <w:tcW w:w="791" w:type="pct"/>
            <w:tcBorders>
              <w:top w:val="single" w:sz="4" w:space="0" w:color="CC6A28"/>
              <w:left w:val="single" w:sz="4" w:space="0" w:color="CC6A28"/>
              <w:bottom w:val="single" w:sz="4" w:space="0" w:color="CC6A28"/>
              <w:right w:val="single" w:sz="4" w:space="0" w:color="CC6A28"/>
            </w:tcBorders>
            <w:vAlign w:val="center"/>
          </w:tcPr>
          <w:p w14:paraId="3F087A63" w14:textId="77777777" w:rsidR="00CE5D8A" w:rsidRPr="00427B3A" w:rsidRDefault="00CE5D8A" w:rsidP="00586FD8">
            <w:pPr>
              <w:jc w:val="center"/>
              <w:rPr>
                <w:sz w:val="20"/>
                <w:szCs w:val="20"/>
              </w:rPr>
            </w:pPr>
          </w:p>
        </w:tc>
        <w:tc>
          <w:tcPr>
            <w:tcW w:w="611" w:type="pct"/>
            <w:tcBorders>
              <w:top w:val="single" w:sz="4" w:space="0" w:color="CC6A28"/>
              <w:left w:val="single" w:sz="4" w:space="0" w:color="CC6A28"/>
              <w:bottom w:val="single" w:sz="4" w:space="0" w:color="CC6A28"/>
              <w:right w:val="single" w:sz="4" w:space="0" w:color="CC6A28"/>
            </w:tcBorders>
            <w:vAlign w:val="center"/>
          </w:tcPr>
          <w:p w14:paraId="434BEDE0" w14:textId="77777777" w:rsidR="00CE5D8A" w:rsidRPr="00427B3A" w:rsidRDefault="00CE5D8A" w:rsidP="00586FD8">
            <w:pPr>
              <w:jc w:val="center"/>
              <w:rPr>
                <w:sz w:val="20"/>
                <w:szCs w:val="20"/>
              </w:rPr>
            </w:pPr>
          </w:p>
        </w:tc>
        <w:tc>
          <w:tcPr>
            <w:tcW w:w="572" w:type="pct"/>
            <w:tcBorders>
              <w:top w:val="single" w:sz="4" w:space="0" w:color="CC6A28"/>
              <w:left w:val="single" w:sz="4" w:space="0" w:color="CC6A28"/>
              <w:bottom w:val="single" w:sz="4" w:space="0" w:color="CC6A28"/>
              <w:right w:val="single" w:sz="4" w:space="0" w:color="CC6A28"/>
            </w:tcBorders>
            <w:vAlign w:val="center"/>
          </w:tcPr>
          <w:p w14:paraId="52F16FE8" w14:textId="77777777" w:rsidR="00CE5D8A" w:rsidRPr="00427B3A" w:rsidRDefault="00CE5D8A" w:rsidP="00586FD8">
            <w:pPr>
              <w:pStyle w:val="TableParagraph"/>
              <w:kinsoku w:val="0"/>
              <w:overflowPunct w:val="0"/>
              <w:jc w:val="center"/>
              <w:rPr>
                <w:sz w:val="20"/>
                <w:szCs w:val="20"/>
              </w:rPr>
            </w:pPr>
            <w:r w:rsidRPr="00427B3A">
              <w:rPr>
                <w:color w:val="CC6A28"/>
                <w:sz w:val="20"/>
                <w:szCs w:val="20"/>
              </w:rPr>
              <w:sym w:font="Symbol" w:char="F0D6"/>
            </w:r>
          </w:p>
        </w:tc>
        <w:tc>
          <w:tcPr>
            <w:tcW w:w="683" w:type="pct"/>
            <w:tcBorders>
              <w:top w:val="single" w:sz="4" w:space="0" w:color="CC6A28"/>
              <w:left w:val="single" w:sz="4" w:space="0" w:color="CC6A28"/>
              <w:bottom w:val="single" w:sz="4" w:space="0" w:color="CC6A28"/>
              <w:right w:val="single" w:sz="8" w:space="0" w:color="CC6A28"/>
            </w:tcBorders>
            <w:vAlign w:val="center"/>
          </w:tcPr>
          <w:p w14:paraId="135F06B4" w14:textId="77777777" w:rsidR="00CE5D8A" w:rsidRPr="00427B3A" w:rsidRDefault="00CE5D8A" w:rsidP="00586FD8">
            <w:pPr>
              <w:jc w:val="center"/>
              <w:rPr>
                <w:sz w:val="20"/>
                <w:szCs w:val="20"/>
              </w:rPr>
            </w:pPr>
          </w:p>
        </w:tc>
      </w:tr>
      <w:tr w:rsidR="00CE5D8A" w:rsidRPr="00427B3A" w14:paraId="357C16B2" w14:textId="77777777" w:rsidTr="00586FD8">
        <w:trPr>
          <w:trHeight w:hRule="exact" w:val="1107"/>
        </w:trPr>
        <w:tc>
          <w:tcPr>
            <w:tcW w:w="1695" w:type="pct"/>
            <w:tcBorders>
              <w:top w:val="single" w:sz="4" w:space="0" w:color="CC6A28"/>
              <w:left w:val="single" w:sz="8" w:space="0" w:color="CC6A28"/>
              <w:bottom w:val="single" w:sz="4" w:space="0" w:color="CC6A28"/>
              <w:right w:val="single" w:sz="4" w:space="0" w:color="CC6A28"/>
            </w:tcBorders>
          </w:tcPr>
          <w:p w14:paraId="33BBE1BA" w14:textId="75D16B11" w:rsidR="00CE5D8A" w:rsidRPr="00427B3A" w:rsidRDefault="00CE5D8A" w:rsidP="00586FD8">
            <w:pPr>
              <w:pStyle w:val="TableParagraph"/>
              <w:kinsoku w:val="0"/>
              <w:overflowPunct w:val="0"/>
              <w:jc w:val="both"/>
              <w:rPr>
                <w:sz w:val="20"/>
                <w:szCs w:val="20"/>
              </w:rPr>
            </w:pPr>
            <w:r w:rsidRPr="000761E9">
              <w:rPr>
                <w:color w:val="231F20"/>
                <w:sz w:val="20"/>
                <w:szCs w:val="20"/>
              </w:rPr>
              <w:t>Būvniecības pabeigšana. 2.3. tematā aprakstītie jautājumi, kas saistīti ar pabeigšanas kritērijiem</w:t>
            </w:r>
          </w:p>
        </w:tc>
        <w:tc>
          <w:tcPr>
            <w:tcW w:w="648" w:type="pct"/>
            <w:tcBorders>
              <w:top w:val="single" w:sz="4" w:space="0" w:color="CC6A28"/>
              <w:left w:val="single" w:sz="4" w:space="0" w:color="CC6A28"/>
              <w:bottom w:val="single" w:sz="4" w:space="0" w:color="CC6A28"/>
              <w:right w:val="single" w:sz="4" w:space="0" w:color="CC6A28"/>
            </w:tcBorders>
            <w:vAlign w:val="center"/>
          </w:tcPr>
          <w:p w14:paraId="49CF639A" w14:textId="23F88915" w:rsidR="00CE5D8A" w:rsidRPr="00427B3A" w:rsidRDefault="00CE5D8A" w:rsidP="00586FD8">
            <w:pPr>
              <w:pStyle w:val="TableParagraph"/>
              <w:kinsoku w:val="0"/>
              <w:overflowPunct w:val="0"/>
              <w:jc w:val="center"/>
              <w:rPr>
                <w:sz w:val="20"/>
                <w:szCs w:val="20"/>
              </w:rPr>
            </w:pPr>
            <w:r w:rsidRPr="00427B3A">
              <w:rPr>
                <w:color w:val="231F20"/>
                <w:sz w:val="20"/>
                <w:szCs w:val="20"/>
              </w:rPr>
              <w:t>2.3</w:t>
            </w:r>
            <w:r w:rsidR="00DC1556">
              <w:rPr>
                <w:color w:val="231F20"/>
                <w:sz w:val="20"/>
                <w:szCs w:val="20"/>
              </w:rPr>
              <w:t>.</w:t>
            </w:r>
          </w:p>
        </w:tc>
        <w:tc>
          <w:tcPr>
            <w:tcW w:w="791" w:type="pct"/>
            <w:tcBorders>
              <w:top w:val="single" w:sz="4" w:space="0" w:color="CC6A28"/>
              <w:left w:val="single" w:sz="4" w:space="0" w:color="CC6A28"/>
              <w:bottom w:val="single" w:sz="4" w:space="0" w:color="CC6A28"/>
              <w:right w:val="single" w:sz="4" w:space="0" w:color="CC6A28"/>
            </w:tcBorders>
            <w:vAlign w:val="center"/>
          </w:tcPr>
          <w:p w14:paraId="342CEC47" w14:textId="77777777" w:rsidR="00CE5D8A" w:rsidRPr="00427B3A" w:rsidRDefault="00CE5D8A" w:rsidP="00586FD8">
            <w:pPr>
              <w:jc w:val="center"/>
              <w:rPr>
                <w:sz w:val="20"/>
                <w:szCs w:val="20"/>
              </w:rPr>
            </w:pPr>
          </w:p>
        </w:tc>
        <w:tc>
          <w:tcPr>
            <w:tcW w:w="611" w:type="pct"/>
            <w:tcBorders>
              <w:top w:val="single" w:sz="4" w:space="0" w:color="CC6A28"/>
              <w:left w:val="single" w:sz="4" w:space="0" w:color="CC6A28"/>
              <w:bottom w:val="single" w:sz="4" w:space="0" w:color="CC6A28"/>
              <w:right w:val="single" w:sz="4" w:space="0" w:color="CC6A28"/>
            </w:tcBorders>
            <w:vAlign w:val="center"/>
          </w:tcPr>
          <w:p w14:paraId="3A7137C2" w14:textId="77777777" w:rsidR="00CE5D8A" w:rsidRPr="00427B3A" w:rsidRDefault="00CE5D8A" w:rsidP="00586FD8">
            <w:pPr>
              <w:jc w:val="center"/>
              <w:rPr>
                <w:sz w:val="20"/>
                <w:szCs w:val="20"/>
              </w:rPr>
            </w:pPr>
          </w:p>
        </w:tc>
        <w:tc>
          <w:tcPr>
            <w:tcW w:w="572" w:type="pct"/>
            <w:tcBorders>
              <w:top w:val="single" w:sz="4" w:space="0" w:color="CC6A28"/>
              <w:left w:val="single" w:sz="4" w:space="0" w:color="CC6A28"/>
              <w:bottom w:val="single" w:sz="4" w:space="0" w:color="CC6A28"/>
              <w:right w:val="single" w:sz="4" w:space="0" w:color="CC6A28"/>
            </w:tcBorders>
            <w:vAlign w:val="center"/>
          </w:tcPr>
          <w:p w14:paraId="2474F0C2" w14:textId="77777777" w:rsidR="00CE5D8A" w:rsidRPr="00427B3A" w:rsidRDefault="00CE5D8A" w:rsidP="00586FD8">
            <w:pPr>
              <w:pStyle w:val="TableParagraph"/>
              <w:kinsoku w:val="0"/>
              <w:overflowPunct w:val="0"/>
              <w:jc w:val="center"/>
              <w:rPr>
                <w:sz w:val="20"/>
                <w:szCs w:val="20"/>
              </w:rPr>
            </w:pPr>
            <w:r w:rsidRPr="00427B3A">
              <w:rPr>
                <w:color w:val="CC6A28"/>
                <w:sz w:val="20"/>
                <w:szCs w:val="20"/>
              </w:rPr>
              <w:sym w:font="Symbol" w:char="F0D6"/>
            </w:r>
          </w:p>
        </w:tc>
        <w:tc>
          <w:tcPr>
            <w:tcW w:w="683" w:type="pct"/>
            <w:tcBorders>
              <w:top w:val="single" w:sz="4" w:space="0" w:color="CC6A28"/>
              <w:left w:val="single" w:sz="4" w:space="0" w:color="CC6A28"/>
              <w:bottom w:val="single" w:sz="4" w:space="0" w:color="CC6A28"/>
              <w:right w:val="single" w:sz="8" w:space="0" w:color="CC6A28"/>
            </w:tcBorders>
            <w:vAlign w:val="center"/>
          </w:tcPr>
          <w:p w14:paraId="35450FCE" w14:textId="77777777" w:rsidR="00CE5D8A" w:rsidRPr="00427B3A" w:rsidRDefault="00CE5D8A" w:rsidP="00586FD8">
            <w:pPr>
              <w:jc w:val="center"/>
              <w:rPr>
                <w:sz w:val="20"/>
                <w:szCs w:val="20"/>
              </w:rPr>
            </w:pPr>
          </w:p>
        </w:tc>
      </w:tr>
      <w:tr w:rsidR="00CE5D8A" w:rsidRPr="00427B3A" w14:paraId="0795DAA7" w14:textId="77777777" w:rsidTr="00586FD8">
        <w:trPr>
          <w:trHeight w:hRule="exact" w:val="1393"/>
        </w:trPr>
        <w:tc>
          <w:tcPr>
            <w:tcW w:w="1695" w:type="pct"/>
            <w:tcBorders>
              <w:top w:val="single" w:sz="4" w:space="0" w:color="CC6A28"/>
              <w:left w:val="single" w:sz="8" w:space="0" w:color="CC6A28"/>
              <w:bottom w:val="single" w:sz="4" w:space="0" w:color="CC6A28"/>
              <w:right w:val="single" w:sz="4" w:space="0" w:color="CC6A28"/>
            </w:tcBorders>
          </w:tcPr>
          <w:p w14:paraId="747F81BA" w14:textId="175D8024" w:rsidR="00CE5D8A" w:rsidRPr="00427B3A" w:rsidRDefault="00CE5D8A" w:rsidP="00586FD8">
            <w:pPr>
              <w:pStyle w:val="TableParagraph"/>
              <w:kinsoku w:val="0"/>
              <w:overflowPunct w:val="0"/>
              <w:jc w:val="both"/>
              <w:rPr>
                <w:sz w:val="20"/>
                <w:szCs w:val="20"/>
              </w:rPr>
            </w:pPr>
            <w:r w:rsidRPr="000761E9">
              <w:rPr>
                <w:color w:val="231F20"/>
                <w:sz w:val="20"/>
                <w:szCs w:val="20"/>
              </w:rPr>
              <w:t>Būvniecības pabeigšana. 2.3. tematā aprakstītie jautājumi, kas saistīti ar būvniecības pabeigšanu vairākās fāzēs un katrai fāzei atbilstošiem pamatdarbības maksājumiem</w:t>
            </w:r>
          </w:p>
        </w:tc>
        <w:tc>
          <w:tcPr>
            <w:tcW w:w="648" w:type="pct"/>
            <w:tcBorders>
              <w:top w:val="single" w:sz="4" w:space="0" w:color="CC6A28"/>
              <w:left w:val="single" w:sz="4" w:space="0" w:color="CC6A28"/>
              <w:bottom w:val="single" w:sz="4" w:space="0" w:color="CC6A28"/>
              <w:right w:val="single" w:sz="4" w:space="0" w:color="CC6A28"/>
            </w:tcBorders>
            <w:vAlign w:val="center"/>
          </w:tcPr>
          <w:p w14:paraId="5AA0BF52" w14:textId="10AFB915" w:rsidR="00CE5D8A" w:rsidRPr="00427B3A" w:rsidRDefault="00CE5D8A" w:rsidP="00586FD8">
            <w:pPr>
              <w:pStyle w:val="TableParagraph"/>
              <w:kinsoku w:val="0"/>
              <w:overflowPunct w:val="0"/>
              <w:jc w:val="center"/>
              <w:rPr>
                <w:sz w:val="20"/>
                <w:szCs w:val="20"/>
              </w:rPr>
            </w:pPr>
            <w:r w:rsidRPr="00427B3A">
              <w:rPr>
                <w:color w:val="231F20"/>
                <w:sz w:val="20"/>
                <w:szCs w:val="20"/>
              </w:rPr>
              <w:t>2.3</w:t>
            </w:r>
            <w:r w:rsidR="00DC1556">
              <w:rPr>
                <w:color w:val="231F20"/>
                <w:sz w:val="20"/>
                <w:szCs w:val="20"/>
              </w:rPr>
              <w:t>.</w:t>
            </w:r>
          </w:p>
        </w:tc>
        <w:tc>
          <w:tcPr>
            <w:tcW w:w="791" w:type="pct"/>
            <w:tcBorders>
              <w:top w:val="single" w:sz="4" w:space="0" w:color="CC6A28"/>
              <w:left w:val="single" w:sz="4" w:space="0" w:color="CC6A28"/>
              <w:bottom w:val="single" w:sz="4" w:space="0" w:color="CC6A28"/>
              <w:right w:val="single" w:sz="4" w:space="0" w:color="CC6A28"/>
            </w:tcBorders>
            <w:vAlign w:val="center"/>
          </w:tcPr>
          <w:p w14:paraId="63D88547" w14:textId="77777777" w:rsidR="00CE5D8A" w:rsidRPr="00427B3A" w:rsidRDefault="00CE5D8A" w:rsidP="00586FD8">
            <w:pPr>
              <w:jc w:val="center"/>
              <w:rPr>
                <w:sz w:val="20"/>
                <w:szCs w:val="20"/>
              </w:rPr>
            </w:pPr>
          </w:p>
        </w:tc>
        <w:tc>
          <w:tcPr>
            <w:tcW w:w="611" w:type="pct"/>
            <w:tcBorders>
              <w:top w:val="single" w:sz="4" w:space="0" w:color="CC6A28"/>
              <w:left w:val="single" w:sz="4" w:space="0" w:color="CC6A28"/>
              <w:bottom w:val="single" w:sz="4" w:space="0" w:color="CC6A28"/>
              <w:right w:val="single" w:sz="4" w:space="0" w:color="CC6A28"/>
            </w:tcBorders>
            <w:vAlign w:val="center"/>
          </w:tcPr>
          <w:p w14:paraId="047DE27E" w14:textId="77777777" w:rsidR="00CE5D8A" w:rsidRPr="00427B3A" w:rsidRDefault="00CE5D8A" w:rsidP="00586FD8">
            <w:pPr>
              <w:jc w:val="center"/>
              <w:rPr>
                <w:sz w:val="20"/>
                <w:szCs w:val="20"/>
              </w:rPr>
            </w:pPr>
          </w:p>
        </w:tc>
        <w:tc>
          <w:tcPr>
            <w:tcW w:w="572" w:type="pct"/>
            <w:tcBorders>
              <w:top w:val="single" w:sz="4" w:space="0" w:color="CC6A28"/>
              <w:left w:val="single" w:sz="4" w:space="0" w:color="CC6A28"/>
              <w:bottom w:val="single" w:sz="4" w:space="0" w:color="CC6A28"/>
              <w:right w:val="single" w:sz="4" w:space="0" w:color="CC6A28"/>
            </w:tcBorders>
            <w:vAlign w:val="center"/>
          </w:tcPr>
          <w:p w14:paraId="6C66AC40" w14:textId="77777777" w:rsidR="00CE5D8A" w:rsidRPr="00427B3A" w:rsidRDefault="00CE5D8A" w:rsidP="00586FD8">
            <w:pPr>
              <w:pStyle w:val="TableParagraph"/>
              <w:kinsoku w:val="0"/>
              <w:overflowPunct w:val="0"/>
              <w:jc w:val="center"/>
              <w:rPr>
                <w:sz w:val="20"/>
                <w:szCs w:val="20"/>
              </w:rPr>
            </w:pPr>
            <w:r w:rsidRPr="00427B3A">
              <w:rPr>
                <w:color w:val="CC6A28"/>
                <w:sz w:val="20"/>
                <w:szCs w:val="20"/>
              </w:rPr>
              <w:sym w:font="Symbol" w:char="F0D6"/>
            </w:r>
          </w:p>
        </w:tc>
        <w:tc>
          <w:tcPr>
            <w:tcW w:w="683" w:type="pct"/>
            <w:tcBorders>
              <w:top w:val="single" w:sz="4" w:space="0" w:color="CC6A28"/>
              <w:left w:val="single" w:sz="4" w:space="0" w:color="CC6A28"/>
              <w:bottom w:val="single" w:sz="4" w:space="0" w:color="CC6A28"/>
              <w:right w:val="single" w:sz="8" w:space="0" w:color="CC6A28"/>
            </w:tcBorders>
            <w:vAlign w:val="center"/>
          </w:tcPr>
          <w:p w14:paraId="39EB0118" w14:textId="77777777" w:rsidR="00CE5D8A" w:rsidRPr="00427B3A" w:rsidRDefault="00CE5D8A" w:rsidP="00586FD8">
            <w:pPr>
              <w:jc w:val="center"/>
              <w:rPr>
                <w:sz w:val="20"/>
                <w:szCs w:val="20"/>
              </w:rPr>
            </w:pPr>
          </w:p>
        </w:tc>
      </w:tr>
      <w:tr w:rsidR="00CE5D8A" w:rsidRPr="00427B3A" w14:paraId="47D74DC1" w14:textId="77777777" w:rsidTr="00586FD8">
        <w:trPr>
          <w:trHeight w:hRule="exact" w:val="821"/>
        </w:trPr>
        <w:tc>
          <w:tcPr>
            <w:tcW w:w="1695" w:type="pct"/>
            <w:tcBorders>
              <w:top w:val="single" w:sz="4" w:space="0" w:color="CC6A28"/>
              <w:left w:val="single" w:sz="8" w:space="0" w:color="CC6A28"/>
              <w:bottom w:val="single" w:sz="4" w:space="0" w:color="CC6A28"/>
              <w:right w:val="single" w:sz="4" w:space="0" w:color="CC6A28"/>
            </w:tcBorders>
          </w:tcPr>
          <w:p w14:paraId="1AF1DF7C" w14:textId="39FCF0F5" w:rsidR="00CE5D8A" w:rsidRPr="00427B3A" w:rsidRDefault="00CE5D8A" w:rsidP="00586FD8">
            <w:pPr>
              <w:pStyle w:val="TableParagraph"/>
              <w:kinsoku w:val="0"/>
              <w:overflowPunct w:val="0"/>
              <w:jc w:val="both"/>
              <w:rPr>
                <w:sz w:val="20"/>
                <w:szCs w:val="20"/>
              </w:rPr>
            </w:pPr>
            <w:r w:rsidRPr="000761E9">
              <w:rPr>
                <w:color w:val="231F20"/>
                <w:sz w:val="20"/>
                <w:szCs w:val="20"/>
              </w:rPr>
              <w:t>Nebūtisku nepilnību novēršana. 2.4. tematā aprakstītie jautājumi</w:t>
            </w:r>
          </w:p>
        </w:tc>
        <w:tc>
          <w:tcPr>
            <w:tcW w:w="648" w:type="pct"/>
            <w:tcBorders>
              <w:top w:val="single" w:sz="4" w:space="0" w:color="CC6A28"/>
              <w:left w:val="single" w:sz="4" w:space="0" w:color="CC6A28"/>
              <w:bottom w:val="single" w:sz="4" w:space="0" w:color="CC6A28"/>
              <w:right w:val="single" w:sz="4" w:space="0" w:color="CC6A28"/>
            </w:tcBorders>
            <w:vAlign w:val="center"/>
          </w:tcPr>
          <w:p w14:paraId="4C174EF8" w14:textId="405C14EC" w:rsidR="00CE5D8A" w:rsidRPr="00427B3A" w:rsidRDefault="00CE5D8A" w:rsidP="00586FD8">
            <w:pPr>
              <w:pStyle w:val="TableParagraph"/>
              <w:kinsoku w:val="0"/>
              <w:overflowPunct w:val="0"/>
              <w:jc w:val="center"/>
              <w:rPr>
                <w:sz w:val="20"/>
                <w:szCs w:val="20"/>
              </w:rPr>
            </w:pPr>
            <w:r w:rsidRPr="00427B3A">
              <w:rPr>
                <w:color w:val="231F20"/>
                <w:sz w:val="20"/>
                <w:szCs w:val="20"/>
              </w:rPr>
              <w:t>2.4</w:t>
            </w:r>
            <w:r w:rsidR="00DC1556">
              <w:rPr>
                <w:color w:val="231F20"/>
                <w:sz w:val="20"/>
                <w:szCs w:val="20"/>
              </w:rPr>
              <w:t>.</w:t>
            </w:r>
          </w:p>
        </w:tc>
        <w:tc>
          <w:tcPr>
            <w:tcW w:w="791" w:type="pct"/>
            <w:tcBorders>
              <w:top w:val="single" w:sz="4" w:space="0" w:color="CC6A28"/>
              <w:left w:val="single" w:sz="4" w:space="0" w:color="CC6A28"/>
              <w:bottom w:val="single" w:sz="4" w:space="0" w:color="CC6A28"/>
              <w:right w:val="single" w:sz="4" w:space="0" w:color="CC6A28"/>
            </w:tcBorders>
            <w:vAlign w:val="center"/>
          </w:tcPr>
          <w:p w14:paraId="353D5F67" w14:textId="77777777" w:rsidR="00CE5D8A" w:rsidRPr="00427B3A" w:rsidRDefault="00CE5D8A" w:rsidP="00586FD8">
            <w:pPr>
              <w:jc w:val="center"/>
              <w:rPr>
                <w:sz w:val="20"/>
                <w:szCs w:val="20"/>
              </w:rPr>
            </w:pPr>
          </w:p>
        </w:tc>
        <w:tc>
          <w:tcPr>
            <w:tcW w:w="611" w:type="pct"/>
            <w:tcBorders>
              <w:top w:val="single" w:sz="4" w:space="0" w:color="CC6A28"/>
              <w:left w:val="single" w:sz="4" w:space="0" w:color="CC6A28"/>
              <w:bottom w:val="single" w:sz="4" w:space="0" w:color="CC6A28"/>
              <w:right w:val="single" w:sz="4" w:space="0" w:color="CC6A28"/>
            </w:tcBorders>
            <w:vAlign w:val="center"/>
          </w:tcPr>
          <w:p w14:paraId="0E81CE0F" w14:textId="77777777" w:rsidR="00CE5D8A" w:rsidRPr="00427B3A" w:rsidRDefault="00CE5D8A" w:rsidP="00586FD8">
            <w:pPr>
              <w:jc w:val="center"/>
              <w:rPr>
                <w:sz w:val="20"/>
                <w:szCs w:val="20"/>
              </w:rPr>
            </w:pPr>
          </w:p>
        </w:tc>
        <w:tc>
          <w:tcPr>
            <w:tcW w:w="572" w:type="pct"/>
            <w:tcBorders>
              <w:top w:val="single" w:sz="4" w:space="0" w:color="CC6A28"/>
              <w:left w:val="single" w:sz="4" w:space="0" w:color="CC6A28"/>
              <w:bottom w:val="single" w:sz="4" w:space="0" w:color="CC6A28"/>
              <w:right w:val="single" w:sz="4" w:space="0" w:color="CC6A28"/>
            </w:tcBorders>
            <w:vAlign w:val="center"/>
          </w:tcPr>
          <w:p w14:paraId="24CACE8C" w14:textId="77777777" w:rsidR="00CE5D8A" w:rsidRPr="00427B3A" w:rsidRDefault="00CE5D8A" w:rsidP="00586FD8">
            <w:pPr>
              <w:pStyle w:val="TableParagraph"/>
              <w:kinsoku w:val="0"/>
              <w:overflowPunct w:val="0"/>
              <w:jc w:val="center"/>
              <w:rPr>
                <w:sz w:val="20"/>
                <w:szCs w:val="20"/>
              </w:rPr>
            </w:pPr>
            <w:r w:rsidRPr="00427B3A">
              <w:rPr>
                <w:color w:val="CC6A28"/>
                <w:sz w:val="20"/>
                <w:szCs w:val="20"/>
              </w:rPr>
              <w:sym w:font="Symbol" w:char="F0D6"/>
            </w:r>
          </w:p>
        </w:tc>
        <w:tc>
          <w:tcPr>
            <w:tcW w:w="683" w:type="pct"/>
            <w:tcBorders>
              <w:top w:val="single" w:sz="4" w:space="0" w:color="CC6A28"/>
              <w:left w:val="single" w:sz="4" w:space="0" w:color="CC6A28"/>
              <w:bottom w:val="single" w:sz="4" w:space="0" w:color="CC6A28"/>
              <w:right w:val="single" w:sz="8" w:space="0" w:color="CC6A28"/>
            </w:tcBorders>
            <w:vAlign w:val="center"/>
          </w:tcPr>
          <w:p w14:paraId="13629413" w14:textId="77777777" w:rsidR="00CE5D8A" w:rsidRPr="00427B3A" w:rsidRDefault="00CE5D8A" w:rsidP="00586FD8">
            <w:pPr>
              <w:jc w:val="center"/>
              <w:rPr>
                <w:sz w:val="20"/>
                <w:szCs w:val="20"/>
              </w:rPr>
            </w:pPr>
          </w:p>
        </w:tc>
      </w:tr>
      <w:tr w:rsidR="00CE5D8A" w:rsidRPr="00427B3A" w14:paraId="2A0F6042" w14:textId="77777777" w:rsidTr="00586FD8">
        <w:trPr>
          <w:trHeight w:hRule="exact" w:val="821"/>
        </w:trPr>
        <w:tc>
          <w:tcPr>
            <w:tcW w:w="1695" w:type="pct"/>
            <w:tcBorders>
              <w:top w:val="single" w:sz="4" w:space="0" w:color="CC6A28"/>
              <w:left w:val="single" w:sz="8" w:space="0" w:color="CC6A28"/>
              <w:bottom w:val="single" w:sz="8" w:space="0" w:color="A71C20"/>
              <w:right w:val="single" w:sz="4" w:space="0" w:color="CC6A28"/>
            </w:tcBorders>
          </w:tcPr>
          <w:p w14:paraId="29CECF70" w14:textId="34F0C093" w:rsidR="00CE5D8A" w:rsidRPr="00427B3A" w:rsidRDefault="00CE5D8A" w:rsidP="00586FD8">
            <w:pPr>
              <w:pStyle w:val="TableParagraph"/>
              <w:kinsoku w:val="0"/>
              <w:overflowPunct w:val="0"/>
              <w:jc w:val="both"/>
              <w:rPr>
                <w:sz w:val="20"/>
                <w:szCs w:val="20"/>
              </w:rPr>
            </w:pPr>
            <w:r w:rsidRPr="000761E9">
              <w:rPr>
                <w:color w:val="231F20"/>
                <w:sz w:val="20"/>
                <w:szCs w:val="20"/>
              </w:rPr>
              <w:t>Iestādei radušos izmaksu atlīdzināšana. 2.5. tematā aprakstītie jautājumi</w:t>
            </w:r>
          </w:p>
        </w:tc>
        <w:tc>
          <w:tcPr>
            <w:tcW w:w="648" w:type="pct"/>
            <w:tcBorders>
              <w:top w:val="single" w:sz="4" w:space="0" w:color="CC6A28"/>
              <w:left w:val="single" w:sz="4" w:space="0" w:color="CC6A28"/>
              <w:bottom w:val="single" w:sz="8" w:space="0" w:color="A71C20"/>
              <w:right w:val="single" w:sz="4" w:space="0" w:color="CC6A28"/>
            </w:tcBorders>
            <w:vAlign w:val="center"/>
          </w:tcPr>
          <w:p w14:paraId="7DF8CBDB" w14:textId="279B87B7" w:rsidR="00CE5D8A" w:rsidRPr="00427B3A" w:rsidRDefault="00CE5D8A" w:rsidP="00586FD8">
            <w:pPr>
              <w:pStyle w:val="TableParagraph"/>
              <w:kinsoku w:val="0"/>
              <w:overflowPunct w:val="0"/>
              <w:jc w:val="center"/>
              <w:rPr>
                <w:sz w:val="20"/>
                <w:szCs w:val="20"/>
              </w:rPr>
            </w:pPr>
            <w:r w:rsidRPr="00427B3A">
              <w:rPr>
                <w:color w:val="231F20"/>
                <w:sz w:val="20"/>
                <w:szCs w:val="20"/>
              </w:rPr>
              <w:t>2.5</w:t>
            </w:r>
            <w:r w:rsidR="00DC1556">
              <w:rPr>
                <w:color w:val="231F20"/>
                <w:sz w:val="20"/>
                <w:szCs w:val="20"/>
              </w:rPr>
              <w:t>.</w:t>
            </w:r>
          </w:p>
        </w:tc>
        <w:tc>
          <w:tcPr>
            <w:tcW w:w="791" w:type="pct"/>
            <w:tcBorders>
              <w:top w:val="single" w:sz="4" w:space="0" w:color="CC6A28"/>
              <w:left w:val="single" w:sz="4" w:space="0" w:color="CC6A28"/>
              <w:bottom w:val="single" w:sz="8" w:space="0" w:color="A71C20"/>
              <w:right w:val="single" w:sz="4" w:space="0" w:color="CC6A28"/>
            </w:tcBorders>
            <w:vAlign w:val="center"/>
          </w:tcPr>
          <w:p w14:paraId="4CB19E66" w14:textId="77777777" w:rsidR="00CE5D8A" w:rsidRPr="00427B3A" w:rsidRDefault="00CE5D8A" w:rsidP="00586FD8">
            <w:pPr>
              <w:jc w:val="center"/>
              <w:rPr>
                <w:sz w:val="20"/>
                <w:szCs w:val="20"/>
              </w:rPr>
            </w:pPr>
          </w:p>
        </w:tc>
        <w:tc>
          <w:tcPr>
            <w:tcW w:w="611" w:type="pct"/>
            <w:tcBorders>
              <w:top w:val="single" w:sz="4" w:space="0" w:color="CC6A28"/>
              <w:left w:val="single" w:sz="4" w:space="0" w:color="CC6A28"/>
              <w:bottom w:val="single" w:sz="8" w:space="0" w:color="A71C20"/>
              <w:right w:val="single" w:sz="4" w:space="0" w:color="CC6A28"/>
            </w:tcBorders>
            <w:vAlign w:val="center"/>
          </w:tcPr>
          <w:p w14:paraId="5516830C" w14:textId="77777777" w:rsidR="00CE5D8A" w:rsidRPr="00427B3A" w:rsidRDefault="00CE5D8A" w:rsidP="00586FD8">
            <w:pPr>
              <w:jc w:val="center"/>
              <w:rPr>
                <w:sz w:val="20"/>
                <w:szCs w:val="20"/>
              </w:rPr>
            </w:pPr>
          </w:p>
        </w:tc>
        <w:tc>
          <w:tcPr>
            <w:tcW w:w="572" w:type="pct"/>
            <w:tcBorders>
              <w:top w:val="single" w:sz="4" w:space="0" w:color="CC6A28"/>
              <w:left w:val="single" w:sz="4" w:space="0" w:color="CC6A28"/>
              <w:bottom w:val="single" w:sz="8" w:space="0" w:color="A71C20"/>
              <w:right w:val="single" w:sz="4" w:space="0" w:color="CC6A28"/>
            </w:tcBorders>
            <w:vAlign w:val="center"/>
          </w:tcPr>
          <w:p w14:paraId="5BAE54F3" w14:textId="77777777" w:rsidR="00CE5D8A" w:rsidRPr="00427B3A" w:rsidRDefault="00CE5D8A" w:rsidP="00586FD8">
            <w:pPr>
              <w:pStyle w:val="TableParagraph"/>
              <w:kinsoku w:val="0"/>
              <w:overflowPunct w:val="0"/>
              <w:jc w:val="center"/>
              <w:rPr>
                <w:sz w:val="20"/>
                <w:szCs w:val="20"/>
              </w:rPr>
            </w:pPr>
            <w:r w:rsidRPr="00427B3A">
              <w:rPr>
                <w:color w:val="CC6A28"/>
                <w:sz w:val="20"/>
                <w:szCs w:val="20"/>
              </w:rPr>
              <w:sym w:font="Symbol" w:char="F0D6"/>
            </w:r>
          </w:p>
        </w:tc>
        <w:tc>
          <w:tcPr>
            <w:tcW w:w="683" w:type="pct"/>
            <w:tcBorders>
              <w:top w:val="single" w:sz="4" w:space="0" w:color="CC6A28"/>
              <w:left w:val="single" w:sz="4" w:space="0" w:color="CC6A28"/>
              <w:bottom w:val="single" w:sz="8" w:space="0" w:color="A71C20"/>
              <w:right w:val="single" w:sz="8" w:space="0" w:color="CC6A28"/>
            </w:tcBorders>
            <w:vAlign w:val="center"/>
          </w:tcPr>
          <w:p w14:paraId="49FDD634" w14:textId="77777777" w:rsidR="00CE5D8A" w:rsidRPr="00427B3A" w:rsidRDefault="00CE5D8A" w:rsidP="00586FD8">
            <w:pPr>
              <w:jc w:val="center"/>
              <w:rPr>
                <w:sz w:val="20"/>
                <w:szCs w:val="20"/>
              </w:rPr>
            </w:pPr>
          </w:p>
        </w:tc>
      </w:tr>
      <w:tr w:rsidR="00CE5D8A" w:rsidRPr="00427B3A" w14:paraId="513E7A4E" w14:textId="77777777" w:rsidTr="00586FD8">
        <w:trPr>
          <w:trHeight w:hRule="exact" w:val="454"/>
        </w:trPr>
        <w:tc>
          <w:tcPr>
            <w:tcW w:w="5000" w:type="pct"/>
            <w:gridSpan w:val="6"/>
            <w:tcBorders>
              <w:top w:val="single" w:sz="8" w:space="0" w:color="A71C20"/>
              <w:left w:val="single" w:sz="8" w:space="0" w:color="A71C20"/>
              <w:bottom w:val="single" w:sz="4" w:space="0" w:color="A71C20"/>
              <w:right w:val="single" w:sz="8" w:space="0" w:color="A71C20"/>
            </w:tcBorders>
            <w:shd w:val="clear" w:color="auto" w:fill="A71C20"/>
          </w:tcPr>
          <w:p w14:paraId="2AEC95E0" w14:textId="7FF9255F" w:rsidR="00CE5D8A" w:rsidRPr="00CE5D8A" w:rsidRDefault="00CE5D8A" w:rsidP="00CE5D8A">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3. temats. Aktīva ekspluatācija un uzturēšana</w:t>
            </w:r>
          </w:p>
        </w:tc>
      </w:tr>
      <w:tr w:rsidR="00CE5D8A" w:rsidRPr="00427B3A" w14:paraId="2834364C" w14:textId="77777777" w:rsidTr="00586FD8">
        <w:trPr>
          <w:trHeight w:hRule="exact" w:val="1393"/>
        </w:trPr>
        <w:tc>
          <w:tcPr>
            <w:tcW w:w="1695" w:type="pct"/>
            <w:tcBorders>
              <w:top w:val="single" w:sz="4" w:space="0" w:color="A71C20"/>
              <w:left w:val="single" w:sz="8" w:space="0" w:color="A71C20"/>
              <w:bottom w:val="single" w:sz="4" w:space="0" w:color="A71C20"/>
              <w:right w:val="single" w:sz="4" w:space="0" w:color="A71C20"/>
            </w:tcBorders>
          </w:tcPr>
          <w:p w14:paraId="64E6EA8F" w14:textId="4366C615" w:rsidR="00CE5D8A" w:rsidRPr="00CE5D8A" w:rsidRDefault="00CE5D8A" w:rsidP="00CE5D8A">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Atbildība par ekspluatāciju un uzturēšanu. 3.1. tematā aprakstītie jautājumi, kas saistīti ar Iestādes atbildību par uzturēšanu</w:t>
            </w:r>
          </w:p>
        </w:tc>
        <w:tc>
          <w:tcPr>
            <w:tcW w:w="648" w:type="pct"/>
            <w:tcBorders>
              <w:top w:val="single" w:sz="4" w:space="0" w:color="A71C20"/>
              <w:left w:val="single" w:sz="4" w:space="0" w:color="A71C20"/>
              <w:bottom w:val="single" w:sz="4" w:space="0" w:color="A71C20"/>
              <w:right w:val="single" w:sz="4" w:space="0" w:color="A71C20"/>
            </w:tcBorders>
            <w:vAlign w:val="center"/>
          </w:tcPr>
          <w:p w14:paraId="09C16331" w14:textId="14B23320" w:rsidR="00CE5D8A" w:rsidRPr="00427B3A" w:rsidRDefault="00CE5D8A" w:rsidP="00586FD8">
            <w:pPr>
              <w:pStyle w:val="TableParagraph"/>
              <w:kinsoku w:val="0"/>
              <w:overflowPunct w:val="0"/>
              <w:jc w:val="center"/>
              <w:rPr>
                <w:sz w:val="20"/>
                <w:szCs w:val="20"/>
              </w:rPr>
            </w:pPr>
            <w:r w:rsidRPr="00427B3A">
              <w:rPr>
                <w:color w:val="231F20"/>
                <w:sz w:val="20"/>
                <w:szCs w:val="20"/>
              </w:rPr>
              <w:t>3.1</w:t>
            </w:r>
            <w:r w:rsidR="00DC1556">
              <w:rPr>
                <w:color w:val="231F20"/>
                <w:sz w:val="20"/>
                <w:szCs w:val="20"/>
              </w:rPr>
              <w:t>.</w:t>
            </w:r>
          </w:p>
        </w:tc>
        <w:tc>
          <w:tcPr>
            <w:tcW w:w="791" w:type="pct"/>
            <w:tcBorders>
              <w:top w:val="single" w:sz="4" w:space="0" w:color="A71C20"/>
              <w:left w:val="single" w:sz="4" w:space="0" w:color="A71C20"/>
              <w:bottom w:val="single" w:sz="4" w:space="0" w:color="A71C20"/>
              <w:right w:val="single" w:sz="4" w:space="0" w:color="A71C20"/>
            </w:tcBorders>
            <w:vAlign w:val="center"/>
          </w:tcPr>
          <w:p w14:paraId="5B071036" w14:textId="77777777" w:rsidR="00CE5D8A" w:rsidRPr="00427B3A" w:rsidRDefault="00CE5D8A" w:rsidP="00586FD8">
            <w:pPr>
              <w:jc w:val="center"/>
              <w:rPr>
                <w:sz w:val="20"/>
                <w:szCs w:val="20"/>
              </w:rPr>
            </w:pPr>
          </w:p>
        </w:tc>
        <w:tc>
          <w:tcPr>
            <w:tcW w:w="611" w:type="pct"/>
            <w:tcBorders>
              <w:top w:val="single" w:sz="4" w:space="0" w:color="A71C20"/>
              <w:left w:val="single" w:sz="4" w:space="0" w:color="A71C20"/>
              <w:bottom w:val="single" w:sz="4" w:space="0" w:color="A71C20"/>
              <w:right w:val="single" w:sz="4" w:space="0" w:color="A71C20"/>
            </w:tcBorders>
            <w:vAlign w:val="center"/>
          </w:tcPr>
          <w:p w14:paraId="3905D769"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A71C20"/>
              <w:right w:val="single" w:sz="4" w:space="0" w:color="A71C20"/>
            </w:tcBorders>
            <w:vAlign w:val="center"/>
          </w:tcPr>
          <w:p w14:paraId="3025B149"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83" w:type="pct"/>
            <w:tcBorders>
              <w:top w:val="single" w:sz="4" w:space="0" w:color="A71C20"/>
              <w:left w:val="single" w:sz="4" w:space="0" w:color="A71C20"/>
              <w:bottom w:val="single" w:sz="4" w:space="0" w:color="A71C20"/>
              <w:right w:val="single" w:sz="8" w:space="0" w:color="A71C20"/>
            </w:tcBorders>
            <w:vAlign w:val="center"/>
          </w:tcPr>
          <w:p w14:paraId="310F04B4" w14:textId="77777777" w:rsidR="00CE5D8A" w:rsidRPr="00427B3A" w:rsidRDefault="00CE5D8A" w:rsidP="00586FD8">
            <w:pPr>
              <w:jc w:val="center"/>
              <w:rPr>
                <w:sz w:val="20"/>
                <w:szCs w:val="20"/>
              </w:rPr>
            </w:pPr>
          </w:p>
        </w:tc>
      </w:tr>
      <w:tr w:rsidR="00CE5D8A" w:rsidRPr="00427B3A" w14:paraId="1ECBB933" w14:textId="77777777" w:rsidTr="00586FD8">
        <w:trPr>
          <w:trHeight w:hRule="exact" w:val="821"/>
        </w:trPr>
        <w:tc>
          <w:tcPr>
            <w:tcW w:w="1695" w:type="pct"/>
            <w:tcBorders>
              <w:top w:val="single" w:sz="4" w:space="0" w:color="A71C20"/>
              <w:left w:val="single" w:sz="8" w:space="0" w:color="A71C20"/>
              <w:bottom w:val="single" w:sz="4" w:space="0" w:color="A71C20"/>
              <w:right w:val="single" w:sz="4" w:space="0" w:color="A71C20"/>
            </w:tcBorders>
          </w:tcPr>
          <w:p w14:paraId="7613D155" w14:textId="22F55CB6" w:rsidR="00CE5D8A" w:rsidRPr="00427B3A" w:rsidRDefault="00CE5D8A" w:rsidP="00586FD8">
            <w:pPr>
              <w:pStyle w:val="TableParagraph"/>
              <w:kinsoku w:val="0"/>
              <w:overflowPunct w:val="0"/>
              <w:jc w:val="both"/>
              <w:rPr>
                <w:sz w:val="20"/>
                <w:szCs w:val="20"/>
              </w:rPr>
            </w:pPr>
            <w:r w:rsidRPr="000761E9">
              <w:rPr>
                <w:color w:val="231F20"/>
                <w:sz w:val="20"/>
                <w:szCs w:val="20"/>
              </w:rPr>
              <w:lastRenderedPageBreak/>
              <w:t>Ekspluatācijas un uzturēšanas standarti. 3.2. tematā aprakstītie jautājumi</w:t>
            </w:r>
          </w:p>
        </w:tc>
        <w:tc>
          <w:tcPr>
            <w:tcW w:w="648" w:type="pct"/>
            <w:tcBorders>
              <w:top w:val="single" w:sz="4" w:space="0" w:color="A71C20"/>
              <w:left w:val="single" w:sz="4" w:space="0" w:color="A71C20"/>
              <w:bottom w:val="single" w:sz="4" w:space="0" w:color="A71C20"/>
              <w:right w:val="single" w:sz="4" w:space="0" w:color="A71C20"/>
            </w:tcBorders>
            <w:vAlign w:val="center"/>
          </w:tcPr>
          <w:p w14:paraId="71528DE8" w14:textId="13601C95" w:rsidR="00CE5D8A" w:rsidRPr="00427B3A" w:rsidRDefault="00CE5D8A" w:rsidP="00586FD8">
            <w:pPr>
              <w:pStyle w:val="TableParagraph"/>
              <w:kinsoku w:val="0"/>
              <w:overflowPunct w:val="0"/>
              <w:jc w:val="center"/>
              <w:rPr>
                <w:sz w:val="20"/>
                <w:szCs w:val="20"/>
              </w:rPr>
            </w:pPr>
            <w:r w:rsidRPr="00427B3A">
              <w:rPr>
                <w:color w:val="231F20"/>
                <w:sz w:val="20"/>
                <w:szCs w:val="20"/>
              </w:rPr>
              <w:t>3.2</w:t>
            </w:r>
            <w:r w:rsidR="00DC1556">
              <w:rPr>
                <w:color w:val="231F20"/>
                <w:sz w:val="20"/>
                <w:szCs w:val="20"/>
              </w:rPr>
              <w:t>.</w:t>
            </w:r>
          </w:p>
        </w:tc>
        <w:tc>
          <w:tcPr>
            <w:tcW w:w="791" w:type="pct"/>
            <w:tcBorders>
              <w:top w:val="single" w:sz="4" w:space="0" w:color="A71C20"/>
              <w:left w:val="single" w:sz="4" w:space="0" w:color="A71C20"/>
              <w:bottom w:val="single" w:sz="4" w:space="0" w:color="A71C20"/>
              <w:right w:val="single" w:sz="4" w:space="0" w:color="A71C20"/>
            </w:tcBorders>
            <w:vAlign w:val="center"/>
          </w:tcPr>
          <w:p w14:paraId="071AEA02"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11" w:type="pct"/>
            <w:tcBorders>
              <w:top w:val="single" w:sz="4" w:space="0" w:color="A71C20"/>
              <w:left w:val="single" w:sz="4" w:space="0" w:color="A71C20"/>
              <w:bottom w:val="single" w:sz="4" w:space="0" w:color="A71C20"/>
              <w:right w:val="single" w:sz="4" w:space="0" w:color="A71C20"/>
            </w:tcBorders>
            <w:vAlign w:val="center"/>
          </w:tcPr>
          <w:p w14:paraId="2E8FF16B"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A71C20"/>
              <w:right w:val="single" w:sz="4" w:space="0" w:color="A71C20"/>
            </w:tcBorders>
            <w:vAlign w:val="center"/>
          </w:tcPr>
          <w:p w14:paraId="632D7388" w14:textId="77777777" w:rsidR="00CE5D8A" w:rsidRPr="00427B3A" w:rsidRDefault="00CE5D8A" w:rsidP="00586FD8">
            <w:pPr>
              <w:jc w:val="center"/>
              <w:rPr>
                <w:sz w:val="20"/>
                <w:szCs w:val="20"/>
              </w:rPr>
            </w:pPr>
          </w:p>
        </w:tc>
        <w:tc>
          <w:tcPr>
            <w:tcW w:w="683" w:type="pct"/>
            <w:tcBorders>
              <w:top w:val="single" w:sz="4" w:space="0" w:color="A71C20"/>
              <w:left w:val="single" w:sz="4" w:space="0" w:color="A71C20"/>
              <w:bottom w:val="single" w:sz="4" w:space="0" w:color="A71C20"/>
              <w:right w:val="single" w:sz="8" w:space="0" w:color="A71C20"/>
            </w:tcBorders>
            <w:vAlign w:val="center"/>
          </w:tcPr>
          <w:p w14:paraId="61B60431" w14:textId="77777777" w:rsidR="00CE5D8A" w:rsidRPr="00427B3A" w:rsidRDefault="00CE5D8A" w:rsidP="00586FD8">
            <w:pPr>
              <w:jc w:val="center"/>
              <w:rPr>
                <w:sz w:val="20"/>
                <w:szCs w:val="20"/>
              </w:rPr>
            </w:pPr>
          </w:p>
        </w:tc>
      </w:tr>
      <w:tr w:rsidR="00CE5D8A" w:rsidRPr="00427B3A" w14:paraId="55BDACF0" w14:textId="77777777" w:rsidTr="00586FD8">
        <w:trPr>
          <w:trHeight w:hRule="exact" w:val="1107"/>
        </w:trPr>
        <w:tc>
          <w:tcPr>
            <w:tcW w:w="1695" w:type="pct"/>
            <w:tcBorders>
              <w:top w:val="single" w:sz="4" w:space="0" w:color="A71C20"/>
              <w:left w:val="single" w:sz="8" w:space="0" w:color="A71C20"/>
              <w:bottom w:val="single" w:sz="4" w:space="0" w:color="A71C20"/>
              <w:right w:val="single" w:sz="4" w:space="0" w:color="A71C20"/>
            </w:tcBorders>
          </w:tcPr>
          <w:p w14:paraId="088C9480" w14:textId="05851707" w:rsidR="00CE5D8A" w:rsidRPr="00CE5D8A" w:rsidRDefault="00CE5D8A" w:rsidP="00CE5D8A">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Uzturēšanas plāns. 3.3. tematā aprakstītie jautājumi, kas saistīti ar Iestādes apstiprinājumu, kas samazina Partnera risku</w:t>
            </w:r>
          </w:p>
        </w:tc>
        <w:tc>
          <w:tcPr>
            <w:tcW w:w="648" w:type="pct"/>
            <w:tcBorders>
              <w:top w:val="single" w:sz="4" w:space="0" w:color="A71C20"/>
              <w:left w:val="single" w:sz="4" w:space="0" w:color="A71C20"/>
              <w:bottom w:val="single" w:sz="4" w:space="0" w:color="A71C20"/>
              <w:right w:val="single" w:sz="4" w:space="0" w:color="A71C20"/>
            </w:tcBorders>
            <w:vAlign w:val="center"/>
          </w:tcPr>
          <w:p w14:paraId="1429A41B" w14:textId="69353E51" w:rsidR="00CE5D8A" w:rsidRPr="00427B3A" w:rsidRDefault="00CE5D8A" w:rsidP="00586FD8">
            <w:pPr>
              <w:pStyle w:val="TableParagraph"/>
              <w:kinsoku w:val="0"/>
              <w:overflowPunct w:val="0"/>
              <w:jc w:val="center"/>
              <w:rPr>
                <w:sz w:val="20"/>
                <w:szCs w:val="20"/>
              </w:rPr>
            </w:pPr>
            <w:r w:rsidRPr="00427B3A">
              <w:rPr>
                <w:color w:val="231F20"/>
                <w:sz w:val="20"/>
                <w:szCs w:val="20"/>
              </w:rPr>
              <w:t>3.3</w:t>
            </w:r>
            <w:r w:rsidR="00DC1556">
              <w:rPr>
                <w:color w:val="231F20"/>
                <w:sz w:val="20"/>
                <w:szCs w:val="20"/>
              </w:rPr>
              <w:t>.</w:t>
            </w:r>
          </w:p>
        </w:tc>
        <w:tc>
          <w:tcPr>
            <w:tcW w:w="791" w:type="pct"/>
            <w:tcBorders>
              <w:top w:val="single" w:sz="4" w:space="0" w:color="A71C20"/>
              <w:left w:val="single" w:sz="4" w:space="0" w:color="A71C20"/>
              <w:bottom w:val="single" w:sz="4" w:space="0" w:color="A71C20"/>
              <w:right w:val="single" w:sz="4" w:space="0" w:color="A71C20"/>
            </w:tcBorders>
            <w:vAlign w:val="center"/>
          </w:tcPr>
          <w:p w14:paraId="1C895CBA" w14:textId="77777777" w:rsidR="00CE5D8A" w:rsidRPr="00427B3A" w:rsidRDefault="00CE5D8A" w:rsidP="00586FD8">
            <w:pPr>
              <w:jc w:val="center"/>
              <w:rPr>
                <w:sz w:val="20"/>
                <w:szCs w:val="20"/>
              </w:rPr>
            </w:pPr>
          </w:p>
        </w:tc>
        <w:tc>
          <w:tcPr>
            <w:tcW w:w="611" w:type="pct"/>
            <w:tcBorders>
              <w:top w:val="single" w:sz="4" w:space="0" w:color="A71C20"/>
              <w:left w:val="single" w:sz="4" w:space="0" w:color="A71C20"/>
              <w:bottom w:val="single" w:sz="4" w:space="0" w:color="A71C20"/>
              <w:right w:val="single" w:sz="4" w:space="0" w:color="A71C20"/>
            </w:tcBorders>
            <w:vAlign w:val="center"/>
          </w:tcPr>
          <w:p w14:paraId="5CB718E5"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A71C20"/>
              <w:right w:val="single" w:sz="4" w:space="0" w:color="A71C20"/>
            </w:tcBorders>
            <w:vAlign w:val="center"/>
          </w:tcPr>
          <w:p w14:paraId="7742F469"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83" w:type="pct"/>
            <w:tcBorders>
              <w:top w:val="single" w:sz="4" w:space="0" w:color="A71C20"/>
              <w:left w:val="single" w:sz="4" w:space="0" w:color="A71C20"/>
              <w:bottom w:val="single" w:sz="4" w:space="0" w:color="A71C20"/>
              <w:right w:val="single" w:sz="8" w:space="0" w:color="A71C20"/>
            </w:tcBorders>
            <w:vAlign w:val="center"/>
          </w:tcPr>
          <w:p w14:paraId="5EA75D93" w14:textId="77777777" w:rsidR="00CE5D8A" w:rsidRPr="00427B3A" w:rsidRDefault="00CE5D8A" w:rsidP="00586FD8">
            <w:pPr>
              <w:jc w:val="center"/>
              <w:rPr>
                <w:sz w:val="20"/>
                <w:szCs w:val="20"/>
              </w:rPr>
            </w:pPr>
          </w:p>
        </w:tc>
      </w:tr>
      <w:tr w:rsidR="00CE5D8A" w:rsidRPr="00427B3A" w14:paraId="053C97BA" w14:textId="77777777" w:rsidTr="00586FD8">
        <w:trPr>
          <w:trHeight w:hRule="exact" w:val="1107"/>
        </w:trPr>
        <w:tc>
          <w:tcPr>
            <w:tcW w:w="1695" w:type="pct"/>
            <w:tcBorders>
              <w:top w:val="single" w:sz="4" w:space="0" w:color="A71C20"/>
              <w:left w:val="single" w:sz="8" w:space="0" w:color="A71C20"/>
              <w:bottom w:val="single" w:sz="4" w:space="0" w:color="A71C20"/>
              <w:right w:val="single" w:sz="4" w:space="0" w:color="A71C20"/>
            </w:tcBorders>
          </w:tcPr>
          <w:p w14:paraId="68A0598A" w14:textId="1402E109" w:rsidR="00CE5D8A" w:rsidRPr="00427B3A" w:rsidRDefault="00CE5D8A" w:rsidP="00586FD8">
            <w:pPr>
              <w:pStyle w:val="TableParagraph"/>
              <w:kinsoku w:val="0"/>
              <w:overflowPunct w:val="0"/>
              <w:jc w:val="both"/>
              <w:rPr>
                <w:sz w:val="20"/>
                <w:szCs w:val="20"/>
              </w:rPr>
            </w:pPr>
            <w:r w:rsidRPr="000761E9">
              <w:rPr>
                <w:color w:val="231F20"/>
                <w:sz w:val="20"/>
                <w:szCs w:val="20"/>
              </w:rPr>
              <w:t>Uzturēšanas plāns. 3.3. tematā aprakstītie jautājumi, kas saistīti ar prasību Partnerim uzņemties izmaksas</w:t>
            </w:r>
          </w:p>
        </w:tc>
        <w:tc>
          <w:tcPr>
            <w:tcW w:w="648" w:type="pct"/>
            <w:tcBorders>
              <w:top w:val="single" w:sz="4" w:space="0" w:color="A71C20"/>
              <w:left w:val="single" w:sz="4" w:space="0" w:color="A71C20"/>
              <w:bottom w:val="single" w:sz="4" w:space="0" w:color="A71C20"/>
              <w:right w:val="single" w:sz="4" w:space="0" w:color="A71C20"/>
            </w:tcBorders>
            <w:vAlign w:val="center"/>
          </w:tcPr>
          <w:p w14:paraId="6A97E19D" w14:textId="3AA4A07D" w:rsidR="00CE5D8A" w:rsidRPr="00427B3A" w:rsidRDefault="00CE5D8A" w:rsidP="00586FD8">
            <w:pPr>
              <w:pStyle w:val="TableParagraph"/>
              <w:kinsoku w:val="0"/>
              <w:overflowPunct w:val="0"/>
              <w:jc w:val="center"/>
              <w:rPr>
                <w:sz w:val="20"/>
                <w:szCs w:val="20"/>
              </w:rPr>
            </w:pPr>
            <w:r w:rsidRPr="00427B3A">
              <w:rPr>
                <w:color w:val="231F20"/>
                <w:sz w:val="20"/>
                <w:szCs w:val="20"/>
              </w:rPr>
              <w:t>3.3</w:t>
            </w:r>
            <w:r w:rsidR="00DC1556">
              <w:rPr>
                <w:color w:val="231F20"/>
                <w:sz w:val="20"/>
                <w:szCs w:val="20"/>
              </w:rPr>
              <w:t>.</w:t>
            </w:r>
          </w:p>
        </w:tc>
        <w:tc>
          <w:tcPr>
            <w:tcW w:w="791" w:type="pct"/>
            <w:tcBorders>
              <w:top w:val="single" w:sz="4" w:space="0" w:color="A71C20"/>
              <w:left w:val="single" w:sz="4" w:space="0" w:color="A71C20"/>
              <w:bottom w:val="single" w:sz="4" w:space="0" w:color="A71C20"/>
              <w:right w:val="single" w:sz="4" w:space="0" w:color="A71C20"/>
            </w:tcBorders>
            <w:vAlign w:val="center"/>
          </w:tcPr>
          <w:p w14:paraId="5FB7461C" w14:textId="77777777" w:rsidR="00CE5D8A" w:rsidRPr="00427B3A" w:rsidRDefault="00CE5D8A" w:rsidP="00586FD8">
            <w:pPr>
              <w:jc w:val="center"/>
              <w:rPr>
                <w:sz w:val="20"/>
                <w:szCs w:val="20"/>
              </w:rPr>
            </w:pPr>
          </w:p>
        </w:tc>
        <w:tc>
          <w:tcPr>
            <w:tcW w:w="611" w:type="pct"/>
            <w:tcBorders>
              <w:top w:val="single" w:sz="4" w:space="0" w:color="A71C20"/>
              <w:left w:val="single" w:sz="4" w:space="0" w:color="A71C20"/>
              <w:bottom w:val="single" w:sz="4" w:space="0" w:color="A71C20"/>
              <w:right w:val="single" w:sz="4" w:space="0" w:color="A71C20"/>
            </w:tcBorders>
            <w:vAlign w:val="center"/>
          </w:tcPr>
          <w:p w14:paraId="1509869A"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A71C20"/>
              <w:right w:val="single" w:sz="4" w:space="0" w:color="A71C20"/>
            </w:tcBorders>
            <w:vAlign w:val="center"/>
          </w:tcPr>
          <w:p w14:paraId="297D8109" w14:textId="77777777" w:rsidR="00CE5D8A" w:rsidRPr="00427B3A" w:rsidRDefault="00CE5D8A" w:rsidP="00586FD8">
            <w:pPr>
              <w:jc w:val="center"/>
              <w:rPr>
                <w:sz w:val="20"/>
                <w:szCs w:val="20"/>
              </w:rPr>
            </w:pPr>
          </w:p>
        </w:tc>
        <w:tc>
          <w:tcPr>
            <w:tcW w:w="683" w:type="pct"/>
            <w:tcBorders>
              <w:top w:val="single" w:sz="4" w:space="0" w:color="A71C20"/>
              <w:left w:val="single" w:sz="4" w:space="0" w:color="A71C20"/>
              <w:bottom w:val="single" w:sz="4" w:space="0" w:color="A71C20"/>
              <w:right w:val="single" w:sz="8" w:space="0" w:color="A71C20"/>
            </w:tcBorders>
            <w:vAlign w:val="center"/>
          </w:tcPr>
          <w:p w14:paraId="4ECC0DDC"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r>
      <w:tr w:rsidR="00CE5D8A" w:rsidRPr="00427B3A" w14:paraId="6E0C51A0" w14:textId="77777777" w:rsidTr="00586FD8">
        <w:trPr>
          <w:trHeight w:hRule="exact" w:val="1112"/>
        </w:trPr>
        <w:tc>
          <w:tcPr>
            <w:tcW w:w="1695" w:type="pct"/>
            <w:tcBorders>
              <w:top w:val="nil"/>
              <w:left w:val="single" w:sz="8" w:space="0" w:color="A71C20"/>
              <w:bottom w:val="single" w:sz="4" w:space="0" w:color="A71C20"/>
              <w:right w:val="single" w:sz="4" w:space="0" w:color="A71C20"/>
            </w:tcBorders>
          </w:tcPr>
          <w:p w14:paraId="00957624" w14:textId="2C706F33" w:rsidR="00CE5D8A" w:rsidRPr="00CE5D8A" w:rsidRDefault="00CE5D8A" w:rsidP="00CE5D8A">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Uzturēšanas fondi. 3.4. tematā aprakstītie jautājumi, kas saistīti ar gadījumu, kad Iestāde uzņemas ar uzturēšanas fondu saistīto risku</w:t>
            </w:r>
          </w:p>
        </w:tc>
        <w:tc>
          <w:tcPr>
            <w:tcW w:w="648" w:type="pct"/>
            <w:tcBorders>
              <w:top w:val="nil"/>
              <w:left w:val="single" w:sz="4" w:space="0" w:color="A71C20"/>
              <w:bottom w:val="single" w:sz="4" w:space="0" w:color="A71C20"/>
              <w:right w:val="single" w:sz="4" w:space="0" w:color="A71C20"/>
            </w:tcBorders>
            <w:vAlign w:val="center"/>
          </w:tcPr>
          <w:p w14:paraId="00E20611" w14:textId="58ADA6F0" w:rsidR="00CE5D8A" w:rsidRPr="00427B3A" w:rsidRDefault="00CE5D8A" w:rsidP="00586FD8">
            <w:pPr>
              <w:pStyle w:val="TableParagraph"/>
              <w:kinsoku w:val="0"/>
              <w:overflowPunct w:val="0"/>
              <w:jc w:val="center"/>
              <w:rPr>
                <w:sz w:val="20"/>
                <w:szCs w:val="20"/>
              </w:rPr>
            </w:pPr>
            <w:r w:rsidRPr="00427B3A">
              <w:rPr>
                <w:color w:val="231F20"/>
                <w:sz w:val="20"/>
                <w:szCs w:val="20"/>
              </w:rPr>
              <w:t>3.4</w:t>
            </w:r>
            <w:r w:rsidR="00DC1556">
              <w:rPr>
                <w:color w:val="231F20"/>
                <w:sz w:val="20"/>
                <w:szCs w:val="20"/>
              </w:rPr>
              <w:t>.</w:t>
            </w:r>
          </w:p>
        </w:tc>
        <w:tc>
          <w:tcPr>
            <w:tcW w:w="791" w:type="pct"/>
            <w:tcBorders>
              <w:top w:val="nil"/>
              <w:left w:val="single" w:sz="4" w:space="0" w:color="A71C20"/>
              <w:bottom w:val="single" w:sz="4" w:space="0" w:color="A71C20"/>
              <w:right w:val="single" w:sz="4" w:space="0" w:color="A71C20"/>
            </w:tcBorders>
            <w:vAlign w:val="center"/>
          </w:tcPr>
          <w:p w14:paraId="7A0F7C7C" w14:textId="77777777" w:rsidR="00CE5D8A" w:rsidRPr="00427B3A" w:rsidRDefault="00CE5D8A" w:rsidP="00586FD8">
            <w:pPr>
              <w:jc w:val="center"/>
              <w:rPr>
                <w:sz w:val="20"/>
                <w:szCs w:val="20"/>
              </w:rPr>
            </w:pPr>
          </w:p>
        </w:tc>
        <w:tc>
          <w:tcPr>
            <w:tcW w:w="611" w:type="pct"/>
            <w:tcBorders>
              <w:top w:val="nil"/>
              <w:left w:val="single" w:sz="4" w:space="0" w:color="A71C20"/>
              <w:bottom w:val="single" w:sz="4" w:space="0" w:color="A71C20"/>
              <w:right w:val="single" w:sz="4" w:space="0" w:color="A71C20"/>
            </w:tcBorders>
            <w:vAlign w:val="center"/>
          </w:tcPr>
          <w:p w14:paraId="3F27A33C" w14:textId="77777777" w:rsidR="00CE5D8A" w:rsidRPr="00427B3A" w:rsidRDefault="00CE5D8A" w:rsidP="00586FD8">
            <w:pPr>
              <w:jc w:val="center"/>
              <w:rPr>
                <w:sz w:val="20"/>
                <w:szCs w:val="20"/>
              </w:rPr>
            </w:pPr>
          </w:p>
        </w:tc>
        <w:tc>
          <w:tcPr>
            <w:tcW w:w="572" w:type="pct"/>
            <w:tcBorders>
              <w:top w:val="nil"/>
              <w:left w:val="single" w:sz="4" w:space="0" w:color="A71C20"/>
              <w:bottom w:val="single" w:sz="4" w:space="0" w:color="A71C20"/>
              <w:right w:val="single" w:sz="4" w:space="0" w:color="A71C20"/>
            </w:tcBorders>
            <w:vAlign w:val="center"/>
          </w:tcPr>
          <w:p w14:paraId="6EADFB9A"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83" w:type="pct"/>
            <w:tcBorders>
              <w:top w:val="nil"/>
              <w:left w:val="single" w:sz="4" w:space="0" w:color="A71C20"/>
              <w:bottom w:val="single" w:sz="4" w:space="0" w:color="A71C20"/>
              <w:right w:val="single" w:sz="8" w:space="0" w:color="A71C20"/>
            </w:tcBorders>
            <w:vAlign w:val="center"/>
          </w:tcPr>
          <w:p w14:paraId="239A35BD" w14:textId="77777777" w:rsidR="00CE5D8A" w:rsidRPr="00427B3A" w:rsidRDefault="00CE5D8A" w:rsidP="00586FD8">
            <w:pPr>
              <w:jc w:val="center"/>
              <w:rPr>
                <w:sz w:val="20"/>
                <w:szCs w:val="20"/>
              </w:rPr>
            </w:pPr>
          </w:p>
        </w:tc>
      </w:tr>
      <w:tr w:rsidR="00CE5D8A" w:rsidRPr="00427B3A" w14:paraId="74C4E752" w14:textId="77777777" w:rsidTr="00586FD8">
        <w:trPr>
          <w:trHeight w:hRule="exact" w:val="1393"/>
        </w:trPr>
        <w:tc>
          <w:tcPr>
            <w:tcW w:w="1695" w:type="pct"/>
            <w:tcBorders>
              <w:top w:val="single" w:sz="4" w:space="0" w:color="A71C20"/>
              <w:left w:val="single" w:sz="8" w:space="0" w:color="A71C20"/>
              <w:bottom w:val="single" w:sz="4" w:space="0" w:color="A71C20"/>
              <w:right w:val="single" w:sz="4" w:space="0" w:color="A71C20"/>
            </w:tcBorders>
          </w:tcPr>
          <w:p w14:paraId="69A44947" w14:textId="1C2C4EDD" w:rsidR="00CE5D8A" w:rsidRPr="00CE5D8A" w:rsidRDefault="00CE5D8A" w:rsidP="00CE5D8A">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Uzturēšanas fonds. 3.4. tematā aprakstītie jautājumi, kas saistīti ar gadījumu, kad Iestāde saņem atlīdzību no uzturēšanas fonda</w:t>
            </w:r>
          </w:p>
        </w:tc>
        <w:tc>
          <w:tcPr>
            <w:tcW w:w="648" w:type="pct"/>
            <w:tcBorders>
              <w:top w:val="single" w:sz="4" w:space="0" w:color="A71C20"/>
              <w:left w:val="single" w:sz="4" w:space="0" w:color="A71C20"/>
              <w:bottom w:val="single" w:sz="4" w:space="0" w:color="A71C20"/>
              <w:right w:val="single" w:sz="4" w:space="0" w:color="A71C20"/>
            </w:tcBorders>
            <w:vAlign w:val="center"/>
          </w:tcPr>
          <w:p w14:paraId="5E9C2732" w14:textId="18EA22A0" w:rsidR="00CE5D8A" w:rsidRPr="00427B3A" w:rsidRDefault="00CE5D8A" w:rsidP="00586FD8">
            <w:pPr>
              <w:pStyle w:val="TableParagraph"/>
              <w:kinsoku w:val="0"/>
              <w:overflowPunct w:val="0"/>
              <w:jc w:val="center"/>
              <w:rPr>
                <w:sz w:val="20"/>
                <w:szCs w:val="20"/>
              </w:rPr>
            </w:pPr>
            <w:r w:rsidRPr="00427B3A">
              <w:rPr>
                <w:color w:val="231F20"/>
                <w:sz w:val="20"/>
                <w:szCs w:val="20"/>
              </w:rPr>
              <w:t>3.4</w:t>
            </w:r>
            <w:r w:rsidR="00DC1556">
              <w:rPr>
                <w:color w:val="231F20"/>
                <w:sz w:val="20"/>
                <w:szCs w:val="20"/>
              </w:rPr>
              <w:t>.</w:t>
            </w:r>
          </w:p>
        </w:tc>
        <w:tc>
          <w:tcPr>
            <w:tcW w:w="791" w:type="pct"/>
            <w:tcBorders>
              <w:top w:val="single" w:sz="4" w:space="0" w:color="A71C20"/>
              <w:left w:val="single" w:sz="4" w:space="0" w:color="A71C20"/>
              <w:bottom w:val="single" w:sz="4" w:space="0" w:color="A71C20"/>
              <w:right w:val="single" w:sz="4" w:space="0" w:color="A71C20"/>
            </w:tcBorders>
            <w:vAlign w:val="center"/>
          </w:tcPr>
          <w:p w14:paraId="2798936A"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11" w:type="pct"/>
            <w:tcBorders>
              <w:top w:val="single" w:sz="4" w:space="0" w:color="A71C20"/>
              <w:left w:val="single" w:sz="4" w:space="0" w:color="A71C20"/>
              <w:bottom w:val="single" w:sz="4" w:space="0" w:color="A71C20"/>
              <w:right w:val="single" w:sz="4" w:space="0" w:color="A71C20"/>
            </w:tcBorders>
            <w:vAlign w:val="center"/>
          </w:tcPr>
          <w:p w14:paraId="235C12B7"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A71C20"/>
              <w:right w:val="single" w:sz="4" w:space="0" w:color="A71C20"/>
            </w:tcBorders>
            <w:vAlign w:val="center"/>
          </w:tcPr>
          <w:p w14:paraId="1E46BBB7" w14:textId="77777777" w:rsidR="00CE5D8A" w:rsidRPr="00427B3A" w:rsidRDefault="00CE5D8A" w:rsidP="00586FD8">
            <w:pPr>
              <w:jc w:val="center"/>
              <w:rPr>
                <w:sz w:val="20"/>
                <w:szCs w:val="20"/>
              </w:rPr>
            </w:pPr>
          </w:p>
        </w:tc>
        <w:tc>
          <w:tcPr>
            <w:tcW w:w="683" w:type="pct"/>
            <w:tcBorders>
              <w:top w:val="single" w:sz="4" w:space="0" w:color="A71C20"/>
              <w:left w:val="single" w:sz="4" w:space="0" w:color="A71C20"/>
              <w:bottom w:val="single" w:sz="4" w:space="0" w:color="A71C20"/>
              <w:right w:val="single" w:sz="8" w:space="0" w:color="A71C20"/>
            </w:tcBorders>
            <w:vAlign w:val="center"/>
          </w:tcPr>
          <w:p w14:paraId="1A9C2F07" w14:textId="77777777" w:rsidR="00CE5D8A" w:rsidRPr="00427B3A" w:rsidRDefault="00CE5D8A" w:rsidP="00586FD8">
            <w:pPr>
              <w:jc w:val="center"/>
              <w:rPr>
                <w:sz w:val="20"/>
                <w:szCs w:val="20"/>
              </w:rPr>
            </w:pPr>
          </w:p>
        </w:tc>
      </w:tr>
      <w:tr w:rsidR="00CE5D8A" w:rsidRPr="00427B3A" w14:paraId="38B818A0" w14:textId="77777777" w:rsidTr="00586FD8">
        <w:trPr>
          <w:trHeight w:hRule="exact" w:val="1107"/>
        </w:trPr>
        <w:tc>
          <w:tcPr>
            <w:tcW w:w="1695" w:type="pct"/>
            <w:tcBorders>
              <w:top w:val="single" w:sz="4" w:space="0" w:color="A71C20"/>
              <w:left w:val="single" w:sz="8" w:space="0" w:color="A71C20"/>
              <w:bottom w:val="single" w:sz="4" w:space="0" w:color="0093CC"/>
              <w:right w:val="single" w:sz="4" w:space="0" w:color="A71C20"/>
            </w:tcBorders>
          </w:tcPr>
          <w:p w14:paraId="40EB3571" w14:textId="380FEF52" w:rsidR="00CE5D8A" w:rsidRPr="00427B3A" w:rsidRDefault="00CE5D8A" w:rsidP="00586FD8">
            <w:pPr>
              <w:pStyle w:val="TableParagraph"/>
              <w:kinsoku w:val="0"/>
              <w:overflowPunct w:val="0"/>
              <w:jc w:val="both"/>
              <w:rPr>
                <w:sz w:val="20"/>
                <w:szCs w:val="20"/>
              </w:rPr>
            </w:pPr>
            <w:r w:rsidRPr="000761E9">
              <w:rPr>
                <w:color w:val="231F20"/>
                <w:sz w:val="20"/>
                <w:szCs w:val="20"/>
              </w:rPr>
              <w:t>Uzturēšana. 3.4. tematā aprakstītie jautājumi par gadījumu, kad Iestāde gūst labumu no uzturēšanas izmaksu ietaupījumiem</w:t>
            </w:r>
          </w:p>
        </w:tc>
        <w:tc>
          <w:tcPr>
            <w:tcW w:w="648" w:type="pct"/>
            <w:tcBorders>
              <w:top w:val="single" w:sz="4" w:space="0" w:color="A71C20"/>
              <w:left w:val="single" w:sz="4" w:space="0" w:color="A71C20"/>
              <w:bottom w:val="single" w:sz="4" w:space="0" w:color="0093CC"/>
              <w:right w:val="single" w:sz="4" w:space="0" w:color="A71C20"/>
            </w:tcBorders>
            <w:vAlign w:val="center"/>
          </w:tcPr>
          <w:p w14:paraId="1A6E053F" w14:textId="693F1B01" w:rsidR="00CE5D8A" w:rsidRPr="00427B3A" w:rsidRDefault="00CE5D8A" w:rsidP="00586FD8">
            <w:pPr>
              <w:pStyle w:val="TableParagraph"/>
              <w:kinsoku w:val="0"/>
              <w:overflowPunct w:val="0"/>
              <w:jc w:val="center"/>
              <w:rPr>
                <w:sz w:val="20"/>
                <w:szCs w:val="20"/>
              </w:rPr>
            </w:pPr>
            <w:r w:rsidRPr="00427B3A">
              <w:rPr>
                <w:color w:val="231F20"/>
                <w:sz w:val="20"/>
                <w:szCs w:val="20"/>
              </w:rPr>
              <w:t>3.4</w:t>
            </w:r>
            <w:r w:rsidR="00DC1556">
              <w:rPr>
                <w:color w:val="231F20"/>
                <w:sz w:val="20"/>
                <w:szCs w:val="20"/>
              </w:rPr>
              <w:t>.</w:t>
            </w:r>
          </w:p>
        </w:tc>
        <w:tc>
          <w:tcPr>
            <w:tcW w:w="791" w:type="pct"/>
            <w:tcBorders>
              <w:top w:val="single" w:sz="4" w:space="0" w:color="A71C20"/>
              <w:left w:val="single" w:sz="4" w:space="0" w:color="A71C20"/>
              <w:bottom w:val="single" w:sz="4" w:space="0" w:color="0093CC"/>
              <w:right w:val="single" w:sz="4" w:space="0" w:color="A71C20"/>
            </w:tcBorders>
            <w:vAlign w:val="center"/>
          </w:tcPr>
          <w:p w14:paraId="09CC0986" w14:textId="77777777" w:rsidR="00CE5D8A" w:rsidRPr="00427B3A" w:rsidRDefault="00CE5D8A" w:rsidP="00586FD8">
            <w:pPr>
              <w:pStyle w:val="TableParagraph"/>
              <w:kinsoku w:val="0"/>
              <w:overflowPunct w:val="0"/>
              <w:jc w:val="center"/>
              <w:rPr>
                <w:sz w:val="20"/>
                <w:szCs w:val="20"/>
              </w:rPr>
            </w:pPr>
            <w:r w:rsidRPr="00427B3A">
              <w:rPr>
                <w:color w:val="A71C20"/>
                <w:sz w:val="20"/>
                <w:szCs w:val="20"/>
              </w:rPr>
              <w:sym w:font="Symbol" w:char="F0D6"/>
            </w:r>
          </w:p>
        </w:tc>
        <w:tc>
          <w:tcPr>
            <w:tcW w:w="611" w:type="pct"/>
            <w:tcBorders>
              <w:top w:val="single" w:sz="4" w:space="0" w:color="A71C20"/>
              <w:left w:val="single" w:sz="4" w:space="0" w:color="A71C20"/>
              <w:bottom w:val="single" w:sz="4" w:space="0" w:color="0093CC"/>
              <w:right w:val="single" w:sz="4" w:space="0" w:color="A71C20"/>
            </w:tcBorders>
            <w:vAlign w:val="center"/>
          </w:tcPr>
          <w:p w14:paraId="7395FFAA" w14:textId="77777777" w:rsidR="00CE5D8A" w:rsidRPr="00427B3A" w:rsidRDefault="00CE5D8A" w:rsidP="00586FD8">
            <w:pPr>
              <w:jc w:val="center"/>
              <w:rPr>
                <w:sz w:val="20"/>
                <w:szCs w:val="20"/>
              </w:rPr>
            </w:pPr>
          </w:p>
        </w:tc>
        <w:tc>
          <w:tcPr>
            <w:tcW w:w="572" w:type="pct"/>
            <w:tcBorders>
              <w:top w:val="single" w:sz="4" w:space="0" w:color="A71C20"/>
              <w:left w:val="single" w:sz="4" w:space="0" w:color="A71C20"/>
              <w:bottom w:val="single" w:sz="4" w:space="0" w:color="0093CC"/>
              <w:right w:val="single" w:sz="4" w:space="0" w:color="A71C20"/>
            </w:tcBorders>
            <w:vAlign w:val="center"/>
          </w:tcPr>
          <w:p w14:paraId="5C7E207B" w14:textId="77777777" w:rsidR="00CE5D8A" w:rsidRPr="00427B3A" w:rsidRDefault="00CE5D8A" w:rsidP="00586FD8">
            <w:pPr>
              <w:jc w:val="center"/>
              <w:rPr>
                <w:sz w:val="20"/>
                <w:szCs w:val="20"/>
              </w:rPr>
            </w:pPr>
          </w:p>
        </w:tc>
        <w:tc>
          <w:tcPr>
            <w:tcW w:w="683" w:type="pct"/>
            <w:tcBorders>
              <w:top w:val="single" w:sz="4" w:space="0" w:color="A71C20"/>
              <w:left w:val="single" w:sz="4" w:space="0" w:color="A71C20"/>
              <w:bottom w:val="single" w:sz="4" w:space="0" w:color="0093CC"/>
              <w:right w:val="single" w:sz="8" w:space="0" w:color="A71C20"/>
            </w:tcBorders>
            <w:vAlign w:val="center"/>
          </w:tcPr>
          <w:p w14:paraId="6DB0F51C" w14:textId="77777777" w:rsidR="00CE5D8A" w:rsidRPr="00427B3A" w:rsidRDefault="00CE5D8A" w:rsidP="00586FD8">
            <w:pPr>
              <w:jc w:val="center"/>
              <w:rPr>
                <w:sz w:val="20"/>
                <w:szCs w:val="20"/>
              </w:rPr>
            </w:pPr>
          </w:p>
        </w:tc>
      </w:tr>
      <w:tr w:rsidR="00CE5D8A" w:rsidRPr="00427B3A" w14:paraId="48D6D806" w14:textId="77777777" w:rsidTr="00586FD8">
        <w:trPr>
          <w:trHeight w:hRule="exact" w:val="454"/>
        </w:trPr>
        <w:tc>
          <w:tcPr>
            <w:tcW w:w="5000" w:type="pct"/>
            <w:gridSpan w:val="6"/>
            <w:tcBorders>
              <w:top w:val="single" w:sz="4" w:space="0" w:color="0093CC"/>
              <w:left w:val="single" w:sz="8" w:space="0" w:color="0093CC"/>
              <w:bottom w:val="single" w:sz="4" w:space="0" w:color="0093CC"/>
              <w:right w:val="single" w:sz="8" w:space="0" w:color="0093CC"/>
            </w:tcBorders>
            <w:shd w:val="clear" w:color="auto" w:fill="0093CC"/>
          </w:tcPr>
          <w:p w14:paraId="099589DF" w14:textId="0418DBD6" w:rsidR="00CE5D8A" w:rsidRPr="00CE5D8A" w:rsidRDefault="00CE5D8A" w:rsidP="00CE5D8A">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4. temats. Maksājumu mehānisms</w:t>
            </w:r>
          </w:p>
        </w:tc>
      </w:tr>
      <w:tr w:rsidR="00CE5D8A" w:rsidRPr="00427B3A" w14:paraId="0E38205F"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752A37DE" w14:textId="6027680D" w:rsidR="00CE5D8A" w:rsidRPr="00427B3A" w:rsidRDefault="00CE5D8A" w:rsidP="00586FD8">
            <w:pPr>
              <w:pStyle w:val="TableParagraph"/>
              <w:kinsoku w:val="0"/>
              <w:overflowPunct w:val="0"/>
              <w:jc w:val="both"/>
              <w:rPr>
                <w:sz w:val="20"/>
                <w:szCs w:val="20"/>
              </w:rPr>
            </w:pPr>
            <w:r w:rsidRPr="000761E9">
              <w:rPr>
                <w:color w:val="231F20"/>
                <w:sz w:val="20"/>
                <w:szCs w:val="20"/>
              </w:rPr>
              <w:t>Korekcijas nepieejamības un neapmierinošas pakalpojumu izpildes gadījumā. 4.2. tematā aprakstītie jautājumi</w:t>
            </w:r>
          </w:p>
        </w:tc>
        <w:tc>
          <w:tcPr>
            <w:tcW w:w="648" w:type="pct"/>
            <w:tcBorders>
              <w:top w:val="single" w:sz="4" w:space="0" w:color="0093CC"/>
              <w:left w:val="single" w:sz="4" w:space="0" w:color="0093CC"/>
              <w:bottom w:val="single" w:sz="4" w:space="0" w:color="0093CC"/>
              <w:right w:val="single" w:sz="4" w:space="0" w:color="0093CC"/>
            </w:tcBorders>
            <w:vAlign w:val="center"/>
          </w:tcPr>
          <w:p w14:paraId="6FAE29BF" w14:textId="34FBEF1F" w:rsidR="00CE5D8A" w:rsidRPr="00427B3A" w:rsidRDefault="00CE5D8A" w:rsidP="00586FD8">
            <w:pPr>
              <w:pStyle w:val="TableParagraph"/>
              <w:kinsoku w:val="0"/>
              <w:overflowPunct w:val="0"/>
              <w:jc w:val="center"/>
              <w:rPr>
                <w:sz w:val="20"/>
                <w:szCs w:val="20"/>
              </w:rPr>
            </w:pPr>
            <w:r w:rsidRPr="00427B3A">
              <w:rPr>
                <w:color w:val="231F20"/>
                <w:sz w:val="20"/>
                <w:szCs w:val="20"/>
              </w:rPr>
              <w:t>4.2</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7846606"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7D4A9B5D"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32373EEA"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0C7561DD" w14:textId="77777777" w:rsidR="00CE5D8A" w:rsidRPr="00427B3A" w:rsidRDefault="00CE5D8A" w:rsidP="00586FD8">
            <w:pPr>
              <w:jc w:val="center"/>
              <w:rPr>
                <w:sz w:val="20"/>
                <w:szCs w:val="20"/>
              </w:rPr>
            </w:pPr>
          </w:p>
        </w:tc>
      </w:tr>
      <w:tr w:rsidR="00CE5D8A" w:rsidRPr="00427B3A" w14:paraId="58479D88" w14:textId="77777777" w:rsidTr="00DC1556">
        <w:trPr>
          <w:trHeight w:hRule="exact" w:val="1109"/>
        </w:trPr>
        <w:tc>
          <w:tcPr>
            <w:tcW w:w="1695" w:type="pct"/>
            <w:tcBorders>
              <w:top w:val="single" w:sz="4" w:space="0" w:color="0093CC"/>
              <w:left w:val="single" w:sz="8" w:space="0" w:color="0093CC"/>
              <w:bottom w:val="single" w:sz="4" w:space="0" w:color="0093CC"/>
              <w:right w:val="single" w:sz="4" w:space="0" w:color="0093CC"/>
            </w:tcBorders>
          </w:tcPr>
          <w:p w14:paraId="1A3EA21F" w14:textId="7C40B7EE" w:rsidR="00CE5D8A" w:rsidRPr="00DC1556" w:rsidRDefault="00CE5D8A" w:rsidP="00DC1556">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Pieejamības/nepieejamības noteikšana. 4.3. tematā aprakstītie noteikumi, kuros pieejamība/nepieejamība nav definēta</w:t>
            </w:r>
          </w:p>
        </w:tc>
        <w:tc>
          <w:tcPr>
            <w:tcW w:w="648" w:type="pct"/>
            <w:tcBorders>
              <w:top w:val="single" w:sz="4" w:space="0" w:color="0093CC"/>
              <w:left w:val="single" w:sz="4" w:space="0" w:color="0093CC"/>
              <w:bottom w:val="single" w:sz="4" w:space="0" w:color="0093CC"/>
              <w:right w:val="single" w:sz="4" w:space="0" w:color="0093CC"/>
            </w:tcBorders>
            <w:vAlign w:val="center"/>
          </w:tcPr>
          <w:p w14:paraId="6FDE4F48" w14:textId="40115878" w:rsidR="00CE5D8A" w:rsidRPr="00427B3A" w:rsidRDefault="00CE5D8A" w:rsidP="00586FD8">
            <w:pPr>
              <w:pStyle w:val="TableParagraph"/>
              <w:kinsoku w:val="0"/>
              <w:overflowPunct w:val="0"/>
              <w:jc w:val="center"/>
              <w:rPr>
                <w:sz w:val="20"/>
                <w:szCs w:val="20"/>
              </w:rPr>
            </w:pPr>
            <w:r w:rsidRPr="00427B3A">
              <w:rPr>
                <w:color w:val="231F20"/>
                <w:sz w:val="20"/>
                <w:szCs w:val="20"/>
              </w:rPr>
              <w:t>4.3</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3E947D0F"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618E84AF"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33851E6B"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14ECB77B" w14:textId="77777777" w:rsidR="00CE5D8A" w:rsidRPr="00427B3A" w:rsidRDefault="00CE5D8A" w:rsidP="00586FD8">
            <w:pPr>
              <w:jc w:val="center"/>
              <w:rPr>
                <w:sz w:val="20"/>
                <w:szCs w:val="20"/>
              </w:rPr>
            </w:pPr>
          </w:p>
        </w:tc>
      </w:tr>
      <w:tr w:rsidR="00CE5D8A" w:rsidRPr="00427B3A" w14:paraId="4E1E1962" w14:textId="77777777" w:rsidTr="00586FD8">
        <w:trPr>
          <w:trHeight w:hRule="exact" w:val="821"/>
        </w:trPr>
        <w:tc>
          <w:tcPr>
            <w:tcW w:w="1695" w:type="pct"/>
            <w:tcBorders>
              <w:top w:val="single" w:sz="4" w:space="0" w:color="0093CC"/>
              <w:left w:val="single" w:sz="8" w:space="0" w:color="0093CC"/>
              <w:bottom w:val="single" w:sz="4" w:space="0" w:color="0093CC"/>
              <w:right w:val="single" w:sz="4" w:space="0" w:color="0093CC"/>
            </w:tcBorders>
          </w:tcPr>
          <w:p w14:paraId="4E735EEB" w14:textId="2D57DD8E" w:rsidR="00CE5D8A" w:rsidRPr="00427B3A" w:rsidRDefault="00DC1556" w:rsidP="00586FD8">
            <w:pPr>
              <w:pStyle w:val="TableParagraph"/>
              <w:kinsoku w:val="0"/>
              <w:overflowPunct w:val="0"/>
              <w:jc w:val="both"/>
              <w:rPr>
                <w:sz w:val="20"/>
                <w:szCs w:val="20"/>
              </w:rPr>
            </w:pPr>
            <w:r w:rsidRPr="000761E9">
              <w:rPr>
                <w:color w:val="231F20"/>
                <w:sz w:val="20"/>
                <w:szCs w:val="20"/>
              </w:rPr>
              <w:t>Pieejamības un izpildes novērtēšana. 4.5. tematā aprakstītie jautājumi</w:t>
            </w:r>
          </w:p>
        </w:tc>
        <w:tc>
          <w:tcPr>
            <w:tcW w:w="648" w:type="pct"/>
            <w:tcBorders>
              <w:top w:val="single" w:sz="4" w:space="0" w:color="0093CC"/>
              <w:left w:val="single" w:sz="4" w:space="0" w:color="0093CC"/>
              <w:bottom w:val="single" w:sz="4" w:space="0" w:color="0093CC"/>
              <w:right w:val="single" w:sz="4" w:space="0" w:color="0093CC"/>
            </w:tcBorders>
            <w:vAlign w:val="center"/>
          </w:tcPr>
          <w:p w14:paraId="3B0D4885" w14:textId="747BD61F" w:rsidR="00CE5D8A" w:rsidRPr="00427B3A" w:rsidRDefault="00CE5D8A" w:rsidP="00586FD8">
            <w:pPr>
              <w:pStyle w:val="TableParagraph"/>
              <w:kinsoku w:val="0"/>
              <w:overflowPunct w:val="0"/>
              <w:jc w:val="center"/>
              <w:rPr>
                <w:sz w:val="20"/>
                <w:szCs w:val="20"/>
              </w:rPr>
            </w:pPr>
            <w:r w:rsidRPr="00427B3A">
              <w:rPr>
                <w:color w:val="231F20"/>
                <w:sz w:val="20"/>
                <w:szCs w:val="20"/>
              </w:rPr>
              <w:t>4.5</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7A3E66B"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35CB5104"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53EFDE7E"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4377206" w14:textId="77777777" w:rsidR="00CE5D8A" w:rsidRPr="00427B3A" w:rsidRDefault="00CE5D8A" w:rsidP="00586FD8">
            <w:pPr>
              <w:jc w:val="center"/>
              <w:rPr>
                <w:sz w:val="20"/>
                <w:szCs w:val="20"/>
              </w:rPr>
            </w:pPr>
          </w:p>
        </w:tc>
      </w:tr>
      <w:tr w:rsidR="00CE5D8A" w:rsidRPr="00427B3A" w14:paraId="2C76E10A"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73C0B032" w14:textId="04489E84" w:rsidR="00CE5D8A" w:rsidRPr="00427B3A" w:rsidRDefault="00DC1556" w:rsidP="00586FD8">
            <w:pPr>
              <w:pStyle w:val="TableParagraph"/>
              <w:kinsoku w:val="0"/>
              <w:overflowPunct w:val="0"/>
              <w:jc w:val="both"/>
              <w:rPr>
                <w:sz w:val="20"/>
                <w:szCs w:val="20"/>
              </w:rPr>
            </w:pPr>
            <w:r w:rsidRPr="000761E9">
              <w:rPr>
                <w:color w:val="231F20"/>
                <w:sz w:val="20"/>
                <w:szCs w:val="20"/>
              </w:rPr>
              <w:t>Atskaitījumi nepieejamības dēļ. 4.6.1. tematā aprakstītā samērīguma principa nepiemērošana</w:t>
            </w:r>
          </w:p>
        </w:tc>
        <w:tc>
          <w:tcPr>
            <w:tcW w:w="648" w:type="pct"/>
            <w:tcBorders>
              <w:top w:val="single" w:sz="4" w:space="0" w:color="0093CC"/>
              <w:left w:val="single" w:sz="4" w:space="0" w:color="0093CC"/>
              <w:bottom w:val="single" w:sz="4" w:space="0" w:color="0093CC"/>
              <w:right w:val="single" w:sz="4" w:space="0" w:color="0093CC"/>
            </w:tcBorders>
            <w:vAlign w:val="center"/>
          </w:tcPr>
          <w:p w14:paraId="42346813" w14:textId="4DD25DFE" w:rsidR="00CE5D8A" w:rsidRPr="00427B3A" w:rsidRDefault="00CE5D8A" w:rsidP="00586FD8">
            <w:pPr>
              <w:pStyle w:val="TableParagraph"/>
              <w:kinsoku w:val="0"/>
              <w:overflowPunct w:val="0"/>
              <w:jc w:val="center"/>
              <w:rPr>
                <w:sz w:val="20"/>
                <w:szCs w:val="20"/>
              </w:rPr>
            </w:pPr>
            <w:r w:rsidRPr="00427B3A">
              <w:rPr>
                <w:color w:val="231F20"/>
                <w:sz w:val="20"/>
                <w:szCs w:val="20"/>
              </w:rPr>
              <w:t>4.6.1</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6F8968C2"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0584BBBD"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5022EC72"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66D5A063" w14:textId="77777777" w:rsidR="00CE5D8A" w:rsidRPr="00427B3A" w:rsidRDefault="00CE5D8A" w:rsidP="00586FD8">
            <w:pPr>
              <w:jc w:val="center"/>
              <w:rPr>
                <w:sz w:val="20"/>
                <w:szCs w:val="20"/>
              </w:rPr>
            </w:pPr>
          </w:p>
        </w:tc>
      </w:tr>
      <w:tr w:rsidR="00CE5D8A" w:rsidRPr="00427B3A" w14:paraId="6D2B9182"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67A405C3" w14:textId="5CBCAA1D" w:rsidR="00CE5D8A" w:rsidRPr="00427B3A" w:rsidRDefault="00DC1556" w:rsidP="00586FD8">
            <w:pPr>
              <w:pStyle w:val="TableParagraph"/>
              <w:kinsoku w:val="0"/>
              <w:overflowPunct w:val="0"/>
              <w:jc w:val="both"/>
              <w:rPr>
                <w:sz w:val="20"/>
                <w:szCs w:val="20"/>
              </w:rPr>
            </w:pPr>
            <w:r w:rsidRPr="000761E9">
              <w:rPr>
                <w:color w:val="231F20"/>
                <w:sz w:val="20"/>
                <w:szCs w:val="20"/>
              </w:rPr>
              <w:t>Atskaitījumi nepieejamības dēļ. 4.6.1. tematā aprakstīto jomas un laika svērumu neatbilstoša izmantošana</w:t>
            </w:r>
          </w:p>
        </w:tc>
        <w:tc>
          <w:tcPr>
            <w:tcW w:w="648" w:type="pct"/>
            <w:tcBorders>
              <w:top w:val="single" w:sz="4" w:space="0" w:color="0093CC"/>
              <w:left w:val="single" w:sz="4" w:space="0" w:color="0093CC"/>
              <w:bottom w:val="single" w:sz="4" w:space="0" w:color="0093CC"/>
              <w:right w:val="single" w:sz="4" w:space="0" w:color="0093CC"/>
            </w:tcBorders>
            <w:vAlign w:val="center"/>
          </w:tcPr>
          <w:p w14:paraId="1A7DEE79" w14:textId="1A6CC77F" w:rsidR="00CE5D8A" w:rsidRPr="00427B3A" w:rsidRDefault="00CE5D8A" w:rsidP="00586FD8">
            <w:pPr>
              <w:pStyle w:val="TableParagraph"/>
              <w:kinsoku w:val="0"/>
              <w:overflowPunct w:val="0"/>
              <w:jc w:val="center"/>
              <w:rPr>
                <w:sz w:val="20"/>
                <w:szCs w:val="20"/>
              </w:rPr>
            </w:pPr>
            <w:r w:rsidRPr="00427B3A">
              <w:rPr>
                <w:color w:val="231F20"/>
                <w:sz w:val="20"/>
                <w:szCs w:val="20"/>
              </w:rPr>
              <w:t>4.6.1</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6C324942"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603156BF"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5FD9BB45"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EF236C2" w14:textId="77777777" w:rsidR="00CE5D8A" w:rsidRPr="00427B3A" w:rsidRDefault="00CE5D8A" w:rsidP="00586FD8">
            <w:pPr>
              <w:jc w:val="center"/>
              <w:rPr>
                <w:sz w:val="20"/>
                <w:szCs w:val="20"/>
              </w:rPr>
            </w:pPr>
          </w:p>
        </w:tc>
      </w:tr>
      <w:tr w:rsidR="00CE5D8A" w:rsidRPr="00427B3A" w14:paraId="165EE37C"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3B7A0AAF" w14:textId="212DE06E" w:rsidR="00CE5D8A" w:rsidRPr="00427B3A" w:rsidRDefault="00DC1556" w:rsidP="00586FD8">
            <w:pPr>
              <w:pStyle w:val="TableParagraph"/>
              <w:kinsoku w:val="0"/>
              <w:overflowPunct w:val="0"/>
              <w:jc w:val="both"/>
              <w:rPr>
                <w:sz w:val="20"/>
                <w:szCs w:val="20"/>
              </w:rPr>
            </w:pPr>
            <w:r w:rsidRPr="000761E9">
              <w:rPr>
                <w:color w:val="231F20"/>
                <w:sz w:val="20"/>
                <w:szCs w:val="20"/>
              </w:rPr>
              <w:t>Neizpildes novēršanas termiņi. 4.6.3. tematā aprakstītie noteikumi, kas paredz nepamatoti ilgu termiņu labojumiem vai neizpildes novēršanai</w:t>
            </w:r>
          </w:p>
        </w:tc>
        <w:tc>
          <w:tcPr>
            <w:tcW w:w="648" w:type="pct"/>
            <w:tcBorders>
              <w:top w:val="single" w:sz="4" w:space="0" w:color="0093CC"/>
              <w:left w:val="single" w:sz="4" w:space="0" w:color="0093CC"/>
              <w:bottom w:val="single" w:sz="4" w:space="0" w:color="0093CC"/>
              <w:right w:val="single" w:sz="4" w:space="0" w:color="0093CC"/>
            </w:tcBorders>
            <w:vAlign w:val="center"/>
          </w:tcPr>
          <w:p w14:paraId="53F8A920" w14:textId="5A2E0E07" w:rsidR="00CE5D8A" w:rsidRPr="00427B3A" w:rsidRDefault="00CE5D8A" w:rsidP="00586FD8">
            <w:pPr>
              <w:pStyle w:val="TableParagraph"/>
              <w:kinsoku w:val="0"/>
              <w:overflowPunct w:val="0"/>
              <w:jc w:val="center"/>
              <w:rPr>
                <w:sz w:val="20"/>
                <w:szCs w:val="20"/>
              </w:rPr>
            </w:pPr>
            <w:r w:rsidRPr="00427B3A">
              <w:rPr>
                <w:color w:val="231F20"/>
                <w:sz w:val="20"/>
                <w:szCs w:val="20"/>
              </w:rPr>
              <w:t>4.6.3</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57D0A65"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29046909"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293E356B"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529417B9"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r>
      <w:tr w:rsidR="00CE5D8A" w:rsidRPr="00427B3A" w14:paraId="158D2A3C" w14:textId="77777777" w:rsidTr="00586FD8">
        <w:trPr>
          <w:trHeight w:hRule="exact" w:val="1112"/>
        </w:trPr>
        <w:tc>
          <w:tcPr>
            <w:tcW w:w="1695" w:type="pct"/>
            <w:tcBorders>
              <w:top w:val="nil"/>
              <w:left w:val="single" w:sz="8" w:space="0" w:color="0093CC"/>
              <w:bottom w:val="single" w:sz="4" w:space="0" w:color="0093CC"/>
              <w:right w:val="single" w:sz="4" w:space="0" w:color="0093CC"/>
            </w:tcBorders>
          </w:tcPr>
          <w:p w14:paraId="5149C644" w14:textId="2C99B041" w:rsidR="00CE5D8A" w:rsidRPr="00DC1556" w:rsidRDefault="00DC1556" w:rsidP="00DC1556">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lastRenderedPageBreak/>
              <w:t>Nav pieejams, bet tiek lietots. 4.6.6. tematā aprakstītie noteikumi, saskaņā ar kuriem atskaitījumus samazina vairāk nekā par 50 %</w:t>
            </w:r>
          </w:p>
        </w:tc>
        <w:tc>
          <w:tcPr>
            <w:tcW w:w="648" w:type="pct"/>
            <w:tcBorders>
              <w:top w:val="nil"/>
              <w:left w:val="single" w:sz="4" w:space="0" w:color="0093CC"/>
              <w:bottom w:val="single" w:sz="4" w:space="0" w:color="0093CC"/>
              <w:right w:val="single" w:sz="4" w:space="0" w:color="0093CC"/>
            </w:tcBorders>
            <w:vAlign w:val="center"/>
          </w:tcPr>
          <w:p w14:paraId="1647FDB7" w14:textId="33DD19E8" w:rsidR="00CE5D8A" w:rsidRPr="00427B3A" w:rsidRDefault="00CE5D8A" w:rsidP="00586FD8">
            <w:pPr>
              <w:pStyle w:val="TableParagraph"/>
              <w:kinsoku w:val="0"/>
              <w:overflowPunct w:val="0"/>
              <w:jc w:val="center"/>
              <w:rPr>
                <w:sz w:val="20"/>
                <w:szCs w:val="20"/>
              </w:rPr>
            </w:pPr>
            <w:r w:rsidRPr="00427B3A">
              <w:rPr>
                <w:color w:val="231F20"/>
                <w:sz w:val="20"/>
                <w:szCs w:val="20"/>
              </w:rPr>
              <w:t>4.6.6</w:t>
            </w:r>
            <w:r w:rsidR="00DC1556">
              <w:rPr>
                <w:color w:val="231F20"/>
                <w:sz w:val="20"/>
                <w:szCs w:val="20"/>
              </w:rPr>
              <w:t>.</w:t>
            </w:r>
          </w:p>
        </w:tc>
        <w:tc>
          <w:tcPr>
            <w:tcW w:w="791" w:type="pct"/>
            <w:tcBorders>
              <w:top w:val="nil"/>
              <w:left w:val="single" w:sz="4" w:space="0" w:color="0093CC"/>
              <w:bottom w:val="single" w:sz="4" w:space="0" w:color="0093CC"/>
              <w:right w:val="single" w:sz="4" w:space="0" w:color="0093CC"/>
            </w:tcBorders>
            <w:vAlign w:val="center"/>
          </w:tcPr>
          <w:p w14:paraId="62DD153E" w14:textId="77777777" w:rsidR="00CE5D8A" w:rsidRPr="00427B3A" w:rsidRDefault="00CE5D8A" w:rsidP="00586FD8">
            <w:pPr>
              <w:jc w:val="center"/>
              <w:rPr>
                <w:sz w:val="20"/>
                <w:szCs w:val="20"/>
              </w:rPr>
            </w:pPr>
          </w:p>
        </w:tc>
        <w:tc>
          <w:tcPr>
            <w:tcW w:w="611" w:type="pct"/>
            <w:tcBorders>
              <w:top w:val="nil"/>
              <w:left w:val="single" w:sz="4" w:space="0" w:color="0093CC"/>
              <w:bottom w:val="single" w:sz="4" w:space="0" w:color="0093CC"/>
              <w:right w:val="single" w:sz="4" w:space="0" w:color="0093CC"/>
            </w:tcBorders>
            <w:vAlign w:val="center"/>
          </w:tcPr>
          <w:p w14:paraId="5684DB77" w14:textId="77777777" w:rsidR="00CE5D8A" w:rsidRPr="00427B3A" w:rsidRDefault="00CE5D8A" w:rsidP="00586FD8">
            <w:pPr>
              <w:jc w:val="center"/>
              <w:rPr>
                <w:sz w:val="20"/>
                <w:szCs w:val="20"/>
              </w:rPr>
            </w:pPr>
          </w:p>
        </w:tc>
        <w:tc>
          <w:tcPr>
            <w:tcW w:w="572" w:type="pct"/>
            <w:tcBorders>
              <w:top w:val="nil"/>
              <w:left w:val="single" w:sz="4" w:space="0" w:color="0093CC"/>
              <w:bottom w:val="single" w:sz="4" w:space="0" w:color="0093CC"/>
              <w:right w:val="single" w:sz="4" w:space="0" w:color="0093CC"/>
            </w:tcBorders>
            <w:vAlign w:val="center"/>
          </w:tcPr>
          <w:p w14:paraId="41E44C4E" w14:textId="77777777" w:rsidR="00CE5D8A" w:rsidRPr="00427B3A" w:rsidRDefault="00CE5D8A" w:rsidP="00586FD8">
            <w:pPr>
              <w:jc w:val="center"/>
              <w:rPr>
                <w:sz w:val="20"/>
                <w:szCs w:val="20"/>
              </w:rPr>
            </w:pPr>
          </w:p>
        </w:tc>
        <w:tc>
          <w:tcPr>
            <w:tcW w:w="683" w:type="pct"/>
            <w:tcBorders>
              <w:top w:val="nil"/>
              <w:left w:val="single" w:sz="4" w:space="0" w:color="0093CC"/>
              <w:bottom w:val="single" w:sz="4" w:space="0" w:color="0093CC"/>
              <w:right w:val="single" w:sz="8" w:space="0" w:color="0093CC"/>
            </w:tcBorders>
            <w:vAlign w:val="center"/>
          </w:tcPr>
          <w:p w14:paraId="6E5031A3"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r>
      <w:tr w:rsidR="00CE5D8A" w:rsidRPr="00427B3A" w14:paraId="27BF5E86"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2746F160" w14:textId="168C90CF" w:rsidR="00CE5D8A" w:rsidRPr="00427B3A" w:rsidRDefault="00DC1556" w:rsidP="00586FD8">
            <w:pPr>
              <w:pStyle w:val="TableParagraph"/>
              <w:kinsoku w:val="0"/>
              <w:overflowPunct w:val="0"/>
              <w:jc w:val="both"/>
              <w:rPr>
                <w:sz w:val="20"/>
                <w:szCs w:val="20"/>
              </w:rPr>
            </w:pPr>
            <w:r w:rsidRPr="000761E9">
              <w:rPr>
                <w:color w:val="231F20"/>
                <w:sz w:val="20"/>
                <w:szCs w:val="20"/>
              </w:rPr>
              <w:t>Attaisnojoši iemesli. 4.7.1. tematā aprakstītie jautājumi, kas saistīti ar attaisnojošiem iemesliem</w:t>
            </w:r>
          </w:p>
        </w:tc>
        <w:tc>
          <w:tcPr>
            <w:tcW w:w="648" w:type="pct"/>
            <w:tcBorders>
              <w:top w:val="single" w:sz="4" w:space="0" w:color="0093CC"/>
              <w:left w:val="single" w:sz="4" w:space="0" w:color="0093CC"/>
              <w:bottom w:val="single" w:sz="4" w:space="0" w:color="0093CC"/>
              <w:right w:val="single" w:sz="4" w:space="0" w:color="0093CC"/>
            </w:tcBorders>
            <w:vAlign w:val="center"/>
          </w:tcPr>
          <w:p w14:paraId="67A6B5C8" w14:textId="44379A52" w:rsidR="00CE5D8A" w:rsidRPr="00427B3A" w:rsidRDefault="00CE5D8A" w:rsidP="00586FD8">
            <w:pPr>
              <w:pStyle w:val="TableParagraph"/>
              <w:kinsoku w:val="0"/>
              <w:overflowPunct w:val="0"/>
              <w:jc w:val="center"/>
              <w:rPr>
                <w:sz w:val="20"/>
                <w:szCs w:val="20"/>
              </w:rPr>
            </w:pPr>
            <w:r w:rsidRPr="00427B3A">
              <w:rPr>
                <w:color w:val="231F20"/>
                <w:sz w:val="20"/>
                <w:szCs w:val="20"/>
              </w:rPr>
              <w:t>4.7.1</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198A58F"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581401A4"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128FCE3E"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1E7E16A" w14:textId="77777777" w:rsidR="00CE5D8A" w:rsidRPr="00427B3A" w:rsidRDefault="00CE5D8A" w:rsidP="00586FD8">
            <w:pPr>
              <w:jc w:val="center"/>
              <w:rPr>
                <w:sz w:val="20"/>
                <w:szCs w:val="20"/>
              </w:rPr>
            </w:pPr>
          </w:p>
        </w:tc>
      </w:tr>
      <w:tr w:rsidR="00CE5D8A" w:rsidRPr="00427B3A" w14:paraId="2FE7EC0D"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77B073E4" w14:textId="64242660" w:rsidR="00CE5D8A" w:rsidRPr="00427B3A" w:rsidRDefault="00DC1556" w:rsidP="00586FD8">
            <w:pPr>
              <w:pStyle w:val="TableParagraph"/>
              <w:kinsoku w:val="0"/>
              <w:overflowPunct w:val="0"/>
              <w:jc w:val="both"/>
              <w:rPr>
                <w:sz w:val="20"/>
                <w:szCs w:val="20"/>
              </w:rPr>
            </w:pPr>
            <w:r w:rsidRPr="000761E9">
              <w:rPr>
                <w:color w:val="231F20"/>
                <w:sz w:val="20"/>
                <w:szCs w:val="20"/>
              </w:rPr>
              <w:t>Atvieglojumu periodi. 4.7.2. tematā aprakstīto nepamatoti ilgo atvieglojumu periodu noteikšana neizpildes novēršanai</w:t>
            </w:r>
          </w:p>
        </w:tc>
        <w:tc>
          <w:tcPr>
            <w:tcW w:w="648" w:type="pct"/>
            <w:tcBorders>
              <w:top w:val="single" w:sz="4" w:space="0" w:color="0093CC"/>
              <w:left w:val="single" w:sz="4" w:space="0" w:color="0093CC"/>
              <w:bottom w:val="single" w:sz="4" w:space="0" w:color="0093CC"/>
              <w:right w:val="single" w:sz="4" w:space="0" w:color="0093CC"/>
            </w:tcBorders>
            <w:vAlign w:val="center"/>
          </w:tcPr>
          <w:p w14:paraId="475AF9D3" w14:textId="242808BE" w:rsidR="00CE5D8A" w:rsidRPr="00427B3A" w:rsidRDefault="00CE5D8A" w:rsidP="00586FD8">
            <w:pPr>
              <w:pStyle w:val="TableParagraph"/>
              <w:kinsoku w:val="0"/>
              <w:overflowPunct w:val="0"/>
              <w:jc w:val="center"/>
              <w:rPr>
                <w:sz w:val="20"/>
                <w:szCs w:val="20"/>
              </w:rPr>
            </w:pPr>
            <w:r w:rsidRPr="00427B3A">
              <w:rPr>
                <w:color w:val="231F20"/>
                <w:sz w:val="20"/>
                <w:szCs w:val="20"/>
              </w:rPr>
              <w:t>4.7.2</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82EE135"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098261A9"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69E934BC"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3298EDCF"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r>
      <w:tr w:rsidR="00CE5D8A" w:rsidRPr="00427B3A" w14:paraId="19575FE7" w14:textId="77777777" w:rsidTr="00586FD8">
        <w:trPr>
          <w:trHeight w:hRule="exact" w:val="1393"/>
        </w:trPr>
        <w:tc>
          <w:tcPr>
            <w:tcW w:w="1695" w:type="pct"/>
            <w:tcBorders>
              <w:top w:val="single" w:sz="4" w:space="0" w:color="0093CC"/>
              <w:left w:val="single" w:sz="8" w:space="0" w:color="0093CC"/>
              <w:bottom w:val="single" w:sz="4" w:space="0" w:color="0093CC"/>
              <w:right w:val="single" w:sz="4" w:space="0" w:color="0093CC"/>
            </w:tcBorders>
          </w:tcPr>
          <w:p w14:paraId="6F577DFF" w14:textId="372CEEAA" w:rsidR="00CE5D8A" w:rsidRPr="00427B3A" w:rsidRDefault="00DC1556" w:rsidP="00586FD8">
            <w:pPr>
              <w:pStyle w:val="TableParagraph"/>
              <w:kinsoku w:val="0"/>
              <w:overflowPunct w:val="0"/>
              <w:jc w:val="both"/>
              <w:rPr>
                <w:sz w:val="20"/>
                <w:szCs w:val="20"/>
              </w:rPr>
            </w:pPr>
            <w:r w:rsidRPr="000761E9">
              <w:rPr>
                <w:color w:val="231F20"/>
                <w:sz w:val="20"/>
                <w:szCs w:val="20"/>
              </w:rPr>
              <w:t>Pielaides / minimālās robežvērtības. 4.7.3. tematā aprakstītās pielaides, kuru ietekme nav niecīga</w:t>
            </w:r>
          </w:p>
        </w:tc>
        <w:tc>
          <w:tcPr>
            <w:tcW w:w="648" w:type="pct"/>
            <w:tcBorders>
              <w:top w:val="single" w:sz="4" w:space="0" w:color="0093CC"/>
              <w:left w:val="single" w:sz="4" w:space="0" w:color="0093CC"/>
              <w:bottom w:val="single" w:sz="4" w:space="0" w:color="0093CC"/>
              <w:right w:val="single" w:sz="4" w:space="0" w:color="0093CC"/>
            </w:tcBorders>
            <w:vAlign w:val="center"/>
          </w:tcPr>
          <w:p w14:paraId="0A898039" w14:textId="2EE42968" w:rsidR="00CE5D8A" w:rsidRPr="00427B3A" w:rsidRDefault="00CE5D8A" w:rsidP="00586FD8">
            <w:pPr>
              <w:pStyle w:val="TableParagraph"/>
              <w:kinsoku w:val="0"/>
              <w:overflowPunct w:val="0"/>
              <w:jc w:val="center"/>
              <w:rPr>
                <w:sz w:val="20"/>
                <w:szCs w:val="20"/>
              </w:rPr>
            </w:pPr>
            <w:r w:rsidRPr="00427B3A">
              <w:rPr>
                <w:color w:val="231F20"/>
                <w:sz w:val="20"/>
                <w:szCs w:val="20"/>
              </w:rPr>
              <w:t>4.7.3</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5808C36D"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633E19B1"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606C871F"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E8898B6" w14:textId="77777777" w:rsidR="00CE5D8A" w:rsidRPr="00427B3A" w:rsidRDefault="00CE5D8A" w:rsidP="00586FD8">
            <w:pPr>
              <w:jc w:val="center"/>
              <w:rPr>
                <w:sz w:val="20"/>
                <w:szCs w:val="20"/>
              </w:rPr>
            </w:pPr>
          </w:p>
        </w:tc>
      </w:tr>
      <w:tr w:rsidR="00CE5D8A" w:rsidRPr="00427B3A" w14:paraId="2E3C996E"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4806D5F8" w14:textId="4A85B081" w:rsidR="00CE5D8A" w:rsidRPr="00427B3A" w:rsidRDefault="00DC1556" w:rsidP="00586FD8">
            <w:pPr>
              <w:pStyle w:val="TableParagraph"/>
              <w:kinsoku w:val="0"/>
              <w:overflowPunct w:val="0"/>
              <w:jc w:val="both"/>
              <w:rPr>
                <w:sz w:val="20"/>
                <w:szCs w:val="20"/>
              </w:rPr>
            </w:pPr>
            <w:r w:rsidRPr="000761E9">
              <w:rPr>
                <w:color w:val="231F20"/>
                <w:sz w:val="20"/>
                <w:szCs w:val="20"/>
              </w:rPr>
              <w:t>Maksimālais atskaitījumu apmērs. 4.7.4. tematā aprakstītie noteikumi, kas pārkāpj samērīguma principu</w:t>
            </w:r>
          </w:p>
        </w:tc>
        <w:tc>
          <w:tcPr>
            <w:tcW w:w="648" w:type="pct"/>
            <w:tcBorders>
              <w:top w:val="single" w:sz="4" w:space="0" w:color="0093CC"/>
              <w:left w:val="single" w:sz="4" w:space="0" w:color="0093CC"/>
              <w:bottom w:val="single" w:sz="4" w:space="0" w:color="0093CC"/>
              <w:right w:val="single" w:sz="4" w:space="0" w:color="0093CC"/>
            </w:tcBorders>
            <w:vAlign w:val="center"/>
          </w:tcPr>
          <w:p w14:paraId="494B55A6" w14:textId="02154018" w:rsidR="00CE5D8A" w:rsidRPr="00427B3A" w:rsidRDefault="00CE5D8A" w:rsidP="00586FD8">
            <w:pPr>
              <w:pStyle w:val="TableParagraph"/>
              <w:kinsoku w:val="0"/>
              <w:overflowPunct w:val="0"/>
              <w:jc w:val="center"/>
              <w:rPr>
                <w:sz w:val="20"/>
                <w:szCs w:val="20"/>
              </w:rPr>
            </w:pPr>
            <w:r w:rsidRPr="00427B3A">
              <w:rPr>
                <w:color w:val="231F20"/>
                <w:sz w:val="20"/>
                <w:szCs w:val="20"/>
              </w:rPr>
              <w:t>4.7.4</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6A2190E0"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24BFDDD5"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6FAE02E7"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01B23F8C" w14:textId="77777777" w:rsidR="00CE5D8A" w:rsidRPr="00427B3A" w:rsidRDefault="00CE5D8A" w:rsidP="00586FD8">
            <w:pPr>
              <w:jc w:val="center"/>
              <w:rPr>
                <w:sz w:val="20"/>
                <w:szCs w:val="20"/>
              </w:rPr>
            </w:pPr>
          </w:p>
        </w:tc>
      </w:tr>
      <w:tr w:rsidR="00CE5D8A" w:rsidRPr="00427B3A" w14:paraId="474D23A3"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65D6D3F2" w14:textId="29C6DDB0" w:rsidR="00CE5D8A" w:rsidRPr="00427B3A" w:rsidRDefault="00DC1556" w:rsidP="00586FD8">
            <w:pPr>
              <w:pStyle w:val="TableParagraph"/>
              <w:kinsoku w:val="0"/>
              <w:overflowPunct w:val="0"/>
              <w:jc w:val="both"/>
              <w:rPr>
                <w:sz w:val="20"/>
                <w:szCs w:val="20"/>
              </w:rPr>
            </w:pPr>
            <w:r w:rsidRPr="000761E9">
              <w:rPr>
                <w:color w:val="231F20"/>
                <w:sz w:val="20"/>
                <w:szCs w:val="20"/>
              </w:rPr>
              <w:t>Korekcijas atbilstoši lietošanas apjomam. 4.8. tematā aprakstītie noteikumi par pamatdarbības maksājumu samazināšanu</w:t>
            </w:r>
          </w:p>
        </w:tc>
        <w:tc>
          <w:tcPr>
            <w:tcW w:w="648" w:type="pct"/>
            <w:tcBorders>
              <w:top w:val="single" w:sz="4" w:space="0" w:color="0093CC"/>
              <w:left w:val="single" w:sz="4" w:space="0" w:color="0093CC"/>
              <w:bottom w:val="single" w:sz="4" w:space="0" w:color="0093CC"/>
              <w:right w:val="single" w:sz="4" w:space="0" w:color="0093CC"/>
            </w:tcBorders>
            <w:vAlign w:val="center"/>
          </w:tcPr>
          <w:p w14:paraId="7D8DEA97" w14:textId="04488CDF" w:rsidR="00CE5D8A" w:rsidRPr="00427B3A" w:rsidRDefault="00CE5D8A" w:rsidP="00586FD8">
            <w:pPr>
              <w:pStyle w:val="TableParagraph"/>
              <w:kinsoku w:val="0"/>
              <w:overflowPunct w:val="0"/>
              <w:jc w:val="center"/>
              <w:rPr>
                <w:sz w:val="20"/>
                <w:szCs w:val="20"/>
              </w:rPr>
            </w:pPr>
            <w:r w:rsidRPr="00427B3A">
              <w:rPr>
                <w:color w:val="231F20"/>
                <w:sz w:val="20"/>
                <w:szCs w:val="20"/>
              </w:rPr>
              <w:t>4.8</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486D907A"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2E4C6845"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4448F1A3"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D6ADA80" w14:textId="77777777" w:rsidR="00CE5D8A" w:rsidRPr="00427B3A" w:rsidRDefault="00CE5D8A" w:rsidP="00586FD8">
            <w:pPr>
              <w:jc w:val="center"/>
              <w:rPr>
                <w:sz w:val="20"/>
                <w:szCs w:val="20"/>
              </w:rPr>
            </w:pPr>
          </w:p>
        </w:tc>
      </w:tr>
      <w:tr w:rsidR="00CE5D8A" w:rsidRPr="00427B3A" w14:paraId="7AED7498" w14:textId="77777777" w:rsidTr="00586FD8">
        <w:trPr>
          <w:trHeight w:hRule="exact" w:val="1393"/>
        </w:trPr>
        <w:tc>
          <w:tcPr>
            <w:tcW w:w="1695" w:type="pct"/>
            <w:tcBorders>
              <w:top w:val="single" w:sz="4" w:space="0" w:color="0093CC"/>
              <w:left w:val="single" w:sz="8" w:space="0" w:color="0093CC"/>
              <w:bottom w:val="single" w:sz="4" w:space="0" w:color="0093CC"/>
              <w:right w:val="single" w:sz="4" w:space="0" w:color="0093CC"/>
            </w:tcBorders>
          </w:tcPr>
          <w:p w14:paraId="0A1B4151" w14:textId="30BD0B35" w:rsidR="00CE5D8A" w:rsidRPr="00427B3A" w:rsidRDefault="00DC1556" w:rsidP="00586FD8">
            <w:pPr>
              <w:pStyle w:val="TableParagraph"/>
              <w:kinsoku w:val="0"/>
              <w:overflowPunct w:val="0"/>
              <w:jc w:val="both"/>
              <w:rPr>
                <w:sz w:val="20"/>
                <w:szCs w:val="20"/>
              </w:rPr>
            </w:pPr>
            <w:r w:rsidRPr="000761E9">
              <w:rPr>
                <w:color w:val="231F20"/>
                <w:sz w:val="20"/>
                <w:szCs w:val="20"/>
              </w:rPr>
              <w:t>Uz pieprasījumu balstītu pamatdarbības maksājumu grupēšana. Visbiežāk lietotajai grupai noteiktā vienības cena atbilst nullei vai ir tuvu tai saskaņā ar</w:t>
            </w:r>
            <w:r>
              <w:rPr>
                <w:color w:val="231F20"/>
                <w:sz w:val="20"/>
                <w:szCs w:val="20"/>
              </w:rPr>
              <w:t xml:space="preserve"> </w:t>
            </w:r>
            <w:r w:rsidRPr="000761E9">
              <w:rPr>
                <w:color w:val="231F20"/>
                <w:sz w:val="20"/>
                <w:szCs w:val="20"/>
              </w:rPr>
              <w:t>4.10.2. tematu</w:t>
            </w:r>
          </w:p>
        </w:tc>
        <w:tc>
          <w:tcPr>
            <w:tcW w:w="648" w:type="pct"/>
            <w:tcBorders>
              <w:top w:val="single" w:sz="4" w:space="0" w:color="0093CC"/>
              <w:left w:val="single" w:sz="4" w:space="0" w:color="0093CC"/>
              <w:bottom w:val="single" w:sz="4" w:space="0" w:color="0093CC"/>
              <w:right w:val="single" w:sz="4" w:space="0" w:color="0093CC"/>
            </w:tcBorders>
            <w:vAlign w:val="center"/>
          </w:tcPr>
          <w:p w14:paraId="52A56A03" w14:textId="6E510AAC" w:rsidR="00CE5D8A" w:rsidRPr="00427B3A" w:rsidRDefault="00CE5D8A" w:rsidP="00586FD8">
            <w:pPr>
              <w:pStyle w:val="TableParagraph"/>
              <w:kinsoku w:val="0"/>
              <w:overflowPunct w:val="0"/>
              <w:jc w:val="center"/>
              <w:rPr>
                <w:sz w:val="20"/>
                <w:szCs w:val="20"/>
              </w:rPr>
            </w:pPr>
            <w:r w:rsidRPr="00427B3A">
              <w:rPr>
                <w:color w:val="231F20"/>
                <w:sz w:val="20"/>
                <w:szCs w:val="20"/>
              </w:rPr>
              <w:t>4.10.2</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2EE0C7AA"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00587EAE"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5E009C58"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587AD295" w14:textId="77777777" w:rsidR="00CE5D8A" w:rsidRPr="00427B3A" w:rsidRDefault="00CE5D8A" w:rsidP="00586FD8">
            <w:pPr>
              <w:jc w:val="center"/>
              <w:rPr>
                <w:sz w:val="20"/>
                <w:szCs w:val="20"/>
              </w:rPr>
            </w:pPr>
          </w:p>
        </w:tc>
      </w:tr>
      <w:tr w:rsidR="00CE5D8A" w:rsidRPr="00427B3A" w14:paraId="7699985D" w14:textId="77777777" w:rsidTr="00586FD8">
        <w:trPr>
          <w:trHeight w:hRule="exact" w:val="1393"/>
        </w:trPr>
        <w:tc>
          <w:tcPr>
            <w:tcW w:w="1695" w:type="pct"/>
            <w:tcBorders>
              <w:top w:val="single" w:sz="4" w:space="0" w:color="0093CC"/>
              <w:left w:val="single" w:sz="8" w:space="0" w:color="0093CC"/>
              <w:bottom w:val="single" w:sz="4" w:space="0" w:color="0093CC"/>
              <w:right w:val="single" w:sz="4" w:space="0" w:color="0093CC"/>
            </w:tcBorders>
          </w:tcPr>
          <w:p w14:paraId="029EDC97" w14:textId="032A2114" w:rsidR="00CE5D8A" w:rsidRPr="00427B3A" w:rsidRDefault="00DC1556" w:rsidP="00586FD8">
            <w:pPr>
              <w:pStyle w:val="TableParagraph"/>
              <w:kinsoku w:val="0"/>
              <w:overflowPunct w:val="0"/>
              <w:jc w:val="both"/>
              <w:rPr>
                <w:sz w:val="20"/>
                <w:szCs w:val="20"/>
              </w:rPr>
            </w:pPr>
            <w:r w:rsidRPr="000761E9">
              <w:rPr>
                <w:color w:val="231F20"/>
                <w:sz w:val="20"/>
                <w:szCs w:val="20"/>
              </w:rPr>
              <w:t>Uz pieprasījumu balstītu pamatdarbības maksājumu grupēšana. 4.10.2. tematā aprakstītie jautājumi, kas saistīti ar biežāk un retāk lietotām grupām</w:t>
            </w:r>
          </w:p>
        </w:tc>
        <w:tc>
          <w:tcPr>
            <w:tcW w:w="648" w:type="pct"/>
            <w:tcBorders>
              <w:top w:val="single" w:sz="4" w:space="0" w:color="0093CC"/>
              <w:left w:val="single" w:sz="4" w:space="0" w:color="0093CC"/>
              <w:bottom w:val="single" w:sz="4" w:space="0" w:color="0093CC"/>
              <w:right w:val="single" w:sz="4" w:space="0" w:color="0093CC"/>
            </w:tcBorders>
            <w:vAlign w:val="center"/>
          </w:tcPr>
          <w:p w14:paraId="23813997" w14:textId="36135A24" w:rsidR="00CE5D8A" w:rsidRPr="00427B3A" w:rsidRDefault="00CE5D8A" w:rsidP="00586FD8">
            <w:pPr>
              <w:pStyle w:val="TableParagraph"/>
              <w:kinsoku w:val="0"/>
              <w:overflowPunct w:val="0"/>
              <w:jc w:val="center"/>
              <w:rPr>
                <w:sz w:val="20"/>
                <w:szCs w:val="20"/>
              </w:rPr>
            </w:pPr>
            <w:r w:rsidRPr="00427B3A">
              <w:rPr>
                <w:color w:val="231F20"/>
                <w:sz w:val="20"/>
                <w:szCs w:val="20"/>
              </w:rPr>
              <w:t>4.10.2</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2F8B1A32" w14:textId="77777777" w:rsidR="00CE5D8A" w:rsidRPr="00427B3A" w:rsidRDefault="00CE5D8A" w:rsidP="00586FD8">
            <w:pPr>
              <w:jc w:val="center"/>
              <w:rPr>
                <w:sz w:val="20"/>
                <w:szCs w:val="20"/>
              </w:rPr>
            </w:pPr>
          </w:p>
        </w:tc>
        <w:tc>
          <w:tcPr>
            <w:tcW w:w="611" w:type="pct"/>
            <w:tcBorders>
              <w:top w:val="single" w:sz="4" w:space="0" w:color="0093CC"/>
              <w:left w:val="single" w:sz="4" w:space="0" w:color="0093CC"/>
              <w:bottom w:val="single" w:sz="4" w:space="0" w:color="0093CC"/>
              <w:right w:val="single" w:sz="4" w:space="0" w:color="0093CC"/>
            </w:tcBorders>
            <w:vAlign w:val="center"/>
          </w:tcPr>
          <w:p w14:paraId="0678AD76"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5EA32B4F"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83" w:type="pct"/>
            <w:tcBorders>
              <w:top w:val="single" w:sz="4" w:space="0" w:color="0093CC"/>
              <w:left w:val="single" w:sz="4" w:space="0" w:color="0093CC"/>
              <w:bottom w:val="single" w:sz="4" w:space="0" w:color="0093CC"/>
              <w:right w:val="single" w:sz="8" w:space="0" w:color="0093CC"/>
            </w:tcBorders>
            <w:vAlign w:val="center"/>
          </w:tcPr>
          <w:p w14:paraId="34C14C51" w14:textId="77777777" w:rsidR="00CE5D8A" w:rsidRPr="00427B3A" w:rsidRDefault="00CE5D8A" w:rsidP="00586FD8">
            <w:pPr>
              <w:jc w:val="center"/>
              <w:rPr>
                <w:sz w:val="20"/>
                <w:szCs w:val="20"/>
              </w:rPr>
            </w:pPr>
          </w:p>
        </w:tc>
      </w:tr>
      <w:tr w:rsidR="00CE5D8A" w:rsidRPr="00427B3A" w14:paraId="16F97677" w14:textId="77777777" w:rsidTr="00586FD8">
        <w:trPr>
          <w:trHeight w:hRule="exact" w:val="1107"/>
        </w:trPr>
        <w:tc>
          <w:tcPr>
            <w:tcW w:w="1695" w:type="pct"/>
            <w:tcBorders>
              <w:top w:val="single" w:sz="4" w:space="0" w:color="0093CC"/>
              <w:left w:val="single" w:sz="8" w:space="0" w:color="0093CC"/>
              <w:bottom w:val="single" w:sz="4" w:space="0" w:color="0093CC"/>
              <w:right w:val="single" w:sz="4" w:space="0" w:color="0093CC"/>
            </w:tcBorders>
          </w:tcPr>
          <w:p w14:paraId="7D7718EC" w14:textId="722DDBBC" w:rsidR="00CE5D8A" w:rsidRPr="00427B3A" w:rsidRDefault="00DC1556" w:rsidP="00586FD8">
            <w:pPr>
              <w:pStyle w:val="TableParagraph"/>
              <w:kinsoku w:val="0"/>
              <w:overflowPunct w:val="0"/>
              <w:jc w:val="both"/>
              <w:rPr>
                <w:sz w:val="20"/>
                <w:szCs w:val="20"/>
              </w:rPr>
            </w:pPr>
            <w:r w:rsidRPr="000761E9">
              <w:rPr>
                <w:color w:val="231F20"/>
                <w:sz w:val="20"/>
                <w:szCs w:val="20"/>
              </w:rPr>
              <w:t>4.10.2. un 4.10.3. tematā aprakstītās minimālā lietošanas apjoma vai minimālo ieņēmumu garantijas</w:t>
            </w:r>
          </w:p>
        </w:tc>
        <w:tc>
          <w:tcPr>
            <w:tcW w:w="648" w:type="pct"/>
            <w:tcBorders>
              <w:top w:val="single" w:sz="4" w:space="0" w:color="0093CC"/>
              <w:left w:val="single" w:sz="4" w:space="0" w:color="0093CC"/>
              <w:bottom w:val="single" w:sz="4" w:space="0" w:color="0093CC"/>
              <w:right w:val="single" w:sz="4" w:space="0" w:color="0093CC"/>
            </w:tcBorders>
            <w:vAlign w:val="center"/>
          </w:tcPr>
          <w:p w14:paraId="5D0420BA" w14:textId="244752F2" w:rsidR="00CE5D8A" w:rsidRPr="00427B3A" w:rsidRDefault="00CE5D8A" w:rsidP="00586FD8">
            <w:pPr>
              <w:pStyle w:val="TableParagraph"/>
              <w:kinsoku w:val="0"/>
              <w:overflowPunct w:val="0"/>
              <w:jc w:val="center"/>
              <w:rPr>
                <w:sz w:val="20"/>
                <w:szCs w:val="20"/>
              </w:rPr>
            </w:pPr>
            <w:r w:rsidRPr="00427B3A">
              <w:rPr>
                <w:color w:val="231F20"/>
                <w:sz w:val="20"/>
                <w:szCs w:val="20"/>
              </w:rPr>
              <w:t>4.10.2</w:t>
            </w:r>
            <w:r w:rsidR="00DC1556">
              <w:rPr>
                <w:color w:val="231F20"/>
                <w:sz w:val="20"/>
                <w:szCs w:val="20"/>
              </w:rPr>
              <w:t>.</w:t>
            </w:r>
            <w:r w:rsidRPr="00427B3A">
              <w:rPr>
                <w:color w:val="231F20"/>
                <w:sz w:val="20"/>
                <w:szCs w:val="20"/>
              </w:rPr>
              <w:t xml:space="preserve"> </w:t>
            </w:r>
            <w:r w:rsidR="00DC1556">
              <w:rPr>
                <w:color w:val="231F20"/>
                <w:sz w:val="20"/>
                <w:szCs w:val="20"/>
              </w:rPr>
              <w:t>un</w:t>
            </w:r>
            <w:r w:rsidRPr="00427B3A">
              <w:rPr>
                <w:color w:val="231F20"/>
                <w:sz w:val="20"/>
                <w:szCs w:val="20"/>
              </w:rPr>
              <w:t xml:space="preserve"> 4.10.3</w:t>
            </w:r>
            <w:r w:rsidR="00DC1556">
              <w:rPr>
                <w:color w:val="231F20"/>
                <w:sz w:val="20"/>
                <w:szCs w:val="20"/>
              </w:rPr>
              <w:t>.</w:t>
            </w:r>
          </w:p>
        </w:tc>
        <w:tc>
          <w:tcPr>
            <w:tcW w:w="791" w:type="pct"/>
            <w:tcBorders>
              <w:top w:val="single" w:sz="4" w:space="0" w:color="0093CC"/>
              <w:left w:val="single" w:sz="4" w:space="0" w:color="0093CC"/>
              <w:bottom w:val="single" w:sz="4" w:space="0" w:color="0093CC"/>
              <w:right w:val="single" w:sz="4" w:space="0" w:color="0093CC"/>
            </w:tcBorders>
            <w:vAlign w:val="center"/>
          </w:tcPr>
          <w:p w14:paraId="02685751" w14:textId="77777777" w:rsidR="00CE5D8A" w:rsidRPr="00427B3A" w:rsidRDefault="00CE5D8A" w:rsidP="00586FD8">
            <w:pPr>
              <w:pStyle w:val="TableParagraph"/>
              <w:kinsoku w:val="0"/>
              <w:overflowPunct w:val="0"/>
              <w:jc w:val="center"/>
              <w:rPr>
                <w:sz w:val="20"/>
                <w:szCs w:val="20"/>
              </w:rPr>
            </w:pPr>
            <w:r w:rsidRPr="00427B3A">
              <w:rPr>
                <w:color w:val="0093CC"/>
                <w:sz w:val="20"/>
                <w:szCs w:val="20"/>
              </w:rPr>
              <w:sym w:font="Symbol" w:char="F0D6"/>
            </w:r>
          </w:p>
        </w:tc>
        <w:tc>
          <w:tcPr>
            <w:tcW w:w="611" w:type="pct"/>
            <w:tcBorders>
              <w:top w:val="single" w:sz="4" w:space="0" w:color="0093CC"/>
              <w:left w:val="single" w:sz="4" w:space="0" w:color="0093CC"/>
              <w:bottom w:val="single" w:sz="4" w:space="0" w:color="0093CC"/>
              <w:right w:val="single" w:sz="4" w:space="0" w:color="0093CC"/>
            </w:tcBorders>
            <w:vAlign w:val="center"/>
          </w:tcPr>
          <w:p w14:paraId="77EA666F" w14:textId="77777777" w:rsidR="00CE5D8A" w:rsidRPr="00427B3A" w:rsidRDefault="00CE5D8A" w:rsidP="00586FD8">
            <w:pPr>
              <w:jc w:val="center"/>
              <w:rPr>
                <w:sz w:val="20"/>
                <w:szCs w:val="20"/>
              </w:rPr>
            </w:pPr>
          </w:p>
        </w:tc>
        <w:tc>
          <w:tcPr>
            <w:tcW w:w="572" w:type="pct"/>
            <w:tcBorders>
              <w:top w:val="single" w:sz="4" w:space="0" w:color="0093CC"/>
              <w:left w:val="single" w:sz="4" w:space="0" w:color="0093CC"/>
              <w:bottom w:val="single" w:sz="4" w:space="0" w:color="0093CC"/>
              <w:right w:val="single" w:sz="4" w:space="0" w:color="0093CC"/>
            </w:tcBorders>
            <w:vAlign w:val="center"/>
          </w:tcPr>
          <w:p w14:paraId="7668B060" w14:textId="77777777" w:rsidR="00CE5D8A" w:rsidRPr="00427B3A" w:rsidRDefault="00CE5D8A" w:rsidP="00586FD8">
            <w:pPr>
              <w:jc w:val="center"/>
              <w:rPr>
                <w:sz w:val="20"/>
                <w:szCs w:val="20"/>
              </w:rPr>
            </w:pPr>
          </w:p>
        </w:tc>
        <w:tc>
          <w:tcPr>
            <w:tcW w:w="683" w:type="pct"/>
            <w:tcBorders>
              <w:top w:val="single" w:sz="4" w:space="0" w:color="0093CC"/>
              <w:left w:val="single" w:sz="4" w:space="0" w:color="0093CC"/>
              <w:bottom w:val="single" w:sz="4" w:space="0" w:color="0093CC"/>
              <w:right w:val="single" w:sz="8" w:space="0" w:color="0093CC"/>
            </w:tcBorders>
            <w:vAlign w:val="center"/>
          </w:tcPr>
          <w:p w14:paraId="294353FA" w14:textId="77777777" w:rsidR="00CE5D8A" w:rsidRPr="00427B3A" w:rsidRDefault="00CE5D8A" w:rsidP="00586FD8">
            <w:pPr>
              <w:jc w:val="center"/>
              <w:rPr>
                <w:sz w:val="20"/>
                <w:szCs w:val="20"/>
              </w:rPr>
            </w:pPr>
          </w:p>
        </w:tc>
      </w:tr>
      <w:tr w:rsidR="00CE5D8A" w:rsidRPr="00427B3A" w14:paraId="3CBBA751" w14:textId="77777777" w:rsidTr="00586FD8">
        <w:trPr>
          <w:trHeight w:hRule="exact" w:val="459"/>
        </w:trPr>
        <w:tc>
          <w:tcPr>
            <w:tcW w:w="5000" w:type="pct"/>
            <w:gridSpan w:val="6"/>
            <w:tcBorders>
              <w:top w:val="nil"/>
              <w:left w:val="single" w:sz="8" w:space="0" w:color="EF4056"/>
              <w:bottom w:val="single" w:sz="8" w:space="0" w:color="EF4056"/>
              <w:right w:val="single" w:sz="8" w:space="0" w:color="EF4056"/>
            </w:tcBorders>
            <w:shd w:val="clear" w:color="auto" w:fill="EF4056"/>
          </w:tcPr>
          <w:p w14:paraId="7B426222" w14:textId="549A9A34" w:rsidR="00CE5D8A" w:rsidRPr="00DC1556" w:rsidRDefault="00DC1556" w:rsidP="00DC1556">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5. temats. Citas vienošanās par maksājumiem</w:t>
            </w:r>
          </w:p>
        </w:tc>
      </w:tr>
      <w:tr w:rsidR="00CE5D8A" w:rsidRPr="00427B3A" w14:paraId="37E7CCFD" w14:textId="77777777" w:rsidTr="00586FD8">
        <w:trPr>
          <w:trHeight w:hRule="exact" w:val="1393"/>
        </w:trPr>
        <w:tc>
          <w:tcPr>
            <w:tcW w:w="1695" w:type="pct"/>
            <w:tcBorders>
              <w:top w:val="single" w:sz="8" w:space="0" w:color="EF4056"/>
              <w:left w:val="single" w:sz="8" w:space="0" w:color="EF4056"/>
              <w:bottom w:val="single" w:sz="4" w:space="0" w:color="EF4056"/>
              <w:right w:val="single" w:sz="4" w:space="0" w:color="EF4056"/>
            </w:tcBorders>
          </w:tcPr>
          <w:p w14:paraId="060E96BC" w14:textId="0D8D47F1" w:rsidR="00CE5D8A" w:rsidRPr="00427B3A" w:rsidRDefault="00066AFE" w:rsidP="00586FD8">
            <w:pPr>
              <w:pStyle w:val="TableParagraph"/>
              <w:kinsoku w:val="0"/>
              <w:overflowPunct w:val="0"/>
              <w:jc w:val="both"/>
              <w:rPr>
                <w:sz w:val="20"/>
                <w:szCs w:val="20"/>
              </w:rPr>
            </w:pPr>
            <w:r w:rsidRPr="000761E9">
              <w:rPr>
                <w:color w:val="231F20"/>
                <w:sz w:val="20"/>
                <w:szCs w:val="20"/>
              </w:rPr>
              <w:t>Pamatdarbības maksājumu uzsākšana. 5.1. tematā aprakstītie noteikumi par maksājumu sākšanu pirms aktīva būvniecības pabeigšanas</w:t>
            </w:r>
          </w:p>
        </w:tc>
        <w:tc>
          <w:tcPr>
            <w:tcW w:w="648" w:type="pct"/>
            <w:tcBorders>
              <w:top w:val="single" w:sz="8" w:space="0" w:color="EF4056"/>
              <w:left w:val="single" w:sz="4" w:space="0" w:color="EF4056"/>
              <w:bottom w:val="single" w:sz="4" w:space="0" w:color="EF4056"/>
              <w:right w:val="single" w:sz="4" w:space="0" w:color="EF4056"/>
            </w:tcBorders>
            <w:vAlign w:val="center"/>
          </w:tcPr>
          <w:p w14:paraId="78B968A2" w14:textId="0C1577DC" w:rsidR="00CE5D8A" w:rsidRPr="00427B3A" w:rsidRDefault="00CE5D8A" w:rsidP="00586FD8">
            <w:pPr>
              <w:pStyle w:val="TableParagraph"/>
              <w:kinsoku w:val="0"/>
              <w:overflowPunct w:val="0"/>
              <w:jc w:val="center"/>
              <w:rPr>
                <w:sz w:val="20"/>
                <w:szCs w:val="20"/>
              </w:rPr>
            </w:pPr>
            <w:r w:rsidRPr="00427B3A">
              <w:rPr>
                <w:color w:val="231F20"/>
                <w:sz w:val="20"/>
                <w:szCs w:val="20"/>
              </w:rPr>
              <w:t>5.1</w:t>
            </w:r>
            <w:r w:rsidR="00DC1556">
              <w:rPr>
                <w:color w:val="231F20"/>
                <w:sz w:val="20"/>
                <w:szCs w:val="20"/>
              </w:rPr>
              <w:t>.</w:t>
            </w:r>
          </w:p>
        </w:tc>
        <w:tc>
          <w:tcPr>
            <w:tcW w:w="791" w:type="pct"/>
            <w:tcBorders>
              <w:top w:val="single" w:sz="8" w:space="0" w:color="EF4056"/>
              <w:left w:val="single" w:sz="4" w:space="0" w:color="EF4056"/>
              <w:bottom w:val="single" w:sz="4" w:space="0" w:color="EF4056"/>
              <w:right w:val="single" w:sz="4" w:space="0" w:color="EF4056"/>
            </w:tcBorders>
            <w:vAlign w:val="center"/>
          </w:tcPr>
          <w:p w14:paraId="7BF013D9"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c>
          <w:tcPr>
            <w:tcW w:w="611" w:type="pct"/>
            <w:tcBorders>
              <w:top w:val="single" w:sz="8" w:space="0" w:color="EF4056"/>
              <w:left w:val="single" w:sz="4" w:space="0" w:color="EF4056"/>
              <w:bottom w:val="single" w:sz="4" w:space="0" w:color="EF4056"/>
              <w:right w:val="single" w:sz="4" w:space="0" w:color="EF4056"/>
            </w:tcBorders>
            <w:vAlign w:val="center"/>
          </w:tcPr>
          <w:p w14:paraId="4436558E" w14:textId="77777777" w:rsidR="00CE5D8A" w:rsidRPr="00427B3A" w:rsidRDefault="00CE5D8A" w:rsidP="00586FD8">
            <w:pPr>
              <w:jc w:val="center"/>
              <w:rPr>
                <w:sz w:val="20"/>
                <w:szCs w:val="20"/>
              </w:rPr>
            </w:pPr>
          </w:p>
        </w:tc>
        <w:tc>
          <w:tcPr>
            <w:tcW w:w="572" w:type="pct"/>
            <w:tcBorders>
              <w:top w:val="single" w:sz="8" w:space="0" w:color="EF4056"/>
              <w:left w:val="single" w:sz="4" w:space="0" w:color="EF4056"/>
              <w:bottom w:val="single" w:sz="4" w:space="0" w:color="EF4056"/>
              <w:right w:val="single" w:sz="4" w:space="0" w:color="EF4056"/>
            </w:tcBorders>
            <w:vAlign w:val="center"/>
          </w:tcPr>
          <w:p w14:paraId="737D0DD0" w14:textId="77777777" w:rsidR="00CE5D8A" w:rsidRPr="00427B3A" w:rsidRDefault="00CE5D8A" w:rsidP="00586FD8">
            <w:pPr>
              <w:jc w:val="center"/>
              <w:rPr>
                <w:sz w:val="20"/>
                <w:szCs w:val="20"/>
              </w:rPr>
            </w:pPr>
          </w:p>
        </w:tc>
        <w:tc>
          <w:tcPr>
            <w:tcW w:w="683" w:type="pct"/>
            <w:tcBorders>
              <w:top w:val="single" w:sz="8" w:space="0" w:color="EF4056"/>
              <w:left w:val="single" w:sz="4" w:space="0" w:color="EF4056"/>
              <w:bottom w:val="single" w:sz="4" w:space="0" w:color="EF4056"/>
              <w:right w:val="single" w:sz="8" w:space="0" w:color="EF4056"/>
            </w:tcBorders>
            <w:vAlign w:val="center"/>
          </w:tcPr>
          <w:p w14:paraId="1F87CD9D" w14:textId="77777777" w:rsidR="00CE5D8A" w:rsidRPr="00427B3A" w:rsidRDefault="00CE5D8A" w:rsidP="00586FD8">
            <w:pPr>
              <w:jc w:val="center"/>
              <w:rPr>
                <w:sz w:val="20"/>
                <w:szCs w:val="20"/>
              </w:rPr>
            </w:pPr>
          </w:p>
        </w:tc>
      </w:tr>
      <w:tr w:rsidR="00CE5D8A" w:rsidRPr="00427B3A" w14:paraId="4BEF67E6" w14:textId="77777777" w:rsidTr="00586FD8">
        <w:trPr>
          <w:trHeight w:hRule="exact" w:val="1107"/>
        </w:trPr>
        <w:tc>
          <w:tcPr>
            <w:tcW w:w="1695" w:type="pct"/>
            <w:tcBorders>
              <w:top w:val="single" w:sz="4" w:space="0" w:color="EF4056"/>
              <w:left w:val="single" w:sz="8" w:space="0" w:color="EF4056"/>
              <w:bottom w:val="single" w:sz="4" w:space="0" w:color="EF4056"/>
              <w:right w:val="single" w:sz="4" w:space="0" w:color="EF4056"/>
            </w:tcBorders>
          </w:tcPr>
          <w:p w14:paraId="52AFCE4A" w14:textId="748D7DFF" w:rsidR="00CE5D8A" w:rsidRPr="00427B3A" w:rsidRDefault="00066AFE" w:rsidP="00586FD8">
            <w:pPr>
              <w:pStyle w:val="TableParagraph"/>
              <w:kinsoku w:val="0"/>
              <w:overflowPunct w:val="0"/>
              <w:jc w:val="both"/>
              <w:rPr>
                <w:sz w:val="20"/>
                <w:szCs w:val="20"/>
              </w:rPr>
            </w:pPr>
            <w:r w:rsidRPr="000761E9">
              <w:rPr>
                <w:color w:val="231F20"/>
                <w:sz w:val="20"/>
                <w:szCs w:val="20"/>
              </w:rPr>
              <w:lastRenderedPageBreak/>
              <w:t>Salīdzinošais novērtējums un tirgus pārbaude. 5.2. tematā aprakstītie noteikumi par uzturēšanas pakalpojumiem</w:t>
            </w:r>
          </w:p>
        </w:tc>
        <w:tc>
          <w:tcPr>
            <w:tcW w:w="648" w:type="pct"/>
            <w:tcBorders>
              <w:top w:val="single" w:sz="4" w:space="0" w:color="EF4056"/>
              <w:left w:val="single" w:sz="4" w:space="0" w:color="EF4056"/>
              <w:bottom w:val="single" w:sz="4" w:space="0" w:color="EF4056"/>
              <w:right w:val="single" w:sz="4" w:space="0" w:color="EF4056"/>
            </w:tcBorders>
            <w:vAlign w:val="center"/>
          </w:tcPr>
          <w:p w14:paraId="3D89D88E" w14:textId="2EA3F802" w:rsidR="00CE5D8A" w:rsidRPr="00427B3A" w:rsidRDefault="00CE5D8A" w:rsidP="00586FD8">
            <w:pPr>
              <w:pStyle w:val="TableParagraph"/>
              <w:kinsoku w:val="0"/>
              <w:overflowPunct w:val="0"/>
              <w:jc w:val="center"/>
              <w:rPr>
                <w:sz w:val="20"/>
                <w:szCs w:val="20"/>
              </w:rPr>
            </w:pPr>
            <w:r w:rsidRPr="00427B3A">
              <w:rPr>
                <w:color w:val="231F20"/>
                <w:sz w:val="20"/>
                <w:szCs w:val="20"/>
              </w:rPr>
              <w:t>5.2</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6C459A19"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c>
          <w:tcPr>
            <w:tcW w:w="611" w:type="pct"/>
            <w:tcBorders>
              <w:top w:val="single" w:sz="4" w:space="0" w:color="EF4056"/>
              <w:left w:val="single" w:sz="4" w:space="0" w:color="EF4056"/>
              <w:bottom w:val="single" w:sz="4" w:space="0" w:color="EF4056"/>
              <w:right w:val="single" w:sz="4" w:space="0" w:color="EF4056"/>
            </w:tcBorders>
            <w:vAlign w:val="center"/>
          </w:tcPr>
          <w:p w14:paraId="45359B1B"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348C358C" w14:textId="77777777" w:rsidR="00CE5D8A" w:rsidRPr="00427B3A" w:rsidRDefault="00CE5D8A" w:rsidP="00586FD8">
            <w:pPr>
              <w:jc w:val="center"/>
              <w:rPr>
                <w:sz w:val="20"/>
                <w:szCs w:val="20"/>
              </w:rPr>
            </w:pPr>
          </w:p>
        </w:tc>
        <w:tc>
          <w:tcPr>
            <w:tcW w:w="683" w:type="pct"/>
            <w:tcBorders>
              <w:top w:val="single" w:sz="4" w:space="0" w:color="EF4056"/>
              <w:left w:val="single" w:sz="4" w:space="0" w:color="EF4056"/>
              <w:bottom w:val="single" w:sz="4" w:space="0" w:color="EF4056"/>
              <w:right w:val="single" w:sz="8" w:space="0" w:color="EF4056"/>
            </w:tcBorders>
            <w:vAlign w:val="center"/>
          </w:tcPr>
          <w:p w14:paraId="01EF146E" w14:textId="77777777" w:rsidR="00CE5D8A" w:rsidRPr="00427B3A" w:rsidRDefault="00CE5D8A" w:rsidP="00586FD8">
            <w:pPr>
              <w:jc w:val="center"/>
              <w:rPr>
                <w:sz w:val="20"/>
                <w:szCs w:val="20"/>
              </w:rPr>
            </w:pPr>
          </w:p>
        </w:tc>
      </w:tr>
      <w:tr w:rsidR="00CE5D8A" w:rsidRPr="00427B3A" w14:paraId="4C686BB6" w14:textId="77777777" w:rsidTr="00586FD8">
        <w:trPr>
          <w:trHeight w:hRule="exact" w:val="1393"/>
        </w:trPr>
        <w:tc>
          <w:tcPr>
            <w:tcW w:w="1695" w:type="pct"/>
            <w:tcBorders>
              <w:top w:val="single" w:sz="4" w:space="0" w:color="EF4056"/>
              <w:left w:val="single" w:sz="8" w:space="0" w:color="EF4056"/>
              <w:bottom w:val="single" w:sz="4" w:space="0" w:color="EF4056"/>
              <w:right w:val="single" w:sz="4" w:space="0" w:color="EF4056"/>
            </w:tcBorders>
          </w:tcPr>
          <w:p w14:paraId="3A71B547" w14:textId="605BED97" w:rsidR="00CE5D8A" w:rsidRPr="00427B3A" w:rsidRDefault="00066AFE" w:rsidP="00586FD8">
            <w:pPr>
              <w:pStyle w:val="TableParagraph"/>
              <w:kinsoku w:val="0"/>
              <w:overflowPunct w:val="0"/>
              <w:jc w:val="both"/>
              <w:rPr>
                <w:sz w:val="20"/>
                <w:szCs w:val="20"/>
              </w:rPr>
            </w:pPr>
            <w:r w:rsidRPr="000761E9">
              <w:rPr>
                <w:color w:val="231F20"/>
                <w:sz w:val="20"/>
                <w:szCs w:val="20"/>
              </w:rPr>
              <w:t>Salīdzinošais novērtējums un tirgus pārbaude. Noteikumi, kas neatbilst otrajam un trešajam nosacījumam 5.2. tematā</w:t>
            </w:r>
          </w:p>
        </w:tc>
        <w:tc>
          <w:tcPr>
            <w:tcW w:w="648" w:type="pct"/>
            <w:tcBorders>
              <w:top w:val="single" w:sz="4" w:space="0" w:color="EF4056"/>
              <w:left w:val="single" w:sz="4" w:space="0" w:color="EF4056"/>
              <w:bottom w:val="single" w:sz="4" w:space="0" w:color="EF4056"/>
              <w:right w:val="single" w:sz="4" w:space="0" w:color="EF4056"/>
            </w:tcBorders>
            <w:vAlign w:val="center"/>
          </w:tcPr>
          <w:p w14:paraId="374443A7" w14:textId="636E2A55" w:rsidR="00CE5D8A" w:rsidRPr="00427B3A" w:rsidRDefault="00CE5D8A" w:rsidP="00586FD8">
            <w:pPr>
              <w:pStyle w:val="TableParagraph"/>
              <w:kinsoku w:val="0"/>
              <w:overflowPunct w:val="0"/>
              <w:jc w:val="center"/>
              <w:rPr>
                <w:sz w:val="20"/>
                <w:szCs w:val="20"/>
              </w:rPr>
            </w:pPr>
            <w:r w:rsidRPr="00427B3A">
              <w:rPr>
                <w:color w:val="231F20"/>
                <w:sz w:val="20"/>
                <w:szCs w:val="20"/>
              </w:rPr>
              <w:t>5.2</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50E435DC" w14:textId="77777777" w:rsidR="00CE5D8A" w:rsidRPr="00427B3A" w:rsidRDefault="00CE5D8A" w:rsidP="00586FD8">
            <w:pPr>
              <w:jc w:val="center"/>
              <w:rPr>
                <w:sz w:val="20"/>
                <w:szCs w:val="20"/>
              </w:rPr>
            </w:pPr>
          </w:p>
        </w:tc>
        <w:tc>
          <w:tcPr>
            <w:tcW w:w="611" w:type="pct"/>
            <w:tcBorders>
              <w:top w:val="single" w:sz="4" w:space="0" w:color="EF4056"/>
              <w:left w:val="single" w:sz="4" w:space="0" w:color="EF4056"/>
              <w:bottom w:val="single" w:sz="4" w:space="0" w:color="EF4056"/>
              <w:right w:val="single" w:sz="4" w:space="0" w:color="EF4056"/>
            </w:tcBorders>
            <w:vAlign w:val="center"/>
          </w:tcPr>
          <w:p w14:paraId="5DF30ABE"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4FF00259"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c>
          <w:tcPr>
            <w:tcW w:w="683" w:type="pct"/>
            <w:tcBorders>
              <w:top w:val="single" w:sz="4" w:space="0" w:color="EF4056"/>
              <w:left w:val="single" w:sz="4" w:space="0" w:color="EF4056"/>
              <w:bottom w:val="single" w:sz="4" w:space="0" w:color="EF4056"/>
              <w:right w:val="single" w:sz="8" w:space="0" w:color="EF4056"/>
            </w:tcBorders>
            <w:vAlign w:val="center"/>
          </w:tcPr>
          <w:p w14:paraId="4596FCAE" w14:textId="77777777" w:rsidR="00CE5D8A" w:rsidRPr="00427B3A" w:rsidRDefault="00CE5D8A" w:rsidP="00586FD8">
            <w:pPr>
              <w:jc w:val="center"/>
              <w:rPr>
                <w:sz w:val="20"/>
                <w:szCs w:val="20"/>
              </w:rPr>
            </w:pPr>
          </w:p>
        </w:tc>
      </w:tr>
      <w:tr w:rsidR="00CE5D8A" w:rsidRPr="00427B3A" w14:paraId="4676E229" w14:textId="77777777" w:rsidTr="00586FD8">
        <w:trPr>
          <w:trHeight w:hRule="exact" w:val="821"/>
        </w:trPr>
        <w:tc>
          <w:tcPr>
            <w:tcW w:w="1695" w:type="pct"/>
            <w:tcBorders>
              <w:top w:val="single" w:sz="4" w:space="0" w:color="EF4056"/>
              <w:left w:val="single" w:sz="8" w:space="0" w:color="EF4056"/>
              <w:bottom w:val="single" w:sz="4" w:space="0" w:color="EF4056"/>
              <w:right w:val="single" w:sz="4" w:space="0" w:color="EF4056"/>
            </w:tcBorders>
          </w:tcPr>
          <w:p w14:paraId="5CF9106A" w14:textId="1A954B50" w:rsidR="00CE5D8A" w:rsidRPr="00427B3A" w:rsidRDefault="00066AFE" w:rsidP="00586FD8">
            <w:pPr>
              <w:pStyle w:val="TableParagraph"/>
              <w:kinsoku w:val="0"/>
              <w:overflowPunct w:val="0"/>
              <w:jc w:val="both"/>
              <w:rPr>
                <w:sz w:val="20"/>
                <w:szCs w:val="20"/>
              </w:rPr>
            </w:pPr>
            <w:r w:rsidRPr="000761E9">
              <w:rPr>
                <w:color w:val="231F20"/>
                <w:sz w:val="20"/>
                <w:szCs w:val="20"/>
              </w:rPr>
              <w:t>Komunālo pakalpojumu izmaksas. 5.3. tematā aprakstītie jautājumi par noteikumiem attiecībā uz risku sadali</w:t>
            </w:r>
          </w:p>
        </w:tc>
        <w:tc>
          <w:tcPr>
            <w:tcW w:w="648" w:type="pct"/>
            <w:tcBorders>
              <w:top w:val="single" w:sz="4" w:space="0" w:color="EF4056"/>
              <w:left w:val="single" w:sz="4" w:space="0" w:color="EF4056"/>
              <w:bottom w:val="single" w:sz="4" w:space="0" w:color="EF4056"/>
              <w:right w:val="single" w:sz="4" w:space="0" w:color="EF4056"/>
            </w:tcBorders>
            <w:vAlign w:val="center"/>
          </w:tcPr>
          <w:p w14:paraId="59F7908B" w14:textId="145AF545" w:rsidR="00CE5D8A" w:rsidRPr="00427B3A" w:rsidRDefault="00CE5D8A" w:rsidP="00586FD8">
            <w:pPr>
              <w:pStyle w:val="TableParagraph"/>
              <w:kinsoku w:val="0"/>
              <w:overflowPunct w:val="0"/>
              <w:jc w:val="center"/>
              <w:rPr>
                <w:sz w:val="20"/>
                <w:szCs w:val="20"/>
              </w:rPr>
            </w:pPr>
            <w:r w:rsidRPr="00427B3A">
              <w:rPr>
                <w:color w:val="231F20"/>
                <w:sz w:val="20"/>
                <w:szCs w:val="20"/>
              </w:rPr>
              <w:t>5.3</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0970FCC4" w14:textId="77777777" w:rsidR="00CE5D8A" w:rsidRPr="00427B3A" w:rsidRDefault="00CE5D8A" w:rsidP="00586FD8">
            <w:pPr>
              <w:jc w:val="center"/>
              <w:rPr>
                <w:sz w:val="20"/>
                <w:szCs w:val="20"/>
              </w:rPr>
            </w:pPr>
          </w:p>
        </w:tc>
        <w:tc>
          <w:tcPr>
            <w:tcW w:w="611" w:type="pct"/>
            <w:tcBorders>
              <w:top w:val="single" w:sz="4" w:space="0" w:color="EF4056"/>
              <w:left w:val="single" w:sz="4" w:space="0" w:color="EF4056"/>
              <w:bottom w:val="single" w:sz="4" w:space="0" w:color="EF4056"/>
              <w:right w:val="single" w:sz="4" w:space="0" w:color="EF4056"/>
            </w:tcBorders>
            <w:vAlign w:val="center"/>
          </w:tcPr>
          <w:p w14:paraId="4E9D9DA1"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0FB50CB2" w14:textId="77777777" w:rsidR="00CE5D8A" w:rsidRPr="00427B3A" w:rsidRDefault="00CE5D8A" w:rsidP="00586FD8">
            <w:pPr>
              <w:jc w:val="center"/>
              <w:rPr>
                <w:sz w:val="20"/>
                <w:szCs w:val="20"/>
              </w:rPr>
            </w:pPr>
          </w:p>
        </w:tc>
        <w:tc>
          <w:tcPr>
            <w:tcW w:w="683" w:type="pct"/>
            <w:tcBorders>
              <w:top w:val="single" w:sz="4" w:space="0" w:color="EF4056"/>
              <w:left w:val="single" w:sz="4" w:space="0" w:color="EF4056"/>
              <w:bottom w:val="single" w:sz="4" w:space="0" w:color="EF4056"/>
              <w:right w:val="single" w:sz="8" w:space="0" w:color="EF4056"/>
            </w:tcBorders>
            <w:vAlign w:val="center"/>
          </w:tcPr>
          <w:p w14:paraId="2FB4CF06"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r>
      <w:tr w:rsidR="00CE5D8A" w:rsidRPr="00427B3A" w14:paraId="30B5FC52" w14:textId="77777777" w:rsidTr="00586FD8">
        <w:trPr>
          <w:trHeight w:hRule="exact" w:val="541"/>
        </w:trPr>
        <w:tc>
          <w:tcPr>
            <w:tcW w:w="1695" w:type="pct"/>
            <w:tcBorders>
              <w:top w:val="single" w:sz="4" w:space="0" w:color="EF4056"/>
              <w:left w:val="single" w:sz="8" w:space="0" w:color="EF4056"/>
              <w:bottom w:val="single" w:sz="4" w:space="0" w:color="EF4056"/>
              <w:right w:val="single" w:sz="4" w:space="0" w:color="EF4056"/>
            </w:tcBorders>
          </w:tcPr>
          <w:p w14:paraId="59CF1596" w14:textId="6A0EB35B" w:rsidR="00CE5D8A" w:rsidRPr="00427B3A" w:rsidRDefault="00066AFE" w:rsidP="00586FD8">
            <w:pPr>
              <w:pStyle w:val="TableParagraph"/>
              <w:kinsoku w:val="0"/>
              <w:overflowPunct w:val="0"/>
              <w:jc w:val="both"/>
              <w:rPr>
                <w:sz w:val="20"/>
                <w:szCs w:val="20"/>
              </w:rPr>
            </w:pPr>
            <w:r w:rsidRPr="000761E9">
              <w:rPr>
                <w:color w:val="231F20"/>
                <w:sz w:val="20"/>
                <w:szCs w:val="20"/>
              </w:rPr>
              <w:t>Indeksācija. 5.4. tematā aprakstītie jautājumi</w:t>
            </w:r>
          </w:p>
        </w:tc>
        <w:tc>
          <w:tcPr>
            <w:tcW w:w="648" w:type="pct"/>
            <w:tcBorders>
              <w:top w:val="single" w:sz="4" w:space="0" w:color="EF4056"/>
              <w:left w:val="single" w:sz="4" w:space="0" w:color="EF4056"/>
              <w:bottom w:val="single" w:sz="4" w:space="0" w:color="EF4056"/>
              <w:right w:val="single" w:sz="4" w:space="0" w:color="EF4056"/>
            </w:tcBorders>
            <w:vAlign w:val="center"/>
          </w:tcPr>
          <w:p w14:paraId="787BFB66" w14:textId="00800B3F" w:rsidR="00CE5D8A" w:rsidRPr="00427B3A" w:rsidRDefault="00CE5D8A" w:rsidP="00586FD8">
            <w:pPr>
              <w:pStyle w:val="TableParagraph"/>
              <w:kinsoku w:val="0"/>
              <w:overflowPunct w:val="0"/>
              <w:jc w:val="center"/>
              <w:rPr>
                <w:sz w:val="20"/>
                <w:szCs w:val="20"/>
              </w:rPr>
            </w:pPr>
            <w:r w:rsidRPr="00427B3A">
              <w:rPr>
                <w:color w:val="231F20"/>
                <w:sz w:val="20"/>
                <w:szCs w:val="20"/>
              </w:rPr>
              <w:t>5.4</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47686513" w14:textId="77777777" w:rsidR="00CE5D8A" w:rsidRPr="00427B3A" w:rsidRDefault="00CE5D8A" w:rsidP="00586FD8">
            <w:pPr>
              <w:jc w:val="center"/>
              <w:rPr>
                <w:sz w:val="20"/>
                <w:szCs w:val="20"/>
              </w:rPr>
            </w:pPr>
          </w:p>
        </w:tc>
        <w:tc>
          <w:tcPr>
            <w:tcW w:w="611" w:type="pct"/>
            <w:tcBorders>
              <w:top w:val="single" w:sz="4" w:space="0" w:color="EF4056"/>
              <w:left w:val="single" w:sz="4" w:space="0" w:color="EF4056"/>
              <w:bottom w:val="single" w:sz="4" w:space="0" w:color="EF4056"/>
              <w:right w:val="single" w:sz="4" w:space="0" w:color="EF4056"/>
            </w:tcBorders>
            <w:vAlign w:val="center"/>
          </w:tcPr>
          <w:p w14:paraId="0AFA6ED6"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447AAE8E" w14:textId="77777777" w:rsidR="00CE5D8A" w:rsidRPr="00427B3A" w:rsidRDefault="00CE5D8A" w:rsidP="00586FD8">
            <w:pPr>
              <w:jc w:val="center"/>
              <w:rPr>
                <w:sz w:val="20"/>
                <w:szCs w:val="20"/>
              </w:rPr>
            </w:pPr>
          </w:p>
        </w:tc>
        <w:tc>
          <w:tcPr>
            <w:tcW w:w="683" w:type="pct"/>
            <w:tcBorders>
              <w:top w:val="single" w:sz="4" w:space="0" w:color="EF4056"/>
              <w:left w:val="single" w:sz="4" w:space="0" w:color="EF4056"/>
              <w:bottom w:val="single" w:sz="4" w:space="0" w:color="EF4056"/>
              <w:right w:val="single" w:sz="8" w:space="0" w:color="EF4056"/>
            </w:tcBorders>
            <w:vAlign w:val="center"/>
          </w:tcPr>
          <w:p w14:paraId="31875ADF" w14:textId="2DB305B2" w:rsidR="00CE5D8A" w:rsidRPr="00427B3A" w:rsidRDefault="00066AFE" w:rsidP="00586FD8">
            <w:pPr>
              <w:pStyle w:val="TableParagraph"/>
              <w:kinsoku w:val="0"/>
              <w:overflowPunct w:val="0"/>
              <w:jc w:val="center"/>
              <w:rPr>
                <w:sz w:val="20"/>
                <w:szCs w:val="20"/>
              </w:rPr>
            </w:pPr>
            <w:r w:rsidRPr="00427B3A">
              <w:rPr>
                <w:color w:val="EF4056"/>
                <w:sz w:val="20"/>
                <w:szCs w:val="20"/>
              </w:rPr>
              <w:sym w:font="Symbol" w:char="F0D6"/>
            </w:r>
          </w:p>
        </w:tc>
      </w:tr>
      <w:tr w:rsidR="00CE5D8A" w:rsidRPr="00427B3A" w14:paraId="3E8302AD" w14:textId="77777777" w:rsidTr="00586FD8">
        <w:trPr>
          <w:trHeight w:hRule="exact" w:val="1107"/>
        </w:trPr>
        <w:tc>
          <w:tcPr>
            <w:tcW w:w="1695" w:type="pct"/>
            <w:tcBorders>
              <w:top w:val="single" w:sz="4" w:space="0" w:color="EF4056"/>
              <w:left w:val="single" w:sz="8" w:space="0" w:color="EF4056"/>
              <w:bottom w:val="single" w:sz="4" w:space="0" w:color="EF4056"/>
              <w:right w:val="single" w:sz="4" w:space="0" w:color="EF4056"/>
            </w:tcBorders>
          </w:tcPr>
          <w:p w14:paraId="509DB16D" w14:textId="00FA748B" w:rsidR="00CE5D8A" w:rsidRPr="00427B3A" w:rsidRDefault="00066AFE" w:rsidP="00586FD8">
            <w:pPr>
              <w:pStyle w:val="TableParagraph"/>
              <w:kinsoku w:val="0"/>
              <w:overflowPunct w:val="0"/>
              <w:jc w:val="both"/>
              <w:rPr>
                <w:sz w:val="20"/>
                <w:szCs w:val="20"/>
              </w:rPr>
            </w:pPr>
            <w:r w:rsidRPr="000761E9">
              <w:rPr>
                <w:color w:val="231F20"/>
                <w:sz w:val="20"/>
                <w:szCs w:val="20"/>
              </w:rPr>
              <w:t>Ieņēmumi no trešām personām. 5.5. tematā aprakstītais gadījums, kad Iestādes ieņēmumi ir vismaz 20 %</w:t>
            </w:r>
          </w:p>
        </w:tc>
        <w:tc>
          <w:tcPr>
            <w:tcW w:w="648" w:type="pct"/>
            <w:tcBorders>
              <w:top w:val="single" w:sz="4" w:space="0" w:color="EF4056"/>
              <w:left w:val="single" w:sz="4" w:space="0" w:color="EF4056"/>
              <w:bottom w:val="single" w:sz="4" w:space="0" w:color="EF4056"/>
              <w:right w:val="single" w:sz="4" w:space="0" w:color="EF4056"/>
            </w:tcBorders>
            <w:vAlign w:val="center"/>
          </w:tcPr>
          <w:p w14:paraId="4CAC820E" w14:textId="4B3C25AF" w:rsidR="00CE5D8A" w:rsidRPr="00427B3A" w:rsidRDefault="00CE5D8A" w:rsidP="00586FD8">
            <w:pPr>
              <w:pStyle w:val="TableParagraph"/>
              <w:kinsoku w:val="0"/>
              <w:overflowPunct w:val="0"/>
              <w:jc w:val="center"/>
              <w:rPr>
                <w:sz w:val="20"/>
                <w:szCs w:val="20"/>
              </w:rPr>
            </w:pPr>
            <w:r w:rsidRPr="00427B3A">
              <w:rPr>
                <w:color w:val="231F20"/>
                <w:sz w:val="20"/>
                <w:szCs w:val="20"/>
              </w:rPr>
              <w:t>5.5</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11063CAA" w14:textId="77777777" w:rsidR="00CE5D8A" w:rsidRPr="00427B3A" w:rsidRDefault="00CE5D8A" w:rsidP="00586FD8">
            <w:pPr>
              <w:jc w:val="center"/>
              <w:rPr>
                <w:sz w:val="20"/>
                <w:szCs w:val="20"/>
              </w:rPr>
            </w:pPr>
          </w:p>
        </w:tc>
        <w:tc>
          <w:tcPr>
            <w:tcW w:w="611" w:type="pct"/>
            <w:tcBorders>
              <w:top w:val="single" w:sz="4" w:space="0" w:color="EF4056"/>
              <w:left w:val="single" w:sz="4" w:space="0" w:color="EF4056"/>
              <w:bottom w:val="single" w:sz="4" w:space="0" w:color="EF4056"/>
              <w:right w:val="single" w:sz="4" w:space="0" w:color="EF4056"/>
            </w:tcBorders>
            <w:vAlign w:val="center"/>
          </w:tcPr>
          <w:p w14:paraId="3751F69D"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5E6EA8FE"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c>
          <w:tcPr>
            <w:tcW w:w="683" w:type="pct"/>
            <w:tcBorders>
              <w:top w:val="single" w:sz="4" w:space="0" w:color="EF4056"/>
              <w:left w:val="single" w:sz="4" w:space="0" w:color="EF4056"/>
              <w:bottom w:val="single" w:sz="4" w:space="0" w:color="EF4056"/>
              <w:right w:val="single" w:sz="8" w:space="0" w:color="EF4056"/>
            </w:tcBorders>
            <w:vAlign w:val="center"/>
          </w:tcPr>
          <w:p w14:paraId="56560ECF" w14:textId="77777777" w:rsidR="00CE5D8A" w:rsidRPr="00427B3A" w:rsidRDefault="00CE5D8A" w:rsidP="00586FD8">
            <w:pPr>
              <w:jc w:val="center"/>
              <w:rPr>
                <w:sz w:val="20"/>
                <w:szCs w:val="20"/>
              </w:rPr>
            </w:pPr>
          </w:p>
        </w:tc>
      </w:tr>
      <w:tr w:rsidR="00CE5D8A" w:rsidRPr="00427B3A" w14:paraId="60714D4E" w14:textId="77777777" w:rsidTr="00586FD8">
        <w:trPr>
          <w:trHeight w:hRule="exact" w:val="1107"/>
        </w:trPr>
        <w:tc>
          <w:tcPr>
            <w:tcW w:w="1695" w:type="pct"/>
            <w:tcBorders>
              <w:top w:val="single" w:sz="4" w:space="0" w:color="EF4056"/>
              <w:left w:val="single" w:sz="8" w:space="0" w:color="EF4056"/>
              <w:bottom w:val="single" w:sz="4" w:space="0" w:color="EF4056"/>
              <w:right w:val="single" w:sz="4" w:space="0" w:color="EF4056"/>
            </w:tcBorders>
          </w:tcPr>
          <w:p w14:paraId="430A7AC4" w14:textId="62940417" w:rsidR="00CE5D8A" w:rsidRPr="00427B3A" w:rsidRDefault="00066AFE" w:rsidP="00586FD8">
            <w:pPr>
              <w:pStyle w:val="TableParagraph"/>
              <w:kinsoku w:val="0"/>
              <w:overflowPunct w:val="0"/>
              <w:jc w:val="both"/>
              <w:rPr>
                <w:sz w:val="20"/>
                <w:szCs w:val="20"/>
              </w:rPr>
            </w:pPr>
            <w:r w:rsidRPr="000761E9">
              <w:rPr>
                <w:color w:val="231F20"/>
                <w:sz w:val="20"/>
                <w:szCs w:val="20"/>
              </w:rPr>
              <w:t>Ieņēmumi no trešām personām. 5.5. tematā aprakstītais gadījums, kad Iestādes ieņēmumi ir vismaz 5 %</w:t>
            </w:r>
          </w:p>
        </w:tc>
        <w:tc>
          <w:tcPr>
            <w:tcW w:w="648" w:type="pct"/>
            <w:tcBorders>
              <w:top w:val="single" w:sz="4" w:space="0" w:color="EF4056"/>
              <w:left w:val="single" w:sz="4" w:space="0" w:color="EF4056"/>
              <w:bottom w:val="single" w:sz="4" w:space="0" w:color="EF4056"/>
              <w:right w:val="single" w:sz="4" w:space="0" w:color="EF4056"/>
            </w:tcBorders>
            <w:vAlign w:val="center"/>
          </w:tcPr>
          <w:p w14:paraId="04149BD4" w14:textId="5D7E9473" w:rsidR="00CE5D8A" w:rsidRPr="00427B3A" w:rsidRDefault="00CE5D8A" w:rsidP="00586FD8">
            <w:pPr>
              <w:pStyle w:val="TableParagraph"/>
              <w:kinsoku w:val="0"/>
              <w:overflowPunct w:val="0"/>
              <w:jc w:val="center"/>
              <w:rPr>
                <w:sz w:val="20"/>
                <w:szCs w:val="20"/>
              </w:rPr>
            </w:pPr>
            <w:r w:rsidRPr="00427B3A">
              <w:rPr>
                <w:color w:val="231F20"/>
                <w:sz w:val="20"/>
                <w:szCs w:val="20"/>
              </w:rPr>
              <w:t>5.5</w:t>
            </w:r>
            <w:r w:rsidR="00DC1556">
              <w:rPr>
                <w:color w:val="231F20"/>
                <w:sz w:val="20"/>
                <w:szCs w:val="20"/>
              </w:rPr>
              <w:t>.</w:t>
            </w:r>
          </w:p>
        </w:tc>
        <w:tc>
          <w:tcPr>
            <w:tcW w:w="791" w:type="pct"/>
            <w:tcBorders>
              <w:top w:val="single" w:sz="4" w:space="0" w:color="EF4056"/>
              <w:left w:val="single" w:sz="4" w:space="0" w:color="EF4056"/>
              <w:bottom w:val="single" w:sz="4" w:space="0" w:color="EF4056"/>
              <w:right w:val="single" w:sz="4" w:space="0" w:color="EF4056"/>
            </w:tcBorders>
            <w:vAlign w:val="center"/>
          </w:tcPr>
          <w:p w14:paraId="25AAD9B3" w14:textId="77777777" w:rsidR="00CE5D8A" w:rsidRPr="00427B3A" w:rsidRDefault="00CE5D8A" w:rsidP="00586FD8">
            <w:pPr>
              <w:jc w:val="center"/>
              <w:rPr>
                <w:sz w:val="20"/>
                <w:szCs w:val="20"/>
              </w:rPr>
            </w:pPr>
          </w:p>
        </w:tc>
        <w:tc>
          <w:tcPr>
            <w:tcW w:w="611" w:type="pct"/>
            <w:tcBorders>
              <w:top w:val="single" w:sz="4" w:space="0" w:color="EF4056"/>
              <w:left w:val="single" w:sz="4" w:space="0" w:color="EF4056"/>
              <w:bottom w:val="single" w:sz="4" w:space="0" w:color="EF4056"/>
              <w:right w:val="single" w:sz="4" w:space="0" w:color="EF4056"/>
            </w:tcBorders>
            <w:vAlign w:val="center"/>
          </w:tcPr>
          <w:p w14:paraId="266E7F05" w14:textId="77777777" w:rsidR="00CE5D8A" w:rsidRPr="00427B3A" w:rsidRDefault="00CE5D8A" w:rsidP="00586FD8">
            <w:pPr>
              <w:jc w:val="center"/>
              <w:rPr>
                <w:sz w:val="20"/>
                <w:szCs w:val="20"/>
              </w:rPr>
            </w:pPr>
          </w:p>
        </w:tc>
        <w:tc>
          <w:tcPr>
            <w:tcW w:w="572" w:type="pct"/>
            <w:tcBorders>
              <w:top w:val="single" w:sz="4" w:space="0" w:color="EF4056"/>
              <w:left w:val="single" w:sz="4" w:space="0" w:color="EF4056"/>
              <w:bottom w:val="single" w:sz="4" w:space="0" w:color="EF4056"/>
              <w:right w:val="single" w:sz="4" w:space="0" w:color="EF4056"/>
            </w:tcBorders>
            <w:vAlign w:val="center"/>
          </w:tcPr>
          <w:p w14:paraId="780BB83B" w14:textId="77777777" w:rsidR="00CE5D8A" w:rsidRPr="00427B3A" w:rsidRDefault="00CE5D8A" w:rsidP="00586FD8">
            <w:pPr>
              <w:jc w:val="center"/>
              <w:rPr>
                <w:sz w:val="20"/>
                <w:szCs w:val="20"/>
              </w:rPr>
            </w:pPr>
          </w:p>
        </w:tc>
        <w:tc>
          <w:tcPr>
            <w:tcW w:w="683" w:type="pct"/>
            <w:tcBorders>
              <w:top w:val="single" w:sz="4" w:space="0" w:color="EF4056"/>
              <w:left w:val="single" w:sz="4" w:space="0" w:color="EF4056"/>
              <w:bottom w:val="single" w:sz="4" w:space="0" w:color="EF4056"/>
              <w:right w:val="single" w:sz="8" w:space="0" w:color="EF4056"/>
            </w:tcBorders>
            <w:vAlign w:val="center"/>
          </w:tcPr>
          <w:p w14:paraId="74A7B255" w14:textId="77777777" w:rsidR="00CE5D8A" w:rsidRPr="00427B3A" w:rsidRDefault="00CE5D8A" w:rsidP="00586FD8">
            <w:pPr>
              <w:pStyle w:val="TableParagraph"/>
              <w:kinsoku w:val="0"/>
              <w:overflowPunct w:val="0"/>
              <w:jc w:val="center"/>
              <w:rPr>
                <w:sz w:val="20"/>
                <w:szCs w:val="20"/>
              </w:rPr>
            </w:pPr>
            <w:r w:rsidRPr="00427B3A">
              <w:rPr>
                <w:color w:val="EF4056"/>
                <w:sz w:val="20"/>
                <w:szCs w:val="20"/>
              </w:rPr>
              <w:sym w:font="Symbol" w:char="F0D6"/>
            </w:r>
          </w:p>
        </w:tc>
      </w:tr>
      <w:tr w:rsidR="00CE5D8A" w:rsidRPr="00427B3A" w14:paraId="7DB392EC" w14:textId="77777777" w:rsidTr="00066AFE">
        <w:trPr>
          <w:trHeight w:hRule="exact" w:val="1107"/>
        </w:trPr>
        <w:tc>
          <w:tcPr>
            <w:tcW w:w="1695" w:type="pct"/>
            <w:tcBorders>
              <w:top w:val="single" w:sz="4" w:space="0" w:color="EF4056"/>
              <w:left w:val="single" w:sz="8" w:space="0" w:color="EF4056"/>
              <w:bottom w:val="single" w:sz="4" w:space="0" w:color="EF4056"/>
              <w:right w:val="single" w:sz="4" w:space="0" w:color="EF4056"/>
            </w:tcBorders>
          </w:tcPr>
          <w:p w14:paraId="75AF8EDC" w14:textId="2AE317D6" w:rsidR="00CE5D8A" w:rsidRPr="00427B3A" w:rsidRDefault="00066AFE" w:rsidP="00586FD8">
            <w:pPr>
              <w:pStyle w:val="TableParagraph"/>
              <w:kinsoku w:val="0"/>
              <w:overflowPunct w:val="0"/>
              <w:jc w:val="both"/>
              <w:rPr>
                <w:sz w:val="20"/>
                <w:szCs w:val="20"/>
              </w:rPr>
            </w:pPr>
            <w:r w:rsidRPr="000761E9">
              <w:rPr>
                <w:color w:val="231F20"/>
                <w:sz w:val="20"/>
                <w:szCs w:val="20"/>
              </w:rPr>
              <w:t>Maksājumu mehānisma pārskatīšana, lai mainītu PPP līgumā noteikto risku un atlīdzības sadalījumu</w:t>
            </w:r>
          </w:p>
        </w:tc>
        <w:tc>
          <w:tcPr>
            <w:tcW w:w="648" w:type="pct"/>
            <w:tcBorders>
              <w:top w:val="single" w:sz="4" w:space="0" w:color="EF4056"/>
              <w:left w:val="single" w:sz="4" w:space="0" w:color="EF4056"/>
              <w:bottom w:val="single" w:sz="4" w:space="0" w:color="EF4056"/>
              <w:right w:val="single" w:sz="4" w:space="0" w:color="EF4056"/>
            </w:tcBorders>
            <w:vAlign w:val="center"/>
          </w:tcPr>
          <w:p w14:paraId="6B0892D8" w14:textId="5C11D7F7" w:rsidR="00CE5D8A" w:rsidRPr="00427B3A" w:rsidRDefault="00CE5D8A" w:rsidP="00586FD8">
            <w:pPr>
              <w:pStyle w:val="TableParagraph"/>
              <w:kinsoku w:val="0"/>
              <w:overflowPunct w:val="0"/>
              <w:jc w:val="center"/>
              <w:rPr>
                <w:sz w:val="20"/>
                <w:szCs w:val="20"/>
              </w:rPr>
            </w:pPr>
            <w:r w:rsidRPr="00427B3A">
              <w:rPr>
                <w:color w:val="231F20"/>
                <w:sz w:val="20"/>
                <w:szCs w:val="20"/>
              </w:rPr>
              <w:t>5.10</w:t>
            </w:r>
            <w:r w:rsidR="00DC1556">
              <w:rPr>
                <w:color w:val="231F20"/>
                <w:sz w:val="20"/>
                <w:szCs w:val="20"/>
              </w:rPr>
              <w:t>.</w:t>
            </w:r>
          </w:p>
        </w:tc>
        <w:tc>
          <w:tcPr>
            <w:tcW w:w="2657" w:type="pct"/>
            <w:gridSpan w:val="4"/>
            <w:tcBorders>
              <w:top w:val="single" w:sz="4" w:space="0" w:color="EF4056"/>
              <w:left w:val="single" w:sz="4" w:space="0" w:color="EF4056"/>
              <w:bottom w:val="single" w:sz="4" w:space="0" w:color="EF4056"/>
              <w:right w:val="single" w:sz="8" w:space="0" w:color="EF4056"/>
            </w:tcBorders>
            <w:vAlign w:val="center"/>
          </w:tcPr>
          <w:p w14:paraId="42F64B4D" w14:textId="4E723B97" w:rsidR="00CE5D8A" w:rsidRPr="00427B3A" w:rsidRDefault="00066AFE" w:rsidP="00586FD8">
            <w:pPr>
              <w:pStyle w:val="TableParagraph"/>
              <w:kinsoku w:val="0"/>
              <w:overflowPunct w:val="0"/>
              <w:jc w:val="center"/>
              <w:rPr>
                <w:sz w:val="20"/>
                <w:szCs w:val="20"/>
              </w:rPr>
            </w:pPr>
            <w:r w:rsidRPr="000761E9">
              <w:rPr>
                <w:b/>
                <w:bCs/>
                <w:color w:val="EF4056"/>
                <w:sz w:val="20"/>
                <w:szCs w:val="20"/>
              </w:rPr>
              <w:t>Ir nepieciešama īpaša analīze</w:t>
            </w:r>
          </w:p>
        </w:tc>
      </w:tr>
      <w:tr w:rsidR="00CE5D8A" w:rsidRPr="00427B3A" w14:paraId="5DF34184" w14:textId="77777777" w:rsidTr="00586FD8">
        <w:trPr>
          <w:trHeight w:hRule="exact" w:val="459"/>
        </w:trPr>
        <w:tc>
          <w:tcPr>
            <w:tcW w:w="5000" w:type="pct"/>
            <w:gridSpan w:val="6"/>
            <w:tcBorders>
              <w:top w:val="nil"/>
              <w:left w:val="single" w:sz="8" w:space="0" w:color="006678"/>
              <w:bottom w:val="single" w:sz="4" w:space="0" w:color="006678"/>
              <w:right w:val="single" w:sz="8" w:space="0" w:color="006678"/>
            </w:tcBorders>
            <w:shd w:val="clear" w:color="auto" w:fill="006678"/>
          </w:tcPr>
          <w:p w14:paraId="455A3A03" w14:textId="77777777" w:rsidR="00066AFE" w:rsidRPr="000761E9" w:rsidRDefault="00066AFE" w:rsidP="00066AF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6. temats. Gadījumi, kad izmaksājama kompensācija, kad piešķirams atvieglojums un kad notikusi nepārvarama vara</w:t>
            </w:r>
          </w:p>
          <w:p w14:paraId="6D1872A6" w14:textId="0F64DD1C" w:rsidR="00CE5D8A" w:rsidRPr="00427B3A" w:rsidRDefault="00CE5D8A" w:rsidP="00586FD8">
            <w:pPr>
              <w:pStyle w:val="TableParagraph"/>
              <w:kinsoku w:val="0"/>
              <w:overflowPunct w:val="0"/>
              <w:jc w:val="both"/>
              <w:rPr>
                <w:sz w:val="20"/>
                <w:szCs w:val="20"/>
              </w:rPr>
            </w:pPr>
          </w:p>
        </w:tc>
      </w:tr>
      <w:tr w:rsidR="00CE5D8A" w:rsidRPr="00427B3A" w14:paraId="019F1975" w14:textId="77777777" w:rsidTr="00586FD8">
        <w:trPr>
          <w:trHeight w:hRule="exact" w:val="1107"/>
        </w:trPr>
        <w:tc>
          <w:tcPr>
            <w:tcW w:w="1695" w:type="pct"/>
            <w:tcBorders>
              <w:top w:val="single" w:sz="4" w:space="0" w:color="006678"/>
              <w:left w:val="single" w:sz="8" w:space="0" w:color="006678"/>
              <w:bottom w:val="single" w:sz="4" w:space="0" w:color="006678"/>
              <w:right w:val="single" w:sz="4" w:space="0" w:color="006678"/>
            </w:tcBorders>
          </w:tcPr>
          <w:p w14:paraId="58253E7E" w14:textId="266A60AE" w:rsidR="00CE5D8A" w:rsidRPr="00427B3A" w:rsidRDefault="00066AFE" w:rsidP="00586FD8">
            <w:pPr>
              <w:pStyle w:val="TableParagraph"/>
              <w:kinsoku w:val="0"/>
              <w:overflowPunct w:val="0"/>
              <w:jc w:val="both"/>
              <w:rPr>
                <w:sz w:val="20"/>
                <w:szCs w:val="20"/>
              </w:rPr>
            </w:pPr>
            <w:r w:rsidRPr="000761E9">
              <w:rPr>
                <w:color w:val="231F20"/>
                <w:sz w:val="20"/>
                <w:szCs w:val="20"/>
              </w:rPr>
              <w:t>Gadījumu tvērums un veids. Noteikumi, kas neatbilst 6.1. tematā izklāstītajiem nosacījumiem</w:t>
            </w:r>
          </w:p>
        </w:tc>
        <w:tc>
          <w:tcPr>
            <w:tcW w:w="648" w:type="pct"/>
            <w:tcBorders>
              <w:top w:val="single" w:sz="4" w:space="0" w:color="006678"/>
              <w:left w:val="single" w:sz="4" w:space="0" w:color="006678"/>
              <w:bottom w:val="single" w:sz="4" w:space="0" w:color="006678"/>
              <w:right w:val="single" w:sz="4" w:space="0" w:color="006678"/>
            </w:tcBorders>
            <w:vAlign w:val="center"/>
          </w:tcPr>
          <w:p w14:paraId="27DB43F0" w14:textId="339716EB" w:rsidR="00CE5D8A" w:rsidRPr="00427B3A" w:rsidRDefault="00CE5D8A" w:rsidP="00586FD8">
            <w:pPr>
              <w:pStyle w:val="TableParagraph"/>
              <w:kinsoku w:val="0"/>
              <w:overflowPunct w:val="0"/>
              <w:jc w:val="center"/>
              <w:rPr>
                <w:sz w:val="20"/>
                <w:szCs w:val="20"/>
              </w:rPr>
            </w:pPr>
            <w:r w:rsidRPr="00427B3A">
              <w:rPr>
                <w:color w:val="231F20"/>
                <w:sz w:val="20"/>
                <w:szCs w:val="20"/>
              </w:rPr>
              <w:t>6.1</w:t>
            </w:r>
            <w:r w:rsidR="00DC1556">
              <w:rPr>
                <w:color w:val="231F20"/>
                <w:sz w:val="20"/>
                <w:szCs w:val="20"/>
              </w:rPr>
              <w:t>.</w:t>
            </w:r>
          </w:p>
        </w:tc>
        <w:tc>
          <w:tcPr>
            <w:tcW w:w="791" w:type="pct"/>
            <w:tcBorders>
              <w:top w:val="single" w:sz="4" w:space="0" w:color="006678"/>
              <w:left w:val="single" w:sz="4" w:space="0" w:color="006678"/>
              <w:bottom w:val="single" w:sz="4" w:space="0" w:color="006678"/>
              <w:right w:val="single" w:sz="4" w:space="0" w:color="006678"/>
            </w:tcBorders>
            <w:vAlign w:val="center"/>
          </w:tcPr>
          <w:p w14:paraId="21CA11B3" w14:textId="77777777" w:rsidR="00CE5D8A" w:rsidRPr="00427B3A" w:rsidRDefault="00CE5D8A" w:rsidP="00586FD8">
            <w:pPr>
              <w:jc w:val="center"/>
              <w:rPr>
                <w:sz w:val="20"/>
                <w:szCs w:val="20"/>
              </w:rPr>
            </w:pPr>
          </w:p>
        </w:tc>
        <w:tc>
          <w:tcPr>
            <w:tcW w:w="611" w:type="pct"/>
            <w:tcBorders>
              <w:top w:val="single" w:sz="4" w:space="0" w:color="006678"/>
              <w:left w:val="single" w:sz="4" w:space="0" w:color="006678"/>
              <w:bottom w:val="single" w:sz="4" w:space="0" w:color="006678"/>
              <w:right w:val="single" w:sz="4" w:space="0" w:color="006678"/>
            </w:tcBorders>
            <w:vAlign w:val="center"/>
          </w:tcPr>
          <w:p w14:paraId="6015CCC1" w14:textId="77777777" w:rsidR="00CE5D8A" w:rsidRPr="00427B3A" w:rsidRDefault="00CE5D8A" w:rsidP="00586FD8">
            <w:pPr>
              <w:jc w:val="center"/>
              <w:rPr>
                <w:sz w:val="20"/>
                <w:szCs w:val="20"/>
              </w:rPr>
            </w:pPr>
          </w:p>
        </w:tc>
        <w:tc>
          <w:tcPr>
            <w:tcW w:w="572" w:type="pct"/>
            <w:tcBorders>
              <w:top w:val="single" w:sz="4" w:space="0" w:color="006678"/>
              <w:left w:val="single" w:sz="4" w:space="0" w:color="006678"/>
              <w:bottom w:val="single" w:sz="4" w:space="0" w:color="006678"/>
              <w:right w:val="single" w:sz="4" w:space="0" w:color="006678"/>
            </w:tcBorders>
            <w:vAlign w:val="center"/>
          </w:tcPr>
          <w:p w14:paraId="3F5CE1F4" w14:textId="77777777" w:rsidR="00CE5D8A" w:rsidRPr="00427B3A" w:rsidRDefault="00CE5D8A" w:rsidP="00586FD8">
            <w:pPr>
              <w:pStyle w:val="TableParagraph"/>
              <w:kinsoku w:val="0"/>
              <w:overflowPunct w:val="0"/>
              <w:jc w:val="center"/>
              <w:rPr>
                <w:sz w:val="20"/>
                <w:szCs w:val="20"/>
              </w:rPr>
            </w:pPr>
            <w:r w:rsidRPr="00427B3A">
              <w:rPr>
                <w:color w:val="006678"/>
                <w:sz w:val="20"/>
                <w:szCs w:val="20"/>
              </w:rPr>
              <w:sym w:font="Symbol" w:char="F0D6"/>
            </w:r>
          </w:p>
        </w:tc>
        <w:tc>
          <w:tcPr>
            <w:tcW w:w="683" w:type="pct"/>
            <w:tcBorders>
              <w:top w:val="single" w:sz="4" w:space="0" w:color="006678"/>
              <w:left w:val="single" w:sz="4" w:space="0" w:color="006678"/>
              <w:bottom w:val="single" w:sz="4" w:space="0" w:color="006678"/>
              <w:right w:val="single" w:sz="8" w:space="0" w:color="006678"/>
            </w:tcBorders>
            <w:vAlign w:val="center"/>
          </w:tcPr>
          <w:p w14:paraId="69551F4F" w14:textId="77777777" w:rsidR="00CE5D8A" w:rsidRPr="00427B3A" w:rsidRDefault="00CE5D8A" w:rsidP="00586FD8">
            <w:pPr>
              <w:jc w:val="center"/>
              <w:rPr>
                <w:sz w:val="20"/>
                <w:szCs w:val="20"/>
              </w:rPr>
            </w:pPr>
          </w:p>
        </w:tc>
      </w:tr>
      <w:tr w:rsidR="00CE5D8A" w:rsidRPr="00427B3A" w14:paraId="3B3E4046" w14:textId="77777777" w:rsidTr="00586FD8">
        <w:trPr>
          <w:trHeight w:hRule="exact" w:val="1107"/>
        </w:trPr>
        <w:tc>
          <w:tcPr>
            <w:tcW w:w="1695" w:type="pct"/>
            <w:tcBorders>
              <w:top w:val="single" w:sz="4" w:space="0" w:color="006678"/>
              <w:left w:val="single" w:sz="8" w:space="0" w:color="006678"/>
              <w:bottom w:val="single" w:sz="4" w:space="0" w:color="006678"/>
              <w:right w:val="single" w:sz="4" w:space="0" w:color="006678"/>
            </w:tcBorders>
          </w:tcPr>
          <w:p w14:paraId="4FA0455D" w14:textId="3CD8B1D0" w:rsidR="00CE5D8A" w:rsidRPr="00427B3A" w:rsidRDefault="00066AFE" w:rsidP="00586FD8">
            <w:pPr>
              <w:pStyle w:val="TableParagraph"/>
              <w:kinsoku w:val="0"/>
              <w:overflowPunct w:val="0"/>
              <w:jc w:val="both"/>
              <w:rPr>
                <w:sz w:val="20"/>
                <w:szCs w:val="20"/>
              </w:rPr>
            </w:pPr>
            <w:r w:rsidRPr="000761E9">
              <w:rPr>
                <w:color w:val="231F20"/>
                <w:sz w:val="20"/>
                <w:szCs w:val="20"/>
              </w:rPr>
              <w:t>Kompensācijas un/vai atvieglojumu apmēra noteikšana. Noteikumi, kas neatbilst 6.1.4. tematā izklāstītajiem nosacījumiem</w:t>
            </w:r>
          </w:p>
        </w:tc>
        <w:tc>
          <w:tcPr>
            <w:tcW w:w="648" w:type="pct"/>
            <w:tcBorders>
              <w:top w:val="single" w:sz="4" w:space="0" w:color="006678"/>
              <w:left w:val="single" w:sz="4" w:space="0" w:color="006678"/>
              <w:bottom w:val="single" w:sz="4" w:space="0" w:color="006678"/>
              <w:right w:val="single" w:sz="4" w:space="0" w:color="006678"/>
            </w:tcBorders>
            <w:vAlign w:val="center"/>
          </w:tcPr>
          <w:p w14:paraId="5291F2E7" w14:textId="4656F655" w:rsidR="00CE5D8A" w:rsidRPr="00427B3A" w:rsidRDefault="00CE5D8A" w:rsidP="00586FD8">
            <w:pPr>
              <w:pStyle w:val="TableParagraph"/>
              <w:kinsoku w:val="0"/>
              <w:overflowPunct w:val="0"/>
              <w:jc w:val="center"/>
              <w:rPr>
                <w:sz w:val="20"/>
                <w:szCs w:val="20"/>
              </w:rPr>
            </w:pPr>
            <w:r w:rsidRPr="00427B3A">
              <w:rPr>
                <w:color w:val="231F20"/>
                <w:sz w:val="20"/>
                <w:szCs w:val="20"/>
              </w:rPr>
              <w:t>6.1.4</w:t>
            </w:r>
            <w:r w:rsidR="00DC1556">
              <w:rPr>
                <w:color w:val="231F20"/>
                <w:sz w:val="20"/>
                <w:szCs w:val="20"/>
              </w:rPr>
              <w:t>.</w:t>
            </w:r>
          </w:p>
        </w:tc>
        <w:tc>
          <w:tcPr>
            <w:tcW w:w="791" w:type="pct"/>
            <w:tcBorders>
              <w:top w:val="single" w:sz="4" w:space="0" w:color="006678"/>
              <w:left w:val="single" w:sz="4" w:space="0" w:color="006678"/>
              <w:bottom w:val="single" w:sz="4" w:space="0" w:color="006678"/>
              <w:right w:val="single" w:sz="4" w:space="0" w:color="006678"/>
            </w:tcBorders>
            <w:vAlign w:val="center"/>
          </w:tcPr>
          <w:p w14:paraId="44205F5C" w14:textId="77777777" w:rsidR="00CE5D8A" w:rsidRPr="00427B3A" w:rsidRDefault="00CE5D8A" w:rsidP="00586FD8">
            <w:pPr>
              <w:jc w:val="center"/>
              <w:rPr>
                <w:sz w:val="20"/>
                <w:szCs w:val="20"/>
              </w:rPr>
            </w:pPr>
          </w:p>
        </w:tc>
        <w:tc>
          <w:tcPr>
            <w:tcW w:w="611" w:type="pct"/>
            <w:tcBorders>
              <w:top w:val="single" w:sz="4" w:space="0" w:color="006678"/>
              <w:left w:val="single" w:sz="4" w:space="0" w:color="006678"/>
              <w:bottom w:val="single" w:sz="4" w:space="0" w:color="006678"/>
              <w:right w:val="single" w:sz="4" w:space="0" w:color="006678"/>
            </w:tcBorders>
            <w:vAlign w:val="center"/>
          </w:tcPr>
          <w:p w14:paraId="28F7254A" w14:textId="77777777" w:rsidR="00CE5D8A" w:rsidRPr="00427B3A" w:rsidRDefault="00CE5D8A" w:rsidP="00586FD8">
            <w:pPr>
              <w:jc w:val="center"/>
              <w:rPr>
                <w:sz w:val="20"/>
                <w:szCs w:val="20"/>
              </w:rPr>
            </w:pPr>
          </w:p>
        </w:tc>
        <w:tc>
          <w:tcPr>
            <w:tcW w:w="572" w:type="pct"/>
            <w:tcBorders>
              <w:top w:val="single" w:sz="4" w:space="0" w:color="006678"/>
              <w:left w:val="single" w:sz="4" w:space="0" w:color="006678"/>
              <w:bottom w:val="single" w:sz="4" w:space="0" w:color="006678"/>
              <w:right w:val="single" w:sz="4" w:space="0" w:color="006678"/>
            </w:tcBorders>
            <w:vAlign w:val="center"/>
          </w:tcPr>
          <w:p w14:paraId="2C5E4BB2" w14:textId="77777777" w:rsidR="00CE5D8A" w:rsidRPr="00427B3A" w:rsidRDefault="00CE5D8A" w:rsidP="00586FD8">
            <w:pPr>
              <w:pStyle w:val="TableParagraph"/>
              <w:kinsoku w:val="0"/>
              <w:overflowPunct w:val="0"/>
              <w:jc w:val="center"/>
              <w:rPr>
                <w:sz w:val="20"/>
                <w:szCs w:val="20"/>
              </w:rPr>
            </w:pPr>
            <w:r w:rsidRPr="00427B3A">
              <w:rPr>
                <w:color w:val="006678"/>
                <w:sz w:val="20"/>
                <w:szCs w:val="20"/>
              </w:rPr>
              <w:sym w:font="Symbol" w:char="F0D6"/>
            </w:r>
          </w:p>
        </w:tc>
        <w:tc>
          <w:tcPr>
            <w:tcW w:w="683" w:type="pct"/>
            <w:tcBorders>
              <w:top w:val="single" w:sz="4" w:space="0" w:color="006678"/>
              <w:left w:val="single" w:sz="4" w:space="0" w:color="006678"/>
              <w:bottom w:val="single" w:sz="4" w:space="0" w:color="006678"/>
              <w:right w:val="single" w:sz="8" w:space="0" w:color="006678"/>
            </w:tcBorders>
            <w:vAlign w:val="center"/>
          </w:tcPr>
          <w:p w14:paraId="388AADE7" w14:textId="77777777" w:rsidR="00CE5D8A" w:rsidRPr="00427B3A" w:rsidRDefault="00CE5D8A" w:rsidP="00586FD8">
            <w:pPr>
              <w:jc w:val="center"/>
              <w:rPr>
                <w:sz w:val="20"/>
                <w:szCs w:val="20"/>
              </w:rPr>
            </w:pPr>
          </w:p>
        </w:tc>
      </w:tr>
      <w:tr w:rsidR="00CE5D8A" w:rsidRPr="00427B3A" w14:paraId="07B935E8" w14:textId="77777777" w:rsidTr="00066AFE">
        <w:trPr>
          <w:trHeight w:hRule="exact" w:val="1402"/>
        </w:trPr>
        <w:tc>
          <w:tcPr>
            <w:tcW w:w="1695" w:type="pct"/>
            <w:tcBorders>
              <w:top w:val="single" w:sz="4" w:space="0" w:color="006678"/>
              <w:left w:val="single" w:sz="8" w:space="0" w:color="006678"/>
              <w:bottom w:val="single" w:sz="4" w:space="0" w:color="006678"/>
              <w:right w:val="single" w:sz="4" w:space="0" w:color="006678"/>
            </w:tcBorders>
          </w:tcPr>
          <w:p w14:paraId="5E349099" w14:textId="16C3E0A1" w:rsidR="00CE5D8A" w:rsidRPr="00427B3A" w:rsidRDefault="00066AFE" w:rsidP="00586FD8">
            <w:pPr>
              <w:pStyle w:val="TableParagraph"/>
              <w:kinsoku w:val="0"/>
              <w:overflowPunct w:val="0"/>
              <w:jc w:val="both"/>
              <w:rPr>
                <w:sz w:val="20"/>
                <w:szCs w:val="20"/>
              </w:rPr>
            </w:pPr>
            <w:r w:rsidRPr="000761E9">
              <w:rPr>
                <w:color w:val="231F20"/>
                <w:sz w:val="20"/>
                <w:szCs w:val="20"/>
              </w:rPr>
              <w:t>6.2. tematā aprakstītie gadījumi, kad izmaksājama kompensācija, kad piešķirams atvieglojums, kad notikusi nepārvarama vara un uz kuriem attiecas publisko tiesību aktu noteikumi</w:t>
            </w:r>
          </w:p>
        </w:tc>
        <w:tc>
          <w:tcPr>
            <w:tcW w:w="648" w:type="pct"/>
            <w:tcBorders>
              <w:top w:val="single" w:sz="4" w:space="0" w:color="006678"/>
              <w:left w:val="single" w:sz="4" w:space="0" w:color="006678"/>
              <w:bottom w:val="single" w:sz="4" w:space="0" w:color="006678"/>
              <w:right w:val="single" w:sz="4" w:space="0" w:color="006678"/>
            </w:tcBorders>
            <w:vAlign w:val="center"/>
          </w:tcPr>
          <w:p w14:paraId="219C2F40" w14:textId="1135073A" w:rsidR="00CE5D8A" w:rsidRPr="00427B3A" w:rsidRDefault="00CE5D8A" w:rsidP="00586FD8">
            <w:pPr>
              <w:pStyle w:val="TableParagraph"/>
              <w:kinsoku w:val="0"/>
              <w:overflowPunct w:val="0"/>
              <w:jc w:val="center"/>
              <w:rPr>
                <w:sz w:val="20"/>
                <w:szCs w:val="20"/>
              </w:rPr>
            </w:pPr>
            <w:r w:rsidRPr="00427B3A">
              <w:rPr>
                <w:color w:val="231F20"/>
                <w:sz w:val="20"/>
                <w:szCs w:val="20"/>
              </w:rPr>
              <w:t>6.2</w:t>
            </w:r>
            <w:r w:rsidR="00DC1556">
              <w:rPr>
                <w:color w:val="231F20"/>
                <w:sz w:val="20"/>
                <w:szCs w:val="20"/>
              </w:rPr>
              <w:t>.</w:t>
            </w:r>
          </w:p>
        </w:tc>
        <w:tc>
          <w:tcPr>
            <w:tcW w:w="2657" w:type="pct"/>
            <w:gridSpan w:val="4"/>
            <w:tcBorders>
              <w:top w:val="single" w:sz="4" w:space="0" w:color="006678"/>
              <w:left w:val="single" w:sz="4" w:space="0" w:color="006678"/>
              <w:bottom w:val="single" w:sz="4" w:space="0" w:color="006678"/>
              <w:right w:val="single" w:sz="8" w:space="0" w:color="006678"/>
            </w:tcBorders>
            <w:vAlign w:val="center"/>
          </w:tcPr>
          <w:p w14:paraId="7FCD72C7" w14:textId="4E354CEB" w:rsidR="00CE5D8A" w:rsidRPr="00427B3A" w:rsidRDefault="00066AFE" w:rsidP="00586FD8">
            <w:pPr>
              <w:pStyle w:val="TableParagraph"/>
              <w:kinsoku w:val="0"/>
              <w:overflowPunct w:val="0"/>
              <w:jc w:val="center"/>
              <w:rPr>
                <w:sz w:val="20"/>
                <w:szCs w:val="20"/>
              </w:rPr>
            </w:pPr>
            <w:r w:rsidRPr="000761E9">
              <w:rPr>
                <w:b/>
                <w:bCs/>
                <w:color w:val="006678"/>
                <w:sz w:val="20"/>
                <w:szCs w:val="20"/>
              </w:rPr>
              <w:t>Ir nepieciešama īpaša analīze</w:t>
            </w:r>
          </w:p>
        </w:tc>
      </w:tr>
      <w:tr w:rsidR="00CE5D8A" w:rsidRPr="00427B3A" w14:paraId="5D7E4914" w14:textId="77777777" w:rsidTr="00586FD8">
        <w:trPr>
          <w:trHeight w:hRule="exact" w:val="454"/>
        </w:trPr>
        <w:tc>
          <w:tcPr>
            <w:tcW w:w="5000" w:type="pct"/>
            <w:gridSpan w:val="6"/>
            <w:tcBorders>
              <w:top w:val="single" w:sz="4" w:space="0" w:color="006678"/>
              <w:left w:val="single" w:sz="8" w:space="0" w:color="804E9F"/>
              <w:bottom w:val="single" w:sz="4" w:space="0" w:color="804E9F"/>
              <w:right w:val="single" w:sz="8" w:space="0" w:color="804E9F"/>
            </w:tcBorders>
            <w:shd w:val="clear" w:color="auto" w:fill="804E9F"/>
          </w:tcPr>
          <w:p w14:paraId="6755B143" w14:textId="21FB50D7" w:rsidR="00CE5D8A" w:rsidRPr="00066AFE" w:rsidRDefault="00066AFE" w:rsidP="00066AF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7. temats. Izmaiņas PPP līgumos</w:t>
            </w:r>
          </w:p>
        </w:tc>
      </w:tr>
      <w:tr w:rsidR="00CE5D8A" w:rsidRPr="00427B3A" w14:paraId="73FFE2A5" w14:textId="77777777" w:rsidTr="00586FD8">
        <w:trPr>
          <w:trHeight w:hRule="exact" w:val="1107"/>
        </w:trPr>
        <w:tc>
          <w:tcPr>
            <w:tcW w:w="1695" w:type="pct"/>
            <w:tcBorders>
              <w:top w:val="single" w:sz="4" w:space="0" w:color="804E9F"/>
              <w:left w:val="single" w:sz="8" w:space="0" w:color="804E9F"/>
              <w:bottom w:val="single" w:sz="4" w:space="0" w:color="804E9F"/>
              <w:right w:val="single" w:sz="4" w:space="0" w:color="804E9F"/>
            </w:tcBorders>
          </w:tcPr>
          <w:p w14:paraId="50C67A21" w14:textId="4DA4740B" w:rsidR="00CE5D8A" w:rsidRPr="00427B3A" w:rsidRDefault="00066AFE" w:rsidP="00586FD8">
            <w:pPr>
              <w:pStyle w:val="TableParagraph"/>
              <w:kinsoku w:val="0"/>
              <w:overflowPunct w:val="0"/>
              <w:jc w:val="both"/>
              <w:rPr>
                <w:sz w:val="20"/>
                <w:szCs w:val="20"/>
              </w:rPr>
            </w:pPr>
            <w:r w:rsidRPr="000761E9">
              <w:rPr>
                <w:color w:val="231F20"/>
                <w:sz w:val="20"/>
                <w:szCs w:val="20"/>
              </w:rPr>
              <w:t>Iestādes ierosinātas izmaiņas. 7.1. tematā aprakstītie jautājumi saistībā ar Partnerim piešķiramo kompensāciju/atvieglojumiem</w:t>
            </w:r>
          </w:p>
        </w:tc>
        <w:tc>
          <w:tcPr>
            <w:tcW w:w="648" w:type="pct"/>
            <w:tcBorders>
              <w:top w:val="single" w:sz="4" w:space="0" w:color="804E9F"/>
              <w:left w:val="single" w:sz="4" w:space="0" w:color="804E9F"/>
              <w:bottom w:val="single" w:sz="4" w:space="0" w:color="804E9F"/>
              <w:right w:val="single" w:sz="4" w:space="0" w:color="804E9F"/>
            </w:tcBorders>
            <w:vAlign w:val="center"/>
          </w:tcPr>
          <w:p w14:paraId="6948131C" w14:textId="3A630893" w:rsidR="00CE5D8A" w:rsidRPr="00427B3A" w:rsidRDefault="00CE5D8A" w:rsidP="00586FD8">
            <w:pPr>
              <w:pStyle w:val="TableParagraph"/>
              <w:kinsoku w:val="0"/>
              <w:overflowPunct w:val="0"/>
              <w:jc w:val="center"/>
              <w:rPr>
                <w:sz w:val="20"/>
                <w:szCs w:val="20"/>
              </w:rPr>
            </w:pPr>
            <w:r w:rsidRPr="00427B3A">
              <w:rPr>
                <w:color w:val="231F20"/>
                <w:sz w:val="20"/>
                <w:szCs w:val="20"/>
              </w:rPr>
              <w:t>7.1</w:t>
            </w:r>
            <w:r w:rsidR="00DC1556">
              <w:rPr>
                <w:color w:val="231F20"/>
                <w:sz w:val="20"/>
                <w:szCs w:val="20"/>
              </w:rPr>
              <w:t>.</w:t>
            </w:r>
          </w:p>
        </w:tc>
        <w:tc>
          <w:tcPr>
            <w:tcW w:w="791" w:type="pct"/>
            <w:tcBorders>
              <w:top w:val="single" w:sz="4" w:space="0" w:color="804E9F"/>
              <w:left w:val="single" w:sz="4" w:space="0" w:color="804E9F"/>
              <w:bottom w:val="single" w:sz="4" w:space="0" w:color="804E9F"/>
              <w:right w:val="single" w:sz="4" w:space="0" w:color="804E9F"/>
            </w:tcBorders>
            <w:vAlign w:val="center"/>
          </w:tcPr>
          <w:p w14:paraId="0D12122F" w14:textId="77777777" w:rsidR="00CE5D8A" w:rsidRPr="00427B3A" w:rsidRDefault="00CE5D8A" w:rsidP="00586FD8">
            <w:pPr>
              <w:jc w:val="center"/>
              <w:rPr>
                <w:sz w:val="20"/>
                <w:szCs w:val="20"/>
              </w:rPr>
            </w:pPr>
          </w:p>
        </w:tc>
        <w:tc>
          <w:tcPr>
            <w:tcW w:w="611" w:type="pct"/>
            <w:tcBorders>
              <w:top w:val="single" w:sz="4" w:space="0" w:color="804E9F"/>
              <w:left w:val="single" w:sz="4" w:space="0" w:color="804E9F"/>
              <w:bottom w:val="single" w:sz="4" w:space="0" w:color="804E9F"/>
              <w:right w:val="single" w:sz="4" w:space="0" w:color="804E9F"/>
            </w:tcBorders>
            <w:vAlign w:val="center"/>
          </w:tcPr>
          <w:p w14:paraId="095055F7" w14:textId="77777777" w:rsidR="00CE5D8A" w:rsidRPr="00427B3A" w:rsidRDefault="00CE5D8A" w:rsidP="00586FD8">
            <w:pPr>
              <w:jc w:val="center"/>
              <w:rPr>
                <w:sz w:val="20"/>
                <w:szCs w:val="20"/>
              </w:rPr>
            </w:pPr>
          </w:p>
        </w:tc>
        <w:tc>
          <w:tcPr>
            <w:tcW w:w="572" w:type="pct"/>
            <w:tcBorders>
              <w:top w:val="single" w:sz="4" w:space="0" w:color="804E9F"/>
              <w:left w:val="single" w:sz="4" w:space="0" w:color="804E9F"/>
              <w:bottom w:val="single" w:sz="4" w:space="0" w:color="804E9F"/>
              <w:right w:val="single" w:sz="4" w:space="0" w:color="804E9F"/>
            </w:tcBorders>
            <w:vAlign w:val="center"/>
          </w:tcPr>
          <w:p w14:paraId="69FEA3BE" w14:textId="77777777" w:rsidR="00CE5D8A" w:rsidRPr="00427B3A" w:rsidRDefault="00CE5D8A" w:rsidP="00586FD8">
            <w:pPr>
              <w:pStyle w:val="TableParagraph"/>
              <w:kinsoku w:val="0"/>
              <w:overflowPunct w:val="0"/>
              <w:jc w:val="center"/>
              <w:rPr>
                <w:sz w:val="20"/>
                <w:szCs w:val="20"/>
              </w:rPr>
            </w:pPr>
            <w:r w:rsidRPr="00427B3A">
              <w:rPr>
                <w:color w:val="804E9F"/>
                <w:sz w:val="20"/>
                <w:szCs w:val="20"/>
              </w:rPr>
              <w:sym w:font="Symbol" w:char="F0D6"/>
            </w:r>
          </w:p>
        </w:tc>
        <w:tc>
          <w:tcPr>
            <w:tcW w:w="683" w:type="pct"/>
            <w:tcBorders>
              <w:top w:val="single" w:sz="4" w:space="0" w:color="804E9F"/>
              <w:left w:val="single" w:sz="4" w:space="0" w:color="804E9F"/>
              <w:bottom w:val="single" w:sz="4" w:space="0" w:color="804E9F"/>
              <w:right w:val="single" w:sz="8" w:space="0" w:color="804E9F"/>
            </w:tcBorders>
            <w:vAlign w:val="center"/>
          </w:tcPr>
          <w:p w14:paraId="68DCA702" w14:textId="77777777" w:rsidR="00CE5D8A" w:rsidRPr="00427B3A" w:rsidRDefault="00CE5D8A" w:rsidP="00586FD8">
            <w:pPr>
              <w:jc w:val="center"/>
              <w:rPr>
                <w:sz w:val="20"/>
                <w:szCs w:val="20"/>
              </w:rPr>
            </w:pPr>
          </w:p>
        </w:tc>
      </w:tr>
      <w:tr w:rsidR="00CE5D8A" w:rsidRPr="00427B3A" w14:paraId="2A210F79" w14:textId="77777777" w:rsidTr="00586FD8">
        <w:trPr>
          <w:trHeight w:hRule="exact" w:val="1107"/>
        </w:trPr>
        <w:tc>
          <w:tcPr>
            <w:tcW w:w="1695" w:type="pct"/>
            <w:tcBorders>
              <w:top w:val="single" w:sz="4" w:space="0" w:color="804E9F"/>
              <w:left w:val="single" w:sz="8" w:space="0" w:color="804E9F"/>
              <w:bottom w:val="single" w:sz="8" w:space="0" w:color="A37504"/>
              <w:right w:val="single" w:sz="4" w:space="0" w:color="804E9F"/>
            </w:tcBorders>
          </w:tcPr>
          <w:p w14:paraId="3AA6DBDD" w14:textId="32EC16BF" w:rsidR="00CE5D8A" w:rsidRPr="00427B3A" w:rsidRDefault="00066AFE" w:rsidP="00586FD8">
            <w:pPr>
              <w:pStyle w:val="TableParagraph"/>
              <w:kinsoku w:val="0"/>
              <w:overflowPunct w:val="0"/>
              <w:jc w:val="both"/>
              <w:rPr>
                <w:sz w:val="20"/>
                <w:szCs w:val="20"/>
              </w:rPr>
            </w:pPr>
            <w:r w:rsidRPr="000761E9">
              <w:rPr>
                <w:color w:val="231F20"/>
                <w:sz w:val="20"/>
                <w:szCs w:val="20"/>
              </w:rPr>
              <w:lastRenderedPageBreak/>
              <w:t>Partnera ierosinātas izmaiņas. 7.2. tematā aprakstītais Iestādes pienākums piekrist izmaiņām</w:t>
            </w:r>
          </w:p>
        </w:tc>
        <w:tc>
          <w:tcPr>
            <w:tcW w:w="648" w:type="pct"/>
            <w:tcBorders>
              <w:top w:val="single" w:sz="4" w:space="0" w:color="804E9F"/>
              <w:left w:val="single" w:sz="4" w:space="0" w:color="804E9F"/>
              <w:bottom w:val="single" w:sz="8" w:space="0" w:color="A37504"/>
              <w:right w:val="single" w:sz="4" w:space="0" w:color="804E9F"/>
            </w:tcBorders>
            <w:vAlign w:val="center"/>
          </w:tcPr>
          <w:p w14:paraId="2E4D73F2" w14:textId="044CB457" w:rsidR="00CE5D8A" w:rsidRPr="00427B3A" w:rsidRDefault="00CE5D8A" w:rsidP="00586FD8">
            <w:pPr>
              <w:pStyle w:val="TableParagraph"/>
              <w:kinsoku w:val="0"/>
              <w:overflowPunct w:val="0"/>
              <w:jc w:val="center"/>
              <w:rPr>
                <w:sz w:val="20"/>
                <w:szCs w:val="20"/>
              </w:rPr>
            </w:pPr>
            <w:r w:rsidRPr="00427B3A">
              <w:rPr>
                <w:color w:val="231F20"/>
                <w:sz w:val="20"/>
                <w:szCs w:val="20"/>
              </w:rPr>
              <w:t>7.2</w:t>
            </w:r>
            <w:r w:rsidR="00DC1556">
              <w:rPr>
                <w:color w:val="231F20"/>
                <w:sz w:val="20"/>
                <w:szCs w:val="20"/>
              </w:rPr>
              <w:t>.</w:t>
            </w:r>
          </w:p>
        </w:tc>
        <w:tc>
          <w:tcPr>
            <w:tcW w:w="791" w:type="pct"/>
            <w:tcBorders>
              <w:top w:val="single" w:sz="4" w:space="0" w:color="804E9F"/>
              <w:left w:val="single" w:sz="4" w:space="0" w:color="804E9F"/>
              <w:bottom w:val="single" w:sz="8" w:space="0" w:color="A37504"/>
              <w:right w:val="single" w:sz="4" w:space="0" w:color="804E9F"/>
            </w:tcBorders>
            <w:vAlign w:val="center"/>
          </w:tcPr>
          <w:p w14:paraId="6C65C967" w14:textId="77777777" w:rsidR="00CE5D8A" w:rsidRPr="00427B3A" w:rsidRDefault="00CE5D8A" w:rsidP="00586FD8">
            <w:pPr>
              <w:jc w:val="center"/>
              <w:rPr>
                <w:sz w:val="20"/>
                <w:szCs w:val="20"/>
              </w:rPr>
            </w:pPr>
          </w:p>
        </w:tc>
        <w:tc>
          <w:tcPr>
            <w:tcW w:w="611" w:type="pct"/>
            <w:tcBorders>
              <w:top w:val="single" w:sz="4" w:space="0" w:color="804E9F"/>
              <w:left w:val="single" w:sz="4" w:space="0" w:color="804E9F"/>
              <w:bottom w:val="single" w:sz="8" w:space="0" w:color="A37504"/>
              <w:right w:val="single" w:sz="4" w:space="0" w:color="804E9F"/>
            </w:tcBorders>
            <w:vAlign w:val="center"/>
          </w:tcPr>
          <w:p w14:paraId="17EC60FE" w14:textId="77777777" w:rsidR="00CE5D8A" w:rsidRPr="00427B3A" w:rsidRDefault="00CE5D8A" w:rsidP="00586FD8">
            <w:pPr>
              <w:jc w:val="center"/>
              <w:rPr>
                <w:sz w:val="20"/>
                <w:szCs w:val="20"/>
              </w:rPr>
            </w:pPr>
          </w:p>
        </w:tc>
        <w:tc>
          <w:tcPr>
            <w:tcW w:w="572" w:type="pct"/>
            <w:tcBorders>
              <w:top w:val="single" w:sz="4" w:space="0" w:color="804E9F"/>
              <w:left w:val="single" w:sz="4" w:space="0" w:color="804E9F"/>
              <w:bottom w:val="single" w:sz="8" w:space="0" w:color="A37504"/>
              <w:right w:val="single" w:sz="4" w:space="0" w:color="804E9F"/>
            </w:tcBorders>
            <w:vAlign w:val="center"/>
          </w:tcPr>
          <w:p w14:paraId="6251AB64" w14:textId="77777777" w:rsidR="00CE5D8A" w:rsidRPr="00427B3A" w:rsidRDefault="00CE5D8A" w:rsidP="00586FD8">
            <w:pPr>
              <w:pStyle w:val="TableParagraph"/>
              <w:kinsoku w:val="0"/>
              <w:overflowPunct w:val="0"/>
              <w:jc w:val="center"/>
              <w:rPr>
                <w:sz w:val="20"/>
                <w:szCs w:val="20"/>
              </w:rPr>
            </w:pPr>
            <w:r w:rsidRPr="00427B3A">
              <w:rPr>
                <w:color w:val="804E9F"/>
                <w:sz w:val="20"/>
                <w:szCs w:val="20"/>
              </w:rPr>
              <w:sym w:font="Symbol" w:char="F0D6"/>
            </w:r>
          </w:p>
        </w:tc>
        <w:tc>
          <w:tcPr>
            <w:tcW w:w="683" w:type="pct"/>
            <w:tcBorders>
              <w:top w:val="single" w:sz="4" w:space="0" w:color="804E9F"/>
              <w:left w:val="single" w:sz="4" w:space="0" w:color="804E9F"/>
              <w:bottom w:val="single" w:sz="8" w:space="0" w:color="A37504"/>
              <w:right w:val="single" w:sz="8" w:space="0" w:color="804E9F"/>
            </w:tcBorders>
            <w:vAlign w:val="center"/>
          </w:tcPr>
          <w:p w14:paraId="7229013A" w14:textId="77777777" w:rsidR="00CE5D8A" w:rsidRPr="00427B3A" w:rsidRDefault="00CE5D8A" w:rsidP="00586FD8">
            <w:pPr>
              <w:jc w:val="center"/>
              <w:rPr>
                <w:sz w:val="20"/>
                <w:szCs w:val="20"/>
              </w:rPr>
            </w:pPr>
          </w:p>
        </w:tc>
      </w:tr>
      <w:tr w:rsidR="00CE5D8A" w:rsidRPr="00427B3A" w14:paraId="071D8213" w14:textId="77777777" w:rsidTr="00586FD8">
        <w:trPr>
          <w:trHeight w:hRule="exact" w:val="454"/>
        </w:trPr>
        <w:tc>
          <w:tcPr>
            <w:tcW w:w="1695" w:type="pct"/>
            <w:tcBorders>
              <w:top w:val="single" w:sz="8" w:space="0" w:color="A37504"/>
              <w:left w:val="single" w:sz="8" w:space="0" w:color="A37504"/>
              <w:bottom w:val="single" w:sz="4" w:space="0" w:color="A37504"/>
              <w:right w:val="single" w:sz="4" w:space="0" w:color="A37504"/>
            </w:tcBorders>
            <w:shd w:val="clear" w:color="auto" w:fill="A37504"/>
          </w:tcPr>
          <w:p w14:paraId="515B631B" w14:textId="57C01E36" w:rsidR="00CE5D8A" w:rsidRPr="00066AFE" w:rsidRDefault="00066AFE" w:rsidP="00066AF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8. temats. Izmaiņas tiesību aktos</w:t>
            </w:r>
          </w:p>
        </w:tc>
        <w:tc>
          <w:tcPr>
            <w:tcW w:w="648" w:type="pct"/>
            <w:tcBorders>
              <w:top w:val="single" w:sz="8" w:space="0" w:color="A37504"/>
              <w:left w:val="single" w:sz="4" w:space="0" w:color="A37504"/>
              <w:bottom w:val="single" w:sz="4" w:space="0" w:color="A37504"/>
              <w:right w:val="single" w:sz="4" w:space="0" w:color="A37504"/>
            </w:tcBorders>
            <w:shd w:val="clear" w:color="auto" w:fill="A37504"/>
          </w:tcPr>
          <w:p w14:paraId="39F5EDF5" w14:textId="77777777" w:rsidR="00CE5D8A" w:rsidRPr="00427B3A" w:rsidRDefault="00CE5D8A" w:rsidP="00586FD8">
            <w:pPr>
              <w:jc w:val="both"/>
              <w:rPr>
                <w:sz w:val="20"/>
                <w:szCs w:val="20"/>
              </w:rPr>
            </w:pPr>
          </w:p>
        </w:tc>
        <w:tc>
          <w:tcPr>
            <w:tcW w:w="791" w:type="pct"/>
            <w:tcBorders>
              <w:top w:val="single" w:sz="8" w:space="0" w:color="A37504"/>
              <w:left w:val="single" w:sz="4" w:space="0" w:color="A37504"/>
              <w:bottom w:val="single" w:sz="4" w:space="0" w:color="A37504"/>
              <w:right w:val="single" w:sz="4" w:space="0" w:color="A37504"/>
            </w:tcBorders>
            <w:shd w:val="clear" w:color="auto" w:fill="A37504"/>
          </w:tcPr>
          <w:p w14:paraId="2AB6A01B" w14:textId="77777777" w:rsidR="00CE5D8A" w:rsidRPr="00427B3A" w:rsidRDefault="00CE5D8A" w:rsidP="00586FD8">
            <w:pPr>
              <w:jc w:val="both"/>
              <w:rPr>
                <w:sz w:val="20"/>
                <w:szCs w:val="20"/>
              </w:rPr>
            </w:pPr>
          </w:p>
        </w:tc>
        <w:tc>
          <w:tcPr>
            <w:tcW w:w="611" w:type="pct"/>
            <w:tcBorders>
              <w:top w:val="single" w:sz="8" w:space="0" w:color="A37504"/>
              <w:left w:val="single" w:sz="4" w:space="0" w:color="A37504"/>
              <w:bottom w:val="single" w:sz="4" w:space="0" w:color="A37504"/>
              <w:right w:val="single" w:sz="4" w:space="0" w:color="A37504"/>
            </w:tcBorders>
            <w:shd w:val="clear" w:color="auto" w:fill="A37504"/>
          </w:tcPr>
          <w:p w14:paraId="3B28E5F4" w14:textId="77777777" w:rsidR="00CE5D8A" w:rsidRPr="00427B3A" w:rsidRDefault="00CE5D8A" w:rsidP="00586FD8">
            <w:pPr>
              <w:jc w:val="both"/>
              <w:rPr>
                <w:sz w:val="20"/>
                <w:szCs w:val="20"/>
              </w:rPr>
            </w:pPr>
          </w:p>
        </w:tc>
        <w:tc>
          <w:tcPr>
            <w:tcW w:w="572" w:type="pct"/>
            <w:tcBorders>
              <w:top w:val="single" w:sz="8" w:space="0" w:color="A37504"/>
              <w:left w:val="single" w:sz="4" w:space="0" w:color="A37504"/>
              <w:bottom w:val="single" w:sz="4" w:space="0" w:color="A37504"/>
              <w:right w:val="single" w:sz="4" w:space="0" w:color="A37504"/>
            </w:tcBorders>
            <w:shd w:val="clear" w:color="auto" w:fill="A37504"/>
          </w:tcPr>
          <w:p w14:paraId="2B0A99AF" w14:textId="77777777" w:rsidR="00CE5D8A" w:rsidRPr="00427B3A" w:rsidRDefault="00CE5D8A" w:rsidP="00586FD8">
            <w:pPr>
              <w:jc w:val="both"/>
              <w:rPr>
                <w:sz w:val="20"/>
                <w:szCs w:val="20"/>
              </w:rPr>
            </w:pPr>
          </w:p>
        </w:tc>
        <w:tc>
          <w:tcPr>
            <w:tcW w:w="683" w:type="pct"/>
            <w:tcBorders>
              <w:top w:val="single" w:sz="8" w:space="0" w:color="A37504"/>
              <w:left w:val="single" w:sz="4" w:space="0" w:color="A37504"/>
              <w:bottom w:val="single" w:sz="4" w:space="0" w:color="A37504"/>
              <w:right w:val="single" w:sz="8" w:space="0" w:color="A37504"/>
            </w:tcBorders>
            <w:shd w:val="clear" w:color="auto" w:fill="A37504"/>
          </w:tcPr>
          <w:p w14:paraId="50B69275" w14:textId="77777777" w:rsidR="00CE5D8A" w:rsidRPr="00427B3A" w:rsidRDefault="00CE5D8A" w:rsidP="00586FD8">
            <w:pPr>
              <w:jc w:val="both"/>
              <w:rPr>
                <w:sz w:val="20"/>
                <w:szCs w:val="20"/>
              </w:rPr>
            </w:pPr>
          </w:p>
        </w:tc>
      </w:tr>
      <w:tr w:rsidR="00CE5D8A" w:rsidRPr="00427B3A" w14:paraId="4F8B1C53" w14:textId="77777777" w:rsidTr="00586FD8">
        <w:trPr>
          <w:trHeight w:hRule="exact" w:val="1107"/>
        </w:trPr>
        <w:tc>
          <w:tcPr>
            <w:tcW w:w="1695" w:type="pct"/>
            <w:tcBorders>
              <w:top w:val="single" w:sz="4" w:space="0" w:color="A37504"/>
              <w:left w:val="single" w:sz="8" w:space="0" w:color="A37504"/>
              <w:bottom w:val="single" w:sz="4" w:space="0" w:color="A37504"/>
              <w:right w:val="single" w:sz="4" w:space="0" w:color="A37504"/>
            </w:tcBorders>
          </w:tcPr>
          <w:p w14:paraId="1213D824" w14:textId="66469711" w:rsidR="00CE5D8A" w:rsidRPr="00066AFE" w:rsidRDefault="00066AFE" w:rsidP="00066AFE">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Izmaiņas tiesību aktos. 8. tematā aprakstītie jautājumi par gadījumu, kad Iestāde uzņemas risku, kas saistīts ar izmaiņām tiesību aktos</w:t>
            </w:r>
          </w:p>
        </w:tc>
        <w:tc>
          <w:tcPr>
            <w:tcW w:w="648" w:type="pct"/>
            <w:tcBorders>
              <w:top w:val="single" w:sz="4" w:space="0" w:color="A37504"/>
              <w:left w:val="single" w:sz="4" w:space="0" w:color="A37504"/>
              <w:bottom w:val="single" w:sz="4" w:space="0" w:color="A37504"/>
              <w:right w:val="single" w:sz="4" w:space="0" w:color="A37504"/>
            </w:tcBorders>
            <w:vAlign w:val="center"/>
          </w:tcPr>
          <w:p w14:paraId="1E578A43" w14:textId="0DAF2548" w:rsidR="00CE5D8A" w:rsidRPr="00427B3A" w:rsidRDefault="00CE5D8A" w:rsidP="00586FD8">
            <w:pPr>
              <w:pStyle w:val="TableParagraph"/>
              <w:kinsoku w:val="0"/>
              <w:overflowPunct w:val="0"/>
              <w:jc w:val="center"/>
              <w:rPr>
                <w:sz w:val="20"/>
                <w:szCs w:val="20"/>
              </w:rPr>
            </w:pPr>
            <w:r w:rsidRPr="00427B3A">
              <w:rPr>
                <w:color w:val="231F20"/>
                <w:sz w:val="20"/>
                <w:szCs w:val="20"/>
              </w:rPr>
              <w:t>8</w:t>
            </w:r>
            <w:r w:rsidR="00DC1556">
              <w:rPr>
                <w:color w:val="231F20"/>
                <w:sz w:val="20"/>
                <w:szCs w:val="20"/>
              </w:rPr>
              <w:t>.</w:t>
            </w:r>
          </w:p>
        </w:tc>
        <w:tc>
          <w:tcPr>
            <w:tcW w:w="791" w:type="pct"/>
            <w:tcBorders>
              <w:top w:val="single" w:sz="4" w:space="0" w:color="A37504"/>
              <w:left w:val="single" w:sz="4" w:space="0" w:color="A37504"/>
              <w:bottom w:val="single" w:sz="4" w:space="0" w:color="A37504"/>
              <w:right w:val="single" w:sz="4" w:space="0" w:color="A37504"/>
            </w:tcBorders>
            <w:vAlign w:val="center"/>
          </w:tcPr>
          <w:p w14:paraId="1F5FF420" w14:textId="77777777" w:rsidR="00CE5D8A" w:rsidRPr="00427B3A" w:rsidRDefault="00CE5D8A" w:rsidP="00586FD8">
            <w:pPr>
              <w:jc w:val="center"/>
              <w:rPr>
                <w:sz w:val="20"/>
                <w:szCs w:val="20"/>
              </w:rPr>
            </w:pPr>
          </w:p>
        </w:tc>
        <w:tc>
          <w:tcPr>
            <w:tcW w:w="611" w:type="pct"/>
            <w:tcBorders>
              <w:top w:val="single" w:sz="4" w:space="0" w:color="A37504"/>
              <w:left w:val="single" w:sz="4" w:space="0" w:color="A37504"/>
              <w:bottom w:val="single" w:sz="4" w:space="0" w:color="A37504"/>
              <w:right w:val="single" w:sz="4" w:space="0" w:color="A37504"/>
            </w:tcBorders>
            <w:vAlign w:val="center"/>
          </w:tcPr>
          <w:p w14:paraId="3F25238D" w14:textId="77777777" w:rsidR="00CE5D8A" w:rsidRPr="00427B3A" w:rsidRDefault="00CE5D8A" w:rsidP="00586FD8">
            <w:pPr>
              <w:jc w:val="center"/>
              <w:rPr>
                <w:sz w:val="20"/>
                <w:szCs w:val="20"/>
              </w:rPr>
            </w:pPr>
          </w:p>
        </w:tc>
        <w:tc>
          <w:tcPr>
            <w:tcW w:w="572" w:type="pct"/>
            <w:tcBorders>
              <w:top w:val="single" w:sz="4" w:space="0" w:color="A37504"/>
              <w:left w:val="single" w:sz="4" w:space="0" w:color="A37504"/>
              <w:bottom w:val="single" w:sz="4" w:space="0" w:color="A37504"/>
              <w:right w:val="single" w:sz="4" w:space="0" w:color="A37504"/>
            </w:tcBorders>
            <w:vAlign w:val="center"/>
          </w:tcPr>
          <w:p w14:paraId="0ED1AD58" w14:textId="77777777" w:rsidR="00CE5D8A" w:rsidRPr="00427B3A" w:rsidRDefault="00CE5D8A" w:rsidP="00586FD8">
            <w:pPr>
              <w:jc w:val="center"/>
              <w:rPr>
                <w:sz w:val="20"/>
                <w:szCs w:val="20"/>
              </w:rPr>
            </w:pPr>
          </w:p>
        </w:tc>
        <w:tc>
          <w:tcPr>
            <w:tcW w:w="683" w:type="pct"/>
            <w:tcBorders>
              <w:top w:val="single" w:sz="4" w:space="0" w:color="A37504"/>
              <w:left w:val="single" w:sz="4" w:space="0" w:color="A37504"/>
              <w:bottom w:val="single" w:sz="4" w:space="0" w:color="A37504"/>
              <w:right w:val="single" w:sz="8" w:space="0" w:color="A37504"/>
            </w:tcBorders>
            <w:vAlign w:val="center"/>
          </w:tcPr>
          <w:p w14:paraId="1CF3C9A2" w14:textId="77777777" w:rsidR="00CE5D8A" w:rsidRPr="00427B3A" w:rsidRDefault="00CE5D8A" w:rsidP="00586FD8">
            <w:pPr>
              <w:pStyle w:val="TableParagraph"/>
              <w:kinsoku w:val="0"/>
              <w:overflowPunct w:val="0"/>
              <w:jc w:val="center"/>
              <w:rPr>
                <w:sz w:val="20"/>
                <w:szCs w:val="20"/>
              </w:rPr>
            </w:pPr>
            <w:r w:rsidRPr="00427B3A">
              <w:rPr>
                <w:color w:val="A37504"/>
                <w:sz w:val="20"/>
                <w:szCs w:val="20"/>
              </w:rPr>
              <w:sym w:font="Symbol" w:char="F0D6"/>
            </w:r>
          </w:p>
        </w:tc>
      </w:tr>
      <w:tr w:rsidR="00CE5D8A" w:rsidRPr="00427B3A" w14:paraId="5BD75468" w14:textId="77777777" w:rsidTr="00586FD8">
        <w:trPr>
          <w:trHeight w:hRule="exact" w:val="459"/>
        </w:trPr>
        <w:tc>
          <w:tcPr>
            <w:tcW w:w="1695" w:type="pct"/>
            <w:tcBorders>
              <w:top w:val="nil"/>
              <w:left w:val="single" w:sz="8" w:space="0" w:color="9A4B63"/>
              <w:bottom w:val="single" w:sz="4" w:space="0" w:color="9A4B63"/>
              <w:right w:val="single" w:sz="4" w:space="0" w:color="9A4B63"/>
            </w:tcBorders>
            <w:shd w:val="clear" w:color="auto" w:fill="9A4B63"/>
          </w:tcPr>
          <w:p w14:paraId="26CA7924" w14:textId="655FCEED" w:rsidR="00CE5D8A" w:rsidRPr="00066AFE" w:rsidRDefault="00066AFE" w:rsidP="00066AF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9. temats. Apdrošināšana</w:t>
            </w:r>
          </w:p>
        </w:tc>
        <w:tc>
          <w:tcPr>
            <w:tcW w:w="648" w:type="pct"/>
            <w:tcBorders>
              <w:top w:val="nil"/>
              <w:left w:val="single" w:sz="4" w:space="0" w:color="9A4B63"/>
              <w:bottom w:val="single" w:sz="4" w:space="0" w:color="9A4B63"/>
              <w:right w:val="single" w:sz="4" w:space="0" w:color="9A4B63"/>
            </w:tcBorders>
            <w:shd w:val="clear" w:color="auto" w:fill="9A4B63"/>
          </w:tcPr>
          <w:p w14:paraId="40961D84" w14:textId="77777777" w:rsidR="00CE5D8A" w:rsidRPr="00427B3A" w:rsidRDefault="00CE5D8A" w:rsidP="00586FD8">
            <w:pPr>
              <w:jc w:val="both"/>
              <w:rPr>
                <w:sz w:val="20"/>
                <w:szCs w:val="20"/>
              </w:rPr>
            </w:pPr>
          </w:p>
        </w:tc>
        <w:tc>
          <w:tcPr>
            <w:tcW w:w="791" w:type="pct"/>
            <w:tcBorders>
              <w:top w:val="nil"/>
              <w:left w:val="single" w:sz="4" w:space="0" w:color="9A4B63"/>
              <w:bottom w:val="single" w:sz="4" w:space="0" w:color="9A4B63"/>
              <w:right w:val="single" w:sz="4" w:space="0" w:color="9A4B63"/>
            </w:tcBorders>
            <w:shd w:val="clear" w:color="auto" w:fill="9A4B63"/>
          </w:tcPr>
          <w:p w14:paraId="59F716B6" w14:textId="77777777" w:rsidR="00CE5D8A" w:rsidRPr="00427B3A" w:rsidRDefault="00CE5D8A" w:rsidP="00586FD8">
            <w:pPr>
              <w:jc w:val="both"/>
              <w:rPr>
                <w:sz w:val="20"/>
                <w:szCs w:val="20"/>
              </w:rPr>
            </w:pPr>
          </w:p>
        </w:tc>
        <w:tc>
          <w:tcPr>
            <w:tcW w:w="611" w:type="pct"/>
            <w:tcBorders>
              <w:top w:val="nil"/>
              <w:left w:val="single" w:sz="4" w:space="0" w:color="9A4B63"/>
              <w:bottom w:val="single" w:sz="4" w:space="0" w:color="9A4B63"/>
              <w:right w:val="single" w:sz="4" w:space="0" w:color="9A4B63"/>
            </w:tcBorders>
            <w:shd w:val="clear" w:color="auto" w:fill="9A4B63"/>
          </w:tcPr>
          <w:p w14:paraId="772F2213" w14:textId="77777777" w:rsidR="00CE5D8A" w:rsidRPr="00427B3A" w:rsidRDefault="00CE5D8A" w:rsidP="00586FD8">
            <w:pPr>
              <w:jc w:val="both"/>
              <w:rPr>
                <w:sz w:val="20"/>
                <w:szCs w:val="20"/>
              </w:rPr>
            </w:pPr>
          </w:p>
        </w:tc>
        <w:tc>
          <w:tcPr>
            <w:tcW w:w="572" w:type="pct"/>
            <w:tcBorders>
              <w:top w:val="nil"/>
              <w:left w:val="single" w:sz="4" w:space="0" w:color="9A4B63"/>
              <w:bottom w:val="single" w:sz="4" w:space="0" w:color="9A4B63"/>
              <w:right w:val="single" w:sz="4" w:space="0" w:color="9A4B63"/>
            </w:tcBorders>
            <w:shd w:val="clear" w:color="auto" w:fill="9A4B63"/>
          </w:tcPr>
          <w:p w14:paraId="663B2A90" w14:textId="77777777" w:rsidR="00CE5D8A" w:rsidRPr="00427B3A" w:rsidRDefault="00CE5D8A" w:rsidP="00586FD8">
            <w:pPr>
              <w:jc w:val="both"/>
              <w:rPr>
                <w:sz w:val="20"/>
                <w:szCs w:val="20"/>
              </w:rPr>
            </w:pPr>
          </w:p>
        </w:tc>
        <w:tc>
          <w:tcPr>
            <w:tcW w:w="683" w:type="pct"/>
            <w:tcBorders>
              <w:top w:val="nil"/>
              <w:left w:val="single" w:sz="4" w:space="0" w:color="9A4B63"/>
              <w:bottom w:val="single" w:sz="4" w:space="0" w:color="9A4B63"/>
              <w:right w:val="single" w:sz="8" w:space="0" w:color="9A4B63"/>
            </w:tcBorders>
            <w:shd w:val="clear" w:color="auto" w:fill="9A4B63"/>
          </w:tcPr>
          <w:p w14:paraId="06DCB34D" w14:textId="77777777" w:rsidR="00CE5D8A" w:rsidRPr="00427B3A" w:rsidRDefault="00CE5D8A" w:rsidP="00586FD8">
            <w:pPr>
              <w:jc w:val="both"/>
              <w:rPr>
                <w:sz w:val="20"/>
                <w:szCs w:val="20"/>
              </w:rPr>
            </w:pPr>
          </w:p>
        </w:tc>
      </w:tr>
      <w:tr w:rsidR="00CE5D8A" w:rsidRPr="00427B3A" w14:paraId="79D12766" w14:textId="77777777" w:rsidTr="00586FD8">
        <w:trPr>
          <w:trHeight w:hRule="exact" w:val="1107"/>
        </w:trPr>
        <w:tc>
          <w:tcPr>
            <w:tcW w:w="1695" w:type="pct"/>
            <w:tcBorders>
              <w:top w:val="single" w:sz="4" w:space="0" w:color="9A4B63"/>
              <w:left w:val="single" w:sz="8" w:space="0" w:color="9A4B63"/>
              <w:bottom w:val="single" w:sz="4" w:space="0" w:color="9A4B63"/>
              <w:right w:val="single" w:sz="4" w:space="0" w:color="9A4B63"/>
            </w:tcBorders>
          </w:tcPr>
          <w:p w14:paraId="6ECE05E6" w14:textId="37D77AF2" w:rsidR="00CE5D8A" w:rsidRPr="00427B3A" w:rsidRDefault="00066AFE" w:rsidP="00586FD8">
            <w:pPr>
              <w:pStyle w:val="TableParagraph"/>
              <w:kinsoku w:val="0"/>
              <w:overflowPunct w:val="0"/>
              <w:jc w:val="both"/>
              <w:rPr>
                <w:sz w:val="20"/>
                <w:szCs w:val="20"/>
              </w:rPr>
            </w:pPr>
            <w:r w:rsidRPr="000761E9">
              <w:rPr>
                <w:color w:val="231F20"/>
                <w:sz w:val="20"/>
                <w:szCs w:val="20"/>
              </w:rPr>
              <w:t>Aktīva atjaunošana. 9.2. tematā aprakstītie noteikumi par ekonomisko atjaunošanas pārbaudi</w:t>
            </w:r>
          </w:p>
        </w:tc>
        <w:tc>
          <w:tcPr>
            <w:tcW w:w="648" w:type="pct"/>
            <w:tcBorders>
              <w:top w:val="single" w:sz="4" w:space="0" w:color="9A4B63"/>
              <w:left w:val="single" w:sz="4" w:space="0" w:color="9A4B63"/>
              <w:bottom w:val="single" w:sz="4" w:space="0" w:color="9A4B63"/>
              <w:right w:val="single" w:sz="4" w:space="0" w:color="9A4B63"/>
            </w:tcBorders>
            <w:vAlign w:val="center"/>
          </w:tcPr>
          <w:p w14:paraId="70C54CE0" w14:textId="1335ED10" w:rsidR="00CE5D8A" w:rsidRPr="00427B3A" w:rsidRDefault="00CE5D8A" w:rsidP="00586FD8">
            <w:pPr>
              <w:pStyle w:val="TableParagraph"/>
              <w:kinsoku w:val="0"/>
              <w:overflowPunct w:val="0"/>
              <w:jc w:val="center"/>
              <w:rPr>
                <w:sz w:val="20"/>
                <w:szCs w:val="20"/>
              </w:rPr>
            </w:pPr>
            <w:r w:rsidRPr="00427B3A">
              <w:rPr>
                <w:color w:val="231F20"/>
                <w:sz w:val="20"/>
                <w:szCs w:val="20"/>
              </w:rPr>
              <w:t>9.2</w:t>
            </w:r>
            <w:r w:rsidR="00DC1556">
              <w:rPr>
                <w:color w:val="231F20"/>
                <w:sz w:val="20"/>
                <w:szCs w:val="20"/>
              </w:rPr>
              <w:t>.</w:t>
            </w:r>
          </w:p>
        </w:tc>
        <w:tc>
          <w:tcPr>
            <w:tcW w:w="791" w:type="pct"/>
            <w:tcBorders>
              <w:top w:val="single" w:sz="4" w:space="0" w:color="9A4B63"/>
              <w:left w:val="single" w:sz="4" w:space="0" w:color="9A4B63"/>
              <w:bottom w:val="single" w:sz="4" w:space="0" w:color="9A4B63"/>
              <w:right w:val="single" w:sz="4" w:space="0" w:color="9A4B63"/>
            </w:tcBorders>
            <w:vAlign w:val="center"/>
          </w:tcPr>
          <w:p w14:paraId="5C23252F" w14:textId="77777777" w:rsidR="00CE5D8A" w:rsidRPr="00427B3A" w:rsidRDefault="00CE5D8A" w:rsidP="00586FD8">
            <w:pPr>
              <w:jc w:val="center"/>
              <w:rPr>
                <w:sz w:val="20"/>
                <w:szCs w:val="20"/>
              </w:rPr>
            </w:pPr>
          </w:p>
        </w:tc>
        <w:tc>
          <w:tcPr>
            <w:tcW w:w="611" w:type="pct"/>
            <w:tcBorders>
              <w:top w:val="single" w:sz="4" w:space="0" w:color="9A4B63"/>
              <w:left w:val="single" w:sz="4" w:space="0" w:color="9A4B63"/>
              <w:bottom w:val="single" w:sz="4" w:space="0" w:color="9A4B63"/>
              <w:right w:val="single" w:sz="4" w:space="0" w:color="9A4B63"/>
            </w:tcBorders>
            <w:vAlign w:val="center"/>
          </w:tcPr>
          <w:p w14:paraId="4B5666FF" w14:textId="77777777" w:rsidR="00CE5D8A" w:rsidRPr="00427B3A" w:rsidRDefault="00CE5D8A" w:rsidP="00586FD8">
            <w:pPr>
              <w:jc w:val="center"/>
              <w:rPr>
                <w:sz w:val="20"/>
                <w:szCs w:val="20"/>
              </w:rPr>
            </w:pPr>
          </w:p>
        </w:tc>
        <w:tc>
          <w:tcPr>
            <w:tcW w:w="572" w:type="pct"/>
            <w:tcBorders>
              <w:top w:val="single" w:sz="4" w:space="0" w:color="9A4B63"/>
              <w:left w:val="single" w:sz="4" w:space="0" w:color="9A4B63"/>
              <w:bottom w:val="single" w:sz="4" w:space="0" w:color="9A4B63"/>
              <w:right w:val="single" w:sz="4" w:space="0" w:color="9A4B63"/>
            </w:tcBorders>
            <w:vAlign w:val="center"/>
          </w:tcPr>
          <w:p w14:paraId="4CBA2631" w14:textId="77777777" w:rsidR="00CE5D8A" w:rsidRPr="00427B3A" w:rsidRDefault="00CE5D8A" w:rsidP="00586FD8">
            <w:pPr>
              <w:pStyle w:val="TableParagraph"/>
              <w:kinsoku w:val="0"/>
              <w:overflowPunct w:val="0"/>
              <w:jc w:val="center"/>
              <w:rPr>
                <w:sz w:val="20"/>
                <w:szCs w:val="20"/>
              </w:rPr>
            </w:pPr>
            <w:r w:rsidRPr="00427B3A">
              <w:rPr>
                <w:color w:val="9A4B63"/>
                <w:sz w:val="20"/>
                <w:szCs w:val="20"/>
              </w:rPr>
              <w:sym w:font="Symbol" w:char="F0D6"/>
            </w:r>
          </w:p>
        </w:tc>
        <w:tc>
          <w:tcPr>
            <w:tcW w:w="683" w:type="pct"/>
            <w:tcBorders>
              <w:top w:val="single" w:sz="4" w:space="0" w:color="9A4B63"/>
              <w:left w:val="single" w:sz="4" w:space="0" w:color="9A4B63"/>
              <w:bottom w:val="single" w:sz="4" w:space="0" w:color="9A4B63"/>
              <w:right w:val="single" w:sz="8" w:space="0" w:color="9A4B63"/>
            </w:tcBorders>
            <w:vAlign w:val="center"/>
          </w:tcPr>
          <w:p w14:paraId="1C5812AD" w14:textId="77777777" w:rsidR="00CE5D8A" w:rsidRPr="00427B3A" w:rsidRDefault="00CE5D8A" w:rsidP="00586FD8">
            <w:pPr>
              <w:jc w:val="center"/>
              <w:rPr>
                <w:sz w:val="20"/>
                <w:szCs w:val="20"/>
              </w:rPr>
            </w:pPr>
          </w:p>
        </w:tc>
      </w:tr>
      <w:tr w:rsidR="00CE5D8A" w:rsidRPr="00427B3A" w14:paraId="31AB2E1F" w14:textId="77777777" w:rsidTr="00586FD8">
        <w:trPr>
          <w:trHeight w:hRule="exact" w:val="1393"/>
        </w:trPr>
        <w:tc>
          <w:tcPr>
            <w:tcW w:w="1695" w:type="pct"/>
            <w:tcBorders>
              <w:top w:val="single" w:sz="4" w:space="0" w:color="9A4B63"/>
              <w:left w:val="single" w:sz="8" w:space="0" w:color="9A4B63"/>
              <w:bottom w:val="single" w:sz="4" w:space="0" w:color="9A4B63"/>
              <w:right w:val="single" w:sz="4" w:space="0" w:color="9A4B63"/>
            </w:tcBorders>
          </w:tcPr>
          <w:p w14:paraId="67E168DE" w14:textId="19CB3E85" w:rsidR="00CE5D8A" w:rsidRPr="00427B3A" w:rsidRDefault="00066AFE" w:rsidP="00586FD8">
            <w:pPr>
              <w:pStyle w:val="TableParagraph"/>
              <w:kinsoku w:val="0"/>
              <w:overflowPunct w:val="0"/>
              <w:jc w:val="both"/>
              <w:rPr>
                <w:sz w:val="20"/>
                <w:szCs w:val="20"/>
              </w:rPr>
            </w:pPr>
            <w:r w:rsidRPr="000761E9">
              <w:rPr>
                <w:color w:val="231F20"/>
                <w:sz w:val="20"/>
                <w:szCs w:val="20"/>
              </w:rPr>
              <w:t>Apdrošināšanas izmaksas. 9.3. tematā minētajiem nosacījumiem neatbilstoši noteikumi par to, ka Iestāde uzņemas/dala risku vai saņem/dala ieguvumu, kas radies apdrošināšanas izmaksās veikto izmaiņu dēļ</w:t>
            </w:r>
          </w:p>
        </w:tc>
        <w:tc>
          <w:tcPr>
            <w:tcW w:w="648" w:type="pct"/>
            <w:tcBorders>
              <w:top w:val="single" w:sz="4" w:space="0" w:color="9A4B63"/>
              <w:left w:val="single" w:sz="4" w:space="0" w:color="9A4B63"/>
              <w:bottom w:val="single" w:sz="4" w:space="0" w:color="9A4B63"/>
              <w:right w:val="single" w:sz="4" w:space="0" w:color="9A4B63"/>
            </w:tcBorders>
            <w:vAlign w:val="center"/>
          </w:tcPr>
          <w:p w14:paraId="4D80ED61" w14:textId="16D4313E" w:rsidR="00CE5D8A" w:rsidRPr="00427B3A" w:rsidRDefault="00CE5D8A" w:rsidP="00586FD8">
            <w:pPr>
              <w:pStyle w:val="TableParagraph"/>
              <w:kinsoku w:val="0"/>
              <w:overflowPunct w:val="0"/>
              <w:jc w:val="center"/>
              <w:rPr>
                <w:sz w:val="20"/>
                <w:szCs w:val="20"/>
              </w:rPr>
            </w:pPr>
            <w:r w:rsidRPr="00427B3A">
              <w:rPr>
                <w:color w:val="231F20"/>
                <w:sz w:val="20"/>
                <w:szCs w:val="20"/>
              </w:rPr>
              <w:t>9.3</w:t>
            </w:r>
            <w:r w:rsidR="00DC1556">
              <w:rPr>
                <w:color w:val="231F20"/>
                <w:sz w:val="20"/>
                <w:szCs w:val="20"/>
              </w:rPr>
              <w:t>.</w:t>
            </w:r>
          </w:p>
        </w:tc>
        <w:tc>
          <w:tcPr>
            <w:tcW w:w="791" w:type="pct"/>
            <w:tcBorders>
              <w:top w:val="single" w:sz="4" w:space="0" w:color="9A4B63"/>
              <w:left w:val="single" w:sz="4" w:space="0" w:color="9A4B63"/>
              <w:bottom w:val="single" w:sz="4" w:space="0" w:color="9A4B63"/>
              <w:right w:val="single" w:sz="4" w:space="0" w:color="9A4B63"/>
            </w:tcBorders>
            <w:vAlign w:val="center"/>
          </w:tcPr>
          <w:p w14:paraId="661F8F2F" w14:textId="77777777" w:rsidR="00CE5D8A" w:rsidRPr="00427B3A" w:rsidRDefault="00CE5D8A" w:rsidP="00586FD8">
            <w:pPr>
              <w:jc w:val="center"/>
              <w:rPr>
                <w:sz w:val="20"/>
                <w:szCs w:val="20"/>
              </w:rPr>
            </w:pPr>
          </w:p>
        </w:tc>
        <w:tc>
          <w:tcPr>
            <w:tcW w:w="611" w:type="pct"/>
            <w:tcBorders>
              <w:top w:val="single" w:sz="4" w:space="0" w:color="9A4B63"/>
              <w:left w:val="single" w:sz="4" w:space="0" w:color="9A4B63"/>
              <w:bottom w:val="single" w:sz="4" w:space="0" w:color="9A4B63"/>
              <w:right w:val="single" w:sz="4" w:space="0" w:color="9A4B63"/>
            </w:tcBorders>
            <w:vAlign w:val="center"/>
          </w:tcPr>
          <w:p w14:paraId="63C4DBF5" w14:textId="77777777" w:rsidR="00CE5D8A" w:rsidRPr="00427B3A" w:rsidRDefault="00CE5D8A" w:rsidP="00586FD8">
            <w:pPr>
              <w:jc w:val="center"/>
              <w:rPr>
                <w:sz w:val="20"/>
                <w:szCs w:val="20"/>
              </w:rPr>
            </w:pPr>
          </w:p>
        </w:tc>
        <w:tc>
          <w:tcPr>
            <w:tcW w:w="572" w:type="pct"/>
            <w:tcBorders>
              <w:top w:val="single" w:sz="4" w:space="0" w:color="9A4B63"/>
              <w:left w:val="single" w:sz="4" w:space="0" w:color="9A4B63"/>
              <w:bottom w:val="single" w:sz="4" w:space="0" w:color="9A4B63"/>
              <w:right w:val="single" w:sz="4" w:space="0" w:color="9A4B63"/>
            </w:tcBorders>
            <w:vAlign w:val="center"/>
          </w:tcPr>
          <w:p w14:paraId="123736B3" w14:textId="77777777" w:rsidR="00CE5D8A" w:rsidRPr="00427B3A" w:rsidRDefault="00CE5D8A" w:rsidP="00586FD8">
            <w:pPr>
              <w:pStyle w:val="TableParagraph"/>
              <w:kinsoku w:val="0"/>
              <w:overflowPunct w:val="0"/>
              <w:jc w:val="center"/>
              <w:rPr>
                <w:sz w:val="20"/>
                <w:szCs w:val="20"/>
              </w:rPr>
            </w:pPr>
            <w:r w:rsidRPr="00427B3A">
              <w:rPr>
                <w:color w:val="9A4B63"/>
                <w:sz w:val="20"/>
                <w:szCs w:val="20"/>
              </w:rPr>
              <w:sym w:font="Symbol" w:char="F0D6"/>
            </w:r>
          </w:p>
        </w:tc>
        <w:tc>
          <w:tcPr>
            <w:tcW w:w="683" w:type="pct"/>
            <w:tcBorders>
              <w:top w:val="single" w:sz="4" w:space="0" w:color="9A4B63"/>
              <w:left w:val="single" w:sz="4" w:space="0" w:color="9A4B63"/>
              <w:bottom w:val="single" w:sz="4" w:space="0" w:color="9A4B63"/>
              <w:right w:val="single" w:sz="8" w:space="0" w:color="9A4B63"/>
            </w:tcBorders>
            <w:vAlign w:val="center"/>
          </w:tcPr>
          <w:p w14:paraId="6B3A2BB2" w14:textId="77777777" w:rsidR="00CE5D8A" w:rsidRPr="00427B3A" w:rsidRDefault="00CE5D8A" w:rsidP="00586FD8">
            <w:pPr>
              <w:jc w:val="center"/>
              <w:rPr>
                <w:sz w:val="20"/>
                <w:szCs w:val="20"/>
              </w:rPr>
            </w:pPr>
          </w:p>
        </w:tc>
      </w:tr>
      <w:tr w:rsidR="00CE5D8A" w:rsidRPr="00427B3A" w14:paraId="55413E74" w14:textId="77777777" w:rsidTr="00586FD8">
        <w:trPr>
          <w:trHeight w:hRule="exact" w:val="821"/>
        </w:trPr>
        <w:tc>
          <w:tcPr>
            <w:tcW w:w="1695" w:type="pct"/>
            <w:tcBorders>
              <w:top w:val="single" w:sz="4" w:space="0" w:color="9A4B63"/>
              <w:left w:val="single" w:sz="8" w:space="0" w:color="9A4B63"/>
              <w:bottom w:val="single" w:sz="4" w:space="0" w:color="9A4B63"/>
              <w:right w:val="single" w:sz="4" w:space="0" w:color="9A4B63"/>
            </w:tcBorders>
          </w:tcPr>
          <w:p w14:paraId="0F1528D1" w14:textId="4BF011B3" w:rsidR="00CE5D8A" w:rsidRPr="00427B3A" w:rsidRDefault="00066AFE" w:rsidP="00586FD8">
            <w:pPr>
              <w:pStyle w:val="TableParagraph"/>
              <w:kinsoku w:val="0"/>
              <w:overflowPunct w:val="0"/>
              <w:jc w:val="both"/>
              <w:rPr>
                <w:sz w:val="20"/>
                <w:szCs w:val="20"/>
              </w:rPr>
            </w:pPr>
            <w:r w:rsidRPr="000761E9">
              <w:rPr>
                <w:color w:val="231F20"/>
                <w:sz w:val="20"/>
                <w:szCs w:val="20"/>
              </w:rPr>
              <w:t>Neapdrošināmība. 9.4. tematā minētie jautājumi</w:t>
            </w:r>
          </w:p>
        </w:tc>
        <w:tc>
          <w:tcPr>
            <w:tcW w:w="648" w:type="pct"/>
            <w:tcBorders>
              <w:top w:val="single" w:sz="4" w:space="0" w:color="9A4B63"/>
              <w:left w:val="single" w:sz="4" w:space="0" w:color="9A4B63"/>
              <w:bottom w:val="single" w:sz="4" w:space="0" w:color="9A4B63"/>
              <w:right w:val="single" w:sz="4" w:space="0" w:color="9A4B63"/>
            </w:tcBorders>
            <w:vAlign w:val="center"/>
          </w:tcPr>
          <w:p w14:paraId="39CB8D54" w14:textId="6571D45D" w:rsidR="00CE5D8A" w:rsidRPr="00427B3A" w:rsidRDefault="00CE5D8A" w:rsidP="00586FD8">
            <w:pPr>
              <w:pStyle w:val="TableParagraph"/>
              <w:kinsoku w:val="0"/>
              <w:overflowPunct w:val="0"/>
              <w:jc w:val="center"/>
              <w:rPr>
                <w:sz w:val="20"/>
                <w:szCs w:val="20"/>
              </w:rPr>
            </w:pPr>
            <w:r w:rsidRPr="00427B3A">
              <w:rPr>
                <w:color w:val="231F20"/>
                <w:sz w:val="20"/>
                <w:szCs w:val="20"/>
              </w:rPr>
              <w:t>9.4</w:t>
            </w:r>
            <w:r w:rsidR="00DC1556">
              <w:rPr>
                <w:color w:val="231F20"/>
                <w:sz w:val="20"/>
                <w:szCs w:val="20"/>
              </w:rPr>
              <w:t>.</w:t>
            </w:r>
          </w:p>
        </w:tc>
        <w:tc>
          <w:tcPr>
            <w:tcW w:w="791" w:type="pct"/>
            <w:tcBorders>
              <w:top w:val="single" w:sz="4" w:space="0" w:color="9A4B63"/>
              <w:left w:val="single" w:sz="4" w:space="0" w:color="9A4B63"/>
              <w:bottom w:val="single" w:sz="4" w:space="0" w:color="9A4B63"/>
              <w:right w:val="single" w:sz="4" w:space="0" w:color="9A4B63"/>
            </w:tcBorders>
            <w:vAlign w:val="center"/>
          </w:tcPr>
          <w:p w14:paraId="50F99A38" w14:textId="77777777" w:rsidR="00CE5D8A" w:rsidRPr="00427B3A" w:rsidRDefault="00CE5D8A" w:rsidP="00586FD8">
            <w:pPr>
              <w:jc w:val="center"/>
              <w:rPr>
                <w:sz w:val="20"/>
                <w:szCs w:val="20"/>
              </w:rPr>
            </w:pPr>
          </w:p>
        </w:tc>
        <w:tc>
          <w:tcPr>
            <w:tcW w:w="611" w:type="pct"/>
            <w:tcBorders>
              <w:top w:val="single" w:sz="4" w:space="0" w:color="9A4B63"/>
              <w:left w:val="single" w:sz="4" w:space="0" w:color="9A4B63"/>
              <w:bottom w:val="single" w:sz="4" w:space="0" w:color="9A4B63"/>
              <w:right w:val="single" w:sz="4" w:space="0" w:color="9A4B63"/>
            </w:tcBorders>
            <w:vAlign w:val="center"/>
          </w:tcPr>
          <w:p w14:paraId="129E33DB" w14:textId="77777777" w:rsidR="00CE5D8A" w:rsidRPr="00427B3A" w:rsidRDefault="00CE5D8A" w:rsidP="00586FD8">
            <w:pPr>
              <w:jc w:val="center"/>
              <w:rPr>
                <w:sz w:val="20"/>
                <w:szCs w:val="20"/>
              </w:rPr>
            </w:pPr>
          </w:p>
        </w:tc>
        <w:tc>
          <w:tcPr>
            <w:tcW w:w="572" w:type="pct"/>
            <w:tcBorders>
              <w:top w:val="single" w:sz="4" w:space="0" w:color="9A4B63"/>
              <w:left w:val="single" w:sz="4" w:space="0" w:color="9A4B63"/>
              <w:bottom w:val="single" w:sz="4" w:space="0" w:color="9A4B63"/>
              <w:right w:val="single" w:sz="4" w:space="0" w:color="9A4B63"/>
            </w:tcBorders>
            <w:vAlign w:val="center"/>
          </w:tcPr>
          <w:p w14:paraId="5A382668" w14:textId="77777777" w:rsidR="00CE5D8A" w:rsidRPr="00427B3A" w:rsidRDefault="00CE5D8A" w:rsidP="00586FD8">
            <w:pPr>
              <w:pStyle w:val="TableParagraph"/>
              <w:kinsoku w:val="0"/>
              <w:overflowPunct w:val="0"/>
              <w:jc w:val="center"/>
              <w:rPr>
                <w:sz w:val="20"/>
                <w:szCs w:val="20"/>
              </w:rPr>
            </w:pPr>
            <w:r w:rsidRPr="00427B3A">
              <w:rPr>
                <w:color w:val="9A4B63"/>
                <w:sz w:val="20"/>
                <w:szCs w:val="20"/>
              </w:rPr>
              <w:sym w:font="Symbol" w:char="F0D6"/>
            </w:r>
          </w:p>
        </w:tc>
        <w:tc>
          <w:tcPr>
            <w:tcW w:w="683" w:type="pct"/>
            <w:tcBorders>
              <w:top w:val="single" w:sz="4" w:space="0" w:color="9A4B63"/>
              <w:left w:val="single" w:sz="4" w:space="0" w:color="9A4B63"/>
              <w:bottom w:val="single" w:sz="4" w:space="0" w:color="9A4B63"/>
              <w:right w:val="single" w:sz="8" w:space="0" w:color="9A4B63"/>
            </w:tcBorders>
            <w:vAlign w:val="center"/>
          </w:tcPr>
          <w:p w14:paraId="3726596B" w14:textId="77777777" w:rsidR="00CE5D8A" w:rsidRPr="00427B3A" w:rsidRDefault="00CE5D8A" w:rsidP="00586FD8">
            <w:pPr>
              <w:jc w:val="center"/>
              <w:rPr>
                <w:sz w:val="20"/>
                <w:szCs w:val="20"/>
              </w:rPr>
            </w:pPr>
          </w:p>
        </w:tc>
      </w:tr>
      <w:tr w:rsidR="00066AFE" w:rsidRPr="00427B3A" w14:paraId="5CFDB46A" w14:textId="77777777" w:rsidTr="00066AFE">
        <w:trPr>
          <w:trHeight w:hRule="exact" w:val="643"/>
        </w:trPr>
        <w:tc>
          <w:tcPr>
            <w:tcW w:w="2343" w:type="pct"/>
            <w:gridSpan w:val="2"/>
            <w:tcBorders>
              <w:top w:val="single" w:sz="4" w:space="0" w:color="9A4B63"/>
              <w:left w:val="single" w:sz="8" w:space="0" w:color="047E50"/>
              <w:bottom w:val="single" w:sz="4" w:space="0" w:color="047E50"/>
              <w:right w:val="single" w:sz="4" w:space="0" w:color="047E50"/>
            </w:tcBorders>
            <w:shd w:val="clear" w:color="auto" w:fill="047E50"/>
          </w:tcPr>
          <w:p w14:paraId="4FB5E2EE" w14:textId="1B84A82B" w:rsidR="00066AFE" w:rsidRPr="00427B3A" w:rsidRDefault="00066AFE" w:rsidP="00586FD8">
            <w:pPr>
              <w:jc w:val="both"/>
              <w:rPr>
                <w:sz w:val="20"/>
                <w:szCs w:val="20"/>
              </w:rPr>
            </w:pPr>
            <w:r w:rsidRPr="000761E9">
              <w:rPr>
                <w:rFonts w:ascii="Times New Roman" w:eastAsia="Times New Roman" w:hAnsi="Times New Roman" w:cs="Times New Roman"/>
                <w:b/>
                <w:bCs/>
                <w:color w:val="FFFFFF"/>
                <w:sz w:val="20"/>
                <w:szCs w:val="20"/>
                <w:lang w:eastAsia="lv-LV"/>
              </w:rPr>
              <w:t xml:space="preserve">10. temats. Garantijas un </w:t>
            </w:r>
            <w:r w:rsidR="00895EAA">
              <w:rPr>
                <w:rFonts w:ascii="Times New Roman" w:eastAsia="Times New Roman" w:hAnsi="Times New Roman" w:cs="Times New Roman"/>
                <w:b/>
                <w:bCs/>
                <w:color w:val="FFFFFF"/>
                <w:sz w:val="20"/>
                <w:szCs w:val="20"/>
                <w:lang w:eastAsia="lv-LV"/>
              </w:rPr>
              <w:t>kompensācijas</w:t>
            </w:r>
          </w:p>
        </w:tc>
        <w:tc>
          <w:tcPr>
            <w:tcW w:w="791" w:type="pct"/>
            <w:tcBorders>
              <w:top w:val="single" w:sz="4" w:space="0" w:color="9A4B63"/>
              <w:left w:val="single" w:sz="4" w:space="0" w:color="047E50"/>
              <w:bottom w:val="single" w:sz="4" w:space="0" w:color="047E50"/>
              <w:right w:val="single" w:sz="4" w:space="0" w:color="047E50"/>
            </w:tcBorders>
            <w:shd w:val="clear" w:color="auto" w:fill="047E50"/>
          </w:tcPr>
          <w:p w14:paraId="0FCFB468" w14:textId="77777777" w:rsidR="00066AFE" w:rsidRPr="00427B3A" w:rsidRDefault="00066AFE" w:rsidP="00586FD8">
            <w:pPr>
              <w:jc w:val="both"/>
              <w:rPr>
                <w:sz w:val="20"/>
                <w:szCs w:val="20"/>
              </w:rPr>
            </w:pPr>
          </w:p>
        </w:tc>
        <w:tc>
          <w:tcPr>
            <w:tcW w:w="611" w:type="pct"/>
            <w:tcBorders>
              <w:top w:val="single" w:sz="4" w:space="0" w:color="9A4B63"/>
              <w:left w:val="single" w:sz="4" w:space="0" w:color="047E50"/>
              <w:bottom w:val="single" w:sz="4" w:space="0" w:color="047E50"/>
              <w:right w:val="single" w:sz="4" w:space="0" w:color="047E50"/>
            </w:tcBorders>
            <w:shd w:val="clear" w:color="auto" w:fill="047E50"/>
          </w:tcPr>
          <w:p w14:paraId="2E48BB7F" w14:textId="77777777" w:rsidR="00066AFE" w:rsidRPr="00427B3A" w:rsidRDefault="00066AFE" w:rsidP="00586FD8">
            <w:pPr>
              <w:jc w:val="both"/>
              <w:rPr>
                <w:sz w:val="20"/>
                <w:szCs w:val="20"/>
              </w:rPr>
            </w:pPr>
          </w:p>
        </w:tc>
        <w:tc>
          <w:tcPr>
            <w:tcW w:w="572" w:type="pct"/>
            <w:tcBorders>
              <w:top w:val="single" w:sz="4" w:space="0" w:color="9A4B63"/>
              <w:left w:val="single" w:sz="4" w:space="0" w:color="047E50"/>
              <w:bottom w:val="single" w:sz="4" w:space="0" w:color="047E50"/>
              <w:right w:val="single" w:sz="4" w:space="0" w:color="047E50"/>
            </w:tcBorders>
            <w:shd w:val="clear" w:color="auto" w:fill="047E50"/>
          </w:tcPr>
          <w:p w14:paraId="374DB614" w14:textId="77777777" w:rsidR="00066AFE" w:rsidRPr="00427B3A" w:rsidRDefault="00066AFE" w:rsidP="00586FD8">
            <w:pPr>
              <w:jc w:val="both"/>
              <w:rPr>
                <w:sz w:val="20"/>
                <w:szCs w:val="20"/>
              </w:rPr>
            </w:pPr>
          </w:p>
        </w:tc>
        <w:tc>
          <w:tcPr>
            <w:tcW w:w="683" w:type="pct"/>
            <w:tcBorders>
              <w:top w:val="single" w:sz="4" w:space="0" w:color="9A4B63"/>
              <w:left w:val="single" w:sz="4" w:space="0" w:color="047E50"/>
              <w:bottom w:val="single" w:sz="4" w:space="0" w:color="047E50"/>
              <w:right w:val="single" w:sz="8" w:space="0" w:color="047E50"/>
            </w:tcBorders>
            <w:shd w:val="clear" w:color="auto" w:fill="047E50"/>
          </w:tcPr>
          <w:p w14:paraId="3B4EE6EC" w14:textId="77777777" w:rsidR="00066AFE" w:rsidRPr="00427B3A" w:rsidRDefault="00066AFE" w:rsidP="00586FD8">
            <w:pPr>
              <w:jc w:val="both"/>
              <w:rPr>
                <w:sz w:val="20"/>
                <w:szCs w:val="20"/>
              </w:rPr>
            </w:pPr>
          </w:p>
        </w:tc>
      </w:tr>
      <w:tr w:rsidR="00CE5D8A" w:rsidRPr="00427B3A" w14:paraId="7C001935" w14:textId="77777777" w:rsidTr="00066AFE">
        <w:trPr>
          <w:trHeight w:hRule="exact" w:val="821"/>
        </w:trPr>
        <w:tc>
          <w:tcPr>
            <w:tcW w:w="1695" w:type="pct"/>
            <w:tcBorders>
              <w:top w:val="single" w:sz="4" w:space="0" w:color="047E50"/>
              <w:left w:val="single" w:sz="8" w:space="0" w:color="047E50"/>
              <w:bottom w:val="single" w:sz="4" w:space="0" w:color="047E50"/>
              <w:right w:val="single" w:sz="4" w:space="0" w:color="047E50"/>
            </w:tcBorders>
          </w:tcPr>
          <w:p w14:paraId="0BFF27B1" w14:textId="6AE9C397" w:rsidR="00CE5D8A" w:rsidRPr="00427B3A" w:rsidRDefault="002E122E" w:rsidP="00586FD8">
            <w:pPr>
              <w:pStyle w:val="TableParagraph"/>
              <w:kinsoku w:val="0"/>
              <w:overflowPunct w:val="0"/>
              <w:jc w:val="both"/>
              <w:rPr>
                <w:sz w:val="20"/>
                <w:szCs w:val="20"/>
              </w:rPr>
            </w:pPr>
            <w:r w:rsidRPr="000761E9">
              <w:rPr>
                <w:color w:val="231F20"/>
                <w:sz w:val="20"/>
                <w:szCs w:val="20"/>
              </w:rPr>
              <w:t>Garantijas. Garantijas, kas attiecas uz 10.1. tematā aprakstītajiem riskiem un atlīdzību</w:t>
            </w:r>
          </w:p>
        </w:tc>
        <w:tc>
          <w:tcPr>
            <w:tcW w:w="648" w:type="pct"/>
            <w:tcBorders>
              <w:top w:val="single" w:sz="4" w:space="0" w:color="047E50"/>
              <w:left w:val="single" w:sz="4" w:space="0" w:color="047E50"/>
              <w:bottom w:val="single" w:sz="4" w:space="0" w:color="047E50"/>
              <w:right w:val="single" w:sz="4" w:space="0" w:color="047E50"/>
            </w:tcBorders>
            <w:vAlign w:val="center"/>
          </w:tcPr>
          <w:p w14:paraId="56A27B54" w14:textId="5AECE081" w:rsidR="00CE5D8A" w:rsidRPr="00427B3A" w:rsidRDefault="00CE5D8A" w:rsidP="00586FD8">
            <w:pPr>
              <w:pStyle w:val="TableParagraph"/>
              <w:kinsoku w:val="0"/>
              <w:overflowPunct w:val="0"/>
              <w:jc w:val="center"/>
              <w:rPr>
                <w:sz w:val="20"/>
                <w:szCs w:val="20"/>
              </w:rPr>
            </w:pPr>
            <w:r w:rsidRPr="00427B3A">
              <w:rPr>
                <w:color w:val="231F20"/>
                <w:sz w:val="20"/>
                <w:szCs w:val="20"/>
              </w:rPr>
              <w:t>10.1</w:t>
            </w:r>
            <w:r w:rsidR="00DC1556">
              <w:rPr>
                <w:color w:val="231F20"/>
                <w:sz w:val="20"/>
                <w:szCs w:val="20"/>
              </w:rPr>
              <w:t>.</w:t>
            </w:r>
          </w:p>
        </w:tc>
        <w:tc>
          <w:tcPr>
            <w:tcW w:w="2657" w:type="pct"/>
            <w:gridSpan w:val="4"/>
            <w:tcBorders>
              <w:top w:val="single" w:sz="4" w:space="0" w:color="047E50"/>
              <w:left w:val="single" w:sz="4" w:space="0" w:color="047E50"/>
              <w:bottom w:val="single" w:sz="4" w:space="0" w:color="047E50"/>
              <w:right w:val="single" w:sz="8" w:space="0" w:color="047E50"/>
            </w:tcBorders>
            <w:vAlign w:val="center"/>
          </w:tcPr>
          <w:p w14:paraId="3262310A" w14:textId="66063767" w:rsidR="00CE5D8A" w:rsidRPr="00427B3A" w:rsidRDefault="002E122E" w:rsidP="00586FD8">
            <w:pPr>
              <w:pStyle w:val="TableParagraph"/>
              <w:kinsoku w:val="0"/>
              <w:overflowPunct w:val="0"/>
              <w:jc w:val="center"/>
              <w:rPr>
                <w:sz w:val="20"/>
                <w:szCs w:val="20"/>
              </w:rPr>
            </w:pPr>
            <w:r w:rsidRPr="000761E9">
              <w:rPr>
                <w:b/>
                <w:bCs/>
                <w:color w:val="047E50"/>
                <w:sz w:val="20"/>
                <w:szCs w:val="20"/>
              </w:rPr>
              <w:t>Ir nepieciešama īpaša analīze</w:t>
            </w:r>
          </w:p>
        </w:tc>
      </w:tr>
      <w:tr w:rsidR="00CE5D8A" w:rsidRPr="00427B3A" w14:paraId="37D03CAA" w14:textId="77777777" w:rsidTr="00586FD8">
        <w:trPr>
          <w:trHeight w:hRule="exact" w:val="1393"/>
        </w:trPr>
        <w:tc>
          <w:tcPr>
            <w:tcW w:w="1695" w:type="pct"/>
            <w:tcBorders>
              <w:top w:val="single" w:sz="4" w:space="0" w:color="047E50"/>
              <w:left w:val="single" w:sz="8" w:space="0" w:color="047E50"/>
              <w:bottom w:val="single" w:sz="4" w:space="0" w:color="047E50"/>
              <w:right w:val="single" w:sz="4" w:space="0" w:color="047E50"/>
            </w:tcBorders>
          </w:tcPr>
          <w:p w14:paraId="20F1E04F" w14:textId="21DE2120" w:rsidR="00CE5D8A" w:rsidRPr="00427B3A" w:rsidRDefault="002E122E" w:rsidP="00586FD8">
            <w:pPr>
              <w:pStyle w:val="TableParagraph"/>
              <w:kinsoku w:val="0"/>
              <w:overflowPunct w:val="0"/>
              <w:jc w:val="both"/>
              <w:rPr>
                <w:sz w:val="20"/>
                <w:szCs w:val="20"/>
              </w:rPr>
            </w:pPr>
            <w:r w:rsidRPr="000761E9">
              <w:rPr>
                <w:color w:val="231F20"/>
                <w:sz w:val="20"/>
                <w:szCs w:val="20"/>
              </w:rPr>
              <w:t>Partnera sniegt</w:t>
            </w:r>
            <w:r w:rsidR="00331E7F">
              <w:rPr>
                <w:color w:val="231F20"/>
                <w:sz w:val="20"/>
                <w:szCs w:val="20"/>
              </w:rPr>
              <w:t>as kompensācijas</w:t>
            </w:r>
            <w:r w:rsidRPr="000761E9">
              <w:rPr>
                <w:color w:val="231F20"/>
                <w:sz w:val="20"/>
                <w:szCs w:val="20"/>
              </w:rPr>
              <w:t xml:space="preserve">. </w:t>
            </w:r>
            <w:r w:rsidR="00331E7F">
              <w:rPr>
                <w:color w:val="231F20"/>
                <w:sz w:val="20"/>
                <w:szCs w:val="20"/>
              </w:rPr>
              <w:t>Kompensāciju</w:t>
            </w:r>
            <w:r w:rsidRPr="000761E9">
              <w:rPr>
                <w:color w:val="231F20"/>
                <w:sz w:val="20"/>
                <w:szCs w:val="20"/>
              </w:rPr>
              <w:t xml:space="preserve"> ierobežojumi vai izņēmumi, kas neatbilst 10.2. tematā aprakstītajiem nosacījumiem</w:t>
            </w:r>
          </w:p>
        </w:tc>
        <w:tc>
          <w:tcPr>
            <w:tcW w:w="648" w:type="pct"/>
            <w:tcBorders>
              <w:top w:val="single" w:sz="4" w:space="0" w:color="047E50"/>
              <w:left w:val="single" w:sz="4" w:space="0" w:color="047E50"/>
              <w:bottom w:val="single" w:sz="4" w:space="0" w:color="047E50"/>
              <w:right w:val="single" w:sz="4" w:space="0" w:color="047E50"/>
            </w:tcBorders>
            <w:vAlign w:val="center"/>
          </w:tcPr>
          <w:p w14:paraId="7A36EFF1" w14:textId="4C6DA435" w:rsidR="00CE5D8A" w:rsidRPr="00427B3A" w:rsidRDefault="00CE5D8A" w:rsidP="00586FD8">
            <w:pPr>
              <w:pStyle w:val="TableParagraph"/>
              <w:kinsoku w:val="0"/>
              <w:overflowPunct w:val="0"/>
              <w:jc w:val="center"/>
              <w:rPr>
                <w:sz w:val="20"/>
                <w:szCs w:val="20"/>
              </w:rPr>
            </w:pPr>
            <w:r w:rsidRPr="00427B3A">
              <w:rPr>
                <w:color w:val="231F20"/>
                <w:sz w:val="20"/>
                <w:szCs w:val="20"/>
              </w:rPr>
              <w:t>10.2</w:t>
            </w:r>
            <w:r w:rsidR="00DC1556">
              <w:rPr>
                <w:color w:val="231F20"/>
                <w:sz w:val="20"/>
                <w:szCs w:val="20"/>
              </w:rPr>
              <w:t>.</w:t>
            </w:r>
          </w:p>
        </w:tc>
        <w:tc>
          <w:tcPr>
            <w:tcW w:w="791" w:type="pct"/>
            <w:tcBorders>
              <w:top w:val="single" w:sz="4" w:space="0" w:color="047E50"/>
              <w:left w:val="single" w:sz="4" w:space="0" w:color="047E50"/>
              <w:bottom w:val="single" w:sz="4" w:space="0" w:color="047E50"/>
              <w:right w:val="single" w:sz="4" w:space="0" w:color="047E50"/>
            </w:tcBorders>
            <w:vAlign w:val="center"/>
          </w:tcPr>
          <w:p w14:paraId="289FE810" w14:textId="77777777" w:rsidR="00CE5D8A" w:rsidRPr="00427B3A" w:rsidRDefault="00CE5D8A" w:rsidP="00586FD8">
            <w:pPr>
              <w:jc w:val="center"/>
              <w:rPr>
                <w:sz w:val="20"/>
                <w:szCs w:val="20"/>
              </w:rPr>
            </w:pPr>
          </w:p>
        </w:tc>
        <w:tc>
          <w:tcPr>
            <w:tcW w:w="611" w:type="pct"/>
            <w:tcBorders>
              <w:top w:val="single" w:sz="4" w:space="0" w:color="047E50"/>
              <w:left w:val="single" w:sz="4" w:space="0" w:color="047E50"/>
              <w:bottom w:val="single" w:sz="4" w:space="0" w:color="047E50"/>
              <w:right w:val="single" w:sz="4" w:space="0" w:color="047E50"/>
            </w:tcBorders>
            <w:vAlign w:val="center"/>
          </w:tcPr>
          <w:p w14:paraId="19967CDD" w14:textId="77777777" w:rsidR="00CE5D8A" w:rsidRPr="00427B3A" w:rsidRDefault="00CE5D8A" w:rsidP="00586FD8">
            <w:pPr>
              <w:jc w:val="center"/>
              <w:rPr>
                <w:sz w:val="20"/>
                <w:szCs w:val="20"/>
              </w:rPr>
            </w:pPr>
          </w:p>
        </w:tc>
        <w:tc>
          <w:tcPr>
            <w:tcW w:w="572" w:type="pct"/>
            <w:tcBorders>
              <w:top w:val="single" w:sz="4" w:space="0" w:color="047E50"/>
              <w:left w:val="single" w:sz="4" w:space="0" w:color="047E50"/>
              <w:bottom w:val="single" w:sz="4" w:space="0" w:color="047E50"/>
              <w:right w:val="single" w:sz="4" w:space="0" w:color="047E50"/>
            </w:tcBorders>
            <w:vAlign w:val="center"/>
          </w:tcPr>
          <w:p w14:paraId="3D40F5F7" w14:textId="77777777" w:rsidR="00CE5D8A" w:rsidRPr="00427B3A" w:rsidRDefault="00CE5D8A" w:rsidP="00586FD8">
            <w:pPr>
              <w:pStyle w:val="TableParagraph"/>
              <w:kinsoku w:val="0"/>
              <w:overflowPunct w:val="0"/>
              <w:jc w:val="center"/>
              <w:rPr>
                <w:sz w:val="20"/>
                <w:szCs w:val="20"/>
              </w:rPr>
            </w:pPr>
            <w:r w:rsidRPr="00427B3A">
              <w:rPr>
                <w:color w:val="047E50"/>
                <w:sz w:val="20"/>
                <w:szCs w:val="20"/>
              </w:rPr>
              <w:sym w:font="Symbol" w:char="F0D6"/>
            </w:r>
          </w:p>
        </w:tc>
        <w:tc>
          <w:tcPr>
            <w:tcW w:w="683" w:type="pct"/>
            <w:tcBorders>
              <w:top w:val="single" w:sz="4" w:space="0" w:color="047E50"/>
              <w:left w:val="single" w:sz="4" w:space="0" w:color="047E50"/>
              <w:bottom w:val="single" w:sz="4" w:space="0" w:color="047E50"/>
              <w:right w:val="single" w:sz="8" w:space="0" w:color="047E50"/>
            </w:tcBorders>
            <w:vAlign w:val="center"/>
          </w:tcPr>
          <w:p w14:paraId="0028C9BE" w14:textId="77777777" w:rsidR="00CE5D8A" w:rsidRPr="00427B3A" w:rsidRDefault="00CE5D8A" w:rsidP="00586FD8">
            <w:pPr>
              <w:jc w:val="center"/>
              <w:rPr>
                <w:sz w:val="20"/>
                <w:szCs w:val="20"/>
              </w:rPr>
            </w:pPr>
          </w:p>
        </w:tc>
      </w:tr>
      <w:tr w:rsidR="00CE5D8A" w:rsidRPr="00427B3A" w14:paraId="6D68E0AF" w14:textId="77777777" w:rsidTr="00586FD8">
        <w:trPr>
          <w:trHeight w:hRule="exact" w:val="1107"/>
        </w:trPr>
        <w:tc>
          <w:tcPr>
            <w:tcW w:w="1695" w:type="pct"/>
            <w:tcBorders>
              <w:top w:val="single" w:sz="4" w:space="0" w:color="047E50"/>
              <w:left w:val="single" w:sz="8" w:space="0" w:color="047E50"/>
              <w:bottom w:val="single" w:sz="8" w:space="0" w:color="047E50"/>
              <w:right w:val="single" w:sz="4" w:space="0" w:color="047E50"/>
            </w:tcBorders>
          </w:tcPr>
          <w:p w14:paraId="4AB419E7" w14:textId="27796FF7" w:rsidR="00CE5D8A" w:rsidRPr="00427B3A" w:rsidRDefault="002E122E" w:rsidP="00586FD8">
            <w:pPr>
              <w:pStyle w:val="TableParagraph"/>
              <w:kinsoku w:val="0"/>
              <w:overflowPunct w:val="0"/>
              <w:jc w:val="both"/>
              <w:rPr>
                <w:sz w:val="20"/>
                <w:szCs w:val="20"/>
              </w:rPr>
            </w:pPr>
            <w:r w:rsidRPr="000761E9">
              <w:rPr>
                <w:color w:val="231F20"/>
                <w:sz w:val="20"/>
                <w:szCs w:val="20"/>
              </w:rPr>
              <w:t>Iestādes sniegt</w:t>
            </w:r>
            <w:r w:rsidR="00331E7F">
              <w:rPr>
                <w:color w:val="231F20"/>
                <w:sz w:val="20"/>
                <w:szCs w:val="20"/>
              </w:rPr>
              <w:t>a</w:t>
            </w:r>
            <w:r w:rsidRPr="000761E9">
              <w:rPr>
                <w:color w:val="231F20"/>
                <w:sz w:val="20"/>
                <w:szCs w:val="20"/>
              </w:rPr>
              <w:t xml:space="preserve">s </w:t>
            </w:r>
            <w:r w:rsidR="00331E7F">
              <w:rPr>
                <w:color w:val="231F20"/>
                <w:sz w:val="20"/>
                <w:szCs w:val="20"/>
              </w:rPr>
              <w:t>kompensācijas</w:t>
            </w:r>
            <w:r w:rsidRPr="000761E9">
              <w:rPr>
                <w:color w:val="231F20"/>
                <w:sz w:val="20"/>
                <w:szCs w:val="20"/>
              </w:rPr>
              <w:t xml:space="preserve">. </w:t>
            </w:r>
            <w:r w:rsidR="00331E7F">
              <w:rPr>
                <w:color w:val="231F20"/>
                <w:sz w:val="20"/>
                <w:szCs w:val="20"/>
              </w:rPr>
              <w:t>Kompensācijas</w:t>
            </w:r>
            <w:r w:rsidRPr="000761E9">
              <w:rPr>
                <w:color w:val="231F20"/>
                <w:sz w:val="20"/>
                <w:szCs w:val="20"/>
              </w:rPr>
              <w:t xml:space="preserve"> attiecībā uz riskiem, kas nav aprakstīti 10.3. tematā</w:t>
            </w:r>
          </w:p>
        </w:tc>
        <w:tc>
          <w:tcPr>
            <w:tcW w:w="648" w:type="pct"/>
            <w:tcBorders>
              <w:top w:val="single" w:sz="4" w:space="0" w:color="047E50"/>
              <w:left w:val="single" w:sz="4" w:space="0" w:color="047E50"/>
              <w:bottom w:val="single" w:sz="8" w:space="0" w:color="047E50"/>
              <w:right w:val="single" w:sz="4" w:space="0" w:color="047E50"/>
            </w:tcBorders>
            <w:vAlign w:val="center"/>
          </w:tcPr>
          <w:p w14:paraId="7A529A77" w14:textId="25415BF3" w:rsidR="00CE5D8A" w:rsidRPr="00427B3A" w:rsidRDefault="00CE5D8A" w:rsidP="00586FD8">
            <w:pPr>
              <w:pStyle w:val="TableParagraph"/>
              <w:kinsoku w:val="0"/>
              <w:overflowPunct w:val="0"/>
              <w:jc w:val="center"/>
              <w:rPr>
                <w:sz w:val="20"/>
                <w:szCs w:val="20"/>
              </w:rPr>
            </w:pPr>
            <w:r w:rsidRPr="00427B3A">
              <w:rPr>
                <w:color w:val="231F20"/>
                <w:sz w:val="20"/>
                <w:szCs w:val="20"/>
              </w:rPr>
              <w:t>10.3</w:t>
            </w:r>
            <w:r w:rsidR="00DC1556">
              <w:rPr>
                <w:color w:val="231F20"/>
                <w:sz w:val="20"/>
                <w:szCs w:val="20"/>
              </w:rPr>
              <w:t>.</w:t>
            </w:r>
          </w:p>
        </w:tc>
        <w:tc>
          <w:tcPr>
            <w:tcW w:w="791" w:type="pct"/>
            <w:tcBorders>
              <w:top w:val="single" w:sz="4" w:space="0" w:color="047E50"/>
              <w:left w:val="single" w:sz="4" w:space="0" w:color="047E50"/>
              <w:bottom w:val="single" w:sz="8" w:space="0" w:color="047E50"/>
              <w:right w:val="single" w:sz="4" w:space="0" w:color="047E50"/>
            </w:tcBorders>
            <w:vAlign w:val="center"/>
          </w:tcPr>
          <w:p w14:paraId="4DFCC87B" w14:textId="77777777" w:rsidR="00CE5D8A" w:rsidRPr="00427B3A" w:rsidRDefault="00CE5D8A" w:rsidP="00586FD8">
            <w:pPr>
              <w:jc w:val="center"/>
              <w:rPr>
                <w:sz w:val="20"/>
                <w:szCs w:val="20"/>
              </w:rPr>
            </w:pPr>
          </w:p>
        </w:tc>
        <w:tc>
          <w:tcPr>
            <w:tcW w:w="611" w:type="pct"/>
            <w:tcBorders>
              <w:top w:val="single" w:sz="4" w:space="0" w:color="047E50"/>
              <w:left w:val="single" w:sz="4" w:space="0" w:color="047E50"/>
              <w:bottom w:val="single" w:sz="8" w:space="0" w:color="047E50"/>
              <w:right w:val="single" w:sz="4" w:space="0" w:color="047E50"/>
            </w:tcBorders>
            <w:vAlign w:val="center"/>
          </w:tcPr>
          <w:p w14:paraId="75A3FD42" w14:textId="77777777" w:rsidR="00CE5D8A" w:rsidRPr="00427B3A" w:rsidRDefault="00CE5D8A" w:rsidP="00586FD8">
            <w:pPr>
              <w:jc w:val="center"/>
              <w:rPr>
                <w:sz w:val="20"/>
                <w:szCs w:val="20"/>
              </w:rPr>
            </w:pPr>
          </w:p>
        </w:tc>
        <w:tc>
          <w:tcPr>
            <w:tcW w:w="572" w:type="pct"/>
            <w:tcBorders>
              <w:top w:val="single" w:sz="4" w:space="0" w:color="047E50"/>
              <w:left w:val="single" w:sz="4" w:space="0" w:color="047E50"/>
              <w:bottom w:val="single" w:sz="8" w:space="0" w:color="047E50"/>
              <w:right w:val="single" w:sz="4" w:space="0" w:color="047E50"/>
            </w:tcBorders>
            <w:vAlign w:val="center"/>
          </w:tcPr>
          <w:p w14:paraId="2F37C05E" w14:textId="77777777" w:rsidR="00CE5D8A" w:rsidRPr="00427B3A" w:rsidRDefault="00CE5D8A" w:rsidP="00586FD8">
            <w:pPr>
              <w:pStyle w:val="TableParagraph"/>
              <w:kinsoku w:val="0"/>
              <w:overflowPunct w:val="0"/>
              <w:jc w:val="center"/>
              <w:rPr>
                <w:sz w:val="20"/>
                <w:szCs w:val="20"/>
              </w:rPr>
            </w:pPr>
            <w:r w:rsidRPr="00427B3A">
              <w:rPr>
                <w:color w:val="047E50"/>
                <w:sz w:val="20"/>
                <w:szCs w:val="20"/>
              </w:rPr>
              <w:sym w:font="Symbol" w:char="F0D6"/>
            </w:r>
          </w:p>
        </w:tc>
        <w:tc>
          <w:tcPr>
            <w:tcW w:w="683" w:type="pct"/>
            <w:tcBorders>
              <w:top w:val="single" w:sz="4" w:space="0" w:color="047E50"/>
              <w:left w:val="single" w:sz="4" w:space="0" w:color="047E50"/>
              <w:bottom w:val="single" w:sz="8" w:space="0" w:color="047E50"/>
              <w:right w:val="single" w:sz="8" w:space="0" w:color="047E50"/>
            </w:tcBorders>
            <w:vAlign w:val="center"/>
          </w:tcPr>
          <w:p w14:paraId="08DBA580" w14:textId="77777777" w:rsidR="00CE5D8A" w:rsidRPr="00427B3A" w:rsidRDefault="00CE5D8A" w:rsidP="00586FD8">
            <w:pPr>
              <w:jc w:val="center"/>
              <w:rPr>
                <w:sz w:val="20"/>
                <w:szCs w:val="20"/>
              </w:rPr>
            </w:pPr>
          </w:p>
        </w:tc>
      </w:tr>
      <w:tr w:rsidR="00CE5D8A" w:rsidRPr="00427B3A" w14:paraId="3FC0773B" w14:textId="77777777" w:rsidTr="00586FD8">
        <w:trPr>
          <w:trHeight w:hRule="exact" w:val="454"/>
        </w:trPr>
        <w:tc>
          <w:tcPr>
            <w:tcW w:w="5000" w:type="pct"/>
            <w:gridSpan w:val="6"/>
            <w:tcBorders>
              <w:top w:val="single" w:sz="8" w:space="0" w:color="047E50"/>
              <w:left w:val="single" w:sz="8" w:space="0" w:color="4974B9"/>
              <w:bottom w:val="single" w:sz="4" w:space="0" w:color="4974B9"/>
              <w:right w:val="single" w:sz="8" w:space="0" w:color="4974B9"/>
            </w:tcBorders>
            <w:shd w:val="clear" w:color="auto" w:fill="4974B9"/>
          </w:tcPr>
          <w:p w14:paraId="6B809AD3" w14:textId="7A1046C0" w:rsidR="00CE5D8A" w:rsidRPr="002E122E" w:rsidRDefault="002E122E" w:rsidP="002E122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11. temats. PPP līguma darbības izbeigšana pirms termiņa</w:t>
            </w:r>
          </w:p>
        </w:tc>
      </w:tr>
      <w:tr w:rsidR="00CE5D8A" w:rsidRPr="00427B3A" w14:paraId="361360D3" w14:textId="77777777" w:rsidTr="002E122E">
        <w:trPr>
          <w:trHeight w:hRule="exact" w:val="2451"/>
        </w:trPr>
        <w:tc>
          <w:tcPr>
            <w:tcW w:w="1695" w:type="pct"/>
            <w:tcBorders>
              <w:top w:val="single" w:sz="4" w:space="0" w:color="4974B9"/>
              <w:left w:val="single" w:sz="8" w:space="0" w:color="4974B9"/>
              <w:bottom w:val="single" w:sz="4" w:space="0" w:color="4974B9"/>
              <w:right w:val="single" w:sz="4" w:space="0" w:color="4974B9"/>
            </w:tcBorders>
          </w:tcPr>
          <w:p w14:paraId="55AADF89" w14:textId="3F2DFF1D" w:rsidR="00CE5D8A" w:rsidRPr="00427B3A" w:rsidRDefault="002E122E" w:rsidP="00586FD8">
            <w:pPr>
              <w:pStyle w:val="TableParagraph"/>
              <w:kinsoku w:val="0"/>
              <w:overflowPunct w:val="0"/>
              <w:jc w:val="both"/>
              <w:rPr>
                <w:sz w:val="20"/>
                <w:szCs w:val="20"/>
              </w:rPr>
            </w:pPr>
            <w:r w:rsidRPr="000761E9">
              <w:rPr>
                <w:color w:val="231F20"/>
                <w:sz w:val="20"/>
                <w:szCs w:val="20"/>
              </w:rPr>
              <w:t>Līguma darbības izbeigšana Iestādes saistību neizpildes dēļ. 11.2. tematā aprakstītie jautājumi, kas saistīti ar līguma darbības izbeigšanu Iestādes saistību neizpildes dēļ</w:t>
            </w:r>
          </w:p>
        </w:tc>
        <w:tc>
          <w:tcPr>
            <w:tcW w:w="648" w:type="pct"/>
            <w:tcBorders>
              <w:top w:val="single" w:sz="4" w:space="0" w:color="4974B9"/>
              <w:left w:val="single" w:sz="4" w:space="0" w:color="4974B9"/>
              <w:bottom w:val="single" w:sz="4" w:space="0" w:color="4974B9"/>
              <w:right w:val="single" w:sz="4" w:space="0" w:color="4974B9"/>
            </w:tcBorders>
            <w:vAlign w:val="center"/>
          </w:tcPr>
          <w:p w14:paraId="174E6117" w14:textId="577132D2" w:rsidR="00CE5D8A" w:rsidRPr="00427B3A" w:rsidRDefault="00CE5D8A" w:rsidP="00586FD8">
            <w:pPr>
              <w:pStyle w:val="TableParagraph"/>
              <w:kinsoku w:val="0"/>
              <w:overflowPunct w:val="0"/>
              <w:jc w:val="center"/>
              <w:rPr>
                <w:sz w:val="20"/>
                <w:szCs w:val="20"/>
              </w:rPr>
            </w:pPr>
            <w:r w:rsidRPr="00427B3A">
              <w:rPr>
                <w:color w:val="231F20"/>
                <w:sz w:val="20"/>
                <w:szCs w:val="20"/>
              </w:rPr>
              <w:t>11.2</w:t>
            </w:r>
            <w:r w:rsidR="00DC1556">
              <w:rPr>
                <w:color w:val="231F20"/>
                <w:sz w:val="20"/>
                <w:szCs w:val="20"/>
              </w:rPr>
              <w:t>.</w:t>
            </w:r>
          </w:p>
        </w:tc>
        <w:tc>
          <w:tcPr>
            <w:tcW w:w="791" w:type="pct"/>
            <w:tcBorders>
              <w:top w:val="single" w:sz="4" w:space="0" w:color="4974B9"/>
              <w:left w:val="single" w:sz="4" w:space="0" w:color="4974B9"/>
              <w:bottom w:val="single" w:sz="4" w:space="0" w:color="4974B9"/>
              <w:right w:val="single" w:sz="4" w:space="0" w:color="4974B9"/>
            </w:tcBorders>
            <w:vAlign w:val="center"/>
          </w:tcPr>
          <w:p w14:paraId="34EF6C6C" w14:textId="77777777" w:rsidR="00CE5D8A" w:rsidRPr="00427B3A" w:rsidRDefault="00CE5D8A" w:rsidP="00586FD8">
            <w:pPr>
              <w:jc w:val="center"/>
              <w:rPr>
                <w:sz w:val="20"/>
                <w:szCs w:val="20"/>
              </w:rPr>
            </w:pPr>
          </w:p>
        </w:tc>
        <w:tc>
          <w:tcPr>
            <w:tcW w:w="611" w:type="pct"/>
            <w:tcBorders>
              <w:top w:val="single" w:sz="4" w:space="0" w:color="4974B9"/>
              <w:left w:val="single" w:sz="4" w:space="0" w:color="4974B9"/>
              <w:bottom w:val="single" w:sz="4" w:space="0" w:color="4974B9"/>
              <w:right w:val="single" w:sz="4" w:space="0" w:color="4974B9"/>
            </w:tcBorders>
            <w:vAlign w:val="center"/>
          </w:tcPr>
          <w:p w14:paraId="601F467F" w14:textId="77777777" w:rsidR="00CE5D8A" w:rsidRPr="00427B3A" w:rsidRDefault="00CE5D8A" w:rsidP="00586FD8">
            <w:pPr>
              <w:jc w:val="center"/>
              <w:rPr>
                <w:sz w:val="20"/>
                <w:szCs w:val="20"/>
              </w:rPr>
            </w:pPr>
          </w:p>
        </w:tc>
        <w:tc>
          <w:tcPr>
            <w:tcW w:w="572" w:type="pct"/>
            <w:tcBorders>
              <w:top w:val="single" w:sz="4" w:space="0" w:color="4974B9"/>
              <w:left w:val="single" w:sz="4" w:space="0" w:color="4974B9"/>
              <w:bottom w:val="single" w:sz="4" w:space="0" w:color="4974B9"/>
              <w:right w:val="single" w:sz="4" w:space="0" w:color="4974B9"/>
            </w:tcBorders>
            <w:vAlign w:val="center"/>
          </w:tcPr>
          <w:p w14:paraId="2AE0591E" w14:textId="77777777" w:rsidR="00CE5D8A" w:rsidRPr="00427B3A" w:rsidRDefault="00CE5D8A" w:rsidP="00586FD8">
            <w:pPr>
              <w:pStyle w:val="TableParagraph"/>
              <w:kinsoku w:val="0"/>
              <w:overflowPunct w:val="0"/>
              <w:jc w:val="center"/>
              <w:rPr>
                <w:sz w:val="20"/>
                <w:szCs w:val="20"/>
              </w:rPr>
            </w:pPr>
            <w:r w:rsidRPr="00427B3A">
              <w:rPr>
                <w:color w:val="4974B9"/>
                <w:sz w:val="20"/>
                <w:szCs w:val="20"/>
              </w:rPr>
              <w:sym w:font="Symbol" w:char="F0D6"/>
            </w:r>
          </w:p>
        </w:tc>
        <w:tc>
          <w:tcPr>
            <w:tcW w:w="683" w:type="pct"/>
            <w:tcBorders>
              <w:top w:val="single" w:sz="4" w:space="0" w:color="4974B9"/>
              <w:left w:val="single" w:sz="4" w:space="0" w:color="4974B9"/>
              <w:bottom w:val="single" w:sz="4" w:space="0" w:color="4974B9"/>
              <w:right w:val="single" w:sz="8" w:space="0" w:color="4974B9"/>
            </w:tcBorders>
            <w:vAlign w:val="center"/>
          </w:tcPr>
          <w:p w14:paraId="7BC7ABB6" w14:textId="77777777" w:rsidR="00CE5D8A" w:rsidRPr="00427B3A" w:rsidRDefault="00CE5D8A" w:rsidP="00586FD8">
            <w:pPr>
              <w:jc w:val="center"/>
              <w:rPr>
                <w:sz w:val="20"/>
                <w:szCs w:val="20"/>
              </w:rPr>
            </w:pPr>
          </w:p>
        </w:tc>
      </w:tr>
      <w:tr w:rsidR="00CE5D8A" w:rsidRPr="00427B3A" w14:paraId="768CB2AF" w14:textId="77777777" w:rsidTr="00586FD8">
        <w:trPr>
          <w:trHeight w:hRule="exact" w:val="459"/>
        </w:trPr>
        <w:tc>
          <w:tcPr>
            <w:tcW w:w="5000" w:type="pct"/>
            <w:gridSpan w:val="6"/>
            <w:tcBorders>
              <w:top w:val="nil"/>
              <w:left w:val="single" w:sz="8" w:space="0" w:color="941D6C"/>
              <w:bottom w:val="single" w:sz="4" w:space="0" w:color="941D6C"/>
              <w:right w:val="single" w:sz="8" w:space="0" w:color="941D6C"/>
            </w:tcBorders>
            <w:shd w:val="clear" w:color="auto" w:fill="941D6C"/>
          </w:tcPr>
          <w:p w14:paraId="2076544C" w14:textId="7A2DDF02" w:rsidR="00CE5D8A" w:rsidRPr="002E122E" w:rsidRDefault="002E122E" w:rsidP="002E122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lastRenderedPageBreak/>
              <w:t>12. temats. Kompensācija, izbeidzot līgumu pirms termiņa</w:t>
            </w:r>
          </w:p>
        </w:tc>
      </w:tr>
      <w:tr w:rsidR="00CE5D8A" w:rsidRPr="00427B3A" w14:paraId="2D04B9F9" w14:textId="77777777" w:rsidTr="00586FD8">
        <w:trPr>
          <w:trHeight w:hRule="exact" w:val="1107"/>
        </w:trPr>
        <w:tc>
          <w:tcPr>
            <w:tcW w:w="1695" w:type="pct"/>
            <w:tcBorders>
              <w:top w:val="single" w:sz="4" w:space="0" w:color="941D6C"/>
              <w:left w:val="single" w:sz="8" w:space="0" w:color="941D6C"/>
              <w:bottom w:val="single" w:sz="4" w:space="0" w:color="941D6C"/>
              <w:right w:val="single" w:sz="4" w:space="0" w:color="941D6C"/>
            </w:tcBorders>
          </w:tcPr>
          <w:p w14:paraId="0EAFE3EE" w14:textId="7B4C5B61" w:rsidR="00CE5D8A" w:rsidRPr="00427B3A" w:rsidRDefault="002E122E" w:rsidP="00586FD8">
            <w:pPr>
              <w:pStyle w:val="TableParagraph"/>
              <w:kinsoku w:val="0"/>
              <w:overflowPunct w:val="0"/>
              <w:jc w:val="both"/>
              <w:rPr>
                <w:sz w:val="20"/>
                <w:szCs w:val="20"/>
              </w:rPr>
            </w:pPr>
            <w:r w:rsidRPr="000761E9">
              <w:rPr>
                <w:color w:val="231F20"/>
                <w:sz w:val="20"/>
                <w:szCs w:val="20"/>
              </w:rPr>
              <w:t>12. tematā aprakstītie noteikumi, saskaņā ar kuriem netiek saglabātas pirms līguma darbības izbeigšanas pastāvošās saistības</w:t>
            </w:r>
          </w:p>
        </w:tc>
        <w:tc>
          <w:tcPr>
            <w:tcW w:w="648" w:type="pct"/>
            <w:tcBorders>
              <w:top w:val="single" w:sz="4" w:space="0" w:color="941D6C"/>
              <w:left w:val="single" w:sz="4" w:space="0" w:color="941D6C"/>
              <w:bottom w:val="single" w:sz="4" w:space="0" w:color="941D6C"/>
              <w:right w:val="single" w:sz="4" w:space="0" w:color="941D6C"/>
            </w:tcBorders>
            <w:vAlign w:val="center"/>
          </w:tcPr>
          <w:p w14:paraId="0CC7DAC9" w14:textId="2CB78F50" w:rsidR="00CE5D8A" w:rsidRPr="00427B3A" w:rsidRDefault="00CE5D8A" w:rsidP="00586FD8">
            <w:pPr>
              <w:pStyle w:val="TableParagraph"/>
              <w:kinsoku w:val="0"/>
              <w:overflowPunct w:val="0"/>
              <w:jc w:val="center"/>
              <w:rPr>
                <w:sz w:val="20"/>
                <w:szCs w:val="20"/>
              </w:rPr>
            </w:pPr>
            <w:r w:rsidRPr="00427B3A">
              <w:rPr>
                <w:color w:val="231F20"/>
                <w:sz w:val="20"/>
                <w:szCs w:val="20"/>
              </w:rPr>
              <w:t>12</w:t>
            </w:r>
            <w:r w:rsidR="00DC1556">
              <w:rPr>
                <w:color w:val="231F20"/>
                <w:sz w:val="20"/>
                <w:szCs w:val="20"/>
              </w:rPr>
              <w:t>.</w:t>
            </w:r>
          </w:p>
        </w:tc>
        <w:tc>
          <w:tcPr>
            <w:tcW w:w="791" w:type="pct"/>
            <w:tcBorders>
              <w:top w:val="single" w:sz="4" w:space="0" w:color="941D6C"/>
              <w:left w:val="single" w:sz="4" w:space="0" w:color="941D6C"/>
              <w:bottom w:val="single" w:sz="4" w:space="0" w:color="941D6C"/>
              <w:right w:val="single" w:sz="4" w:space="0" w:color="941D6C"/>
            </w:tcBorders>
            <w:vAlign w:val="center"/>
          </w:tcPr>
          <w:p w14:paraId="6A2102C5" w14:textId="77777777" w:rsidR="00CE5D8A" w:rsidRPr="00427B3A" w:rsidRDefault="00CE5D8A" w:rsidP="00586FD8">
            <w:pPr>
              <w:jc w:val="center"/>
              <w:rPr>
                <w:sz w:val="20"/>
                <w:szCs w:val="20"/>
              </w:rPr>
            </w:pPr>
          </w:p>
        </w:tc>
        <w:tc>
          <w:tcPr>
            <w:tcW w:w="611" w:type="pct"/>
            <w:tcBorders>
              <w:top w:val="single" w:sz="4" w:space="0" w:color="941D6C"/>
              <w:left w:val="single" w:sz="4" w:space="0" w:color="941D6C"/>
              <w:bottom w:val="single" w:sz="4" w:space="0" w:color="941D6C"/>
              <w:right w:val="single" w:sz="4" w:space="0" w:color="941D6C"/>
            </w:tcBorders>
            <w:vAlign w:val="center"/>
          </w:tcPr>
          <w:p w14:paraId="0F7430C9"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4" w:space="0" w:color="941D6C"/>
              <w:right w:val="single" w:sz="4" w:space="0" w:color="941D6C"/>
            </w:tcBorders>
            <w:vAlign w:val="center"/>
          </w:tcPr>
          <w:p w14:paraId="7780541A"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83" w:type="pct"/>
            <w:tcBorders>
              <w:top w:val="single" w:sz="4" w:space="0" w:color="941D6C"/>
              <w:left w:val="single" w:sz="4" w:space="0" w:color="941D6C"/>
              <w:bottom w:val="single" w:sz="4" w:space="0" w:color="941D6C"/>
              <w:right w:val="single" w:sz="8" w:space="0" w:color="941D6C"/>
            </w:tcBorders>
            <w:vAlign w:val="center"/>
          </w:tcPr>
          <w:p w14:paraId="1127556C" w14:textId="77777777" w:rsidR="00CE5D8A" w:rsidRPr="00427B3A" w:rsidRDefault="00CE5D8A" w:rsidP="00586FD8">
            <w:pPr>
              <w:jc w:val="center"/>
              <w:rPr>
                <w:sz w:val="20"/>
                <w:szCs w:val="20"/>
              </w:rPr>
            </w:pPr>
          </w:p>
        </w:tc>
      </w:tr>
      <w:tr w:rsidR="00CE5D8A" w:rsidRPr="00427B3A" w14:paraId="5008F250" w14:textId="77777777" w:rsidTr="00066AFE">
        <w:trPr>
          <w:trHeight w:hRule="exact" w:val="1393"/>
        </w:trPr>
        <w:tc>
          <w:tcPr>
            <w:tcW w:w="1695" w:type="pct"/>
            <w:tcBorders>
              <w:top w:val="single" w:sz="4" w:space="0" w:color="941D6C"/>
              <w:left w:val="single" w:sz="8" w:space="0" w:color="941D6C"/>
              <w:bottom w:val="single" w:sz="4" w:space="0" w:color="941D6C"/>
              <w:right w:val="single" w:sz="4" w:space="0" w:color="941D6C"/>
            </w:tcBorders>
          </w:tcPr>
          <w:p w14:paraId="295F3F9A" w14:textId="3EC1322B" w:rsidR="00CE5D8A" w:rsidRPr="00427B3A" w:rsidRDefault="002E122E" w:rsidP="00586FD8">
            <w:pPr>
              <w:pStyle w:val="TableParagraph"/>
              <w:kinsoku w:val="0"/>
              <w:overflowPunct w:val="0"/>
              <w:jc w:val="both"/>
              <w:rPr>
                <w:sz w:val="20"/>
                <w:szCs w:val="20"/>
              </w:rPr>
            </w:pPr>
            <w:r w:rsidRPr="000761E9">
              <w:rPr>
                <w:color w:val="231F20"/>
                <w:sz w:val="20"/>
                <w:szCs w:val="20"/>
              </w:rPr>
              <w:t>Kompensācija, izbeidzot PPP līguma darbību Partnera saistību neizpildes dēļ. 12.1. temata 2. pieejā aprakstītie jautājumi, kas saistīti ar līgumā neparedzētu kompensāciju</w:t>
            </w:r>
          </w:p>
        </w:tc>
        <w:tc>
          <w:tcPr>
            <w:tcW w:w="648" w:type="pct"/>
            <w:tcBorders>
              <w:top w:val="single" w:sz="4" w:space="0" w:color="941D6C"/>
              <w:left w:val="single" w:sz="4" w:space="0" w:color="941D6C"/>
              <w:bottom w:val="single" w:sz="4" w:space="0" w:color="941D6C"/>
              <w:right w:val="single" w:sz="4" w:space="0" w:color="941D6C"/>
            </w:tcBorders>
            <w:vAlign w:val="center"/>
          </w:tcPr>
          <w:p w14:paraId="4617CEFC" w14:textId="1901AE8E"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2657" w:type="pct"/>
            <w:gridSpan w:val="4"/>
            <w:tcBorders>
              <w:top w:val="single" w:sz="4" w:space="0" w:color="941D6C"/>
              <w:left w:val="single" w:sz="4" w:space="0" w:color="941D6C"/>
              <w:bottom w:val="single" w:sz="4" w:space="0" w:color="941D6C"/>
              <w:right w:val="single" w:sz="8" w:space="0" w:color="941D6C"/>
            </w:tcBorders>
            <w:vAlign w:val="center"/>
          </w:tcPr>
          <w:p w14:paraId="1A6C83CC" w14:textId="11D3FA23" w:rsidR="00CE5D8A" w:rsidRPr="00427B3A" w:rsidRDefault="002E122E" w:rsidP="00586FD8">
            <w:pPr>
              <w:pStyle w:val="TableParagraph"/>
              <w:kinsoku w:val="0"/>
              <w:overflowPunct w:val="0"/>
              <w:jc w:val="center"/>
              <w:rPr>
                <w:sz w:val="20"/>
                <w:szCs w:val="20"/>
              </w:rPr>
            </w:pPr>
            <w:r w:rsidRPr="000761E9">
              <w:rPr>
                <w:b/>
                <w:bCs/>
                <w:color w:val="941D6C"/>
                <w:sz w:val="20"/>
                <w:szCs w:val="20"/>
              </w:rPr>
              <w:t>Ir nepieciešama īpaša analīze</w:t>
            </w:r>
          </w:p>
        </w:tc>
      </w:tr>
      <w:tr w:rsidR="00CE5D8A" w:rsidRPr="00427B3A" w14:paraId="74058188" w14:textId="77777777" w:rsidTr="00586FD8">
        <w:trPr>
          <w:trHeight w:hRule="exact" w:val="1965"/>
        </w:trPr>
        <w:tc>
          <w:tcPr>
            <w:tcW w:w="1695" w:type="pct"/>
            <w:tcBorders>
              <w:top w:val="single" w:sz="4" w:space="0" w:color="941D6C"/>
              <w:left w:val="single" w:sz="8" w:space="0" w:color="941D6C"/>
              <w:bottom w:val="single" w:sz="4" w:space="0" w:color="941D6C"/>
              <w:right w:val="single" w:sz="4" w:space="0" w:color="941D6C"/>
            </w:tcBorders>
          </w:tcPr>
          <w:p w14:paraId="0244D2AA" w14:textId="4728A9B2" w:rsidR="00CE5D8A" w:rsidRPr="00427B3A" w:rsidRDefault="002E122E" w:rsidP="00586FD8">
            <w:pPr>
              <w:pStyle w:val="TableParagraph"/>
              <w:kinsoku w:val="0"/>
              <w:overflowPunct w:val="0"/>
              <w:jc w:val="both"/>
              <w:rPr>
                <w:sz w:val="20"/>
                <w:szCs w:val="20"/>
              </w:rPr>
            </w:pPr>
            <w:r w:rsidRPr="000761E9">
              <w:rPr>
                <w:color w:val="231F20"/>
                <w:sz w:val="20"/>
                <w:szCs w:val="20"/>
              </w:rPr>
              <w:t>Kompensācija, izbeidzot PPP līguma darbību Partnera saistību neizpildes dēļ. 12.1. temata 3. pieejā aprakstītie noteikumi par atkārtotu konkursu, kas neparedz ņemt vērā Partnera veikto projekta izpildi (pirmais nosacījums)</w:t>
            </w:r>
          </w:p>
        </w:tc>
        <w:tc>
          <w:tcPr>
            <w:tcW w:w="648" w:type="pct"/>
            <w:tcBorders>
              <w:top w:val="single" w:sz="4" w:space="0" w:color="941D6C"/>
              <w:left w:val="single" w:sz="4" w:space="0" w:color="941D6C"/>
              <w:bottom w:val="single" w:sz="4" w:space="0" w:color="941D6C"/>
              <w:right w:val="single" w:sz="4" w:space="0" w:color="941D6C"/>
            </w:tcBorders>
            <w:vAlign w:val="center"/>
          </w:tcPr>
          <w:p w14:paraId="255270F1" w14:textId="709243CB"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791" w:type="pct"/>
            <w:tcBorders>
              <w:top w:val="single" w:sz="4" w:space="0" w:color="941D6C"/>
              <w:left w:val="single" w:sz="4" w:space="0" w:color="941D6C"/>
              <w:bottom w:val="single" w:sz="4" w:space="0" w:color="941D6C"/>
              <w:right w:val="single" w:sz="4" w:space="0" w:color="941D6C"/>
            </w:tcBorders>
            <w:vAlign w:val="center"/>
          </w:tcPr>
          <w:p w14:paraId="66C39555"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11" w:type="pct"/>
            <w:tcBorders>
              <w:top w:val="single" w:sz="4" w:space="0" w:color="941D6C"/>
              <w:left w:val="single" w:sz="4" w:space="0" w:color="941D6C"/>
              <w:bottom w:val="single" w:sz="4" w:space="0" w:color="941D6C"/>
              <w:right w:val="single" w:sz="4" w:space="0" w:color="941D6C"/>
            </w:tcBorders>
            <w:vAlign w:val="center"/>
          </w:tcPr>
          <w:p w14:paraId="7844CF2B"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4" w:space="0" w:color="941D6C"/>
              <w:right w:val="single" w:sz="4" w:space="0" w:color="941D6C"/>
            </w:tcBorders>
            <w:vAlign w:val="center"/>
          </w:tcPr>
          <w:p w14:paraId="02CC970A" w14:textId="77777777" w:rsidR="00CE5D8A" w:rsidRPr="00427B3A" w:rsidRDefault="00CE5D8A" w:rsidP="00586FD8">
            <w:pPr>
              <w:jc w:val="center"/>
              <w:rPr>
                <w:sz w:val="20"/>
                <w:szCs w:val="20"/>
              </w:rPr>
            </w:pPr>
          </w:p>
        </w:tc>
        <w:tc>
          <w:tcPr>
            <w:tcW w:w="683" w:type="pct"/>
            <w:tcBorders>
              <w:top w:val="single" w:sz="4" w:space="0" w:color="941D6C"/>
              <w:left w:val="single" w:sz="4" w:space="0" w:color="941D6C"/>
              <w:bottom w:val="single" w:sz="4" w:space="0" w:color="941D6C"/>
              <w:right w:val="single" w:sz="8" w:space="0" w:color="941D6C"/>
            </w:tcBorders>
            <w:vAlign w:val="center"/>
          </w:tcPr>
          <w:p w14:paraId="7DCB1C31" w14:textId="77777777" w:rsidR="00CE5D8A" w:rsidRPr="00427B3A" w:rsidRDefault="00CE5D8A" w:rsidP="00586FD8">
            <w:pPr>
              <w:jc w:val="center"/>
              <w:rPr>
                <w:sz w:val="20"/>
                <w:szCs w:val="20"/>
              </w:rPr>
            </w:pPr>
          </w:p>
        </w:tc>
      </w:tr>
      <w:tr w:rsidR="00CE5D8A" w:rsidRPr="00427B3A" w14:paraId="6F6AF0CD" w14:textId="77777777" w:rsidTr="00586FD8">
        <w:trPr>
          <w:trHeight w:hRule="exact" w:val="1965"/>
        </w:trPr>
        <w:tc>
          <w:tcPr>
            <w:tcW w:w="1695" w:type="pct"/>
            <w:tcBorders>
              <w:top w:val="single" w:sz="4" w:space="0" w:color="941D6C"/>
              <w:left w:val="single" w:sz="8" w:space="0" w:color="941D6C"/>
              <w:bottom w:val="single" w:sz="4" w:space="0" w:color="941D6C"/>
              <w:right w:val="single" w:sz="4" w:space="0" w:color="941D6C"/>
            </w:tcBorders>
          </w:tcPr>
          <w:p w14:paraId="12472762" w14:textId="1F4B53A6" w:rsidR="00CE5D8A" w:rsidRPr="00427B3A" w:rsidRDefault="002E122E" w:rsidP="00586FD8">
            <w:pPr>
              <w:pStyle w:val="TableParagraph"/>
              <w:kinsoku w:val="0"/>
              <w:overflowPunct w:val="0"/>
              <w:jc w:val="both"/>
              <w:rPr>
                <w:sz w:val="20"/>
                <w:szCs w:val="20"/>
              </w:rPr>
            </w:pPr>
            <w:r w:rsidRPr="000761E9">
              <w:rPr>
                <w:color w:val="231F20"/>
                <w:sz w:val="20"/>
                <w:szCs w:val="20"/>
              </w:rPr>
              <w:t>Kompensācija, izbeidzot PPP līguma darbību Partnera saistību neizpildes dēļ. Jautājumi, kas saistīti ar līguma tirgus vērtības noteikšanas metodoloģiju, kas neatbilst 12.1. temata 3. pieejā minētajiem nosacījumiem (otrais nosacījums)</w:t>
            </w:r>
          </w:p>
        </w:tc>
        <w:tc>
          <w:tcPr>
            <w:tcW w:w="648" w:type="pct"/>
            <w:tcBorders>
              <w:top w:val="single" w:sz="4" w:space="0" w:color="941D6C"/>
              <w:left w:val="single" w:sz="4" w:space="0" w:color="941D6C"/>
              <w:bottom w:val="single" w:sz="4" w:space="0" w:color="941D6C"/>
              <w:right w:val="single" w:sz="4" w:space="0" w:color="941D6C"/>
            </w:tcBorders>
            <w:vAlign w:val="center"/>
          </w:tcPr>
          <w:p w14:paraId="4EBEA082" w14:textId="363FA427"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791" w:type="pct"/>
            <w:tcBorders>
              <w:top w:val="single" w:sz="4" w:space="0" w:color="941D6C"/>
              <w:left w:val="single" w:sz="4" w:space="0" w:color="941D6C"/>
              <w:bottom w:val="single" w:sz="4" w:space="0" w:color="941D6C"/>
              <w:right w:val="single" w:sz="4" w:space="0" w:color="941D6C"/>
            </w:tcBorders>
            <w:vAlign w:val="center"/>
          </w:tcPr>
          <w:p w14:paraId="02208721"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11" w:type="pct"/>
            <w:tcBorders>
              <w:top w:val="single" w:sz="4" w:space="0" w:color="941D6C"/>
              <w:left w:val="single" w:sz="4" w:space="0" w:color="941D6C"/>
              <w:bottom w:val="single" w:sz="4" w:space="0" w:color="941D6C"/>
              <w:right w:val="single" w:sz="4" w:space="0" w:color="941D6C"/>
            </w:tcBorders>
            <w:vAlign w:val="center"/>
          </w:tcPr>
          <w:p w14:paraId="34EC9FAE"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4" w:space="0" w:color="941D6C"/>
              <w:right w:val="single" w:sz="4" w:space="0" w:color="941D6C"/>
            </w:tcBorders>
            <w:vAlign w:val="center"/>
          </w:tcPr>
          <w:p w14:paraId="74B6B3DF" w14:textId="77777777" w:rsidR="00CE5D8A" w:rsidRPr="00427B3A" w:rsidRDefault="00CE5D8A" w:rsidP="00586FD8">
            <w:pPr>
              <w:jc w:val="center"/>
              <w:rPr>
                <w:sz w:val="20"/>
                <w:szCs w:val="20"/>
              </w:rPr>
            </w:pPr>
          </w:p>
        </w:tc>
        <w:tc>
          <w:tcPr>
            <w:tcW w:w="683" w:type="pct"/>
            <w:tcBorders>
              <w:top w:val="single" w:sz="4" w:space="0" w:color="941D6C"/>
              <w:left w:val="single" w:sz="4" w:space="0" w:color="941D6C"/>
              <w:bottom w:val="single" w:sz="4" w:space="0" w:color="941D6C"/>
              <w:right w:val="single" w:sz="8" w:space="0" w:color="941D6C"/>
            </w:tcBorders>
            <w:vAlign w:val="center"/>
          </w:tcPr>
          <w:p w14:paraId="201F64CE" w14:textId="77777777" w:rsidR="00CE5D8A" w:rsidRPr="00427B3A" w:rsidRDefault="00CE5D8A" w:rsidP="00586FD8">
            <w:pPr>
              <w:jc w:val="center"/>
              <w:rPr>
                <w:sz w:val="20"/>
                <w:szCs w:val="20"/>
              </w:rPr>
            </w:pPr>
          </w:p>
        </w:tc>
      </w:tr>
      <w:tr w:rsidR="00CE5D8A" w:rsidRPr="00427B3A" w14:paraId="0C6A42E4" w14:textId="77777777" w:rsidTr="00586FD8">
        <w:trPr>
          <w:trHeight w:hRule="exact" w:val="1393"/>
        </w:trPr>
        <w:tc>
          <w:tcPr>
            <w:tcW w:w="1695" w:type="pct"/>
            <w:tcBorders>
              <w:top w:val="single" w:sz="4" w:space="0" w:color="941D6C"/>
              <w:left w:val="single" w:sz="8" w:space="0" w:color="941D6C"/>
              <w:bottom w:val="single" w:sz="4" w:space="0" w:color="941D6C"/>
              <w:right w:val="single" w:sz="4" w:space="0" w:color="941D6C"/>
            </w:tcBorders>
          </w:tcPr>
          <w:p w14:paraId="70FE5A87" w14:textId="1FF4FC35" w:rsidR="00CE5D8A" w:rsidRPr="002E122E" w:rsidRDefault="002E122E" w:rsidP="002E122E">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Kompensācija Partnera saistību neizpildes gadījumā. Noteikumi, kas neatbilst pārējiem nosacījumiem, kas uzskaitīti</w:t>
            </w:r>
            <w:r>
              <w:rPr>
                <w:rFonts w:ascii="Times New Roman" w:eastAsia="Times New Roman" w:hAnsi="Times New Roman" w:cs="Times New Roman"/>
                <w:color w:val="231F20"/>
                <w:sz w:val="20"/>
                <w:szCs w:val="20"/>
                <w:lang w:eastAsia="lv-LV"/>
              </w:rPr>
              <w:t xml:space="preserve"> </w:t>
            </w:r>
            <w:r w:rsidRPr="000761E9">
              <w:rPr>
                <w:rFonts w:ascii="Times New Roman" w:eastAsia="Times New Roman" w:hAnsi="Times New Roman" w:cs="Times New Roman"/>
                <w:color w:val="231F20"/>
                <w:sz w:val="20"/>
                <w:szCs w:val="20"/>
                <w:lang w:eastAsia="lv-LV"/>
              </w:rPr>
              <w:t>12.1. temata 3. pieejā</w:t>
            </w:r>
          </w:p>
        </w:tc>
        <w:tc>
          <w:tcPr>
            <w:tcW w:w="648" w:type="pct"/>
            <w:tcBorders>
              <w:top w:val="single" w:sz="4" w:space="0" w:color="941D6C"/>
              <w:left w:val="single" w:sz="4" w:space="0" w:color="941D6C"/>
              <w:bottom w:val="single" w:sz="4" w:space="0" w:color="941D6C"/>
              <w:right w:val="single" w:sz="4" w:space="0" w:color="941D6C"/>
            </w:tcBorders>
            <w:vAlign w:val="center"/>
          </w:tcPr>
          <w:p w14:paraId="68E3D75D" w14:textId="42894B1A"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791" w:type="pct"/>
            <w:tcBorders>
              <w:top w:val="single" w:sz="4" w:space="0" w:color="941D6C"/>
              <w:left w:val="single" w:sz="4" w:space="0" w:color="941D6C"/>
              <w:bottom w:val="single" w:sz="4" w:space="0" w:color="941D6C"/>
              <w:right w:val="single" w:sz="4" w:space="0" w:color="941D6C"/>
            </w:tcBorders>
            <w:vAlign w:val="center"/>
          </w:tcPr>
          <w:p w14:paraId="07CA0167" w14:textId="77777777" w:rsidR="00CE5D8A" w:rsidRPr="00427B3A" w:rsidRDefault="00CE5D8A" w:rsidP="00586FD8">
            <w:pPr>
              <w:jc w:val="center"/>
              <w:rPr>
                <w:sz w:val="20"/>
                <w:szCs w:val="20"/>
              </w:rPr>
            </w:pPr>
          </w:p>
        </w:tc>
        <w:tc>
          <w:tcPr>
            <w:tcW w:w="611" w:type="pct"/>
            <w:tcBorders>
              <w:top w:val="single" w:sz="4" w:space="0" w:color="941D6C"/>
              <w:left w:val="single" w:sz="4" w:space="0" w:color="941D6C"/>
              <w:bottom w:val="single" w:sz="4" w:space="0" w:color="941D6C"/>
              <w:right w:val="single" w:sz="4" w:space="0" w:color="941D6C"/>
            </w:tcBorders>
            <w:vAlign w:val="center"/>
          </w:tcPr>
          <w:p w14:paraId="6BA46E22"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4" w:space="0" w:color="941D6C"/>
              <w:right w:val="single" w:sz="4" w:space="0" w:color="941D6C"/>
            </w:tcBorders>
            <w:vAlign w:val="center"/>
          </w:tcPr>
          <w:p w14:paraId="1E220484"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83" w:type="pct"/>
            <w:tcBorders>
              <w:top w:val="single" w:sz="4" w:space="0" w:color="941D6C"/>
              <w:left w:val="single" w:sz="4" w:space="0" w:color="941D6C"/>
              <w:bottom w:val="single" w:sz="4" w:space="0" w:color="941D6C"/>
              <w:right w:val="single" w:sz="8" w:space="0" w:color="941D6C"/>
            </w:tcBorders>
            <w:vAlign w:val="center"/>
          </w:tcPr>
          <w:p w14:paraId="1A1400AA" w14:textId="77777777" w:rsidR="00CE5D8A" w:rsidRPr="00427B3A" w:rsidRDefault="00CE5D8A" w:rsidP="00586FD8">
            <w:pPr>
              <w:jc w:val="center"/>
              <w:rPr>
                <w:sz w:val="20"/>
                <w:szCs w:val="20"/>
              </w:rPr>
            </w:pPr>
          </w:p>
        </w:tc>
      </w:tr>
      <w:tr w:rsidR="00CE5D8A" w:rsidRPr="00427B3A" w14:paraId="194D9E1B" w14:textId="77777777" w:rsidTr="00586FD8">
        <w:trPr>
          <w:trHeight w:hRule="exact" w:val="1679"/>
        </w:trPr>
        <w:tc>
          <w:tcPr>
            <w:tcW w:w="1695" w:type="pct"/>
            <w:tcBorders>
              <w:top w:val="single" w:sz="4" w:space="0" w:color="941D6C"/>
              <w:left w:val="single" w:sz="8" w:space="0" w:color="941D6C"/>
              <w:bottom w:val="single" w:sz="4" w:space="0" w:color="941D6C"/>
              <w:right w:val="single" w:sz="4" w:space="0" w:color="941D6C"/>
            </w:tcBorders>
          </w:tcPr>
          <w:p w14:paraId="6394E317" w14:textId="4E7A2A42" w:rsidR="00CE5D8A" w:rsidRPr="00427B3A" w:rsidRDefault="002E122E" w:rsidP="00586FD8">
            <w:pPr>
              <w:pStyle w:val="TableParagraph"/>
              <w:kinsoku w:val="0"/>
              <w:overflowPunct w:val="0"/>
              <w:jc w:val="both"/>
              <w:rPr>
                <w:sz w:val="20"/>
                <w:szCs w:val="20"/>
              </w:rPr>
            </w:pPr>
            <w:r w:rsidRPr="000761E9">
              <w:rPr>
                <w:color w:val="231F20"/>
                <w:sz w:val="20"/>
                <w:szCs w:val="20"/>
              </w:rPr>
              <w:t>Kompensācija, izbeidzot PPP līguma darbību Partnera saistību neizpildes dēļ. 12.1. temata 4. pieejā aprakstītie noteikumi, kas neparedz ņemt vērā Partnera veikto projekta izpildi</w:t>
            </w:r>
          </w:p>
        </w:tc>
        <w:tc>
          <w:tcPr>
            <w:tcW w:w="648" w:type="pct"/>
            <w:tcBorders>
              <w:top w:val="single" w:sz="4" w:space="0" w:color="941D6C"/>
              <w:left w:val="single" w:sz="4" w:space="0" w:color="941D6C"/>
              <w:bottom w:val="single" w:sz="4" w:space="0" w:color="941D6C"/>
              <w:right w:val="single" w:sz="4" w:space="0" w:color="941D6C"/>
            </w:tcBorders>
            <w:vAlign w:val="center"/>
          </w:tcPr>
          <w:p w14:paraId="61D8E762" w14:textId="2813039B"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791" w:type="pct"/>
            <w:tcBorders>
              <w:top w:val="single" w:sz="4" w:space="0" w:color="941D6C"/>
              <w:left w:val="single" w:sz="4" w:space="0" w:color="941D6C"/>
              <w:bottom w:val="single" w:sz="4" w:space="0" w:color="941D6C"/>
              <w:right w:val="single" w:sz="4" w:space="0" w:color="941D6C"/>
            </w:tcBorders>
            <w:vAlign w:val="center"/>
          </w:tcPr>
          <w:p w14:paraId="5931885F"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11" w:type="pct"/>
            <w:tcBorders>
              <w:top w:val="single" w:sz="4" w:space="0" w:color="941D6C"/>
              <w:left w:val="single" w:sz="4" w:space="0" w:color="941D6C"/>
              <w:bottom w:val="single" w:sz="4" w:space="0" w:color="941D6C"/>
              <w:right w:val="single" w:sz="4" w:space="0" w:color="941D6C"/>
            </w:tcBorders>
            <w:vAlign w:val="center"/>
          </w:tcPr>
          <w:p w14:paraId="5C498252"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4" w:space="0" w:color="941D6C"/>
              <w:right w:val="single" w:sz="4" w:space="0" w:color="941D6C"/>
            </w:tcBorders>
            <w:vAlign w:val="center"/>
          </w:tcPr>
          <w:p w14:paraId="0B196D84" w14:textId="77777777" w:rsidR="00CE5D8A" w:rsidRPr="00427B3A" w:rsidRDefault="00CE5D8A" w:rsidP="00586FD8">
            <w:pPr>
              <w:jc w:val="center"/>
              <w:rPr>
                <w:sz w:val="20"/>
                <w:szCs w:val="20"/>
              </w:rPr>
            </w:pPr>
          </w:p>
        </w:tc>
        <w:tc>
          <w:tcPr>
            <w:tcW w:w="683" w:type="pct"/>
            <w:tcBorders>
              <w:top w:val="single" w:sz="4" w:space="0" w:color="941D6C"/>
              <w:left w:val="single" w:sz="4" w:space="0" w:color="941D6C"/>
              <w:bottom w:val="single" w:sz="4" w:space="0" w:color="941D6C"/>
              <w:right w:val="single" w:sz="8" w:space="0" w:color="941D6C"/>
            </w:tcBorders>
            <w:vAlign w:val="center"/>
          </w:tcPr>
          <w:p w14:paraId="698B1FBE" w14:textId="77777777" w:rsidR="00CE5D8A" w:rsidRPr="00427B3A" w:rsidRDefault="00CE5D8A" w:rsidP="00586FD8">
            <w:pPr>
              <w:jc w:val="center"/>
              <w:rPr>
                <w:sz w:val="20"/>
                <w:szCs w:val="20"/>
              </w:rPr>
            </w:pPr>
          </w:p>
        </w:tc>
      </w:tr>
      <w:tr w:rsidR="00CE5D8A" w:rsidRPr="00427B3A" w14:paraId="7961997A" w14:textId="77777777" w:rsidTr="00586FD8">
        <w:trPr>
          <w:trHeight w:hRule="exact" w:val="1684"/>
        </w:trPr>
        <w:tc>
          <w:tcPr>
            <w:tcW w:w="1695" w:type="pct"/>
            <w:tcBorders>
              <w:top w:val="nil"/>
              <w:left w:val="single" w:sz="8" w:space="0" w:color="941D6C"/>
              <w:bottom w:val="single" w:sz="4" w:space="0" w:color="941D6C"/>
              <w:right w:val="single" w:sz="4" w:space="0" w:color="941D6C"/>
            </w:tcBorders>
          </w:tcPr>
          <w:p w14:paraId="51B742BB" w14:textId="07F68866" w:rsidR="00CE5D8A" w:rsidRPr="002E122E" w:rsidRDefault="002E122E" w:rsidP="002E122E">
            <w:pPr>
              <w:spacing w:after="0" w:line="240" w:lineRule="auto"/>
              <w:jc w:val="both"/>
              <w:rPr>
                <w:rFonts w:ascii="Times New Roman" w:eastAsia="Times New Roman" w:hAnsi="Times New Roman" w:cs="Times New Roman"/>
                <w:color w:val="231F20"/>
                <w:sz w:val="20"/>
                <w:szCs w:val="20"/>
                <w:lang w:eastAsia="lv-LV"/>
              </w:rPr>
            </w:pPr>
            <w:r w:rsidRPr="000761E9">
              <w:rPr>
                <w:rFonts w:ascii="Times New Roman" w:eastAsia="Times New Roman" w:hAnsi="Times New Roman" w:cs="Times New Roman"/>
                <w:color w:val="231F20"/>
                <w:sz w:val="20"/>
                <w:szCs w:val="20"/>
                <w:lang w:eastAsia="lv-LV"/>
              </w:rPr>
              <w:t>Kompensācija, izbeidzot PPP līguma darbību Partnera saistību neizpildes dēļ. 12.1. temata 4. pieejā aprakstītie noteikumi, kas neparedz ņemt vērā Partnera veikto projekta izpildi</w:t>
            </w:r>
          </w:p>
        </w:tc>
        <w:tc>
          <w:tcPr>
            <w:tcW w:w="648" w:type="pct"/>
            <w:tcBorders>
              <w:top w:val="nil"/>
              <w:left w:val="single" w:sz="4" w:space="0" w:color="941D6C"/>
              <w:bottom w:val="single" w:sz="4" w:space="0" w:color="941D6C"/>
              <w:right w:val="single" w:sz="4" w:space="0" w:color="941D6C"/>
            </w:tcBorders>
            <w:vAlign w:val="center"/>
          </w:tcPr>
          <w:p w14:paraId="7E87E05D" w14:textId="7C7E1F02" w:rsidR="00CE5D8A" w:rsidRPr="00427B3A" w:rsidRDefault="00CE5D8A" w:rsidP="00586FD8">
            <w:pPr>
              <w:pStyle w:val="TableParagraph"/>
              <w:kinsoku w:val="0"/>
              <w:overflowPunct w:val="0"/>
              <w:jc w:val="center"/>
              <w:rPr>
                <w:sz w:val="20"/>
                <w:szCs w:val="20"/>
              </w:rPr>
            </w:pPr>
            <w:r w:rsidRPr="00427B3A">
              <w:rPr>
                <w:color w:val="231F20"/>
                <w:sz w:val="20"/>
                <w:szCs w:val="20"/>
              </w:rPr>
              <w:t>12.1</w:t>
            </w:r>
            <w:r w:rsidR="00DC1556">
              <w:rPr>
                <w:color w:val="231F20"/>
                <w:sz w:val="20"/>
                <w:szCs w:val="20"/>
              </w:rPr>
              <w:t>.</w:t>
            </w:r>
          </w:p>
        </w:tc>
        <w:tc>
          <w:tcPr>
            <w:tcW w:w="791" w:type="pct"/>
            <w:tcBorders>
              <w:top w:val="nil"/>
              <w:left w:val="single" w:sz="4" w:space="0" w:color="941D6C"/>
              <w:bottom w:val="single" w:sz="4" w:space="0" w:color="941D6C"/>
              <w:right w:val="single" w:sz="4" w:space="0" w:color="941D6C"/>
            </w:tcBorders>
            <w:vAlign w:val="center"/>
          </w:tcPr>
          <w:p w14:paraId="3DB74739" w14:textId="77777777" w:rsidR="00CE5D8A" w:rsidRPr="00427B3A" w:rsidRDefault="00CE5D8A" w:rsidP="00586FD8">
            <w:pPr>
              <w:jc w:val="center"/>
              <w:rPr>
                <w:sz w:val="20"/>
                <w:szCs w:val="20"/>
              </w:rPr>
            </w:pPr>
          </w:p>
        </w:tc>
        <w:tc>
          <w:tcPr>
            <w:tcW w:w="611" w:type="pct"/>
            <w:tcBorders>
              <w:top w:val="nil"/>
              <w:left w:val="single" w:sz="4" w:space="0" w:color="941D6C"/>
              <w:bottom w:val="single" w:sz="4" w:space="0" w:color="941D6C"/>
              <w:right w:val="single" w:sz="4" w:space="0" w:color="941D6C"/>
            </w:tcBorders>
            <w:vAlign w:val="center"/>
          </w:tcPr>
          <w:p w14:paraId="3B341DDD" w14:textId="77777777" w:rsidR="00CE5D8A" w:rsidRPr="00427B3A" w:rsidRDefault="00CE5D8A" w:rsidP="00586FD8">
            <w:pPr>
              <w:jc w:val="center"/>
              <w:rPr>
                <w:sz w:val="20"/>
                <w:szCs w:val="20"/>
              </w:rPr>
            </w:pPr>
          </w:p>
        </w:tc>
        <w:tc>
          <w:tcPr>
            <w:tcW w:w="572" w:type="pct"/>
            <w:tcBorders>
              <w:top w:val="nil"/>
              <w:left w:val="single" w:sz="4" w:space="0" w:color="941D6C"/>
              <w:bottom w:val="single" w:sz="4" w:space="0" w:color="941D6C"/>
              <w:right w:val="single" w:sz="4" w:space="0" w:color="941D6C"/>
            </w:tcBorders>
            <w:vAlign w:val="center"/>
          </w:tcPr>
          <w:p w14:paraId="596A7E0D"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c>
          <w:tcPr>
            <w:tcW w:w="683" w:type="pct"/>
            <w:tcBorders>
              <w:top w:val="nil"/>
              <w:left w:val="single" w:sz="4" w:space="0" w:color="941D6C"/>
              <w:bottom w:val="single" w:sz="4" w:space="0" w:color="941D6C"/>
              <w:right w:val="single" w:sz="8" w:space="0" w:color="941D6C"/>
            </w:tcBorders>
            <w:vAlign w:val="center"/>
          </w:tcPr>
          <w:p w14:paraId="65729F99" w14:textId="77777777" w:rsidR="00CE5D8A" w:rsidRPr="00427B3A" w:rsidRDefault="00CE5D8A" w:rsidP="00586FD8">
            <w:pPr>
              <w:jc w:val="center"/>
              <w:rPr>
                <w:sz w:val="20"/>
                <w:szCs w:val="20"/>
              </w:rPr>
            </w:pPr>
          </w:p>
        </w:tc>
      </w:tr>
      <w:tr w:rsidR="00CE5D8A" w:rsidRPr="00427B3A" w14:paraId="225CE4B8" w14:textId="77777777" w:rsidTr="002E122E">
        <w:trPr>
          <w:trHeight w:hRule="exact" w:val="1781"/>
        </w:trPr>
        <w:tc>
          <w:tcPr>
            <w:tcW w:w="1695" w:type="pct"/>
            <w:tcBorders>
              <w:top w:val="single" w:sz="4" w:space="0" w:color="941D6C"/>
              <w:left w:val="single" w:sz="8" w:space="0" w:color="941D6C"/>
              <w:bottom w:val="single" w:sz="8" w:space="0" w:color="475773"/>
              <w:right w:val="single" w:sz="4" w:space="0" w:color="941D6C"/>
            </w:tcBorders>
          </w:tcPr>
          <w:p w14:paraId="3049E8EA" w14:textId="04AC24D8" w:rsidR="00CE5D8A" w:rsidRPr="00427B3A" w:rsidRDefault="002E122E" w:rsidP="00586FD8">
            <w:pPr>
              <w:pStyle w:val="TableParagraph"/>
              <w:kinsoku w:val="0"/>
              <w:overflowPunct w:val="0"/>
              <w:jc w:val="both"/>
              <w:rPr>
                <w:sz w:val="20"/>
                <w:szCs w:val="20"/>
              </w:rPr>
            </w:pPr>
            <w:r w:rsidRPr="000761E9">
              <w:rPr>
                <w:color w:val="231F20"/>
                <w:sz w:val="20"/>
                <w:szCs w:val="20"/>
              </w:rPr>
              <w:t>Kompensācijas, izbeidzot līguma darbību nepārvaramas varas dēļ. 12.4. tematā aprakstītais jautājums, kas saistīts ar kompensācijas aprēķināšanu</w:t>
            </w:r>
          </w:p>
        </w:tc>
        <w:tc>
          <w:tcPr>
            <w:tcW w:w="648" w:type="pct"/>
            <w:tcBorders>
              <w:top w:val="single" w:sz="4" w:space="0" w:color="941D6C"/>
              <w:left w:val="single" w:sz="4" w:space="0" w:color="941D6C"/>
              <w:bottom w:val="single" w:sz="8" w:space="0" w:color="475773"/>
              <w:right w:val="single" w:sz="4" w:space="0" w:color="941D6C"/>
            </w:tcBorders>
            <w:vAlign w:val="center"/>
          </w:tcPr>
          <w:p w14:paraId="1E791BC5" w14:textId="0D78776E" w:rsidR="00CE5D8A" w:rsidRPr="00427B3A" w:rsidRDefault="00CE5D8A" w:rsidP="00586FD8">
            <w:pPr>
              <w:pStyle w:val="TableParagraph"/>
              <w:kinsoku w:val="0"/>
              <w:overflowPunct w:val="0"/>
              <w:jc w:val="center"/>
              <w:rPr>
                <w:sz w:val="20"/>
                <w:szCs w:val="20"/>
              </w:rPr>
            </w:pPr>
            <w:r w:rsidRPr="00427B3A">
              <w:rPr>
                <w:color w:val="231F20"/>
                <w:sz w:val="20"/>
                <w:szCs w:val="20"/>
              </w:rPr>
              <w:t>12.4</w:t>
            </w:r>
            <w:r w:rsidR="00DC1556">
              <w:rPr>
                <w:color w:val="231F20"/>
                <w:sz w:val="20"/>
                <w:szCs w:val="20"/>
              </w:rPr>
              <w:t>.</w:t>
            </w:r>
          </w:p>
        </w:tc>
        <w:tc>
          <w:tcPr>
            <w:tcW w:w="791" w:type="pct"/>
            <w:tcBorders>
              <w:top w:val="single" w:sz="4" w:space="0" w:color="941D6C"/>
              <w:left w:val="single" w:sz="4" w:space="0" w:color="941D6C"/>
              <w:bottom w:val="single" w:sz="8" w:space="0" w:color="475773"/>
              <w:right w:val="single" w:sz="4" w:space="0" w:color="941D6C"/>
            </w:tcBorders>
            <w:vAlign w:val="center"/>
          </w:tcPr>
          <w:p w14:paraId="272B2857" w14:textId="77777777" w:rsidR="00CE5D8A" w:rsidRPr="00427B3A" w:rsidRDefault="00CE5D8A" w:rsidP="00586FD8">
            <w:pPr>
              <w:jc w:val="center"/>
              <w:rPr>
                <w:sz w:val="20"/>
                <w:szCs w:val="20"/>
              </w:rPr>
            </w:pPr>
          </w:p>
        </w:tc>
        <w:tc>
          <w:tcPr>
            <w:tcW w:w="611" w:type="pct"/>
            <w:tcBorders>
              <w:top w:val="single" w:sz="4" w:space="0" w:color="941D6C"/>
              <w:left w:val="single" w:sz="4" w:space="0" w:color="941D6C"/>
              <w:bottom w:val="single" w:sz="8" w:space="0" w:color="475773"/>
              <w:right w:val="single" w:sz="4" w:space="0" w:color="941D6C"/>
            </w:tcBorders>
            <w:vAlign w:val="center"/>
          </w:tcPr>
          <w:p w14:paraId="3DB747EE" w14:textId="77777777" w:rsidR="00CE5D8A" w:rsidRPr="00427B3A" w:rsidRDefault="00CE5D8A" w:rsidP="00586FD8">
            <w:pPr>
              <w:jc w:val="center"/>
              <w:rPr>
                <w:sz w:val="20"/>
                <w:szCs w:val="20"/>
              </w:rPr>
            </w:pPr>
          </w:p>
        </w:tc>
        <w:tc>
          <w:tcPr>
            <w:tcW w:w="572" w:type="pct"/>
            <w:tcBorders>
              <w:top w:val="single" w:sz="4" w:space="0" w:color="941D6C"/>
              <w:left w:val="single" w:sz="4" w:space="0" w:color="941D6C"/>
              <w:bottom w:val="single" w:sz="8" w:space="0" w:color="475773"/>
              <w:right w:val="single" w:sz="4" w:space="0" w:color="941D6C"/>
            </w:tcBorders>
            <w:vAlign w:val="center"/>
          </w:tcPr>
          <w:p w14:paraId="3B4F4363" w14:textId="77777777" w:rsidR="00CE5D8A" w:rsidRPr="00427B3A" w:rsidRDefault="00CE5D8A" w:rsidP="00586FD8">
            <w:pPr>
              <w:jc w:val="center"/>
              <w:rPr>
                <w:sz w:val="20"/>
                <w:szCs w:val="20"/>
              </w:rPr>
            </w:pPr>
          </w:p>
        </w:tc>
        <w:tc>
          <w:tcPr>
            <w:tcW w:w="683" w:type="pct"/>
            <w:tcBorders>
              <w:top w:val="single" w:sz="4" w:space="0" w:color="941D6C"/>
              <w:left w:val="single" w:sz="4" w:space="0" w:color="941D6C"/>
              <w:bottom w:val="single" w:sz="8" w:space="0" w:color="475773"/>
              <w:right w:val="single" w:sz="8" w:space="0" w:color="941D6C"/>
            </w:tcBorders>
            <w:vAlign w:val="center"/>
          </w:tcPr>
          <w:p w14:paraId="6AD90334" w14:textId="77777777" w:rsidR="00CE5D8A" w:rsidRPr="00427B3A" w:rsidRDefault="00CE5D8A" w:rsidP="00586FD8">
            <w:pPr>
              <w:pStyle w:val="TableParagraph"/>
              <w:kinsoku w:val="0"/>
              <w:overflowPunct w:val="0"/>
              <w:jc w:val="center"/>
              <w:rPr>
                <w:sz w:val="20"/>
                <w:szCs w:val="20"/>
              </w:rPr>
            </w:pPr>
            <w:r w:rsidRPr="00427B3A">
              <w:rPr>
                <w:color w:val="941D6C"/>
                <w:sz w:val="20"/>
                <w:szCs w:val="20"/>
              </w:rPr>
              <w:sym w:font="Symbol" w:char="F0D6"/>
            </w:r>
          </w:p>
        </w:tc>
      </w:tr>
      <w:tr w:rsidR="002E122E" w:rsidRPr="00427B3A" w14:paraId="72A245FD" w14:textId="77777777" w:rsidTr="002E122E">
        <w:trPr>
          <w:trHeight w:hRule="exact" w:val="454"/>
        </w:trPr>
        <w:tc>
          <w:tcPr>
            <w:tcW w:w="2343" w:type="pct"/>
            <w:gridSpan w:val="2"/>
            <w:tcBorders>
              <w:top w:val="single" w:sz="8" w:space="0" w:color="475773"/>
              <w:left w:val="single" w:sz="8" w:space="0" w:color="475773"/>
              <w:bottom w:val="single" w:sz="4" w:space="0" w:color="475773"/>
              <w:right w:val="single" w:sz="4" w:space="0" w:color="475773"/>
            </w:tcBorders>
            <w:shd w:val="clear" w:color="auto" w:fill="475773"/>
          </w:tcPr>
          <w:p w14:paraId="1F3C03A2" w14:textId="507F604C" w:rsidR="002E122E" w:rsidRPr="002E122E" w:rsidRDefault="002E122E" w:rsidP="002E122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lastRenderedPageBreak/>
              <w:t>13. temats. PPP līguma darbības termiņa beigas</w:t>
            </w:r>
          </w:p>
        </w:tc>
        <w:tc>
          <w:tcPr>
            <w:tcW w:w="791" w:type="pct"/>
            <w:tcBorders>
              <w:top w:val="single" w:sz="8" w:space="0" w:color="475773"/>
              <w:left w:val="single" w:sz="4" w:space="0" w:color="475773"/>
              <w:bottom w:val="single" w:sz="4" w:space="0" w:color="475773"/>
              <w:right w:val="single" w:sz="4" w:space="0" w:color="475773"/>
            </w:tcBorders>
            <w:shd w:val="clear" w:color="auto" w:fill="475773"/>
          </w:tcPr>
          <w:p w14:paraId="5C6430F2" w14:textId="77777777" w:rsidR="002E122E" w:rsidRPr="00427B3A" w:rsidRDefault="002E122E" w:rsidP="00586FD8">
            <w:pPr>
              <w:jc w:val="both"/>
              <w:rPr>
                <w:sz w:val="20"/>
                <w:szCs w:val="20"/>
              </w:rPr>
            </w:pPr>
          </w:p>
        </w:tc>
        <w:tc>
          <w:tcPr>
            <w:tcW w:w="611" w:type="pct"/>
            <w:tcBorders>
              <w:top w:val="single" w:sz="8" w:space="0" w:color="475773"/>
              <w:left w:val="single" w:sz="4" w:space="0" w:color="475773"/>
              <w:bottom w:val="single" w:sz="4" w:space="0" w:color="475773"/>
              <w:right w:val="single" w:sz="4" w:space="0" w:color="475773"/>
            </w:tcBorders>
            <w:shd w:val="clear" w:color="auto" w:fill="475773"/>
          </w:tcPr>
          <w:p w14:paraId="0AB69E9E" w14:textId="77777777" w:rsidR="002E122E" w:rsidRPr="00427B3A" w:rsidRDefault="002E122E" w:rsidP="00586FD8">
            <w:pPr>
              <w:jc w:val="both"/>
              <w:rPr>
                <w:sz w:val="20"/>
                <w:szCs w:val="20"/>
              </w:rPr>
            </w:pPr>
          </w:p>
        </w:tc>
        <w:tc>
          <w:tcPr>
            <w:tcW w:w="572" w:type="pct"/>
            <w:tcBorders>
              <w:top w:val="single" w:sz="8" w:space="0" w:color="475773"/>
              <w:left w:val="single" w:sz="4" w:space="0" w:color="475773"/>
              <w:bottom w:val="single" w:sz="4" w:space="0" w:color="475773"/>
              <w:right w:val="single" w:sz="4" w:space="0" w:color="475773"/>
            </w:tcBorders>
            <w:shd w:val="clear" w:color="auto" w:fill="475773"/>
          </w:tcPr>
          <w:p w14:paraId="1AEFB9B0" w14:textId="77777777" w:rsidR="002E122E" w:rsidRPr="00427B3A" w:rsidRDefault="002E122E" w:rsidP="00586FD8">
            <w:pPr>
              <w:jc w:val="both"/>
              <w:rPr>
                <w:sz w:val="20"/>
                <w:szCs w:val="20"/>
              </w:rPr>
            </w:pPr>
          </w:p>
        </w:tc>
        <w:tc>
          <w:tcPr>
            <w:tcW w:w="683" w:type="pct"/>
            <w:tcBorders>
              <w:top w:val="single" w:sz="8" w:space="0" w:color="475773"/>
              <w:left w:val="single" w:sz="4" w:space="0" w:color="475773"/>
              <w:bottom w:val="single" w:sz="4" w:space="0" w:color="475773"/>
              <w:right w:val="single" w:sz="8" w:space="0" w:color="475773"/>
            </w:tcBorders>
            <w:shd w:val="clear" w:color="auto" w:fill="475773"/>
          </w:tcPr>
          <w:p w14:paraId="79B367CE" w14:textId="77777777" w:rsidR="002E122E" w:rsidRPr="00427B3A" w:rsidRDefault="002E122E" w:rsidP="00586FD8">
            <w:pPr>
              <w:jc w:val="both"/>
              <w:rPr>
                <w:sz w:val="20"/>
                <w:szCs w:val="20"/>
              </w:rPr>
            </w:pPr>
          </w:p>
        </w:tc>
      </w:tr>
      <w:tr w:rsidR="00CE5D8A" w:rsidRPr="00427B3A" w14:paraId="6345DF70" w14:textId="77777777" w:rsidTr="00586FD8">
        <w:trPr>
          <w:trHeight w:hRule="exact" w:val="1679"/>
        </w:trPr>
        <w:tc>
          <w:tcPr>
            <w:tcW w:w="1695" w:type="pct"/>
            <w:tcBorders>
              <w:top w:val="single" w:sz="4" w:space="0" w:color="475773"/>
              <w:left w:val="single" w:sz="8" w:space="0" w:color="475773"/>
              <w:bottom w:val="single" w:sz="4" w:space="0" w:color="475773"/>
              <w:right w:val="single" w:sz="4" w:space="0" w:color="475773"/>
            </w:tcBorders>
          </w:tcPr>
          <w:p w14:paraId="5663FA5D" w14:textId="15A925D2" w:rsidR="00CE5D8A" w:rsidRPr="00427B3A" w:rsidRDefault="002E122E" w:rsidP="00586FD8">
            <w:pPr>
              <w:pStyle w:val="TableParagraph"/>
              <w:kinsoku w:val="0"/>
              <w:overflowPunct w:val="0"/>
              <w:jc w:val="both"/>
              <w:rPr>
                <w:sz w:val="20"/>
                <w:szCs w:val="20"/>
              </w:rPr>
            </w:pPr>
            <w:r w:rsidRPr="000761E9">
              <w:rPr>
                <w:color w:val="231F20"/>
                <w:sz w:val="20"/>
                <w:szCs w:val="20"/>
              </w:rPr>
              <w:t>Aktīva piešķiršana, beidzoties līguma darbības termiņam. Aktīva piešķiršana Iestādei (par maksu vai bez tās), ja nav izpildīti 13.2. tematā aprakstītie nosacījumi</w:t>
            </w:r>
          </w:p>
        </w:tc>
        <w:tc>
          <w:tcPr>
            <w:tcW w:w="648" w:type="pct"/>
            <w:tcBorders>
              <w:top w:val="single" w:sz="4" w:space="0" w:color="475773"/>
              <w:left w:val="single" w:sz="4" w:space="0" w:color="475773"/>
              <w:bottom w:val="single" w:sz="4" w:space="0" w:color="475773"/>
              <w:right w:val="single" w:sz="4" w:space="0" w:color="475773"/>
            </w:tcBorders>
            <w:vAlign w:val="center"/>
          </w:tcPr>
          <w:p w14:paraId="54889A93" w14:textId="618A796C" w:rsidR="00CE5D8A" w:rsidRPr="00427B3A" w:rsidRDefault="00CE5D8A" w:rsidP="00586FD8">
            <w:pPr>
              <w:pStyle w:val="TableParagraph"/>
              <w:kinsoku w:val="0"/>
              <w:overflowPunct w:val="0"/>
              <w:jc w:val="center"/>
              <w:rPr>
                <w:sz w:val="20"/>
                <w:szCs w:val="20"/>
              </w:rPr>
            </w:pPr>
            <w:r w:rsidRPr="00427B3A">
              <w:rPr>
                <w:color w:val="231F20"/>
                <w:sz w:val="20"/>
                <w:szCs w:val="20"/>
              </w:rPr>
              <w:t>13.2</w:t>
            </w:r>
            <w:r w:rsidR="00DC1556">
              <w:rPr>
                <w:color w:val="231F20"/>
                <w:sz w:val="20"/>
                <w:szCs w:val="20"/>
              </w:rPr>
              <w:t>.</w:t>
            </w:r>
          </w:p>
        </w:tc>
        <w:tc>
          <w:tcPr>
            <w:tcW w:w="791" w:type="pct"/>
            <w:tcBorders>
              <w:top w:val="single" w:sz="4" w:space="0" w:color="475773"/>
              <w:left w:val="single" w:sz="4" w:space="0" w:color="475773"/>
              <w:bottom w:val="single" w:sz="4" w:space="0" w:color="475773"/>
              <w:right w:val="single" w:sz="4" w:space="0" w:color="475773"/>
            </w:tcBorders>
            <w:vAlign w:val="center"/>
          </w:tcPr>
          <w:p w14:paraId="179EDC9C" w14:textId="77777777" w:rsidR="00CE5D8A" w:rsidRPr="00427B3A" w:rsidRDefault="00CE5D8A" w:rsidP="00586FD8">
            <w:pPr>
              <w:jc w:val="center"/>
              <w:rPr>
                <w:sz w:val="20"/>
                <w:szCs w:val="20"/>
              </w:rPr>
            </w:pPr>
          </w:p>
        </w:tc>
        <w:tc>
          <w:tcPr>
            <w:tcW w:w="611" w:type="pct"/>
            <w:tcBorders>
              <w:top w:val="single" w:sz="4" w:space="0" w:color="475773"/>
              <w:left w:val="single" w:sz="4" w:space="0" w:color="475773"/>
              <w:bottom w:val="single" w:sz="4" w:space="0" w:color="475773"/>
              <w:right w:val="single" w:sz="4" w:space="0" w:color="475773"/>
            </w:tcBorders>
            <w:vAlign w:val="center"/>
          </w:tcPr>
          <w:p w14:paraId="44821308" w14:textId="77777777" w:rsidR="00CE5D8A" w:rsidRPr="00427B3A" w:rsidRDefault="00CE5D8A" w:rsidP="00586FD8">
            <w:pPr>
              <w:jc w:val="center"/>
              <w:rPr>
                <w:sz w:val="20"/>
                <w:szCs w:val="20"/>
              </w:rPr>
            </w:pPr>
          </w:p>
        </w:tc>
        <w:tc>
          <w:tcPr>
            <w:tcW w:w="572" w:type="pct"/>
            <w:tcBorders>
              <w:top w:val="single" w:sz="4" w:space="0" w:color="475773"/>
              <w:left w:val="single" w:sz="4" w:space="0" w:color="475773"/>
              <w:bottom w:val="single" w:sz="4" w:space="0" w:color="475773"/>
              <w:right w:val="single" w:sz="4" w:space="0" w:color="475773"/>
            </w:tcBorders>
            <w:vAlign w:val="center"/>
          </w:tcPr>
          <w:p w14:paraId="4D20E2E3" w14:textId="77777777" w:rsidR="00CE5D8A" w:rsidRPr="00427B3A" w:rsidRDefault="00CE5D8A" w:rsidP="00586FD8">
            <w:pPr>
              <w:jc w:val="center"/>
              <w:rPr>
                <w:sz w:val="20"/>
                <w:szCs w:val="20"/>
              </w:rPr>
            </w:pPr>
          </w:p>
        </w:tc>
        <w:tc>
          <w:tcPr>
            <w:tcW w:w="683" w:type="pct"/>
            <w:tcBorders>
              <w:top w:val="single" w:sz="4" w:space="0" w:color="475773"/>
              <w:left w:val="single" w:sz="4" w:space="0" w:color="475773"/>
              <w:bottom w:val="single" w:sz="4" w:space="0" w:color="475773"/>
              <w:right w:val="single" w:sz="8" w:space="0" w:color="475773"/>
            </w:tcBorders>
            <w:vAlign w:val="center"/>
          </w:tcPr>
          <w:p w14:paraId="01ACF529" w14:textId="77777777" w:rsidR="00CE5D8A" w:rsidRPr="00427B3A" w:rsidRDefault="00CE5D8A" w:rsidP="00586FD8">
            <w:pPr>
              <w:pStyle w:val="TableParagraph"/>
              <w:kinsoku w:val="0"/>
              <w:overflowPunct w:val="0"/>
              <w:jc w:val="center"/>
              <w:rPr>
                <w:sz w:val="20"/>
                <w:szCs w:val="20"/>
              </w:rPr>
            </w:pPr>
            <w:r w:rsidRPr="00427B3A">
              <w:rPr>
                <w:color w:val="475773"/>
                <w:sz w:val="20"/>
                <w:szCs w:val="20"/>
              </w:rPr>
              <w:sym w:font="Symbol" w:char="F0D6"/>
            </w:r>
          </w:p>
        </w:tc>
      </w:tr>
      <w:tr w:rsidR="00CE5D8A" w:rsidRPr="00427B3A" w14:paraId="05D74640" w14:textId="77777777" w:rsidTr="00586FD8">
        <w:trPr>
          <w:trHeight w:hRule="exact" w:val="821"/>
        </w:trPr>
        <w:tc>
          <w:tcPr>
            <w:tcW w:w="1695" w:type="pct"/>
            <w:tcBorders>
              <w:top w:val="single" w:sz="4" w:space="0" w:color="475773"/>
              <w:left w:val="single" w:sz="8" w:space="0" w:color="475773"/>
              <w:bottom w:val="single" w:sz="8" w:space="0" w:color="436F65"/>
              <w:right w:val="single" w:sz="4" w:space="0" w:color="475773"/>
            </w:tcBorders>
          </w:tcPr>
          <w:p w14:paraId="0A99B8B7" w14:textId="1013C3C8" w:rsidR="00CE5D8A" w:rsidRPr="00427B3A" w:rsidRDefault="002E122E" w:rsidP="00586FD8">
            <w:pPr>
              <w:pStyle w:val="TableParagraph"/>
              <w:kinsoku w:val="0"/>
              <w:overflowPunct w:val="0"/>
              <w:jc w:val="both"/>
              <w:rPr>
                <w:sz w:val="20"/>
                <w:szCs w:val="20"/>
              </w:rPr>
            </w:pPr>
            <w:r w:rsidRPr="000761E9">
              <w:rPr>
                <w:color w:val="231F20"/>
                <w:sz w:val="20"/>
                <w:szCs w:val="20"/>
              </w:rPr>
              <w:t>Aktīva stāvoklis līguma darbības termiņa beigās. 13.3. tematā aprakstītais jautājums</w:t>
            </w:r>
          </w:p>
        </w:tc>
        <w:tc>
          <w:tcPr>
            <w:tcW w:w="648" w:type="pct"/>
            <w:tcBorders>
              <w:top w:val="single" w:sz="4" w:space="0" w:color="475773"/>
              <w:left w:val="single" w:sz="4" w:space="0" w:color="475773"/>
              <w:bottom w:val="single" w:sz="8" w:space="0" w:color="436F65"/>
              <w:right w:val="single" w:sz="4" w:space="0" w:color="475773"/>
            </w:tcBorders>
            <w:vAlign w:val="center"/>
          </w:tcPr>
          <w:p w14:paraId="464FF39C" w14:textId="1861027F" w:rsidR="00CE5D8A" w:rsidRPr="00427B3A" w:rsidRDefault="00CE5D8A" w:rsidP="00586FD8">
            <w:pPr>
              <w:pStyle w:val="TableParagraph"/>
              <w:kinsoku w:val="0"/>
              <w:overflowPunct w:val="0"/>
              <w:jc w:val="center"/>
              <w:rPr>
                <w:sz w:val="20"/>
                <w:szCs w:val="20"/>
              </w:rPr>
            </w:pPr>
            <w:r w:rsidRPr="00427B3A">
              <w:rPr>
                <w:color w:val="231F20"/>
                <w:sz w:val="20"/>
                <w:szCs w:val="20"/>
              </w:rPr>
              <w:t>13.3</w:t>
            </w:r>
            <w:r w:rsidR="00DC1556">
              <w:rPr>
                <w:color w:val="231F20"/>
                <w:sz w:val="20"/>
                <w:szCs w:val="20"/>
              </w:rPr>
              <w:t>.</w:t>
            </w:r>
          </w:p>
        </w:tc>
        <w:tc>
          <w:tcPr>
            <w:tcW w:w="791" w:type="pct"/>
            <w:tcBorders>
              <w:top w:val="single" w:sz="4" w:space="0" w:color="475773"/>
              <w:left w:val="single" w:sz="4" w:space="0" w:color="475773"/>
              <w:bottom w:val="single" w:sz="8" w:space="0" w:color="436F65"/>
              <w:right w:val="single" w:sz="4" w:space="0" w:color="475773"/>
            </w:tcBorders>
            <w:vAlign w:val="center"/>
          </w:tcPr>
          <w:p w14:paraId="04418B2E" w14:textId="77777777" w:rsidR="00CE5D8A" w:rsidRPr="00427B3A" w:rsidRDefault="00CE5D8A" w:rsidP="00586FD8">
            <w:pPr>
              <w:jc w:val="center"/>
              <w:rPr>
                <w:sz w:val="20"/>
                <w:szCs w:val="20"/>
              </w:rPr>
            </w:pPr>
          </w:p>
        </w:tc>
        <w:tc>
          <w:tcPr>
            <w:tcW w:w="611" w:type="pct"/>
            <w:tcBorders>
              <w:top w:val="single" w:sz="4" w:space="0" w:color="475773"/>
              <w:left w:val="single" w:sz="4" w:space="0" w:color="475773"/>
              <w:bottom w:val="single" w:sz="8" w:space="0" w:color="436F65"/>
              <w:right w:val="single" w:sz="4" w:space="0" w:color="475773"/>
            </w:tcBorders>
            <w:vAlign w:val="center"/>
          </w:tcPr>
          <w:p w14:paraId="61851F94" w14:textId="77777777" w:rsidR="00CE5D8A" w:rsidRPr="00427B3A" w:rsidRDefault="00CE5D8A" w:rsidP="00586FD8">
            <w:pPr>
              <w:jc w:val="center"/>
              <w:rPr>
                <w:sz w:val="20"/>
                <w:szCs w:val="20"/>
              </w:rPr>
            </w:pPr>
          </w:p>
        </w:tc>
        <w:tc>
          <w:tcPr>
            <w:tcW w:w="572" w:type="pct"/>
            <w:tcBorders>
              <w:top w:val="single" w:sz="4" w:space="0" w:color="475773"/>
              <w:left w:val="single" w:sz="4" w:space="0" w:color="475773"/>
              <w:bottom w:val="single" w:sz="8" w:space="0" w:color="436F65"/>
              <w:right w:val="single" w:sz="4" w:space="0" w:color="475773"/>
            </w:tcBorders>
            <w:vAlign w:val="center"/>
          </w:tcPr>
          <w:p w14:paraId="4B194FA0" w14:textId="77777777" w:rsidR="00CE5D8A" w:rsidRPr="00427B3A" w:rsidRDefault="00CE5D8A" w:rsidP="00586FD8">
            <w:pPr>
              <w:pStyle w:val="TableParagraph"/>
              <w:kinsoku w:val="0"/>
              <w:overflowPunct w:val="0"/>
              <w:jc w:val="center"/>
              <w:rPr>
                <w:sz w:val="20"/>
                <w:szCs w:val="20"/>
              </w:rPr>
            </w:pPr>
            <w:r w:rsidRPr="00427B3A">
              <w:rPr>
                <w:color w:val="475773"/>
                <w:sz w:val="20"/>
                <w:szCs w:val="20"/>
              </w:rPr>
              <w:sym w:font="Symbol" w:char="F0D6"/>
            </w:r>
          </w:p>
        </w:tc>
        <w:tc>
          <w:tcPr>
            <w:tcW w:w="683" w:type="pct"/>
            <w:tcBorders>
              <w:top w:val="single" w:sz="4" w:space="0" w:color="475773"/>
              <w:left w:val="single" w:sz="4" w:space="0" w:color="475773"/>
              <w:bottom w:val="single" w:sz="8" w:space="0" w:color="436F65"/>
              <w:right w:val="single" w:sz="8" w:space="0" w:color="475773"/>
            </w:tcBorders>
            <w:vAlign w:val="center"/>
          </w:tcPr>
          <w:p w14:paraId="25108551" w14:textId="77777777" w:rsidR="00CE5D8A" w:rsidRPr="00427B3A" w:rsidRDefault="00CE5D8A" w:rsidP="00586FD8">
            <w:pPr>
              <w:jc w:val="center"/>
              <w:rPr>
                <w:sz w:val="20"/>
                <w:szCs w:val="20"/>
              </w:rPr>
            </w:pPr>
          </w:p>
        </w:tc>
      </w:tr>
      <w:tr w:rsidR="002E122E" w:rsidRPr="00427B3A" w14:paraId="18EAB48A" w14:textId="77777777" w:rsidTr="002E122E">
        <w:trPr>
          <w:trHeight w:hRule="exact" w:val="454"/>
        </w:trPr>
        <w:tc>
          <w:tcPr>
            <w:tcW w:w="2343" w:type="pct"/>
            <w:gridSpan w:val="2"/>
            <w:tcBorders>
              <w:top w:val="single" w:sz="8" w:space="0" w:color="436F65"/>
              <w:left w:val="single" w:sz="8" w:space="0" w:color="436F65"/>
              <w:bottom w:val="single" w:sz="4" w:space="0" w:color="436F65"/>
              <w:right w:val="single" w:sz="4" w:space="0" w:color="436F65"/>
            </w:tcBorders>
            <w:shd w:val="clear" w:color="auto" w:fill="436F65"/>
          </w:tcPr>
          <w:p w14:paraId="01F6F1F8" w14:textId="2CE0E92E" w:rsidR="002E122E" w:rsidRPr="002E122E" w:rsidRDefault="002E122E" w:rsidP="002E122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14. temats. Finansēšanas noteikumi</w:t>
            </w:r>
          </w:p>
        </w:tc>
        <w:tc>
          <w:tcPr>
            <w:tcW w:w="791" w:type="pct"/>
            <w:tcBorders>
              <w:top w:val="single" w:sz="8" w:space="0" w:color="436F65"/>
              <w:left w:val="single" w:sz="4" w:space="0" w:color="436F65"/>
              <w:bottom w:val="single" w:sz="4" w:space="0" w:color="436F65"/>
              <w:right w:val="single" w:sz="4" w:space="0" w:color="436F65"/>
            </w:tcBorders>
            <w:shd w:val="clear" w:color="auto" w:fill="436F65"/>
          </w:tcPr>
          <w:p w14:paraId="79AD5D3B" w14:textId="77777777" w:rsidR="002E122E" w:rsidRPr="00427B3A" w:rsidRDefault="002E122E" w:rsidP="00586FD8">
            <w:pPr>
              <w:jc w:val="both"/>
              <w:rPr>
                <w:sz w:val="20"/>
                <w:szCs w:val="20"/>
              </w:rPr>
            </w:pPr>
          </w:p>
        </w:tc>
        <w:tc>
          <w:tcPr>
            <w:tcW w:w="611" w:type="pct"/>
            <w:tcBorders>
              <w:top w:val="single" w:sz="8" w:space="0" w:color="436F65"/>
              <w:left w:val="single" w:sz="4" w:space="0" w:color="436F65"/>
              <w:bottom w:val="single" w:sz="4" w:space="0" w:color="436F65"/>
              <w:right w:val="single" w:sz="4" w:space="0" w:color="436F65"/>
            </w:tcBorders>
            <w:shd w:val="clear" w:color="auto" w:fill="436F65"/>
          </w:tcPr>
          <w:p w14:paraId="0ADE8BBD" w14:textId="77777777" w:rsidR="002E122E" w:rsidRPr="00427B3A" w:rsidRDefault="002E122E" w:rsidP="00586FD8">
            <w:pPr>
              <w:jc w:val="both"/>
              <w:rPr>
                <w:sz w:val="20"/>
                <w:szCs w:val="20"/>
              </w:rPr>
            </w:pPr>
          </w:p>
        </w:tc>
        <w:tc>
          <w:tcPr>
            <w:tcW w:w="572" w:type="pct"/>
            <w:tcBorders>
              <w:top w:val="single" w:sz="8" w:space="0" w:color="436F65"/>
              <w:left w:val="single" w:sz="4" w:space="0" w:color="436F65"/>
              <w:bottom w:val="single" w:sz="4" w:space="0" w:color="436F65"/>
              <w:right w:val="single" w:sz="4" w:space="0" w:color="436F65"/>
            </w:tcBorders>
            <w:shd w:val="clear" w:color="auto" w:fill="436F65"/>
          </w:tcPr>
          <w:p w14:paraId="16A37A0D" w14:textId="77777777" w:rsidR="002E122E" w:rsidRPr="00427B3A" w:rsidRDefault="002E122E" w:rsidP="00586FD8">
            <w:pPr>
              <w:jc w:val="both"/>
              <w:rPr>
                <w:sz w:val="20"/>
                <w:szCs w:val="20"/>
              </w:rPr>
            </w:pPr>
          </w:p>
        </w:tc>
        <w:tc>
          <w:tcPr>
            <w:tcW w:w="683" w:type="pct"/>
            <w:tcBorders>
              <w:top w:val="single" w:sz="8" w:space="0" w:color="436F65"/>
              <w:left w:val="single" w:sz="4" w:space="0" w:color="436F65"/>
              <w:bottom w:val="single" w:sz="4" w:space="0" w:color="436F65"/>
              <w:right w:val="single" w:sz="8" w:space="0" w:color="436F65"/>
            </w:tcBorders>
            <w:shd w:val="clear" w:color="auto" w:fill="436F65"/>
          </w:tcPr>
          <w:p w14:paraId="188DF488" w14:textId="77777777" w:rsidR="002E122E" w:rsidRPr="00427B3A" w:rsidRDefault="002E122E" w:rsidP="00586FD8">
            <w:pPr>
              <w:jc w:val="both"/>
              <w:rPr>
                <w:sz w:val="20"/>
                <w:szCs w:val="20"/>
              </w:rPr>
            </w:pPr>
          </w:p>
        </w:tc>
      </w:tr>
      <w:tr w:rsidR="00CE5D8A" w:rsidRPr="00427B3A" w14:paraId="58DF938E" w14:textId="77777777" w:rsidTr="00586FD8">
        <w:trPr>
          <w:trHeight w:hRule="exact" w:val="821"/>
        </w:trPr>
        <w:tc>
          <w:tcPr>
            <w:tcW w:w="1695" w:type="pct"/>
            <w:tcBorders>
              <w:top w:val="single" w:sz="4" w:space="0" w:color="436F65"/>
              <w:left w:val="single" w:sz="8" w:space="0" w:color="436F65"/>
              <w:bottom w:val="single" w:sz="4" w:space="0" w:color="436F65"/>
              <w:right w:val="single" w:sz="4" w:space="0" w:color="436F65"/>
            </w:tcBorders>
          </w:tcPr>
          <w:p w14:paraId="7F1CCF45" w14:textId="594833AC" w:rsidR="00CE5D8A" w:rsidRPr="00427B3A" w:rsidRDefault="002E122E" w:rsidP="00586FD8">
            <w:pPr>
              <w:pStyle w:val="TableParagraph"/>
              <w:kinsoku w:val="0"/>
              <w:overflowPunct w:val="0"/>
              <w:jc w:val="both"/>
              <w:rPr>
                <w:sz w:val="20"/>
                <w:szCs w:val="20"/>
              </w:rPr>
            </w:pPr>
            <w:r w:rsidRPr="000761E9">
              <w:rPr>
                <w:color w:val="231F20"/>
                <w:sz w:val="20"/>
                <w:szCs w:val="20"/>
              </w:rPr>
              <w:t>Procentu likmes korekcijas. 14.2. tematā aprakstītie jautājumi</w:t>
            </w:r>
          </w:p>
        </w:tc>
        <w:tc>
          <w:tcPr>
            <w:tcW w:w="648" w:type="pct"/>
            <w:tcBorders>
              <w:top w:val="single" w:sz="4" w:space="0" w:color="436F65"/>
              <w:left w:val="single" w:sz="4" w:space="0" w:color="436F65"/>
              <w:bottom w:val="single" w:sz="4" w:space="0" w:color="436F65"/>
              <w:right w:val="single" w:sz="4" w:space="0" w:color="436F65"/>
            </w:tcBorders>
            <w:vAlign w:val="center"/>
          </w:tcPr>
          <w:p w14:paraId="0F4892AA" w14:textId="5CA988F1" w:rsidR="00CE5D8A" w:rsidRPr="00427B3A" w:rsidRDefault="00CE5D8A" w:rsidP="00586FD8">
            <w:pPr>
              <w:pStyle w:val="TableParagraph"/>
              <w:kinsoku w:val="0"/>
              <w:overflowPunct w:val="0"/>
              <w:jc w:val="center"/>
              <w:rPr>
                <w:sz w:val="20"/>
                <w:szCs w:val="20"/>
              </w:rPr>
            </w:pPr>
            <w:r w:rsidRPr="00427B3A">
              <w:rPr>
                <w:color w:val="231F20"/>
                <w:sz w:val="20"/>
                <w:szCs w:val="20"/>
              </w:rPr>
              <w:t>14.2</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6E2F3C54"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252A41AD"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612657B2"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83" w:type="pct"/>
            <w:tcBorders>
              <w:top w:val="single" w:sz="4" w:space="0" w:color="436F65"/>
              <w:left w:val="single" w:sz="4" w:space="0" w:color="436F65"/>
              <w:bottom w:val="single" w:sz="4" w:space="0" w:color="436F65"/>
              <w:right w:val="single" w:sz="8" w:space="0" w:color="436F65"/>
            </w:tcBorders>
            <w:vAlign w:val="center"/>
          </w:tcPr>
          <w:p w14:paraId="16FF3D4E" w14:textId="77777777" w:rsidR="00CE5D8A" w:rsidRPr="00427B3A" w:rsidRDefault="00CE5D8A" w:rsidP="00586FD8">
            <w:pPr>
              <w:jc w:val="center"/>
              <w:rPr>
                <w:sz w:val="20"/>
                <w:szCs w:val="20"/>
              </w:rPr>
            </w:pPr>
          </w:p>
        </w:tc>
      </w:tr>
      <w:tr w:rsidR="00CE5D8A" w:rsidRPr="00427B3A" w14:paraId="3C3DB58C"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142C8D99" w14:textId="3C7B15CA" w:rsidR="00CE5D8A" w:rsidRPr="00427B3A" w:rsidRDefault="002E122E" w:rsidP="00586FD8">
            <w:pPr>
              <w:pStyle w:val="TableParagraph"/>
              <w:kinsoku w:val="0"/>
              <w:overflowPunct w:val="0"/>
              <w:jc w:val="both"/>
              <w:rPr>
                <w:sz w:val="20"/>
                <w:szCs w:val="20"/>
              </w:rPr>
            </w:pPr>
            <w:r w:rsidRPr="000761E9">
              <w:rPr>
                <w:color w:val="231F20"/>
                <w:sz w:val="20"/>
                <w:szCs w:val="20"/>
              </w:rPr>
              <w:t>14.4. tematā aprakstītais gadījums, kad Iestādes/valsts finansējums ir vismaz 50 %</w:t>
            </w:r>
          </w:p>
        </w:tc>
        <w:tc>
          <w:tcPr>
            <w:tcW w:w="648" w:type="pct"/>
            <w:tcBorders>
              <w:top w:val="single" w:sz="4" w:space="0" w:color="436F65"/>
              <w:left w:val="single" w:sz="4" w:space="0" w:color="436F65"/>
              <w:bottom w:val="single" w:sz="4" w:space="0" w:color="436F65"/>
              <w:right w:val="single" w:sz="4" w:space="0" w:color="436F65"/>
            </w:tcBorders>
            <w:vAlign w:val="center"/>
          </w:tcPr>
          <w:p w14:paraId="0C40E659" w14:textId="6EF77857" w:rsidR="00CE5D8A" w:rsidRPr="00427B3A" w:rsidRDefault="00CE5D8A" w:rsidP="00586FD8">
            <w:pPr>
              <w:pStyle w:val="TableParagraph"/>
              <w:kinsoku w:val="0"/>
              <w:overflowPunct w:val="0"/>
              <w:jc w:val="center"/>
              <w:rPr>
                <w:sz w:val="20"/>
                <w:szCs w:val="20"/>
              </w:rPr>
            </w:pPr>
            <w:r w:rsidRPr="00427B3A">
              <w:rPr>
                <w:color w:val="231F20"/>
                <w:sz w:val="20"/>
                <w:szCs w:val="20"/>
              </w:rPr>
              <w:t>14.4</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30D1ADEA"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11" w:type="pct"/>
            <w:tcBorders>
              <w:top w:val="single" w:sz="4" w:space="0" w:color="436F65"/>
              <w:left w:val="single" w:sz="4" w:space="0" w:color="436F65"/>
              <w:bottom w:val="single" w:sz="4" w:space="0" w:color="436F65"/>
              <w:right w:val="single" w:sz="4" w:space="0" w:color="436F65"/>
            </w:tcBorders>
            <w:vAlign w:val="center"/>
          </w:tcPr>
          <w:p w14:paraId="7709ABB8"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490D9726"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296C5676" w14:textId="77777777" w:rsidR="00CE5D8A" w:rsidRPr="00427B3A" w:rsidRDefault="00CE5D8A" w:rsidP="00586FD8">
            <w:pPr>
              <w:jc w:val="center"/>
              <w:rPr>
                <w:sz w:val="20"/>
                <w:szCs w:val="20"/>
              </w:rPr>
            </w:pPr>
          </w:p>
        </w:tc>
      </w:tr>
      <w:tr w:rsidR="00CE5D8A" w:rsidRPr="00427B3A" w14:paraId="0DCDA5DE"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266A9D0B" w14:textId="3BC8E923" w:rsidR="00CE5D8A" w:rsidRPr="00427B3A" w:rsidRDefault="002E122E" w:rsidP="00586FD8">
            <w:pPr>
              <w:pStyle w:val="TableParagraph"/>
              <w:kinsoku w:val="0"/>
              <w:overflowPunct w:val="0"/>
              <w:jc w:val="both"/>
              <w:rPr>
                <w:sz w:val="20"/>
                <w:szCs w:val="20"/>
              </w:rPr>
            </w:pPr>
            <w:r w:rsidRPr="000761E9">
              <w:rPr>
                <w:color w:val="231F20"/>
                <w:sz w:val="20"/>
                <w:szCs w:val="20"/>
              </w:rPr>
              <w:t>14.4. tematā aprakstītais gadījums, kad Iestādes/valsts finansējums pārsniedz vienu trešdaļu</w:t>
            </w:r>
          </w:p>
        </w:tc>
        <w:tc>
          <w:tcPr>
            <w:tcW w:w="648" w:type="pct"/>
            <w:tcBorders>
              <w:top w:val="single" w:sz="4" w:space="0" w:color="436F65"/>
              <w:left w:val="single" w:sz="4" w:space="0" w:color="436F65"/>
              <w:bottom w:val="single" w:sz="4" w:space="0" w:color="436F65"/>
              <w:right w:val="single" w:sz="4" w:space="0" w:color="436F65"/>
            </w:tcBorders>
            <w:vAlign w:val="center"/>
          </w:tcPr>
          <w:p w14:paraId="63177906" w14:textId="26D085F0" w:rsidR="00CE5D8A" w:rsidRPr="00427B3A" w:rsidRDefault="00CE5D8A" w:rsidP="00586FD8">
            <w:pPr>
              <w:pStyle w:val="TableParagraph"/>
              <w:kinsoku w:val="0"/>
              <w:overflowPunct w:val="0"/>
              <w:jc w:val="center"/>
              <w:rPr>
                <w:sz w:val="20"/>
                <w:szCs w:val="20"/>
              </w:rPr>
            </w:pPr>
            <w:r w:rsidRPr="00427B3A">
              <w:rPr>
                <w:color w:val="231F20"/>
                <w:sz w:val="20"/>
                <w:szCs w:val="20"/>
              </w:rPr>
              <w:t>14.4</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168AC6B4"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64F5B3F7"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572" w:type="pct"/>
            <w:tcBorders>
              <w:top w:val="single" w:sz="4" w:space="0" w:color="436F65"/>
              <w:left w:val="single" w:sz="4" w:space="0" w:color="436F65"/>
              <w:bottom w:val="single" w:sz="4" w:space="0" w:color="436F65"/>
              <w:right w:val="single" w:sz="4" w:space="0" w:color="436F65"/>
            </w:tcBorders>
            <w:vAlign w:val="center"/>
          </w:tcPr>
          <w:p w14:paraId="4105FCFF"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1DC79C8E" w14:textId="77777777" w:rsidR="00CE5D8A" w:rsidRPr="00427B3A" w:rsidRDefault="00CE5D8A" w:rsidP="00586FD8">
            <w:pPr>
              <w:jc w:val="center"/>
              <w:rPr>
                <w:sz w:val="20"/>
                <w:szCs w:val="20"/>
              </w:rPr>
            </w:pPr>
          </w:p>
        </w:tc>
      </w:tr>
      <w:tr w:rsidR="00CE5D8A" w:rsidRPr="00427B3A" w14:paraId="5CD47B3F"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2560E48E" w14:textId="7068AB89" w:rsidR="00CE5D8A" w:rsidRPr="00427B3A" w:rsidRDefault="002E122E" w:rsidP="00586FD8">
            <w:pPr>
              <w:pStyle w:val="TableParagraph"/>
              <w:kinsoku w:val="0"/>
              <w:overflowPunct w:val="0"/>
              <w:jc w:val="both"/>
              <w:rPr>
                <w:sz w:val="20"/>
                <w:szCs w:val="20"/>
              </w:rPr>
            </w:pPr>
            <w:r w:rsidRPr="000761E9">
              <w:rPr>
                <w:color w:val="231F20"/>
                <w:sz w:val="20"/>
                <w:szCs w:val="20"/>
              </w:rPr>
              <w:t>14.4. tematā aprakstītais gadījums, kad Iestādes/valsts finansējums pārsniedz 10 %</w:t>
            </w:r>
          </w:p>
        </w:tc>
        <w:tc>
          <w:tcPr>
            <w:tcW w:w="648" w:type="pct"/>
            <w:tcBorders>
              <w:top w:val="single" w:sz="4" w:space="0" w:color="436F65"/>
              <w:left w:val="single" w:sz="4" w:space="0" w:color="436F65"/>
              <w:bottom w:val="single" w:sz="4" w:space="0" w:color="436F65"/>
              <w:right w:val="single" w:sz="4" w:space="0" w:color="436F65"/>
            </w:tcBorders>
            <w:vAlign w:val="center"/>
          </w:tcPr>
          <w:p w14:paraId="112CEA30" w14:textId="28AF040F" w:rsidR="00CE5D8A" w:rsidRPr="00427B3A" w:rsidRDefault="00CE5D8A" w:rsidP="00586FD8">
            <w:pPr>
              <w:pStyle w:val="TableParagraph"/>
              <w:kinsoku w:val="0"/>
              <w:overflowPunct w:val="0"/>
              <w:jc w:val="center"/>
              <w:rPr>
                <w:sz w:val="20"/>
                <w:szCs w:val="20"/>
              </w:rPr>
            </w:pPr>
            <w:r w:rsidRPr="00427B3A">
              <w:rPr>
                <w:color w:val="231F20"/>
                <w:sz w:val="20"/>
                <w:szCs w:val="20"/>
              </w:rPr>
              <w:t>14.4</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0320FBAC"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2363ACDC"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41EB3051"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83" w:type="pct"/>
            <w:tcBorders>
              <w:top w:val="single" w:sz="4" w:space="0" w:color="436F65"/>
              <w:left w:val="single" w:sz="4" w:space="0" w:color="436F65"/>
              <w:bottom w:val="single" w:sz="4" w:space="0" w:color="436F65"/>
              <w:right w:val="single" w:sz="8" w:space="0" w:color="436F65"/>
            </w:tcBorders>
            <w:vAlign w:val="center"/>
          </w:tcPr>
          <w:p w14:paraId="76A96D56" w14:textId="77777777" w:rsidR="00CE5D8A" w:rsidRPr="00427B3A" w:rsidRDefault="00CE5D8A" w:rsidP="00586FD8">
            <w:pPr>
              <w:jc w:val="center"/>
              <w:rPr>
                <w:sz w:val="20"/>
                <w:szCs w:val="20"/>
              </w:rPr>
            </w:pPr>
          </w:p>
        </w:tc>
      </w:tr>
      <w:tr w:rsidR="00CE5D8A" w:rsidRPr="00427B3A" w14:paraId="4EE26203" w14:textId="77777777" w:rsidTr="00586FD8">
        <w:trPr>
          <w:trHeight w:hRule="exact" w:val="1112"/>
        </w:trPr>
        <w:tc>
          <w:tcPr>
            <w:tcW w:w="1695" w:type="pct"/>
            <w:tcBorders>
              <w:top w:val="nil"/>
              <w:left w:val="single" w:sz="8" w:space="0" w:color="436F65"/>
              <w:bottom w:val="single" w:sz="4" w:space="0" w:color="436F65"/>
              <w:right w:val="single" w:sz="4" w:space="0" w:color="436F65"/>
            </w:tcBorders>
          </w:tcPr>
          <w:p w14:paraId="5E88F53A" w14:textId="51E85D33" w:rsidR="00CE5D8A" w:rsidRPr="00427B3A" w:rsidRDefault="002E122E" w:rsidP="00586FD8">
            <w:pPr>
              <w:pStyle w:val="TableParagraph"/>
              <w:kinsoku w:val="0"/>
              <w:overflowPunct w:val="0"/>
              <w:jc w:val="both"/>
              <w:rPr>
                <w:sz w:val="20"/>
                <w:szCs w:val="20"/>
              </w:rPr>
            </w:pPr>
            <w:r w:rsidRPr="000761E9">
              <w:rPr>
                <w:color w:val="231F20"/>
                <w:sz w:val="20"/>
                <w:szCs w:val="20"/>
              </w:rPr>
              <w:t>14.4. tematā aprakstītais gadījums, kad Iestādes/valsts finansējums ir ne vairāk par 10 %</w:t>
            </w:r>
          </w:p>
        </w:tc>
        <w:tc>
          <w:tcPr>
            <w:tcW w:w="648" w:type="pct"/>
            <w:tcBorders>
              <w:top w:val="nil"/>
              <w:left w:val="single" w:sz="4" w:space="0" w:color="436F65"/>
              <w:bottom w:val="single" w:sz="4" w:space="0" w:color="436F65"/>
              <w:right w:val="single" w:sz="4" w:space="0" w:color="436F65"/>
            </w:tcBorders>
            <w:vAlign w:val="center"/>
          </w:tcPr>
          <w:p w14:paraId="4734AE00" w14:textId="5D3B6BF2" w:rsidR="00CE5D8A" w:rsidRPr="00427B3A" w:rsidRDefault="00CE5D8A" w:rsidP="00586FD8">
            <w:pPr>
              <w:pStyle w:val="TableParagraph"/>
              <w:kinsoku w:val="0"/>
              <w:overflowPunct w:val="0"/>
              <w:jc w:val="center"/>
              <w:rPr>
                <w:sz w:val="20"/>
                <w:szCs w:val="20"/>
              </w:rPr>
            </w:pPr>
            <w:r w:rsidRPr="00427B3A">
              <w:rPr>
                <w:color w:val="231F20"/>
                <w:sz w:val="20"/>
                <w:szCs w:val="20"/>
              </w:rPr>
              <w:t>14.4</w:t>
            </w:r>
            <w:r w:rsidR="00DC1556">
              <w:rPr>
                <w:color w:val="231F20"/>
                <w:sz w:val="20"/>
                <w:szCs w:val="20"/>
              </w:rPr>
              <w:t>.</w:t>
            </w:r>
          </w:p>
        </w:tc>
        <w:tc>
          <w:tcPr>
            <w:tcW w:w="791" w:type="pct"/>
            <w:tcBorders>
              <w:top w:val="nil"/>
              <w:left w:val="single" w:sz="4" w:space="0" w:color="436F65"/>
              <w:bottom w:val="single" w:sz="4" w:space="0" w:color="436F65"/>
              <w:right w:val="single" w:sz="4" w:space="0" w:color="436F65"/>
            </w:tcBorders>
            <w:vAlign w:val="center"/>
          </w:tcPr>
          <w:p w14:paraId="4B042079" w14:textId="77777777" w:rsidR="00CE5D8A" w:rsidRPr="00427B3A" w:rsidRDefault="00CE5D8A" w:rsidP="00586FD8">
            <w:pPr>
              <w:jc w:val="center"/>
              <w:rPr>
                <w:sz w:val="20"/>
                <w:szCs w:val="20"/>
              </w:rPr>
            </w:pPr>
          </w:p>
        </w:tc>
        <w:tc>
          <w:tcPr>
            <w:tcW w:w="611" w:type="pct"/>
            <w:tcBorders>
              <w:top w:val="nil"/>
              <w:left w:val="single" w:sz="4" w:space="0" w:color="436F65"/>
              <w:bottom w:val="single" w:sz="4" w:space="0" w:color="436F65"/>
              <w:right w:val="single" w:sz="4" w:space="0" w:color="436F65"/>
            </w:tcBorders>
            <w:vAlign w:val="center"/>
          </w:tcPr>
          <w:p w14:paraId="785EA010" w14:textId="77777777" w:rsidR="00CE5D8A" w:rsidRPr="00427B3A" w:rsidRDefault="00CE5D8A" w:rsidP="00586FD8">
            <w:pPr>
              <w:jc w:val="center"/>
              <w:rPr>
                <w:sz w:val="20"/>
                <w:szCs w:val="20"/>
              </w:rPr>
            </w:pPr>
          </w:p>
        </w:tc>
        <w:tc>
          <w:tcPr>
            <w:tcW w:w="572" w:type="pct"/>
            <w:tcBorders>
              <w:top w:val="nil"/>
              <w:left w:val="single" w:sz="4" w:space="0" w:color="436F65"/>
              <w:bottom w:val="single" w:sz="4" w:space="0" w:color="436F65"/>
              <w:right w:val="single" w:sz="4" w:space="0" w:color="436F65"/>
            </w:tcBorders>
            <w:vAlign w:val="center"/>
          </w:tcPr>
          <w:p w14:paraId="612F8B68" w14:textId="77777777" w:rsidR="00CE5D8A" w:rsidRPr="00427B3A" w:rsidRDefault="00CE5D8A" w:rsidP="00586FD8">
            <w:pPr>
              <w:jc w:val="center"/>
              <w:rPr>
                <w:sz w:val="20"/>
                <w:szCs w:val="20"/>
              </w:rPr>
            </w:pPr>
          </w:p>
        </w:tc>
        <w:tc>
          <w:tcPr>
            <w:tcW w:w="683" w:type="pct"/>
            <w:tcBorders>
              <w:top w:val="nil"/>
              <w:left w:val="single" w:sz="4" w:space="0" w:color="436F65"/>
              <w:bottom w:val="single" w:sz="4" w:space="0" w:color="436F65"/>
              <w:right w:val="single" w:sz="8" w:space="0" w:color="436F65"/>
            </w:tcBorders>
            <w:vAlign w:val="center"/>
          </w:tcPr>
          <w:p w14:paraId="78040FE3"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r>
      <w:tr w:rsidR="00CE5D8A" w:rsidRPr="00427B3A" w14:paraId="0795B58B"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1A1AF67A" w14:textId="747E14A1" w:rsidR="00CE5D8A" w:rsidRPr="00427B3A" w:rsidRDefault="002E122E" w:rsidP="002E122E">
            <w:pPr>
              <w:spacing w:after="0" w:line="240" w:lineRule="auto"/>
              <w:jc w:val="both"/>
              <w:rPr>
                <w:sz w:val="20"/>
                <w:szCs w:val="20"/>
              </w:rPr>
            </w:pPr>
            <w:r w:rsidRPr="000761E9">
              <w:rPr>
                <w:rFonts w:ascii="Times New Roman" w:eastAsia="Times New Roman" w:hAnsi="Times New Roman" w:cs="Times New Roman"/>
                <w:color w:val="231F20"/>
                <w:sz w:val="20"/>
                <w:szCs w:val="20"/>
                <w:lang w:eastAsia="lv-LV"/>
              </w:rPr>
              <w:t>Minimālā lietošanas apjoma / minimālo ieņēmumu garantiju sniegšana, kā tas aprakstīts</w:t>
            </w:r>
            <w:r>
              <w:rPr>
                <w:rFonts w:ascii="Times New Roman" w:eastAsia="Times New Roman" w:hAnsi="Times New Roman" w:cs="Times New Roman"/>
                <w:color w:val="231F20"/>
                <w:sz w:val="20"/>
                <w:szCs w:val="20"/>
                <w:lang w:eastAsia="lv-LV"/>
              </w:rPr>
              <w:t xml:space="preserve"> </w:t>
            </w:r>
            <w:r w:rsidRPr="000761E9">
              <w:rPr>
                <w:rFonts w:ascii="Times New Roman" w:eastAsia="Times New Roman" w:hAnsi="Times New Roman" w:cs="Times New Roman"/>
                <w:color w:val="231F20"/>
                <w:sz w:val="20"/>
                <w:szCs w:val="20"/>
                <w:lang w:eastAsia="lv-LV"/>
              </w:rPr>
              <w:t>14.5. tematā</w:t>
            </w:r>
          </w:p>
        </w:tc>
        <w:tc>
          <w:tcPr>
            <w:tcW w:w="648" w:type="pct"/>
            <w:tcBorders>
              <w:top w:val="single" w:sz="4" w:space="0" w:color="436F65"/>
              <w:left w:val="single" w:sz="4" w:space="0" w:color="436F65"/>
              <w:bottom w:val="single" w:sz="4" w:space="0" w:color="436F65"/>
              <w:right w:val="single" w:sz="4" w:space="0" w:color="436F65"/>
            </w:tcBorders>
            <w:vAlign w:val="center"/>
          </w:tcPr>
          <w:p w14:paraId="176E7320" w14:textId="4BA8FB1B" w:rsidR="00CE5D8A" w:rsidRPr="00427B3A" w:rsidRDefault="00CE5D8A" w:rsidP="00586FD8">
            <w:pPr>
              <w:pStyle w:val="TableParagraph"/>
              <w:kinsoku w:val="0"/>
              <w:overflowPunct w:val="0"/>
              <w:jc w:val="center"/>
              <w:rPr>
                <w:sz w:val="20"/>
                <w:szCs w:val="20"/>
              </w:rPr>
            </w:pPr>
            <w:r w:rsidRPr="00427B3A">
              <w:rPr>
                <w:color w:val="231F20"/>
                <w:sz w:val="20"/>
                <w:szCs w:val="20"/>
              </w:rPr>
              <w:t>14.5</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03434D13"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11" w:type="pct"/>
            <w:tcBorders>
              <w:top w:val="single" w:sz="4" w:space="0" w:color="436F65"/>
              <w:left w:val="single" w:sz="4" w:space="0" w:color="436F65"/>
              <w:bottom w:val="single" w:sz="4" w:space="0" w:color="436F65"/>
              <w:right w:val="single" w:sz="4" w:space="0" w:color="436F65"/>
            </w:tcBorders>
            <w:vAlign w:val="center"/>
          </w:tcPr>
          <w:p w14:paraId="47F07917"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6F62411F"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276923F8" w14:textId="77777777" w:rsidR="00CE5D8A" w:rsidRPr="00427B3A" w:rsidRDefault="00CE5D8A" w:rsidP="00586FD8">
            <w:pPr>
              <w:jc w:val="center"/>
              <w:rPr>
                <w:sz w:val="20"/>
                <w:szCs w:val="20"/>
              </w:rPr>
            </w:pPr>
          </w:p>
        </w:tc>
      </w:tr>
      <w:tr w:rsidR="00CE5D8A" w:rsidRPr="00427B3A" w14:paraId="79722F11" w14:textId="77777777" w:rsidTr="00586FD8">
        <w:trPr>
          <w:trHeight w:hRule="exact" w:val="1393"/>
        </w:trPr>
        <w:tc>
          <w:tcPr>
            <w:tcW w:w="1695" w:type="pct"/>
            <w:tcBorders>
              <w:top w:val="single" w:sz="4" w:space="0" w:color="436F65"/>
              <w:left w:val="single" w:sz="8" w:space="0" w:color="436F65"/>
              <w:bottom w:val="single" w:sz="4" w:space="0" w:color="436F65"/>
              <w:right w:val="single" w:sz="4" w:space="0" w:color="436F65"/>
            </w:tcBorders>
          </w:tcPr>
          <w:p w14:paraId="74E9FD65" w14:textId="5BC44006" w:rsidR="00CE5D8A" w:rsidRPr="00427B3A" w:rsidRDefault="002E122E" w:rsidP="00586FD8">
            <w:pPr>
              <w:pStyle w:val="TableParagraph"/>
              <w:kinsoku w:val="0"/>
              <w:overflowPunct w:val="0"/>
              <w:jc w:val="both"/>
              <w:rPr>
                <w:sz w:val="20"/>
                <w:szCs w:val="20"/>
              </w:rPr>
            </w:pPr>
            <w:r w:rsidRPr="000761E9">
              <w:rPr>
                <w:color w:val="231F20"/>
                <w:sz w:val="20"/>
                <w:szCs w:val="20"/>
              </w:rPr>
              <w:t>Refinansēšana. 14.6.1. tematā aprakstītie neierobežotie iemesli, pamatojoties uz kuriem, Iestādei ir tiesības nedot atļauju ierosinātajai refinansēšanai</w:t>
            </w:r>
          </w:p>
        </w:tc>
        <w:tc>
          <w:tcPr>
            <w:tcW w:w="648" w:type="pct"/>
            <w:tcBorders>
              <w:top w:val="single" w:sz="4" w:space="0" w:color="436F65"/>
              <w:left w:val="single" w:sz="4" w:space="0" w:color="436F65"/>
              <w:bottom w:val="single" w:sz="4" w:space="0" w:color="436F65"/>
              <w:right w:val="single" w:sz="4" w:space="0" w:color="436F65"/>
            </w:tcBorders>
            <w:vAlign w:val="center"/>
          </w:tcPr>
          <w:p w14:paraId="4FAB0BAB" w14:textId="2CB60CA2" w:rsidR="00CE5D8A" w:rsidRPr="00427B3A" w:rsidRDefault="00CE5D8A" w:rsidP="00586FD8">
            <w:pPr>
              <w:pStyle w:val="TableParagraph"/>
              <w:kinsoku w:val="0"/>
              <w:overflowPunct w:val="0"/>
              <w:jc w:val="center"/>
              <w:rPr>
                <w:sz w:val="20"/>
                <w:szCs w:val="20"/>
              </w:rPr>
            </w:pPr>
            <w:r w:rsidRPr="00427B3A">
              <w:rPr>
                <w:color w:val="231F20"/>
                <w:sz w:val="20"/>
                <w:szCs w:val="20"/>
              </w:rPr>
              <w:t>14.6.1</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6FEB8240"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38F0B701"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05A96E9E"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83" w:type="pct"/>
            <w:tcBorders>
              <w:top w:val="single" w:sz="4" w:space="0" w:color="436F65"/>
              <w:left w:val="single" w:sz="4" w:space="0" w:color="436F65"/>
              <w:bottom w:val="single" w:sz="4" w:space="0" w:color="436F65"/>
              <w:right w:val="single" w:sz="8" w:space="0" w:color="436F65"/>
            </w:tcBorders>
            <w:vAlign w:val="center"/>
          </w:tcPr>
          <w:p w14:paraId="5005614A" w14:textId="77777777" w:rsidR="00CE5D8A" w:rsidRPr="00427B3A" w:rsidRDefault="00CE5D8A" w:rsidP="00586FD8">
            <w:pPr>
              <w:jc w:val="center"/>
              <w:rPr>
                <w:sz w:val="20"/>
                <w:szCs w:val="20"/>
              </w:rPr>
            </w:pPr>
          </w:p>
        </w:tc>
      </w:tr>
      <w:tr w:rsidR="00CE5D8A" w:rsidRPr="00427B3A" w14:paraId="45E3377E" w14:textId="77777777" w:rsidTr="00586FD8">
        <w:trPr>
          <w:trHeight w:hRule="exact" w:val="1393"/>
        </w:trPr>
        <w:tc>
          <w:tcPr>
            <w:tcW w:w="1695" w:type="pct"/>
            <w:tcBorders>
              <w:top w:val="single" w:sz="4" w:space="0" w:color="436F65"/>
              <w:left w:val="single" w:sz="8" w:space="0" w:color="436F65"/>
              <w:bottom w:val="single" w:sz="4" w:space="0" w:color="436F65"/>
              <w:right w:val="single" w:sz="4" w:space="0" w:color="436F65"/>
            </w:tcBorders>
          </w:tcPr>
          <w:p w14:paraId="2C84A18D" w14:textId="4E80EC95" w:rsidR="00CE5D8A" w:rsidRPr="00427B3A" w:rsidRDefault="002E122E" w:rsidP="002E122E">
            <w:pPr>
              <w:spacing w:after="0" w:line="240" w:lineRule="auto"/>
              <w:jc w:val="both"/>
              <w:rPr>
                <w:sz w:val="20"/>
                <w:szCs w:val="20"/>
              </w:rPr>
            </w:pPr>
            <w:r w:rsidRPr="000761E9">
              <w:rPr>
                <w:rFonts w:ascii="Times New Roman" w:eastAsia="Times New Roman" w:hAnsi="Times New Roman" w:cs="Times New Roman"/>
                <w:color w:val="231F20"/>
                <w:sz w:val="20"/>
                <w:szCs w:val="20"/>
                <w:lang w:eastAsia="lv-LV"/>
              </w:rPr>
              <w:t>Refinansēšana. 14.6.1. tematā aprakstītie noteikumi, kas bez Iestādes piekrišanas ļauj veikt refinansēšanu, kas palielinātu Iestādes saistības saskaņā ar PPP līgumu</w:t>
            </w:r>
          </w:p>
        </w:tc>
        <w:tc>
          <w:tcPr>
            <w:tcW w:w="648" w:type="pct"/>
            <w:tcBorders>
              <w:top w:val="single" w:sz="4" w:space="0" w:color="436F65"/>
              <w:left w:val="single" w:sz="4" w:space="0" w:color="436F65"/>
              <w:bottom w:val="single" w:sz="4" w:space="0" w:color="436F65"/>
              <w:right w:val="single" w:sz="4" w:space="0" w:color="436F65"/>
            </w:tcBorders>
            <w:vAlign w:val="center"/>
          </w:tcPr>
          <w:p w14:paraId="77367A28" w14:textId="5F0F63D0" w:rsidR="00CE5D8A" w:rsidRPr="00427B3A" w:rsidRDefault="00CE5D8A" w:rsidP="00586FD8">
            <w:pPr>
              <w:pStyle w:val="TableParagraph"/>
              <w:kinsoku w:val="0"/>
              <w:overflowPunct w:val="0"/>
              <w:jc w:val="center"/>
              <w:rPr>
                <w:sz w:val="20"/>
                <w:szCs w:val="20"/>
              </w:rPr>
            </w:pPr>
            <w:r w:rsidRPr="00427B3A">
              <w:rPr>
                <w:color w:val="231F20"/>
                <w:sz w:val="20"/>
                <w:szCs w:val="20"/>
              </w:rPr>
              <w:t>14.6.1</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7FF94BDC"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19E03687"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49989968"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83" w:type="pct"/>
            <w:tcBorders>
              <w:top w:val="single" w:sz="4" w:space="0" w:color="436F65"/>
              <w:left w:val="single" w:sz="4" w:space="0" w:color="436F65"/>
              <w:bottom w:val="single" w:sz="4" w:space="0" w:color="436F65"/>
              <w:right w:val="single" w:sz="8" w:space="0" w:color="436F65"/>
            </w:tcBorders>
            <w:vAlign w:val="center"/>
          </w:tcPr>
          <w:p w14:paraId="7E4205BE" w14:textId="77777777" w:rsidR="00CE5D8A" w:rsidRPr="00427B3A" w:rsidRDefault="00CE5D8A" w:rsidP="00586FD8">
            <w:pPr>
              <w:jc w:val="center"/>
              <w:rPr>
                <w:sz w:val="20"/>
                <w:szCs w:val="20"/>
              </w:rPr>
            </w:pPr>
          </w:p>
        </w:tc>
      </w:tr>
      <w:tr w:rsidR="00CE5D8A" w:rsidRPr="00427B3A" w14:paraId="4E4319EE"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38D4C526" w14:textId="1D9F7DCA" w:rsidR="00CE5D8A" w:rsidRPr="00427B3A" w:rsidRDefault="002E122E" w:rsidP="00586FD8">
            <w:pPr>
              <w:pStyle w:val="TableParagraph"/>
              <w:kinsoku w:val="0"/>
              <w:overflowPunct w:val="0"/>
              <w:jc w:val="both"/>
              <w:rPr>
                <w:sz w:val="20"/>
                <w:szCs w:val="20"/>
              </w:rPr>
            </w:pPr>
            <w:r w:rsidRPr="000761E9">
              <w:rPr>
                <w:color w:val="231F20"/>
                <w:sz w:val="20"/>
                <w:szCs w:val="20"/>
              </w:rPr>
              <w:t>Refinansēšana. 14.6.1. tematā aprakstītās Iestādes tiesības pieprasīt, lai Partneris veic refinansēšanu</w:t>
            </w:r>
          </w:p>
        </w:tc>
        <w:tc>
          <w:tcPr>
            <w:tcW w:w="648" w:type="pct"/>
            <w:tcBorders>
              <w:top w:val="single" w:sz="4" w:space="0" w:color="436F65"/>
              <w:left w:val="single" w:sz="4" w:space="0" w:color="436F65"/>
              <w:bottom w:val="single" w:sz="4" w:space="0" w:color="436F65"/>
              <w:right w:val="single" w:sz="4" w:space="0" w:color="436F65"/>
            </w:tcBorders>
            <w:vAlign w:val="center"/>
          </w:tcPr>
          <w:p w14:paraId="559C1D9E" w14:textId="6C750EE8" w:rsidR="00CE5D8A" w:rsidRPr="00427B3A" w:rsidRDefault="00CE5D8A" w:rsidP="00586FD8">
            <w:pPr>
              <w:pStyle w:val="TableParagraph"/>
              <w:kinsoku w:val="0"/>
              <w:overflowPunct w:val="0"/>
              <w:jc w:val="center"/>
              <w:rPr>
                <w:sz w:val="20"/>
                <w:szCs w:val="20"/>
              </w:rPr>
            </w:pPr>
            <w:r w:rsidRPr="00427B3A">
              <w:rPr>
                <w:color w:val="231F20"/>
                <w:sz w:val="20"/>
                <w:szCs w:val="20"/>
              </w:rPr>
              <w:t>14.6.1</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612915EE"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11" w:type="pct"/>
            <w:tcBorders>
              <w:top w:val="single" w:sz="4" w:space="0" w:color="436F65"/>
              <w:left w:val="single" w:sz="4" w:space="0" w:color="436F65"/>
              <w:bottom w:val="single" w:sz="4" w:space="0" w:color="436F65"/>
              <w:right w:val="single" w:sz="4" w:space="0" w:color="436F65"/>
            </w:tcBorders>
            <w:vAlign w:val="center"/>
          </w:tcPr>
          <w:p w14:paraId="003B3C02"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7B79C575"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09990435" w14:textId="77777777" w:rsidR="00CE5D8A" w:rsidRPr="00427B3A" w:rsidRDefault="00CE5D8A" w:rsidP="00586FD8">
            <w:pPr>
              <w:jc w:val="center"/>
              <w:rPr>
                <w:sz w:val="20"/>
                <w:szCs w:val="20"/>
              </w:rPr>
            </w:pPr>
          </w:p>
        </w:tc>
      </w:tr>
      <w:tr w:rsidR="00CE5D8A" w:rsidRPr="00427B3A" w14:paraId="02316FC2" w14:textId="77777777" w:rsidTr="00586FD8">
        <w:trPr>
          <w:trHeight w:hRule="exact" w:val="1107"/>
        </w:trPr>
        <w:tc>
          <w:tcPr>
            <w:tcW w:w="1695" w:type="pct"/>
            <w:tcBorders>
              <w:top w:val="single" w:sz="4" w:space="0" w:color="436F65"/>
              <w:left w:val="single" w:sz="8" w:space="0" w:color="436F65"/>
              <w:bottom w:val="single" w:sz="4" w:space="0" w:color="436F65"/>
              <w:right w:val="single" w:sz="4" w:space="0" w:color="436F65"/>
            </w:tcBorders>
          </w:tcPr>
          <w:p w14:paraId="7F468D88" w14:textId="54CC7C08" w:rsidR="00CE5D8A" w:rsidRPr="00427B3A" w:rsidRDefault="002E122E" w:rsidP="00586FD8">
            <w:pPr>
              <w:pStyle w:val="TableParagraph"/>
              <w:kinsoku w:val="0"/>
              <w:overflowPunct w:val="0"/>
              <w:jc w:val="both"/>
              <w:rPr>
                <w:sz w:val="20"/>
                <w:szCs w:val="20"/>
              </w:rPr>
            </w:pPr>
            <w:r w:rsidRPr="000761E9">
              <w:rPr>
                <w:color w:val="231F20"/>
                <w:sz w:val="20"/>
                <w:szCs w:val="20"/>
              </w:rPr>
              <w:lastRenderedPageBreak/>
              <w:t>Refinansēšana. Ieguvumu sadales noteikumi, kas nav saskaņā ne ar vienu no 14.6.2. tematā aprakstītajām pieejām</w:t>
            </w:r>
          </w:p>
        </w:tc>
        <w:tc>
          <w:tcPr>
            <w:tcW w:w="648" w:type="pct"/>
            <w:tcBorders>
              <w:top w:val="single" w:sz="4" w:space="0" w:color="436F65"/>
              <w:left w:val="single" w:sz="4" w:space="0" w:color="436F65"/>
              <w:bottom w:val="single" w:sz="4" w:space="0" w:color="436F65"/>
              <w:right w:val="single" w:sz="4" w:space="0" w:color="436F65"/>
            </w:tcBorders>
            <w:vAlign w:val="center"/>
          </w:tcPr>
          <w:p w14:paraId="50B0A4F3" w14:textId="61C9CD25" w:rsidR="00CE5D8A" w:rsidRPr="00427B3A" w:rsidRDefault="00CE5D8A" w:rsidP="00586FD8">
            <w:pPr>
              <w:pStyle w:val="TableParagraph"/>
              <w:kinsoku w:val="0"/>
              <w:overflowPunct w:val="0"/>
              <w:jc w:val="center"/>
              <w:rPr>
                <w:sz w:val="20"/>
                <w:szCs w:val="20"/>
              </w:rPr>
            </w:pPr>
            <w:r w:rsidRPr="00427B3A">
              <w:rPr>
                <w:color w:val="231F20"/>
                <w:sz w:val="20"/>
                <w:szCs w:val="20"/>
              </w:rPr>
              <w:t>14.6.2</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23B4D293"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c>
          <w:tcPr>
            <w:tcW w:w="611" w:type="pct"/>
            <w:tcBorders>
              <w:top w:val="single" w:sz="4" w:space="0" w:color="436F65"/>
              <w:left w:val="single" w:sz="4" w:space="0" w:color="436F65"/>
              <w:bottom w:val="single" w:sz="4" w:space="0" w:color="436F65"/>
              <w:right w:val="single" w:sz="4" w:space="0" w:color="436F65"/>
            </w:tcBorders>
            <w:vAlign w:val="center"/>
          </w:tcPr>
          <w:p w14:paraId="6AFF1223"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5667C685"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6637B541" w14:textId="77777777" w:rsidR="00CE5D8A" w:rsidRPr="00427B3A" w:rsidRDefault="00CE5D8A" w:rsidP="00586FD8">
            <w:pPr>
              <w:jc w:val="center"/>
              <w:rPr>
                <w:sz w:val="20"/>
                <w:szCs w:val="20"/>
              </w:rPr>
            </w:pPr>
          </w:p>
        </w:tc>
      </w:tr>
      <w:tr w:rsidR="00CE5D8A" w:rsidRPr="00427B3A" w14:paraId="3335944A" w14:textId="77777777" w:rsidTr="00586FD8">
        <w:trPr>
          <w:trHeight w:hRule="exact" w:val="821"/>
        </w:trPr>
        <w:tc>
          <w:tcPr>
            <w:tcW w:w="1695" w:type="pct"/>
            <w:tcBorders>
              <w:top w:val="single" w:sz="4" w:space="0" w:color="436F65"/>
              <w:left w:val="single" w:sz="8" w:space="0" w:color="436F65"/>
              <w:bottom w:val="single" w:sz="4" w:space="0" w:color="436F65"/>
              <w:right w:val="single" w:sz="4" w:space="0" w:color="436F65"/>
            </w:tcBorders>
          </w:tcPr>
          <w:p w14:paraId="3D992398" w14:textId="3FD9769D" w:rsidR="00CE5D8A" w:rsidRPr="00427B3A" w:rsidRDefault="002E122E" w:rsidP="00586FD8">
            <w:pPr>
              <w:pStyle w:val="TableParagraph"/>
              <w:kinsoku w:val="0"/>
              <w:overflowPunct w:val="0"/>
              <w:jc w:val="both"/>
              <w:rPr>
                <w:sz w:val="20"/>
                <w:szCs w:val="20"/>
              </w:rPr>
            </w:pPr>
            <w:r w:rsidRPr="000761E9">
              <w:rPr>
                <w:color w:val="231F20"/>
                <w:sz w:val="20"/>
                <w:szCs w:val="20"/>
              </w:rPr>
              <w:t>Aizdevēja tiesības iejaukties. 14.8. tematā aprakstītie saistību jautājumi</w:t>
            </w:r>
          </w:p>
        </w:tc>
        <w:tc>
          <w:tcPr>
            <w:tcW w:w="648" w:type="pct"/>
            <w:tcBorders>
              <w:top w:val="single" w:sz="4" w:space="0" w:color="436F65"/>
              <w:left w:val="single" w:sz="4" w:space="0" w:color="436F65"/>
              <w:bottom w:val="single" w:sz="4" w:space="0" w:color="436F65"/>
              <w:right w:val="single" w:sz="4" w:space="0" w:color="436F65"/>
            </w:tcBorders>
            <w:vAlign w:val="center"/>
          </w:tcPr>
          <w:p w14:paraId="36F747F4" w14:textId="15CFEFD1" w:rsidR="00CE5D8A" w:rsidRPr="00427B3A" w:rsidRDefault="00CE5D8A" w:rsidP="00586FD8">
            <w:pPr>
              <w:pStyle w:val="TableParagraph"/>
              <w:kinsoku w:val="0"/>
              <w:overflowPunct w:val="0"/>
              <w:jc w:val="center"/>
              <w:rPr>
                <w:sz w:val="20"/>
                <w:szCs w:val="20"/>
              </w:rPr>
            </w:pPr>
            <w:r w:rsidRPr="00427B3A">
              <w:rPr>
                <w:color w:val="231F20"/>
                <w:sz w:val="20"/>
                <w:szCs w:val="20"/>
              </w:rPr>
              <w:t>14.8</w:t>
            </w:r>
            <w:r w:rsidR="00DC1556">
              <w:rPr>
                <w:color w:val="231F20"/>
                <w:sz w:val="20"/>
                <w:szCs w:val="20"/>
              </w:rPr>
              <w:t>.</w:t>
            </w:r>
          </w:p>
        </w:tc>
        <w:tc>
          <w:tcPr>
            <w:tcW w:w="791" w:type="pct"/>
            <w:tcBorders>
              <w:top w:val="single" w:sz="4" w:space="0" w:color="436F65"/>
              <w:left w:val="single" w:sz="4" w:space="0" w:color="436F65"/>
              <w:bottom w:val="single" w:sz="4" w:space="0" w:color="436F65"/>
              <w:right w:val="single" w:sz="4" w:space="0" w:color="436F65"/>
            </w:tcBorders>
            <w:vAlign w:val="center"/>
          </w:tcPr>
          <w:p w14:paraId="47901BEE" w14:textId="77777777" w:rsidR="00CE5D8A" w:rsidRPr="00427B3A" w:rsidRDefault="00CE5D8A" w:rsidP="00586FD8">
            <w:pPr>
              <w:jc w:val="center"/>
              <w:rPr>
                <w:sz w:val="20"/>
                <w:szCs w:val="20"/>
              </w:rPr>
            </w:pPr>
          </w:p>
        </w:tc>
        <w:tc>
          <w:tcPr>
            <w:tcW w:w="611" w:type="pct"/>
            <w:tcBorders>
              <w:top w:val="single" w:sz="4" w:space="0" w:color="436F65"/>
              <w:left w:val="single" w:sz="4" w:space="0" w:color="436F65"/>
              <w:bottom w:val="single" w:sz="4" w:space="0" w:color="436F65"/>
              <w:right w:val="single" w:sz="4" w:space="0" w:color="436F65"/>
            </w:tcBorders>
            <w:vAlign w:val="center"/>
          </w:tcPr>
          <w:p w14:paraId="7E8C4D74" w14:textId="77777777" w:rsidR="00CE5D8A" w:rsidRPr="00427B3A" w:rsidRDefault="00CE5D8A" w:rsidP="00586FD8">
            <w:pPr>
              <w:jc w:val="center"/>
              <w:rPr>
                <w:sz w:val="20"/>
                <w:szCs w:val="20"/>
              </w:rPr>
            </w:pPr>
          </w:p>
        </w:tc>
        <w:tc>
          <w:tcPr>
            <w:tcW w:w="572" w:type="pct"/>
            <w:tcBorders>
              <w:top w:val="single" w:sz="4" w:space="0" w:color="436F65"/>
              <w:left w:val="single" w:sz="4" w:space="0" w:color="436F65"/>
              <w:bottom w:val="single" w:sz="4" w:space="0" w:color="436F65"/>
              <w:right w:val="single" w:sz="4" w:space="0" w:color="436F65"/>
            </w:tcBorders>
            <w:vAlign w:val="center"/>
          </w:tcPr>
          <w:p w14:paraId="67844CBB" w14:textId="77777777" w:rsidR="00CE5D8A" w:rsidRPr="00427B3A" w:rsidRDefault="00CE5D8A" w:rsidP="00586FD8">
            <w:pPr>
              <w:jc w:val="center"/>
              <w:rPr>
                <w:sz w:val="20"/>
                <w:szCs w:val="20"/>
              </w:rPr>
            </w:pPr>
          </w:p>
        </w:tc>
        <w:tc>
          <w:tcPr>
            <w:tcW w:w="683" w:type="pct"/>
            <w:tcBorders>
              <w:top w:val="single" w:sz="4" w:space="0" w:color="436F65"/>
              <w:left w:val="single" w:sz="4" w:space="0" w:color="436F65"/>
              <w:bottom w:val="single" w:sz="4" w:space="0" w:color="436F65"/>
              <w:right w:val="single" w:sz="8" w:space="0" w:color="436F65"/>
            </w:tcBorders>
            <w:vAlign w:val="center"/>
          </w:tcPr>
          <w:p w14:paraId="598089DC" w14:textId="77777777" w:rsidR="00CE5D8A" w:rsidRPr="00427B3A" w:rsidRDefault="00CE5D8A" w:rsidP="00586FD8">
            <w:pPr>
              <w:pStyle w:val="TableParagraph"/>
              <w:kinsoku w:val="0"/>
              <w:overflowPunct w:val="0"/>
              <w:jc w:val="center"/>
              <w:rPr>
                <w:sz w:val="20"/>
                <w:szCs w:val="20"/>
              </w:rPr>
            </w:pPr>
            <w:r w:rsidRPr="00427B3A">
              <w:rPr>
                <w:color w:val="436F65"/>
                <w:sz w:val="20"/>
                <w:szCs w:val="20"/>
              </w:rPr>
              <w:sym w:font="Symbol" w:char="F0D6"/>
            </w:r>
          </w:p>
        </w:tc>
      </w:tr>
      <w:tr w:rsidR="00CE5D8A" w:rsidRPr="00427B3A" w14:paraId="06566DF2" w14:textId="77777777" w:rsidTr="00586FD8">
        <w:trPr>
          <w:trHeight w:hRule="exact" w:val="459"/>
        </w:trPr>
        <w:tc>
          <w:tcPr>
            <w:tcW w:w="1695" w:type="pct"/>
            <w:tcBorders>
              <w:top w:val="nil"/>
              <w:left w:val="single" w:sz="8" w:space="0" w:color="C57368"/>
              <w:bottom w:val="single" w:sz="4" w:space="0" w:color="C57368"/>
              <w:right w:val="single" w:sz="4" w:space="0" w:color="C57368"/>
            </w:tcBorders>
            <w:shd w:val="clear" w:color="auto" w:fill="C57368"/>
          </w:tcPr>
          <w:p w14:paraId="2986ACC8" w14:textId="69E6E350" w:rsidR="00CE5D8A" w:rsidRPr="002E122E" w:rsidRDefault="002E122E" w:rsidP="002E122E">
            <w:pPr>
              <w:spacing w:after="0" w:line="240" w:lineRule="auto"/>
              <w:jc w:val="both"/>
              <w:rPr>
                <w:rFonts w:ascii="Times New Roman" w:eastAsia="Times New Roman" w:hAnsi="Times New Roman" w:cs="Times New Roman"/>
                <w:b/>
                <w:bCs/>
                <w:color w:val="FFFFFF"/>
                <w:sz w:val="20"/>
                <w:szCs w:val="20"/>
                <w:lang w:eastAsia="lv-LV"/>
              </w:rPr>
            </w:pPr>
            <w:r w:rsidRPr="000761E9">
              <w:rPr>
                <w:rFonts w:ascii="Times New Roman" w:eastAsia="Times New Roman" w:hAnsi="Times New Roman" w:cs="Times New Roman"/>
                <w:b/>
                <w:bCs/>
                <w:color w:val="FFFFFF"/>
                <w:sz w:val="20"/>
                <w:szCs w:val="20"/>
                <w:lang w:eastAsia="lv-LV"/>
              </w:rPr>
              <w:t>15. temats. Valdības ietekme</w:t>
            </w:r>
          </w:p>
        </w:tc>
        <w:tc>
          <w:tcPr>
            <w:tcW w:w="648" w:type="pct"/>
            <w:tcBorders>
              <w:top w:val="nil"/>
              <w:left w:val="single" w:sz="4" w:space="0" w:color="C57368"/>
              <w:bottom w:val="single" w:sz="4" w:space="0" w:color="C57368"/>
              <w:right w:val="single" w:sz="4" w:space="0" w:color="C57368"/>
            </w:tcBorders>
            <w:shd w:val="clear" w:color="auto" w:fill="C57368"/>
          </w:tcPr>
          <w:p w14:paraId="2E9F3C97" w14:textId="77777777" w:rsidR="00CE5D8A" w:rsidRPr="00427B3A" w:rsidRDefault="00CE5D8A" w:rsidP="00586FD8">
            <w:pPr>
              <w:jc w:val="both"/>
              <w:rPr>
                <w:sz w:val="20"/>
                <w:szCs w:val="20"/>
              </w:rPr>
            </w:pPr>
          </w:p>
        </w:tc>
        <w:tc>
          <w:tcPr>
            <w:tcW w:w="791" w:type="pct"/>
            <w:tcBorders>
              <w:top w:val="nil"/>
              <w:left w:val="single" w:sz="4" w:space="0" w:color="C57368"/>
              <w:bottom w:val="single" w:sz="4" w:space="0" w:color="C57368"/>
              <w:right w:val="single" w:sz="4" w:space="0" w:color="C57368"/>
            </w:tcBorders>
            <w:shd w:val="clear" w:color="auto" w:fill="C57368"/>
          </w:tcPr>
          <w:p w14:paraId="2DE42EB8" w14:textId="77777777" w:rsidR="00CE5D8A" w:rsidRPr="00427B3A" w:rsidRDefault="00CE5D8A" w:rsidP="00586FD8">
            <w:pPr>
              <w:jc w:val="both"/>
              <w:rPr>
                <w:sz w:val="20"/>
                <w:szCs w:val="20"/>
              </w:rPr>
            </w:pPr>
          </w:p>
        </w:tc>
        <w:tc>
          <w:tcPr>
            <w:tcW w:w="611" w:type="pct"/>
            <w:tcBorders>
              <w:top w:val="nil"/>
              <w:left w:val="single" w:sz="4" w:space="0" w:color="C57368"/>
              <w:bottom w:val="single" w:sz="4" w:space="0" w:color="C57368"/>
              <w:right w:val="single" w:sz="4" w:space="0" w:color="C57368"/>
            </w:tcBorders>
            <w:shd w:val="clear" w:color="auto" w:fill="C57368"/>
          </w:tcPr>
          <w:p w14:paraId="25E115B9" w14:textId="77777777" w:rsidR="00CE5D8A" w:rsidRPr="00427B3A" w:rsidRDefault="00CE5D8A" w:rsidP="00586FD8">
            <w:pPr>
              <w:jc w:val="both"/>
              <w:rPr>
                <w:sz w:val="20"/>
                <w:szCs w:val="20"/>
              </w:rPr>
            </w:pPr>
          </w:p>
        </w:tc>
        <w:tc>
          <w:tcPr>
            <w:tcW w:w="572" w:type="pct"/>
            <w:tcBorders>
              <w:top w:val="nil"/>
              <w:left w:val="single" w:sz="4" w:space="0" w:color="C57368"/>
              <w:bottom w:val="single" w:sz="4" w:space="0" w:color="C57368"/>
              <w:right w:val="single" w:sz="4" w:space="0" w:color="C57368"/>
            </w:tcBorders>
            <w:shd w:val="clear" w:color="auto" w:fill="C57368"/>
          </w:tcPr>
          <w:p w14:paraId="470B1B9F" w14:textId="77777777" w:rsidR="00CE5D8A" w:rsidRPr="00427B3A" w:rsidRDefault="00CE5D8A" w:rsidP="00586FD8">
            <w:pPr>
              <w:jc w:val="both"/>
              <w:rPr>
                <w:sz w:val="20"/>
                <w:szCs w:val="20"/>
              </w:rPr>
            </w:pPr>
          </w:p>
        </w:tc>
        <w:tc>
          <w:tcPr>
            <w:tcW w:w="683" w:type="pct"/>
            <w:tcBorders>
              <w:top w:val="nil"/>
              <w:left w:val="single" w:sz="4" w:space="0" w:color="C57368"/>
              <w:bottom w:val="single" w:sz="4" w:space="0" w:color="C57368"/>
              <w:right w:val="single" w:sz="8" w:space="0" w:color="C57368"/>
            </w:tcBorders>
            <w:shd w:val="clear" w:color="auto" w:fill="C57368"/>
          </w:tcPr>
          <w:p w14:paraId="102F6C32" w14:textId="77777777" w:rsidR="00CE5D8A" w:rsidRPr="00427B3A" w:rsidRDefault="00CE5D8A" w:rsidP="00586FD8">
            <w:pPr>
              <w:jc w:val="both"/>
              <w:rPr>
                <w:sz w:val="20"/>
                <w:szCs w:val="20"/>
              </w:rPr>
            </w:pPr>
          </w:p>
        </w:tc>
      </w:tr>
      <w:tr w:rsidR="00CE5D8A" w:rsidRPr="00427B3A" w14:paraId="4D1B7BA0" w14:textId="77777777" w:rsidTr="00586FD8">
        <w:trPr>
          <w:trHeight w:hRule="exact" w:val="1107"/>
        </w:trPr>
        <w:tc>
          <w:tcPr>
            <w:tcW w:w="1695" w:type="pct"/>
            <w:tcBorders>
              <w:top w:val="single" w:sz="4" w:space="0" w:color="C57368"/>
              <w:left w:val="single" w:sz="8" w:space="0" w:color="C57368"/>
              <w:bottom w:val="single" w:sz="4" w:space="0" w:color="C57368"/>
              <w:right w:val="single" w:sz="4" w:space="0" w:color="C57368"/>
            </w:tcBorders>
          </w:tcPr>
          <w:p w14:paraId="3CC47DBC" w14:textId="40468B84" w:rsidR="00CE5D8A" w:rsidRPr="00427B3A" w:rsidRDefault="002E122E" w:rsidP="00586FD8">
            <w:pPr>
              <w:pStyle w:val="TableParagraph"/>
              <w:kinsoku w:val="0"/>
              <w:overflowPunct w:val="0"/>
              <w:jc w:val="both"/>
              <w:rPr>
                <w:sz w:val="20"/>
                <w:szCs w:val="20"/>
              </w:rPr>
            </w:pPr>
            <w:r w:rsidRPr="000761E9">
              <w:rPr>
                <w:color w:val="231F20"/>
                <w:sz w:val="20"/>
                <w:szCs w:val="20"/>
              </w:rPr>
              <w:t>15.1. tematā aprakstītās Iestādes/valdības tiesības uz vismaz 50 % peļņas</w:t>
            </w:r>
          </w:p>
        </w:tc>
        <w:tc>
          <w:tcPr>
            <w:tcW w:w="648" w:type="pct"/>
            <w:tcBorders>
              <w:top w:val="single" w:sz="4" w:space="0" w:color="C57368"/>
              <w:left w:val="single" w:sz="4" w:space="0" w:color="C57368"/>
              <w:bottom w:val="single" w:sz="4" w:space="0" w:color="C57368"/>
              <w:right w:val="single" w:sz="4" w:space="0" w:color="C57368"/>
            </w:tcBorders>
            <w:vAlign w:val="center"/>
          </w:tcPr>
          <w:p w14:paraId="59185E33" w14:textId="652FE390" w:rsidR="00CE5D8A" w:rsidRPr="00427B3A" w:rsidRDefault="00CE5D8A" w:rsidP="00586FD8">
            <w:pPr>
              <w:pStyle w:val="TableParagraph"/>
              <w:kinsoku w:val="0"/>
              <w:overflowPunct w:val="0"/>
              <w:jc w:val="center"/>
              <w:rPr>
                <w:sz w:val="20"/>
                <w:szCs w:val="20"/>
              </w:rPr>
            </w:pPr>
            <w:r w:rsidRPr="00427B3A">
              <w:rPr>
                <w:color w:val="231F20"/>
                <w:sz w:val="20"/>
                <w:szCs w:val="20"/>
              </w:rPr>
              <w:t>15.1</w:t>
            </w:r>
            <w:r w:rsidR="00DC1556">
              <w:rPr>
                <w:color w:val="231F20"/>
                <w:sz w:val="20"/>
                <w:szCs w:val="20"/>
              </w:rPr>
              <w:t>.</w:t>
            </w:r>
          </w:p>
        </w:tc>
        <w:tc>
          <w:tcPr>
            <w:tcW w:w="791" w:type="pct"/>
            <w:tcBorders>
              <w:top w:val="single" w:sz="4" w:space="0" w:color="C57368"/>
              <w:left w:val="single" w:sz="4" w:space="0" w:color="C57368"/>
              <w:bottom w:val="single" w:sz="4" w:space="0" w:color="C57368"/>
              <w:right w:val="single" w:sz="4" w:space="0" w:color="C57368"/>
            </w:tcBorders>
            <w:vAlign w:val="center"/>
          </w:tcPr>
          <w:p w14:paraId="16E2C09E"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c>
          <w:tcPr>
            <w:tcW w:w="611" w:type="pct"/>
            <w:tcBorders>
              <w:top w:val="single" w:sz="4" w:space="0" w:color="C57368"/>
              <w:left w:val="single" w:sz="4" w:space="0" w:color="C57368"/>
              <w:bottom w:val="single" w:sz="4" w:space="0" w:color="C57368"/>
              <w:right w:val="single" w:sz="4" w:space="0" w:color="C57368"/>
            </w:tcBorders>
            <w:vAlign w:val="center"/>
          </w:tcPr>
          <w:p w14:paraId="14042B11" w14:textId="77777777" w:rsidR="00CE5D8A" w:rsidRPr="00427B3A" w:rsidRDefault="00CE5D8A" w:rsidP="00586FD8">
            <w:pPr>
              <w:jc w:val="center"/>
              <w:rPr>
                <w:sz w:val="20"/>
                <w:szCs w:val="20"/>
              </w:rPr>
            </w:pPr>
          </w:p>
        </w:tc>
        <w:tc>
          <w:tcPr>
            <w:tcW w:w="572" w:type="pct"/>
            <w:tcBorders>
              <w:top w:val="single" w:sz="4" w:space="0" w:color="C57368"/>
              <w:left w:val="single" w:sz="4" w:space="0" w:color="C57368"/>
              <w:bottom w:val="single" w:sz="4" w:space="0" w:color="C57368"/>
              <w:right w:val="single" w:sz="4" w:space="0" w:color="C57368"/>
            </w:tcBorders>
            <w:vAlign w:val="center"/>
          </w:tcPr>
          <w:p w14:paraId="7EF4F174" w14:textId="77777777" w:rsidR="00CE5D8A" w:rsidRPr="00427B3A" w:rsidRDefault="00CE5D8A" w:rsidP="00586FD8">
            <w:pPr>
              <w:jc w:val="center"/>
              <w:rPr>
                <w:sz w:val="20"/>
                <w:szCs w:val="20"/>
              </w:rPr>
            </w:pPr>
          </w:p>
        </w:tc>
        <w:tc>
          <w:tcPr>
            <w:tcW w:w="683" w:type="pct"/>
            <w:tcBorders>
              <w:top w:val="single" w:sz="4" w:space="0" w:color="C57368"/>
              <w:left w:val="single" w:sz="4" w:space="0" w:color="C57368"/>
              <w:bottom w:val="single" w:sz="4" w:space="0" w:color="C57368"/>
              <w:right w:val="single" w:sz="8" w:space="0" w:color="C57368"/>
            </w:tcBorders>
            <w:vAlign w:val="center"/>
          </w:tcPr>
          <w:p w14:paraId="15DFFDE2" w14:textId="77777777" w:rsidR="00CE5D8A" w:rsidRPr="00427B3A" w:rsidRDefault="00CE5D8A" w:rsidP="00586FD8">
            <w:pPr>
              <w:jc w:val="center"/>
              <w:rPr>
                <w:sz w:val="20"/>
                <w:szCs w:val="20"/>
              </w:rPr>
            </w:pPr>
          </w:p>
        </w:tc>
      </w:tr>
      <w:tr w:rsidR="00CE5D8A" w:rsidRPr="00427B3A" w14:paraId="2F29A63C" w14:textId="77777777" w:rsidTr="00586FD8">
        <w:trPr>
          <w:trHeight w:hRule="exact" w:val="1107"/>
        </w:trPr>
        <w:tc>
          <w:tcPr>
            <w:tcW w:w="1695" w:type="pct"/>
            <w:tcBorders>
              <w:top w:val="single" w:sz="4" w:space="0" w:color="C57368"/>
              <w:left w:val="single" w:sz="8" w:space="0" w:color="C57368"/>
              <w:bottom w:val="single" w:sz="4" w:space="0" w:color="C57368"/>
              <w:right w:val="single" w:sz="4" w:space="0" w:color="C57368"/>
            </w:tcBorders>
          </w:tcPr>
          <w:p w14:paraId="32628FA1" w14:textId="39432B70" w:rsidR="00CE5D8A" w:rsidRPr="00427B3A" w:rsidRDefault="002E122E" w:rsidP="00586FD8">
            <w:pPr>
              <w:pStyle w:val="TableParagraph"/>
              <w:kinsoku w:val="0"/>
              <w:overflowPunct w:val="0"/>
              <w:jc w:val="both"/>
              <w:rPr>
                <w:sz w:val="20"/>
                <w:szCs w:val="20"/>
              </w:rPr>
            </w:pPr>
            <w:r w:rsidRPr="000761E9">
              <w:rPr>
                <w:color w:val="231F20"/>
                <w:sz w:val="20"/>
                <w:szCs w:val="20"/>
              </w:rPr>
              <w:t>15.1. tematā aprakstītās Iestādes/valdības tiesības uz vairāk nekā vienu trešdaļu peļņas</w:t>
            </w:r>
          </w:p>
        </w:tc>
        <w:tc>
          <w:tcPr>
            <w:tcW w:w="648" w:type="pct"/>
            <w:tcBorders>
              <w:top w:val="single" w:sz="4" w:space="0" w:color="C57368"/>
              <w:left w:val="single" w:sz="4" w:space="0" w:color="C57368"/>
              <w:bottom w:val="single" w:sz="4" w:space="0" w:color="C57368"/>
              <w:right w:val="single" w:sz="4" w:space="0" w:color="C57368"/>
            </w:tcBorders>
            <w:vAlign w:val="center"/>
          </w:tcPr>
          <w:p w14:paraId="0A2CD98D" w14:textId="793A05D1" w:rsidR="00CE5D8A" w:rsidRPr="00427B3A" w:rsidRDefault="00CE5D8A" w:rsidP="00586FD8">
            <w:pPr>
              <w:pStyle w:val="TableParagraph"/>
              <w:kinsoku w:val="0"/>
              <w:overflowPunct w:val="0"/>
              <w:jc w:val="center"/>
              <w:rPr>
                <w:sz w:val="20"/>
                <w:szCs w:val="20"/>
              </w:rPr>
            </w:pPr>
            <w:r w:rsidRPr="00427B3A">
              <w:rPr>
                <w:color w:val="231F20"/>
                <w:sz w:val="20"/>
                <w:szCs w:val="20"/>
              </w:rPr>
              <w:t>15.1</w:t>
            </w:r>
            <w:r w:rsidR="00DC1556">
              <w:rPr>
                <w:color w:val="231F20"/>
                <w:sz w:val="20"/>
                <w:szCs w:val="20"/>
              </w:rPr>
              <w:t>.</w:t>
            </w:r>
          </w:p>
        </w:tc>
        <w:tc>
          <w:tcPr>
            <w:tcW w:w="791" w:type="pct"/>
            <w:tcBorders>
              <w:top w:val="single" w:sz="4" w:space="0" w:color="C57368"/>
              <w:left w:val="single" w:sz="4" w:space="0" w:color="C57368"/>
              <w:bottom w:val="single" w:sz="4" w:space="0" w:color="C57368"/>
              <w:right w:val="single" w:sz="4" w:space="0" w:color="C57368"/>
            </w:tcBorders>
            <w:vAlign w:val="center"/>
          </w:tcPr>
          <w:p w14:paraId="75A2A354" w14:textId="77777777" w:rsidR="00CE5D8A" w:rsidRPr="00427B3A" w:rsidRDefault="00CE5D8A" w:rsidP="00586FD8">
            <w:pPr>
              <w:jc w:val="center"/>
              <w:rPr>
                <w:sz w:val="20"/>
                <w:szCs w:val="20"/>
              </w:rPr>
            </w:pPr>
          </w:p>
        </w:tc>
        <w:tc>
          <w:tcPr>
            <w:tcW w:w="611" w:type="pct"/>
            <w:tcBorders>
              <w:top w:val="single" w:sz="4" w:space="0" w:color="C57368"/>
              <w:left w:val="single" w:sz="4" w:space="0" w:color="C57368"/>
              <w:bottom w:val="single" w:sz="4" w:space="0" w:color="C57368"/>
              <w:right w:val="single" w:sz="4" w:space="0" w:color="C57368"/>
            </w:tcBorders>
            <w:vAlign w:val="center"/>
          </w:tcPr>
          <w:p w14:paraId="7B60B4B0"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c>
          <w:tcPr>
            <w:tcW w:w="572" w:type="pct"/>
            <w:tcBorders>
              <w:top w:val="single" w:sz="4" w:space="0" w:color="C57368"/>
              <w:left w:val="single" w:sz="4" w:space="0" w:color="C57368"/>
              <w:bottom w:val="single" w:sz="4" w:space="0" w:color="C57368"/>
              <w:right w:val="single" w:sz="4" w:space="0" w:color="C57368"/>
            </w:tcBorders>
            <w:vAlign w:val="center"/>
          </w:tcPr>
          <w:p w14:paraId="4800C8C9" w14:textId="77777777" w:rsidR="00CE5D8A" w:rsidRPr="00427B3A" w:rsidRDefault="00CE5D8A" w:rsidP="00586FD8">
            <w:pPr>
              <w:jc w:val="center"/>
              <w:rPr>
                <w:sz w:val="20"/>
                <w:szCs w:val="20"/>
              </w:rPr>
            </w:pPr>
          </w:p>
        </w:tc>
        <w:tc>
          <w:tcPr>
            <w:tcW w:w="683" w:type="pct"/>
            <w:tcBorders>
              <w:top w:val="single" w:sz="4" w:space="0" w:color="C57368"/>
              <w:left w:val="single" w:sz="4" w:space="0" w:color="C57368"/>
              <w:bottom w:val="single" w:sz="4" w:space="0" w:color="C57368"/>
              <w:right w:val="single" w:sz="8" w:space="0" w:color="C57368"/>
            </w:tcBorders>
            <w:vAlign w:val="center"/>
          </w:tcPr>
          <w:p w14:paraId="6123A2CE" w14:textId="77777777" w:rsidR="00CE5D8A" w:rsidRPr="00427B3A" w:rsidRDefault="00CE5D8A" w:rsidP="00586FD8">
            <w:pPr>
              <w:jc w:val="center"/>
              <w:rPr>
                <w:sz w:val="20"/>
                <w:szCs w:val="20"/>
              </w:rPr>
            </w:pPr>
          </w:p>
        </w:tc>
      </w:tr>
      <w:tr w:rsidR="00CE5D8A" w:rsidRPr="00427B3A" w14:paraId="2C599FBB" w14:textId="77777777" w:rsidTr="00586FD8">
        <w:trPr>
          <w:trHeight w:hRule="exact" w:val="1393"/>
        </w:trPr>
        <w:tc>
          <w:tcPr>
            <w:tcW w:w="1695" w:type="pct"/>
            <w:tcBorders>
              <w:top w:val="single" w:sz="4" w:space="0" w:color="C57368"/>
              <w:left w:val="single" w:sz="8" w:space="0" w:color="C57368"/>
              <w:bottom w:val="single" w:sz="4" w:space="0" w:color="C57368"/>
              <w:right w:val="single" w:sz="4" w:space="0" w:color="C57368"/>
            </w:tcBorders>
          </w:tcPr>
          <w:p w14:paraId="6BDB06C3" w14:textId="0EB0B59A" w:rsidR="00CE5D8A" w:rsidRPr="00427B3A" w:rsidRDefault="002E122E" w:rsidP="00586FD8">
            <w:pPr>
              <w:pStyle w:val="TableParagraph"/>
              <w:kinsoku w:val="0"/>
              <w:overflowPunct w:val="0"/>
              <w:jc w:val="both"/>
              <w:rPr>
                <w:sz w:val="20"/>
                <w:szCs w:val="20"/>
              </w:rPr>
            </w:pPr>
            <w:r w:rsidRPr="000761E9">
              <w:rPr>
                <w:color w:val="231F20"/>
                <w:sz w:val="20"/>
                <w:szCs w:val="20"/>
              </w:rPr>
              <w:t>15.1. tematā aprakstītās Iestādes/valdības tiesības uz vairāk nekā 20 % (bet nepārsniedzot vienu trešdaļu) peļņas</w:t>
            </w:r>
          </w:p>
        </w:tc>
        <w:tc>
          <w:tcPr>
            <w:tcW w:w="648" w:type="pct"/>
            <w:tcBorders>
              <w:top w:val="single" w:sz="4" w:space="0" w:color="C57368"/>
              <w:left w:val="single" w:sz="4" w:space="0" w:color="C57368"/>
              <w:bottom w:val="single" w:sz="4" w:space="0" w:color="C57368"/>
              <w:right w:val="single" w:sz="4" w:space="0" w:color="C57368"/>
            </w:tcBorders>
            <w:vAlign w:val="center"/>
          </w:tcPr>
          <w:p w14:paraId="4C9F652B" w14:textId="41FE2274" w:rsidR="00CE5D8A" w:rsidRPr="00427B3A" w:rsidRDefault="00CE5D8A" w:rsidP="00586FD8">
            <w:pPr>
              <w:pStyle w:val="TableParagraph"/>
              <w:kinsoku w:val="0"/>
              <w:overflowPunct w:val="0"/>
              <w:jc w:val="center"/>
              <w:rPr>
                <w:sz w:val="20"/>
                <w:szCs w:val="20"/>
              </w:rPr>
            </w:pPr>
            <w:r w:rsidRPr="00427B3A">
              <w:rPr>
                <w:color w:val="231F20"/>
                <w:sz w:val="20"/>
                <w:szCs w:val="20"/>
              </w:rPr>
              <w:t>15.1</w:t>
            </w:r>
            <w:r w:rsidR="00DC1556">
              <w:rPr>
                <w:color w:val="231F20"/>
                <w:sz w:val="20"/>
                <w:szCs w:val="20"/>
              </w:rPr>
              <w:t>.</w:t>
            </w:r>
          </w:p>
        </w:tc>
        <w:tc>
          <w:tcPr>
            <w:tcW w:w="791" w:type="pct"/>
            <w:tcBorders>
              <w:top w:val="single" w:sz="4" w:space="0" w:color="C57368"/>
              <w:left w:val="single" w:sz="4" w:space="0" w:color="C57368"/>
              <w:bottom w:val="single" w:sz="4" w:space="0" w:color="C57368"/>
              <w:right w:val="single" w:sz="4" w:space="0" w:color="C57368"/>
            </w:tcBorders>
            <w:vAlign w:val="center"/>
          </w:tcPr>
          <w:p w14:paraId="19F9060E" w14:textId="77777777" w:rsidR="00CE5D8A" w:rsidRPr="00427B3A" w:rsidRDefault="00CE5D8A" w:rsidP="00586FD8">
            <w:pPr>
              <w:jc w:val="center"/>
              <w:rPr>
                <w:sz w:val="20"/>
                <w:szCs w:val="20"/>
              </w:rPr>
            </w:pPr>
          </w:p>
        </w:tc>
        <w:tc>
          <w:tcPr>
            <w:tcW w:w="611" w:type="pct"/>
            <w:tcBorders>
              <w:top w:val="single" w:sz="4" w:space="0" w:color="C57368"/>
              <w:left w:val="single" w:sz="4" w:space="0" w:color="C57368"/>
              <w:bottom w:val="single" w:sz="4" w:space="0" w:color="C57368"/>
              <w:right w:val="single" w:sz="4" w:space="0" w:color="C57368"/>
            </w:tcBorders>
            <w:vAlign w:val="center"/>
          </w:tcPr>
          <w:p w14:paraId="0169FBFD" w14:textId="77777777" w:rsidR="00CE5D8A" w:rsidRPr="00427B3A" w:rsidRDefault="00CE5D8A" w:rsidP="00586FD8">
            <w:pPr>
              <w:jc w:val="center"/>
              <w:rPr>
                <w:sz w:val="20"/>
                <w:szCs w:val="20"/>
              </w:rPr>
            </w:pPr>
          </w:p>
        </w:tc>
        <w:tc>
          <w:tcPr>
            <w:tcW w:w="572" w:type="pct"/>
            <w:tcBorders>
              <w:top w:val="single" w:sz="4" w:space="0" w:color="C57368"/>
              <w:left w:val="single" w:sz="4" w:space="0" w:color="C57368"/>
              <w:bottom w:val="single" w:sz="4" w:space="0" w:color="C57368"/>
              <w:right w:val="single" w:sz="4" w:space="0" w:color="C57368"/>
            </w:tcBorders>
            <w:vAlign w:val="center"/>
          </w:tcPr>
          <w:p w14:paraId="59F4D587"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c>
          <w:tcPr>
            <w:tcW w:w="683" w:type="pct"/>
            <w:tcBorders>
              <w:top w:val="single" w:sz="4" w:space="0" w:color="C57368"/>
              <w:left w:val="single" w:sz="4" w:space="0" w:color="C57368"/>
              <w:bottom w:val="single" w:sz="4" w:space="0" w:color="C57368"/>
              <w:right w:val="single" w:sz="8" w:space="0" w:color="C57368"/>
            </w:tcBorders>
            <w:vAlign w:val="center"/>
          </w:tcPr>
          <w:p w14:paraId="20B073DD" w14:textId="77777777" w:rsidR="00CE5D8A" w:rsidRPr="00427B3A" w:rsidRDefault="00CE5D8A" w:rsidP="00586FD8">
            <w:pPr>
              <w:jc w:val="center"/>
              <w:rPr>
                <w:sz w:val="20"/>
                <w:szCs w:val="20"/>
              </w:rPr>
            </w:pPr>
          </w:p>
        </w:tc>
      </w:tr>
      <w:tr w:rsidR="00CE5D8A" w:rsidRPr="00427B3A" w14:paraId="049FB441" w14:textId="77777777" w:rsidTr="00586FD8">
        <w:trPr>
          <w:trHeight w:hRule="exact" w:val="1393"/>
        </w:trPr>
        <w:tc>
          <w:tcPr>
            <w:tcW w:w="1695" w:type="pct"/>
            <w:tcBorders>
              <w:top w:val="single" w:sz="4" w:space="0" w:color="C57368"/>
              <w:left w:val="single" w:sz="8" w:space="0" w:color="C57368"/>
              <w:bottom w:val="single" w:sz="4" w:space="0" w:color="C57368"/>
              <w:right w:val="single" w:sz="4" w:space="0" w:color="C57368"/>
            </w:tcBorders>
          </w:tcPr>
          <w:p w14:paraId="0551967D" w14:textId="3AC96A27" w:rsidR="00CE5D8A" w:rsidRPr="00427B3A" w:rsidRDefault="002E122E" w:rsidP="00586FD8">
            <w:pPr>
              <w:pStyle w:val="TableParagraph"/>
              <w:kinsoku w:val="0"/>
              <w:overflowPunct w:val="0"/>
              <w:jc w:val="both"/>
              <w:rPr>
                <w:sz w:val="20"/>
                <w:szCs w:val="20"/>
              </w:rPr>
            </w:pPr>
            <w:r w:rsidRPr="000761E9">
              <w:rPr>
                <w:color w:val="231F20"/>
                <w:sz w:val="20"/>
                <w:szCs w:val="20"/>
              </w:rPr>
              <w:t>15.1. tematā aprakstītās Iestādes/valdības tiesības uz vairāk nekā 10 % (bez nepārsniedzot 20 %) peļņas</w:t>
            </w:r>
          </w:p>
        </w:tc>
        <w:tc>
          <w:tcPr>
            <w:tcW w:w="648" w:type="pct"/>
            <w:tcBorders>
              <w:top w:val="single" w:sz="4" w:space="0" w:color="C57368"/>
              <w:left w:val="single" w:sz="4" w:space="0" w:color="C57368"/>
              <w:bottom w:val="single" w:sz="4" w:space="0" w:color="C57368"/>
              <w:right w:val="single" w:sz="4" w:space="0" w:color="C57368"/>
            </w:tcBorders>
            <w:vAlign w:val="center"/>
          </w:tcPr>
          <w:p w14:paraId="2606ECD0" w14:textId="4D7C9BF9" w:rsidR="00CE5D8A" w:rsidRPr="00427B3A" w:rsidRDefault="00CE5D8A" w:rsidP="00586FD8">
            <w:pPr>
              <w:pStyle w:val="TableParagraph"/>
              <w:kinsoku w:val="0"/>
              <w:overflowPunct w:val="0"/>
              <w:jc w:val="center"/>
              <w:rPr>
                <w:sz w:val="20"/>
                <w:szCs w:val="20"/>
              </w:rPr>
            </w:pPr>
            <w:r w:rsidRPr="00427B3A">
              <w:rPr>
                <w:color w:val="231F20"/>
                <w:sz w:val="20"/>
                <w:szCs w:val="20"/>
              </w:rPr>
              <w:t>15.1</w:t>
            </w:r>
            <w:r w:rsidR="00DC1556">
              <w:rPr>
                <w:color w:val="231F20"/>
                <w:sz w:val="20"/>
                <w:szCs w:val="20"/>
              </w:rPr>
              <w:t>.</w:t>
            </w:r>
          </w:p>
        </w:tc>
        <w:tc>
          <w:tcPr>
            <w:tcW w:w="791" w:type="pct"/>
            <w:tcBorders>
              <w:top w:val="single" w:sz="4" w:space="0" w:color="C57368"/>
              <w:left w:val="single" w:sz="4" w:space="0" w:color="C57368"/>
              <w:bottom w:val="single" w:sz="4" w:space="0" w:color="C57368"/>
              <w:right w:val="single" w:sz="4" w:space="0" w:color="C57368"/>
            </w:tcBorders>
            <w:vAlign w:val="center"/>
          </w:tcPr>
          <w:p w14:paraId="72B7B243" w14:textId="77777777" w:rsidR="00CE5D8A" w:rsidRPr="00427B3A" w:rsidRDefault="00CE5D8A" w:rsidP="00586FD8">
            <w:pPr>
              <w:jc w:val="center"/>
              <w:rPr>
                <w:sz w:val="20"/>
                <w:szCs w:val="20"/>
              </w:rPr>
            </w:pPr>
          </w:p>
        </w:tc>
        <w:tc>
          <w:tcPr>
            <w:tcW w:w="611" w:type="pct"/>
            <w:tcBorders>
              <w:top w:val="single" w:sz="4" w:space="0" w:color="C57368"/>
              <w:left w:val="single" w:sz="4" w:space="0" w:color="C57368"/>
              <w:bottom w:val="single" w:sz="4" w:space="0" w:color="C57368"/>
              <w:right w:val="single" w:sz="4" w:space="0" w:color="C57368"/>
            </w:tcBorders>
            <w:vAlign w:val="center"/>
          </w:tcPr>
          <w:p w14:paraId="0C3EB838" w14:textId="77777777" w:rsidR="00CE5D8A" w:rsidRPr="00427B3A" w:rsidRDefault="00CE5D8A" w:rsidP="00586FD8">
            <w:pPr>
              <w:jc w:val="center"/>
              <w:rPr>
                <w:sz w:val="20"/>
                <w:szCs w:val="20"/>
              </w:rPr>
            </w:pPr>
          </w:p>
        </w:tc>
        <w:tc>
          <w:tcPr>
            <w:tcW w:w="572" w:type="pct"/>
            <w:tcBorders>
              <w:top w:val="single" w:sz="4" w:space="0" w:color="C57368"/>
              <w:left w:val="single" w:sz="4" w:space="0" w:color="C57368"/>
              <w:bottom w:val="single" w:sz="4" w:space="0" w:color="C57368"/>
              <w:right w:val="single" w:sz="4" w:space="0" w:color="C57368"/>
            </w:tcBorders>
            <w:vAlign w:val="center"/>
          </w:tcPr>
          <w:p w14:paraId="5D2DE3D4" w14:textId="77777777" w:rsidR="00CE5D8A" w:rsidRPr="00427B3A" w:rsidRDefault="00CE5D8A" w:rsidP="00586FD8">
            <w:pPr>
              <w:jc w:val="center"/>
              <w:rPr>
                <w:sz w:val="20"/>
                <w:szCs w:val="20"/>
              </w:rPr>
            </w:pPr>
          </w:p>
        </w:tc>
        <w:tc>
          <w:tcPr>
            <w:tcW w:w="683" w:type="pct"/>
            <w:tcBorders>
              <w:top w:val="single" w:sz="4" w:space="0" w:color="C57368"/>
              <w:left w:val="single" w:sz="4" w:space="0" w:color="C57368"/>
              <w:bottom w:val="single" w:sz="4" w:space="0" w:color="C57368"/>
              <w:right w:val="single" w:sz="8" w:space="0" w:color="C57368"/>
            </w:tcBorders>
            <w:vAlign w:val="center"/>
          </w:tcPr>
          <w:p w14:paraId="448A31A7"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r>
      <w:tr w:rsidR="00CE5D8A" w:rsidRPr="00427B3A" w14:paraId="5B44FD4C" w14:textId="77777777" w:rsidTr="00586FD8">
        <w:trPr>
          <w:trHeight w:hRule="exact" w:val="708"/>
        </w:trPr>
        <w:tc>
          <w:tcPr>
            <w:tcW w:w="1695" w:type="pct"/>
            <w:tcBorders>
              <w:top w:val="single" w:sz="4" w:space="0" w:color="C57368"/>
              <w:left w:val="single" w:sz="8" w:space="0" w:color="C57368"/>
              <w:bottom w:val="single" w:sz="4" w:space="0" w:color="C57368"/>
              <w:right w:val="single" w:sz="4" w:space="0" w:color="C57368"/>
            </w:tcBorders>
          </w:tcPr>
          <w:p w14:paraId="7DD2DA41" w14:textId="301281DA" w:rsidR="00CE5D8A" w:rsidRPr="00427B3A" w:rsidRDefault="002E122E" w:rsidP="00586FD8">
            <w:pPr>
              <w:pStyle w:val="TableParagraph"/>
              <w:kinsoku w:val="0"/>
              <w:overflowPunct w:val="0"/>
              <w:jc w:val="both"/>
              <w:rPr>
                <w:sz w:val="20"/>
                <w:szCs w:val="20"/>
              </w:rPr>
            </w:pPr>
            <w:r w:rsidRPr="000761E9">
              <w:rPr>
                <w:color w:val="231F20"/>
                <w:sz w:val="20"/>
                <w:szCs w:val="20"/>
              </w:rPr>
              <w:t>Iestādes tiesības iejaukties. 15.3. tematā aprakstītie jautājumi</w:t>
            </w:r>
          </w:p>
        </w:tc>
        <w:tc>
          <w:tcPr>
            <w:tcW w:w="648" w:type="pct"/>
            <w:tcBorders>
              <w:top w:val="single" w:sz="4" w:space="0" w:color="C57368"/>
              <w:left w:val="single" w:sz="4" w:space="0" w:color="C57368"/>
              <w:bottom w:val="single" w:sz="4" w:space="0" w:color="C57368"/>
              <w:right w:val="single" w:sz="4" w:space="0" w:color="C57368"/>
            </w:tcBorders>
            <w:vAlign w:val="center"/>
          </w:tcPr>
          <w:p w14:paraId="1D0BFC1B" w14:textId="40788582" w:rsidR="00CE5D8A" w:rsidRPr="00427B3A" w:rsidRDefault="00CE5D8A" w:rsidP="00586FD8">
            <w:pPr>
              <w:pStyle w:val="TableParagraph"/>
              <w:kinsoku w:val="0"/>
              <w:overflowPunct w:val="0"/>
              <w:jc w:val="center"/>
              <w:rPr>
                <w:sz w:val="20"/>
                <w:szCs w:val="20"/>
              </w:rPr>
            </w:pPr>
            <w:r w:rsidRPr="00427B3A">
              <w:rPr>
                <w:color w:val="231F20"/>
                <w:sz w:val="20"/>
                <w:szCs w:val="20"/>
              </w:rPr>
              <w:t>15.3</w:t>
            </w:r>
            <w:r w:rsidR="00DC1556">
              <w:rPr>
                <w:color w:val="231F20"/>
                <w:sz w:val="20"/>
                <w:szCs w:val="20"/>
              </w:rPr>
              <w:t>.</w:t>
            </w:r>
          </w:p>
        </w:tc>
        <w:tc>
          <w:tcPr>
            <w:tcW w:w="791" w:type="pct"/>
            <w:tcBorders>
              <w:top w:val="single" w:sz="4" w:space="0" w:color="C57368"/>
              <w:left w:val="single" w:sz="4" w:space="0" w:color="C57368"/>
              <w:bottom w:val="single" w:sz="4" w:space="0" w:color="C57368"/>
              <w:right w:val="single" w:sz="4" w:space="0" w:color="C57368"/>
            </w:tcBorders>
            <w:vAlign w:val="center"/>
          </w:tcPr>
          <w:p w14:paraId="6FD36176" w14:textId="77777777" w:rsidR="00CE5D8A" w:rsidRPr="00427B3A" w:rsidRDefault="00CE5D8A" w:rsidP="00586FD8">
            <w:pPr>
              <w:jc w:val="center"/>
              <w:rPr>
                <w:sz w:val="20"/>
                <w:szCs w:val="20"/>
              </w:rPr>
            </w:pPr>
          </w:p>
        </w:tc>
        <w:tc>
          <w:tcPr>
            <w:tcW w:w="611" w:type="pct"/>
            <w:tcBorders>
              <w:top w:val="single" w:sz="4" w:space="0" w:color="C57368"/>
              <w:left w:val="single" w:sz="4" w:space="0" w:color="C57368"/>
              <w:bottom w:val="single" w:sz="4" w:space="0" w:color="C57368"/>
              <w:right w:val="single" w:sz="4" w:space="0" w:color="C57368"/>
            </w:tcBorders>
            <w:vAlign w:val="center"/>
          </w:tcPr>
          <w:p w14:paraId="1B4EDAEA" w14:textId="77777777" w:rsidR="00CE5D8A" w:rsidRPr="00427B3A" w:rsidRDefault="00CE5D8A" w:rsidP="00586FD8">
            <w:pPr>
              <w:jc w:val="center"/>
              <w:rPr>
                <w:sz w:val="20"/>
                <w:szCs w:val="20"/>
              </w:rPr>
            </w:pPr>
          </w:p>
        </w:tc>
        <w:tc>
          <w:tcPr>
            <w:tcW w:w="572" w:type="pct"/>
            <w:tcBorders>
              <w:top w:val="single" w:sz="4" w:space="0" w:color="C57368"/>
              <w:left w:val="single" w:sz="4" w:space="0" w:color="C57368"/>
              <w:bottom w:val="single" w:sz="4" w:space="0" w:color="C57368"/>
              <w:right w:val="single" w:sz="4" w:space="0" w:color="C57368"/>
            </w:tcBorders>
            <w:vAlign w:val="center"/>
          </w:tcPr>
          <w:p w14:paraId="3B30FDFA" w14:textId="77777777" w:rsidR="00CE5D8A" w:rsidRPr="00427B3A" w:rsidRDefault="00CE5D8A" w:rsidP="00586FD8">
            <w:pPr>
              <w:jc w:val="center"/>
              <w:rPr>
                <w:sz w:val="20"/>
                <w:szCs w:val="20"/>
              </w:rPr>
            </w:pPr>
          </w:p>
        </w:tc>
        <w:tc>
          <w:tcPr>
            <w:tcW w:w="683" w:type="pct"/>
            <w:tcBorders>
              <w:top w:val="single" w:sz="4" w:space="0" w:color="C57368"/>
              <w:left w:val="single" w:sz="4" w:space="0" w:color="C57368"/>
              <w:bottom w:val="single" w:sz="4" w:space="0" w:color="C57368"/>
              <w:right w:val="single" w:sz="8" w:space="0" w:color="C57368"/>
            </w:tcBorders>
            <w:vAlign w:val="center"/>
          </w:tcPr>
          <w:p w14:paraId="618C37C9"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r>
      <w:tr w:rsidR="00CE5D8A" w:rsidRPr="00427B3A" w14:paraId="23BED7E2" w14:textId="77777777" w:rsidTr="002E122E">
        <w:trPr>
          <w:trHeight w:hRule="exact" w:val="1233"/>
        </w:trPr>
        <w:tc>
          <w:tcPr>
            <w:tcW w:w="1695" w:type="pct"/>
            <w:tcBorders>
              <w:top w:val="single" w:sz="4" w:space="0" w:color="C57368"/>
              <w:left w:val="single" w:sz="8" w:space="0" w:color="C57368"/>
              <w:bottom w:val="single" w:sz="8" w:space="0" w:color="C57368"/>
              <w:right w:val="single" w:sz="4" w:space="0" w:color="C57368"/>
            </w:tcBorders>
          </w:tcPr>
          <w:p w14:paraId="00B6404E" w14:textId="7E5920CC" w:rsidR="00CE5D8A" w:rsidRPr="00427B3A" w:rsidRDefault="002E122E" w:rsidP="00586FD8">
            <w:pPr>
              <w:pStyle w:val="TableParagraph"/>
              <w:kinsoku w:val="0"/>
              <w:overflowPunct w:val="0"/>
              <w:jc w:val="both"/>
              <w:rPr>
                <w:sz w:val="20"/>
                <w:szCs w:val="20"/>
              </w:rPr>
            </w:pPr>
            <w:r w:rsidRPr="000761E9">
              <w:rPr>
                <w:color w:val="231F20"/>
                <w:sz w:val="20"/>
                <w:szCs w:val="20"/>
              </w:rPr>
              <w:t>Partnera peļņas vai ieņēmumu maksimālais apmērs. 15.4. tematā aprakstītie noteikumi par Partnera peļņas vai ieņēmumu maksimālo apmēru</w:t>
            </w:r>
          </w:p>
        </w:tc>
        <w:tc>
          <w:tcPr>
            <w:tcW w:w="648" w:type="pct"/>
            <w:tcBorders>
              <w:top w:val="single" w:sz="4" w:space="0" w:color="C57368"/>
              <w:left w:val="single" w:sz="4" w:space="0" w:color="C57368"/>
              <w:bottom w:val="single" w:sz="8" w:space="0" w:color="C57368"/>
              <w:right w:val="single" w:sz="4" w:space="0" w:color="C57368"/>
            </w:tcBorders>
            <w:vAlign w:val="center"/>
          </w:tcPr>
          <w:p w14:paraId="6ACD8ED4" w14:textId="6AA6B533" w:rsidR="00CE5D8A" w:rsidRPr="00427B3A" w:rsidRDefault="00CE5D8A" w:rsidP="00586FD8">
            <w:pPr>
              <w:pStyle w:val="TableParagraph"/>
              <w:kinsoku w:val="0"/>
              <w:overflowPunct w:val="0"/>
              <w:jc w:val="center"/>
              <w:rPr>
                <w:sz w:val="20"/>
                <w:szCs w:val="20"/>
              </w:rPr>
            </w:pPr>
            <w:r w:rsidRPr="00427B3A">
              <w:rPr>
                <w:color w:val="231F20"/>
                <w:sz w:val="20"/>
                <w:szCs w:val="20"/>
              </w:rPr>
              <w:t>15.4</w:t>
            </w:r>
            <w:r w:rsidR="00DC1556">
              <w:rPr>
                <w:color w:val="231F20"/>
                <w:sz w:val="20"/>
                <w:szCs w:val="20"/>
              </w:rPr>
              <w:t>.</w:t>
            </w:r>
          </w:p>
        </w:tc>
        <w:tc>
          <w:tcPr>
            <w:tcW w:w="791" w:type="pct"/>
            <w:tcBorders>
              <w:top w:val="single" w:sz="4" w:space="0" w:color="C57368"/>
              <w:left w:val="single" w:sz="4" w:space="0" w:color="C57368"/>
              <w:bottom w:val="single" w:sz="8" w:space="0" w:color="C57368"/>
              <w:right w:val="single" w:sz="4" w:space="0" w:color="C57368"/>
            </w:tcBorders>
            <w:vAlign w:val="center"/>
          </w:tcPr>
          <w:p w14:paraId="6AED5872" w14:textId="77777777" w:rsidR="00CE5D8A" w:rsidRPr="00427B3A" w:rsidRDefault="00CE5D8A" w:rsidP="00586FD8">
            <w:pPr>
              <w:pStyle w:val="TableParagraph"/>
              <w:kinsoku w:val="0"/>
              <w:overflowPunct w:val="0"/>
              <w:jc w:val="center"/>
              <w:rPr>
                <w:sz w:val="20"/>
                <w:szCs w:val="20"/>
              </w:rPr>
            </w:pPr>
            <w:r w:rsidRPr="00427B3A">
              <w:rPr>
                <w:color w:val="C57368"/>
                <w:sz w:val="20"/>
                <w:szCs w:val="20"/>
              </w:rPr>
              <w:sym w:font="Symbol" w:char="F0D6"/>
            </w:r>
          </w:p>
        </w:tc>
        <w:tc>
          <w:tcPr>
            <w:tcW w:w="611" w:type="pct"/>
            <w:tcBorders>
              <w:top w:val="single" w:sz="4" w:space="0" w:color="C57368"/>
              <w:left w:val="single" w:sz="4" w:space="0" w:color="C57368"/>
              <w:bottom w:val="single" w:sz="8" w:space="0" w:color="C57368"/>
              <w:right w:val="single" w:sz="4" w:space="0" w:color="C57368"/>
            </w:tcBorders>
            <w:vAlign w:val="center"/>
          </w:tcPr>
          <w:p w14:paraId="2E66F557" w14:textId="77777777" w:rsidR="00CE5D8A" w:rsidRPr="00427B3A" w:rsidRDefault="00CE5D8A" w:rsidP="00586FD8">
            <w:pPr>
              <w:jc w:val="center"/>
              <w:rPr>
                <w:sz w:val="20"/>
                <w:szCs w:val="20"/>
              </w:rPr>
            </w:pPr>
          </w:p>
        </w:tc>
        <w:tc>
          <w:tcPr>
            <w:tcW w:w="572" w:type="pct"/>
            <w:tcBorders>
              <w:top w:val="single" w:sz="4" w:space="0" w:color="C57368"/>
              <w:left w:val="single" w:sz="4" w:space="0" w:color="C57368"/>
              <w:bottom w:val="single" w:sz="8" w:space="0" w:color="C57368"/>
              <w:right w:val="single" w:sz="4" w:space="0" w:color="C57368"/>
            </w:tcBorders>
            <w:vAlign w:val="center"/>
          </w:tcPr>
          <w:p w14:paraId="3EDEE20C" w14:textId="77777777" w:rsidR="00CE5D8A" w:rsidRPr="00427B3A" w:rsidRDefault="00CE5D8A" w:rsidP="00586FD8">
            <w:pPr>
              <w:jc w:val="center"/>
              <w:rPr>
                <w:sz w:val="20"/>
                <w:szCs w:val="20"/>
              </w:rPr>
            </w:pPr>
          </w:p>
        </w:tc>
        <w:tc>
          <w:tcPr>
            <w:tcW w:w="683" w:type="pct"/>
            <w:tcBorders>
              <w:top w:val="single" w:sz="4" w:space="0" w:color="C57368"/>
              <w:left w:val="single" w:sz="4" w:space="0" w:color="C57368"/>
              <w:bottom w:val="single" w:sz="8" w:space="0" w:color="C57368"/>
              <w:right w:val="single" w:sz="8" w:space="0" w:color="C57368"/>
            </w:tcBorders>
            <w:vAlign w:val="center"/>
          </w:tcPr>
          <w:p w14:paraId="0792BF3A" w14:textId="77777777" w:rsidR="00CE5D8A" w:rsidRPr="00427B3A" w:rsidRDefault="00CE5D8A" w:rsidP="00586FD8">
            <w:pPr>
              <w:jc w:val="center"/>
              <w:rPr>
                <w:sz w:val="20"/>
                <w:szCs w:val="20"/>
              </w:rPr>
            </w:pPr>
          </w:p>
        </w:tc>
      </w:tr>
    </w:tbl>
    <w:p w14:paraId="691A7AAB" w14:textId="37E0DE52" w:rsidR="00CE5D8A" w:rsidRDefault="00CE5D8A" w:rsidP="00D43EDD">
      <w:pPr>
        <w:spacing w:after="0" w:line="240" w:lineRule="auto"/>
        <w:jc w:val="both"/>
        <w:rPr>
          <w:rFonts w:ascii="Times New Roman" w:eastAsia="Times New Roman" w:hAnsi="Times New Roman" w:cs="Times New Roman"/>
          <w:color w:val="231F20"/>
          <w:sz w:val="24"/>
          <w:szCs w:val="24"/>
          <w:lang w:eastAsia="lv-LV"/>
        </w:rPr>
      </w:pPr>
    </w:p>
    <w:p w14:paraId="538175AC" w14:textId="45E92D65" w:rsidR="002E122E" w:rsidRDefault="002E122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D7F47AC" w14:textId="36ED4C01" w:rsidR="00CE5D8A" w:rsidRDefault="00CE5D8A" w:rsidP="00D43EDD">
      <w:pPr>
        <w:spacing w:after="0" w:line="240" w:lineRule="auto"/>
        <w:jc w:val="both"/>
        <w:rPr>
          <w:rFonts w:ascii="Times New Roman" w:eastAsia="Times New Roman" w:hAnsi="Times New Roman" w:cs="Times New Roman"/>
          <w:sz w:val="24"/>
          <w:szCs w:val="24"/>
          <w:lang w:eastAsia="lv-LV"/>
        </w:rPr>
      </w:pPr>
    </w:p>
    <w:tbl>
      <w:tblPr>
        <w:tblW w:w="0" w:type="auto"/>
        <w:tblCellMar>
          <w:top w:w="28" w:type="dxa"/>
          <w:left w:w="28" w:type="dxa"/>
          <w:bottom w:w="28" w:type="dxa"/>
          <w:right w:w="28" w:type="dxa"/>
        </w:tblCellMar>
        <w:tblLook w:val="04A0" w:firstRow="1" w:lastRow="0" w:firstColumn="1" w:lastColumn="0" w:noHBand="0" w:noVBand="1"/>
      </w:tblPr>
      <w:tblGrid>
        <w:gridCol w:w="2434"/>
        <w:gridCol w:w="2353"/>
        <w:gridCol w:w="3226"/>
        <w:gridCol w:w="1052"/>
      </w:tblGrid>
      <w:tr w:rsidR="002E122E" w:rsidRPr="004C0743" w14:paraId="69CA8429" w14:textId="77777777" w:rsidTr="00870922">
        <w:trPr>
          <w:trHeight w:val="5934"/>
        </w:trPr>
        <w:tc>
          <w:tcPr>
            <w:tcW w:w="2434" w:type="dxa"/>
            <w:shd w:val="clear" w:color="auto" w:fill="auto"/>
          </w:tcPr>
          <w:p w14:paraId="187C40C6" w14:textId="1E980CDE" w:rsidR="002E122E" w:rsidRPr="004C0743" w:rsidRDefault="002E122E" w:rsidP="00586FD8">
            <w:pPr>
              <w:pStyle w:val="Pamatteksts"/>
              <w:kinsoku w:val="0"/>
              <w:overflowPunct w:val="0"/>
              <w:ind w:left="0"/>
              <w:jc w:val="both"/>
              <w:rPr>
                <w:rFonts w:ascii="Times New Roman" w:hAnsi="Times New Roman"/>
                <w:noProof/>
                <w:sz w:val="20"/>
                <w:szCs w:val="20"/>
              </w:rPr>
            </w:pPr>
            <w:r w:rsidRPr="004C0743">
              <w:rPr>
                <w:rFonts w:ascii="Times New Roman" w:hAnsi="Times New Roman"/>
                <w:noProof/>
                <w:sz w:val="20"/>
                <w:szCs w:val="20"/>
              </w:rPr>
              <w:drawing>
                <wp:inline distT="0" distB="0" distL="0" distR="0" wp14:anchorId="3D1EE131" wp14:editId="3478EFE6">
                  <wp:extent cx="1509395" cy="603885"/>
                  <wp:effectExtent l="0" t="0" r="0" b="571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95" cy="603885"/>
                          </a:xfrm>
                          <a:prstGeom prst="rect">
                            <a:avLst/>
                          </a:prstGeom>
                          <a:noFill/>
                          <a:ln>
                            <a:noFill/>
                          </a:ln>
                        </pic:spPr>
                      </pic:pic>
                    </a:graphicData>
                  </a:graphic>
                </wp:inline>
              </w:drawing>
            </w:r>
          </w:p>
        </w:tc>
        <w:tc>
          <w:tcPr>
            <w:tcW w:w="2353" w:type="dxa"/>
            <w:shd w:val="clear" w:color="auto" w:fill="auto"/>
          </w:tcPr>
          <w:p w14:paraId="598A0D80" w14:textId="77777777" w:rsidR="004C0743" w:rsidRPr="004C0743" w:rsidRDefault="004C0743" w:rsidP="004C0743">
            <w:pPr>
              <w:spacing w:after="0" w:line="240" w:lineRule="auto"/>
              <w:jc w:val="both"/>
              <w:rPr>
                <w:rFonts w:ascii="Times New Roman" w:eastAsia="Times New Roman" w:hAnsi="Times New Roman" w:cs="Times New Roman"/>
                <w:sz w:val="20"/>
                <w:szCs w:val="20"/>
                <w:lang w:eastAsia="lv-LV"/>
              </w:rPr>
            </w:pPr>
            <w:r w:rsidRPr="004C0743">
              <w:rPr>
                <w:rFonts w:ascii="Times New Roman" w:eastAsia="Times New Roman" w:hAnsi="Times New Roman" w:cs="Times New Roman"/>
                <w:sz w:val="20"/>
                <w:szCs w:val="20"/>
                <w:lang w:eastAsia="lv-LV"/>
              </w:rPr>
              <w:t>Eiropas Investīciju banka</w:t>
            </w:r>
          </w:p>
          <w:p w14:paraId="788E88C5" w14:textId="2034C28A" w:rsidR="002E122E" w:rsidRPr="004C0743" w:rsidRDefault="004C0743" w:rsidP="004C0743">
            <w:pPr>
              <w:pStyle w:val="Pamatteksts"/>
              <w:kinsoku w:val="0"/>
              <w:overflowPunct w:val="0"/>
              <w:ind w:left="0"/>
              <w:jc w:val="both"/>
              <w:rPr>
                <w:rFonts w:ascii="Times New Roman" w:hAnsi="Times New Roman"/>
                <w:sz w:val="20"/>
                <w:szCs w:val="20"/>
              </w:rPr>
            </w:pPr>
            <w:r w:rsidRPr="004C0743">
              <w:rPr>
                <w:rFonts w:ascii="Times New Roman" w:hAnsi="Times New Roman" w:cs="Times New Roman"/>
                <w:sz w:val="20"/>
                <w:szCs w:val="20"/>
              </w:rPr>
              <w:t>ES banka</w:t>
            </w:r>
          </w:p>
        </w:tc>
        <w:tc>
          <w:tcPr>
            <w:tcW w:w="3226" w:type="dxa"/>
            <w:shd w:val="clear" w:color="auto" w:fill="auto"/>
          </w:tcPr>
          <w:p w14:paraId="0F21DE30" w14:textId="77777777" w:rsidR="002E122E" w:rsidRPr="004C0743" w:rsidRDefault="002E122E" w:rsidP="00586FD8">
            <w:pPr>
              <w:pStyle w:val="Pamatteksts"/>
              <w:kinsoku w:val="0"/>
              <w:overflowPunct w:val="0"/>
              <w:ind w:left="0"/>
              <w:jc w:val="both"/>
              <w:rPr>
                <w:rFonts w:ascii="Times New Roman" w:hAnsi="Times New Roman"/>
                <w:noProof/>
                <w:sz w:val="20"/>
                <w:szCs w:val="20"/>
              </w:rPr>
            </w:pPr>
          </w:p>
        </w:tc>
        <w:tc>
          <w:tcPr>
            <w:tcW w:w="1052" w:type="dxa"/>
            <w:shd w:val="clear" w:color="auto" w:fill="auto"/>
          </w:tcPr>
          <w:p w14:paraId="21558B37" w14:textId="77777777" w:rsidR="002E122E" w:rsidRPr="004C0743" w:rsidRDefault="002E122E" w:rsidP="00586FD8">
            <w:pPr>
              <w:pStyle w:val="Pamatteksts"/>
              <w:kinsoku w:val="0"/>
              <w:overflowPunct w:val="0"/>
              <w:ind w:left="0"/>
              <w:jc w:val="both"/>
              <w:rPr>
                <w:rFonts w:ascii="Times New Roman" w:hAnsi="Times New Roman"/>
                <w:sz w:val="20"/>
                <w:szCs w:val="20"/>
              </w:rPr>
            </w:pPr>
          </w:p>
        </w:tc>
      </w:tr>
      <w:tr w:rsidR="002E122E" w:rsidRPr="004C0743" w14:paraId="17117C4C" w14:textId="77777777" w:rsidTr="00870922">
        <w:trPr>
          <w:trHeight w:val="2490"/>
        </w:trPr>
        <w:tc>
          <w:tcPr>
            <w:tcW w:w="2434" w:type="dxa"/>
            <w:shd w:val="clear" w:color="auto" w:fill="auto"/>
          </w:tcPr>
          <w:p w14:paraId="193D082A" w14:textId="75600F8F" w:rsidR="002E122E" w:rsidRPr="004C0743" w:rsidRDefault="002E122E" w:rsidP="00870922">
            <w:pPr>
              <w:pStyle w:val="Pamatteksts"/>
              <w:kinsoku w:val="0"/>
              <w:overflowPunct w:val="0"/>
              <w:ind w:left="0"/>
              <w:rPr>
                <w:rFonts w:ascii="Times New Roman" w:hAnsi="Times New Roman"/>
                <w:sz w:val="20"/>
                <w:szCs w:val="20"/>
              </w:rPr>
            </w:pPr>
            <w:r w:rsidRPr="004C0743">
              <w:rPr>
                <w:rFonts w:ascii="Times New Roman" w:hAnsi="Times New Roman"/>
                <w:noProof/>
                <w:sz w:val="20"/>
                <w:szCs w:val="20"/>
              </w:rPr>
              <w:drawing>
                <wp:inline distT="0" distB="0" distL="0" distR="0" wp14:anchorId="64B1F8D4" wp14:editId="6E66B5F9">
                  <wp:extent cx="1138555" cy="474345"/>
                  <wp:effectExtent l="0" t="0" r="4445" b="190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8555" cy="474345"/>
                          </a:xfrm>
                          <a:prstGeom prst="rect">
                            <a:avLst/>
                          </a:prstGeom>
                          <a:noFill/>
                          <a:ln>
                            <a:noFill/>
                          </a:ln>
                        </pic:spPr>
                      </pic:pic>
                    </a:graphicData>
                  </a:graphic>
                </wp:inline>
              </w:drawing>
            </w:r>
          </w:p>
        </w:tc>
        <w:tc>
          <w:tcPr>
            <w:tcW w:w="2353" w:type="dxa"/>
            <w:shd w:val="clear" w:color="auto" w:fill="auto"/>
          </w:tcPr>
          <w:p w14:paraId="0C86B7EC" w14:textId="77777777" w:rsidR="004C0743" w:rsidRPr="004C0743" w:rsidRDefault="004C0743" w:rsidP="00870922">
            <w:pPr>
              <w:spacing w:after="0" w:line="240" w:lineRule="auto"/>
              <w:rPr>
                <w:rFonts w:ascii="Times New Roman" w:eastAsia="Times New Roman" w:hAnsi="Times New Roman" w:cs="Times New Roman"/>
                <w:sz w:val="20"/>
                <w:szCs w:val="20"/>
                <w:lang w:eastAsia="lv-LV"/>
              </w:rPr>
            </w:pPr>
            <w:r w:rsidRPr="004C0743">
              <w:rPr>
                <w:rFonts w:ascii="Times New Roman" w:eastAsia="Times New Roman" w:hAnsi="Times New Roman" w:cs="Times New Roman"/>
                <w:i/>
                <w:iCs/>
                <w:sz w:val="20"/>
                <w:szCs w:val="20"/>
                <w:lang w:eastAsia="lv-LV"/>
              </w:rPr>
              <w:t>EPEC</w:t>
            </w:r>
          </w:p>
          <w:p w14:paraId="1ED23B37" w14:textId="71EEE56A" w:rsidR="002E122E" w:rsidRPr="004C0743" w:rsidRDefault="004C0743" w:rsidP="00870922">
            <w:pPr>
              <w:spacing w:after="0" w:line="240" w:lineRule="auto"/>
              <w:rPr>
                <w:rFonts w:ascii="Times New Roman" w:eastAsia="Times New Roman" w:hAnsi="Times New Roman" w:cs="Times New Roman"/>
                <w:sz w:val="20"/>
                <w:szCs w:val="20"/>
                <w:lang w:eastAsia="lv-LV"/>
              </w:rPr>
            </w:pPr>
            <w:r w:rsidRPr="004C0743">
              <w:rPr>
                <w:rFonts w:ascii="Times New Roman" w:eastAsia="Times New Roman" w:hAnsi="Times New Roman" w:cs="Times New Roman"/>
                <w:sz w:val="20"/>
                <w:szCs w:val="20"/>
                <w:lang w:eastAsia="lv-LV"/>
              </w:rPr>
              <w:t>Eiropas Publiskās un privātās partnerības ekspertīzes centrs</w:t>
            </w:r>
          </w:p>
        </w:tc>
        <w:tc>
          <w:tcPr>
            <w:tcW w:w="3226" w:type="dxa"/>
            <w:shd w:val="clear" w:color="auto" w:fill="auto"/>
          </w:tcPr>
          <w:p w14:paraId="02367344" w14:textId="4BD7BFFC" w:rsidR="002E122E" w:rsidRPr="004C0743" w:rsidRDefault="002E122E" w:rsidP="00870922">
            <w:pPr>
              <w:pStyle w:val="Pamatteksts"/>
              <w:kinsoku w:val="0"/>
              <w:overflowPunct w:val="0"/>
              <w:ind w:left="0"/>
              <w:rPr>
                <w:rFonts w:ascii="Times New Roman" w:hAnsi="Times New Roman"/>
                <w:sz w:val="20"/>
                <w:szCs w:val="20"/>
              </w:rPr>
            </w:pPr>
            <w:r w:rsidRPr="004C0743">
              <w:rPr>
                <w:rFonts w:ascii="Times New Roman" w:hAnsi="Times New Roman"/>
                <w:noProof/>
                <w:sz w:val="20"/>
                <w:szCs w:val="20"/>
              </w:rPr>
              <w:drawing>
                <wp:inline distT="0" distB="0" distL="0" distR="0" wp14:anchorId="1AA3C9AA" wp14:editId="13735D87">
                  <wp:extent cx="1587500" cy="431165"/>
                  <wp:effectExtent l="0" t="0" r="0" b="698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0" cy="431165"/>
                          </a:xfrm>
                          <a:prstGeom prst="rect">
                            <a:avLst/>
                          </a:prstGeom>
                          <a:noFill/>
                          <a:ln>
                            <a:noFill/>
                          </a:ln>
                        </pic:spPr>
                      </pic:pic>
                    </a:graphicData>
                  </a:graphic>
                </wp:inline>
              </w:drawing>
            </w:r>
          </w:p>
        </w:tc>
        <w:tc>
          <w:tcPr>
            <w:tcW w:w="1052" w:type="dxa"/>
            <w:shd w:val="clear" w:color="auto" w:fill="auto"/>
          </w:tcPr>
          <w:p w14:paraId="7DF0B9B6" w14:textId="00397689" w:rsidR="002E122E" w:rsidRPr="004C0743" w:rsidRDefault="004C0743" w:rsidP="00870922">
            <w:pPr>
              <w:spacing w:after="0" w:line="240" w:lineRule="auto"/>
              <w:rPr>
                <w:rFonts w:ascii="Times New Roman" w:eastAsia="Times New Roman" w:hAnsi="Times New Roman" w:cs="Times New Roman"/>
                <w:sz w:val="20"/>
                <w:szCs w:val="20"/>
                <w:lang w:eastAsia="lv-LV"/>
              </w:rPr>
            </w:pPr>
            <w:r w:rsidRPr="004C0743">
              <w:rPr>
                <w:rFonts w:ascii="Times New Roman" w:eastAsia="Times New Roman" w:hAnsi="Times New Roman" w:cs="Times New Roman"/>
                <w:i/>
                <w:iCs/>
                <w:sz w:val="20"/>
                <w:szCs w:val="20"/>
                <w:lang w:eastAsia="lv-LV"/>
              </w:rPr>
              <w:t>Eurostat</w:t>
            </w:r>
          </w:p>
        </w:tc>
      </w:tr>
      <w:tr w:rsidR="002E122E" w:rsidRPr="004C0743" w14:paraId="23DDA2A0" w14:textId="77777777" w:rsidTr="00870922">
        <w:tc>
          <w:tcPr>
            <w:tcW w:w="4787" w:type="dxa"/>
            <w:gridSpan w:val="2"/>
            <w:shd w:val="clear" w:color="auto" w:fill="auto"/>
          </w:tcPr>
          <w:p w14:paraId="49762661" w14:textId="77777777" w:rsidR="004C0743" w:rsidRPr="004C0743" w:rsidRDefault="004C0743" w:rsidP="004C0743">
            <w:pPr>
              <w:spacing w:after="0" w:line="240" w:lineRule="auto"/>
              <w:jc w:val="both"/>
              <w:rPr>
                <w:rFonts w:ascii="Times New Roman" w:eastAsia="Times New Roman" w:hAnsi="Times New Roman" w:cs="Times New Roman"/>
                <w:b/>
                <w:bCs/>
                <w:color w:val="231F20"/>
                <w:sz w:val="20"/>
                <w:szCs w:val="20"/>
                <w:lang w:eastAsia="lv-LV"/>
              </w:rPr>
            </w:pPr>
            <w:r w:rsidRPr="004C0743">
              <w:rPr>
                <w:rFonts w:ascii="Times New Roman" w:eastAsia="Times New Roman" w:hAnsi="Times New Roman" w:cs="Times New Roman"/>
                <w:b/>
                <w:bCs/>
                <w:i/>
                <w:iCs/>
                <w:color w:val="231F20"/>
                <w:sz w:val="20"/>
                <w:szCs w:val="20"/>
                <w:lang w:eastAsia="lv-LV"/>
              </w:rPr>
              <w:t>EPEC</w:t>
            </w:r>
            <w:r w:rsidRPr="004C0743">
              <w:rPr>
                <w:rFonts w:ascii="Times New Roman" w:eastAsia="Times New Roman" w:hAnsi="Times New Roman" w:cs="Times New Roman"/>
                <w:b/>
                <w:bCs/>
                <w:color w:val="231F20"/>
                <w:sz w:val="20"/>
                <w:szCs w:val="20"/>
                <w:lang w:eastAsia="lv-LV"/>
              </w:rPr>
              <w:t xml:space="preserve"> sekretariāts</w:t>
            </w:r>
          </w:p>
          <w:p w14:paraId="54AB277C"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color w:val="231F20"/>
                <w:sz w:val="20"/>
                <w:szCs w:val="20"/>
                <w:lang w:eastAsia="lv-LV"/>
              </w:rPr>
              <w:t>+352 4379-22022</w:t>
            </w:r>
          </w:p>
          <w:p w14:paraId="4516AE7E"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color w:val="231F20"/>
                <w:sz w:val="20"/>
                <w:szCs w:val="20"/>
                <w:lang w:eastAsia="lv-LV"/>
              </w:rPr>
              <w:t>+352 4379-65499</w:t>
            </w:r>
          </w:p>
          <w:p w14:paraId="1230E793" w14:textId="77777777" w:rsidR="004C0743" w:rsidRPr="004C0743" w:rsidRDefault="004C0743" w:rsidP="004C0743">
            <w:pPr>
              <w:spacing w:after="0" w:line="240" w:lineRule="auto"/>
              <w:jc w:val="both"/>
              <w:rPr>
                <w:rFonts w:ascii="Times New Roman" w:eastAsia="Times New Roman" w:hAnsi="Times New Roman" w:cs="Times New Roman"/>
                <w:b/>
                <w:bCs/>
                <w:color w:val="005CAB"/>
                <w:sz w:val="20"/>
                <w:szCs w:val="20"/>
                <w:lang w:eastAsia="lv-LV"/>
              </w:rPr>
            </w:pPr>
            <w:r w:rsidRPr="004C0743">
              <w:rPr>
                <w:rFonts w:ascii="Times New Roman" w:eastAsia="Times New Roman" w:hAnsi="Times New Roman" w:cs="Times New Roman"/>
                <w:b/>
                <w:bCs/>
                <w:color w:val="005CAB"/>
                <w:sz w:val="20"/>
                <w:szCs w:val="20"/>
                <w:lang w:eastAsia="lv-LV"/>
              </w:rPr>
              <w:t>www.eib.org/epec</w:t>
            </w:r>
          </w:p>
          <w:p w14:paraId="598BDB5A" w14:textId="5CEABCCB" w:rsidR="002E122E" w:rsidRPr="004C0743" w:rsidRDefault="004C0743" w:rsidP="004C0743">
            <w:pPr>
              <w:spacing w:after="0" w:line="240" w:lineRule="auto"/>
              <w:jc w:val="both"/>
              <w:rPr>
                <w:rFonts w:ascii="Times New Roman" w:eastAsia="Times New Roman" w:hAnsi="Times New Roman" w:cs="Times New Roman"/>
                <w:b/>
                <w:bCs/>
                <w:color w:val="005CAB"/>
                <w:sz w:val="20"/>
                <w:szCs w:val="20"/>
                <w:lang w:eastAsia="lv-LV"/>
              </w:rPr>
            </w:pPr>
            <w:r w:rsidRPr="004C0743">
              <w:rPr>
                <w:rFonts w:ascii="Times New Roman" w:eastAsia="Times New Roman" w:hAnsi="Times New Roman" w:cs="Times New Roman"/>
                <w:b/>
                <w:bCs/>
                <w:color w:val="005CAB"/>
                <w:sz w:val="20"/>
                <w:szCs w:val="20"/>
                <w:lang w:eastAsia="lv-LV"/>
              </w:rPr>
              <w:t>epec@eib.org</w:t>
            </w:r>
          </w:p>
        </w:tc>
        <w:tc>
          <w:tcPr>
            <w:tcW w:w="4278" w:type="dxa"/>
            <w:gridSpan w:val="2"/>
            <w:shd w:val="clear" w:color="auto" w:fill="auto"/>
          </w:tcPr>
          <w:p w14:paraId="5858B305" w14:textId="77777777" w:rsidR="004C0743" w:rsidRPr="004C0743" w:rsidRDefault="004C0743" w:rsidP="004C0743">
            <w:pPr>
              <w:spacing w:after="0" w:line="240" w:lineRule="auto"/>
              <w:jc w:val="both"/>
              <w:rPr>
                <w:rFonts w:ascii="Times New Roman" w:eastAsia="Times New Roman" w:hAnsi="Times New Roman" w:cs="Times New Roman"/>
                <w:b/>
                <w:bCs/>
                <w:color w:val="231F20"/>
                <w:sz w:val="20"/>
                <w:szCs w:val="20"/>
                <w:lang w:eastAsia="lv-LV"/>
              </w:rPr>
            </w:pPr>
            <w:r w:rsidRPr="004C0743">
              <w:rPr>
                <w:rFonts w:ascii="Times New Roman" w:eastAsia="Times New Roman" w:hAnsi="Times New Roman" w:cs="Times New Roman"/>
                <w:b/>
                <w:bCs/>
                <w:color w:val="231F20"/>
                <w:sz w:val="20"/>
                <w:szCs w:val="20"/>
                <w:lang w:eastAsia="lv-LV"/>
              </w:rPr>
              <w:t>Eiropas Komisija</w:t>
            </w:r>
          </w:p>
          <w:p w14:paraId="5DD8A514" w14:textId="77777777" w:rsidR="004C0743" w:rsidRPr="004C0743" w:rsidRDefault="004C0743" w:rsidP="004C0743">
            <w:pPr>
              <w:spacing w:after="0" w:line="240" w:lineRule="auto"/>
              <w:jc w:val="both"/>
              <w:rPr>
                <w:rFonts w:ascii="Times New Roman" w:eastAsia="Times New Roman" w:hAnsi="Times New Roman" w:cs="Times New Roman"/>
                <w:b/>
                <w:bCs/>
                <w:color w:val="231F20"/>
                <w:sz w:val="20"/>
                <w:szCs w:val="20"/>
                <w:lang w:eastAsia="lv-LV"/>
              </w:rPr>
            </w:pPr>
            <w:r w:rsidRPr="004C0743">
              <w:rPr>
                <w:rFonts w:ascii="Times New Roman" w:eastAsia="Times New Roman" w:hAnsi="Times New Roman" w:cs="Times New Roman"/>
                <w:b/>
                <w:bCs/>
                <w:i/>
                <w:iCs/>
                <w:color w:val="231F20"/>
                <w:sz w:val="20"/>
                <w:szCs w:val="20"/>
                <w:lang w:eastAsia="lv-LV"/>
              </w:rPr>
              <w:t>EUROSTAT</w:t>
            </w:r>
          </w:p>
          <w:p w14:paraId="5B41CE13"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BECH Building</w:t>
            </w:r>
          </w:p>
          <w:p w14:paraId="068B98A1"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5, Rue Alphonse Weicker</w:t>
            </w:r>
          </w:p>
          <w:p w14:paraId="346B1747"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L-2721 Luxembourg</w:t>
            </w:r>
          </w:p>
          <w:p w14:paraId="0B68E0E1"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Eurostat</w:t>
            </w:r>
            <w:r w:rsidRPr="004C0743">
              <w:rPr>
                <w:rFonts w:ascii="Times New Roman" w:eastAsia="Times New Roman" w:hAnsi="Times New Roman" w:cs="Times New Roman"/>
                <w:color w:val="231F20"/>
                <w:sz w:val="20"/>
                <w:szCs w:val="20"/>
                <w:lang w:eastAsia="lv-LV"/>
              </w:rPr>
              <w:t xml:space="preserve"> lietotāju atbalsta dienests</w:t>
            </w:r>
          </w:p>
          <w:p w14:paraId="38F1808E" w14:textId="6035BE0A" w:rsidR="002E122E" w:rsidRPr="004C0743" w:rsidRDefault="004C0743" w:rsidP="004C0743">
            <w:pPr>
              <w:spacing w:after="0" w:line="240" w:lineRule="auto"/>
              <w:jc w:val="both"/>
              <w:rPr>
                <w:rFonts w:ascii="Times New Roman" w:eastAsia="Times New Roman" w:hAnsi="Times New Roman" w:cs="Times New Roman"/>
                <w:b/>
                <w:bCs/>
                <w:color w:val="005CAB"/>
                <w:sz w:val="20"/>
                <w:szCs w:val="20"/>
                <w:lang w:eastAsia="lv-LV"/>
              </w:rPr>
            </w:pPr>
            <w:r w:rsidRPr="004C0743">
              <w:rPr>
                <w:rFonts w:ascii="Times New Roman" w:eastAsia="Times New Roman" w:hAnsi="Times New Roman" w:cs="Times New Roman"/>
                <w:b/>
                <w:bCs/>
                <w:color w:val="005CAB"/>
                <w:sz w:val="20"/>
                <w:szCs w:val="20"/>
                <w:lang w:eastAsia="lv-LV"/>
              </w:rPr>
              <w:t>http://ec.europa.eu/eurostat/help/support</w:t>
            </w:r>
          </w:p>
        </w:tc>
      </w:tr>
      <w:tr w:rsidR="002E122E" w:rsidRPr="004C0743" w14:paraId="54549EBD" w14:textId="77777777" w:rsidTr="00870922">
        <w:tc>
          <w:tcPr>
            <w:tcW w:w="4787" w:type="dxa"/>
            <w:gridSpan w:val="2"/>
            <w:shd w:val="clear" w:color="auto" w:fill="auto"/>
          </w:tcPr>
          <w:p w14:paraId="51FEA18F" w14:textId="77777777" w:rsidR="004C0743" w:rsidRPr="004C0743" w:rsidRDefault="004C0743" w:rsidP="004C0743">
            <w:pPr>
              <w:spacing w:after="0" w:line="240" w:lineRule="auto"/>
              <w:jc w:val="both"/>
              <w:rPr>
                <w:rFonts w:ascii="Times New Roman" w:eastAsia="Times New Roman" w:hAnsi="Times New Roman" w:cs="Times New Roman"/>
                <w:b/>
                <w:bCs/>
                <w:color w:val="231F20"/>
                <w:sz w:val="20"/>
                <w:szCs w:val="20"/>
                <w:lang w:eastAsia="lv-LV"/>
              </w:rPr>
            </w:pPr>
            <w:r w:rsidRPr="004C0743">
              <w:rPr>
                <w:rFonts w:ascii="Times New Roman" w:eastAsia="Times New Roman" w:hAnsi="Times New Roman" w:cs="Times New Roman"/>
                <w:b/>
                <w:bCs/>
                <w:color w:val="231F20"/>
                <w:sz w:val="20"/>
                <w:szCs w:val="20"/>
                <w:lang w:eastAsia="lv-LV"/>
              </w:rPr>
              <w:t>Eiropas Investīciju banka</w:t>
            </w:r>
          </w:p>
          <w:p w14:paraId="3088BB46"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98-100, Boulevard Konrad Adenauer</w:t>
            </w:r>
          </w:p>
          <w:p w14:paraId="08853B7C"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i/>
                <w:iCs/>
                <w:color w:val="231F20"/>
                <w:sz w:val="20"/>
                <w:szCs w:val="20"/>
                <w:lang w:eastAsia="lv-LV"/>
              </w:rPr>
              <w:t>L-2950 Luxembourg</w:t>
            </w:r>
          </w:p>
          <w:p w14:paraId="7A47A95C"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color w:val="231F20"/>
                <w:sz w:val="20"/>
                <w:szCs w:val="20"/>
                <w:lang w:eastAsia="lv-LV"/>
              </w:rPr>
              <w:t>+352 4379-1</w:t>
            </w:r>
          </w:p>
          <w:p w14:paraId="2A3919CC" w14:textId="77777777" w:rsidR="004C0743" w:rsidRPr="004C0743" w:rsidRDefault="004C0743" w:rsidP="004C0743">
            <w:pPr>
              <w:spacing w:after="0" w:line="240" w:lineRule="auto"/>
              <w:jc w:val="both"/>
              <w:rPr>
                <w:rFonts w:ascii="Times New Roman" w:eastAsia="Times New Roman" w:hAnsi="Times New Roman" w:cs="Times New Roman"/>
                <w:color w:val="231F20"/>
                <w:sz w:val="20"/>
                <w:szCs w:val="20"/>
                <w:lang w:eastAsia="lv-LV"/>
              </w:rPr>
            </w:pPr>
            <w:r w:rsidRPr="004C0743">
              <w:rPr>
                <w:rFonts w:ascii="Times New Roman" w:eastAsia="Times New Roman" w:hAnsi="Times New Roman" w:cs="Times New Roman"/>
                <w:color w:val="231F20"/>
                <w:sz w:val="20"/>
                <w:szCs w:val="20"/>
                <w:lang w:eastAsia="lv-LV"/>
              </w:rPr>
              <w:t>+352 437704</w:t>
            </w:r>
          </w:p>
          <w:p w14:paraId="2A8D5E5D" w14:textId="5D122AC4" w:rsidR="002E122E" w:rsidRPr="004C0743" w:rsidRDefault="004C0743" w:rsidP="004C0743">
            <w:pPr>
              <w:spacing w:after="0" w:line="240" w:lineRule="auto"/>
              <w:jc w:val="both"/>
              <w:rPr>
                <w:rFonts w:ascii="Times New Roman" w:eastAsia="Times New Roman" w:hAnsi="Times New Roman" w:cs="Times New Roman"/>
                <w:b/>
                <w:bCs/>
                <w:color w:val="005CAB"/>
                <w:sz w:val="20"/>
                <w:szCs w:val="20"/>
                <w:lang w:eastAsia="lv-LV"/>
              </w:rPr>
            </w:pPr>
            <w:r w:rsidRPr="004C0743">
              <w:rPr>
                <w:rFonts w:ascii="Times New Roman" w:eastAsia="Times New Roman" w:hAnsi="Times New Roman" w:cs="Times New Roman"/>
                <w:b/>
                <w:bCs/>
                <w:color w:val="005CAB"/>
                <w:sz w:val="20"/>
                <w:szCs w:val="20"/>
                <w:lang w:eastAsia="lv-LV"/>
              </w:rPr>
              <w:t>www.eib.org</w:t>
            </w:r>
          </w:p>
        </w:tc>
        <w:tc>
          <w:tcPr>
            <w:tcW w:w="4278" w:type="dxa"/>
            <w:gridSpan w:val="2"/>
            <w:shd w:val="clear" w:color="auto" w:fill="auto"/>
          </w:tcPr>
          <w:p w14:paraId="0C69DD1F" w14:textId="77777777" w:rsidR="002E122E" w:rsidRPr="004C0743" w:rsidRDefault="002E122E" w:rsidP="00586FD8">
            <w:pPr>
              <w:pStyle w:val="Pamatteksts"/>
              <w:kinsoku w:val="0"/>
              <w:overflowPunct w:val="0"/>
              <w:ind w:left="0"/>
              <w:jc w:val="both"/>
              <w:rPr>
                <w:rFonts w:ascii="Times New Roman" w:hAnsi="Times New Roman"/>
                <w:sz w:val="20"/>
                <w:szCs w:val="20"/>
              </w:rPr>
            </w:pPr>
          </w:p>
        </w:tc>
      </w:tr>
    </w:tbl>
    <w:p w14:paraId="488996E2" w14:textId="616E31BE" w:rsidR="002E122E" w:rsidRDefault="002E122E" w:rsidP="00D43EDD">
      <w:pPr>
        <w:spacing w:after="0" w:line="240" w:lineRule="auto"/>
        <w:jc w:val="both"/>
        <w:rPr>
          <w:rFonts w:ascii="Times New Roman" w:eastAsia="Times New Roman" w:hAnsi="Times New Roman" w:cs="Times New Roman"/>
          <w:sz w:val="24"/>
          <w:szCs w:val="24"/>
          <w:lang w:eastAsia="lv-LV"/>
        </w:rPr>
      </w:pPr>
    </w:p>
    <w:p w14:paraId="299CA929" w14:textId="77777777" w:rsidR="00E7520A" w:rsidRPr="000761E9" w:rsidRDefault="00E7520A" w:rsidP="00D43EDD">
      <w:pPr>
        <w:widowControl w:val="0"/>
        <w:spacing w:after="0" w:line="240" w:lineRule="auto"/>
        <w:jc w:val="both"/>
        <w:rPr>
          <w:rFonts w:ascii="Times New Roman" w:hAnsi="Times New Roman" w:cs="Times New Roman"/>
          <w:sz w:val="24"/>
        </w:rPr>
      </w:pPr>
    </w:p>
    <w:sectPr w:rsidR="00E7520A" w:rsidRPr="000761E9" w:rsidSect="00D43EDD">
      <w:headerReference w:type="default"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B561" w14:textId="77777777" w:rsidR="007B6FA9" w:rsidRDefault="007B6FA9" w:rsidP="00D43EDD">
      <w:pPr>
        <w:spacing w:after="0" w:line="240" w:lineRule="auto"/>
      </w:pPr>
      <w:r>
        <w:separator/>
      </w:r>
    </w:p>
  </w:endnote>
  <w:endnote w:type="continuationSeparator" w:id="0">
    <w:p w14:paraId="6B2EDD30" w14:textId="77777777" w:rsidR="007B6FA9" w:rsidRDefault="007B6FA9" w:rsidP="00D4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2FE3" w14:textId="77777777" w:rsidR="007B6FA9" w:rsidRPr="00D43EDD" w:rsidRDefault="007B6FA9" w:rsidP="00D43EDD">
    <w:pPr>
      <w:pStyle w:val="Galvene"/>
      <w:tabs>
        <w:tab w:val="clear" w:pos="4153"/>
        <w:tab w:val="clear" w:pos="8306"/>
        <w:tab w:val="left" w:pos="9072"/>
      </w:tabs>
      <w:rPr>
        <w:rStyle w:val="Lappusesnumurs"/>
        <w:rFonts w:ascii="Times New Roman" w:hAnsi="Times New Roman" w:cs="Times New Roman"/>
        <w:sz w:val="20"/>
        <w:szCs w:val="18"/>
      </w:rPr>
    </w:pPr>
  </w:p>
  <w:p w14:paraId="04A6FB46" w14:textId="77777777" w:rsidR="007B6FA9" w:rsidRPr="00D43EDD" w:rsidRDefault="007B6FA9" w:rsidP="00D43EDD">
    <w:pPr>
      <w:pStyle w:val="Galvene"/>
      <w:tabs>
        <w:tab w:val="clear" w:pos="4153"/>
        <w:tab w:val="clear" w:pos="8306"/>
        <w:tab w:val="right" w:leader="underscore" w:pos="9072"/>
      </w:tabs>
      <w:rPr>
        <w:rStyle w:val="Lappusesnumurs"/>
        <w:rFonts w:ascii="Times New Roman" w:hAnsi="Times New Roman" w:cs="Times New Roman"/>
        <w:sz w:val="20"/>
        <w:szCs w:val="18"/>
      </w:rPr>
    </w:pPr>
    <w:r w:rsidRPr="00D43EDD">
      <w:rPr>
        <w:rStyle w:val="Lappusesnumurs"/>
        <w:rFonts w:ascii="Times New Roman" w:hAnsi="Times New Roman" w:cs="Times New Roman"/>
        <w:sz w:val="20"/>
        <w:szCs w:val="18"/>
      </w:rPr>
      <w:tab/>
    </w:r>
  </w:p>
  <w:p w14:paraId="15025DCF" w14:textId="77777777" w:rsidR="007B6FA9" w:rsidRPr="00D43EDD" w:rsidRDefault="007B6FA9" w:rsidP="00D43EDD">
    <w:pPr>
      <w:pStyle w:val="Galvene"/>
      <w:tabs>
        <w:tab w:val="clear" w:pos="4153"/>
        <w:tab w:val="clear" w:pos="8306"/>
        <w:tab w:val="right" w:pos="9072"/>
      </w:tabs>
      <w:rPr>
        <w:rStyle w:val="Lappusesnumurs"/>
        <w:rFonts w:ascii="Times New Roman" w:hAnsi="Times New Roman" w:cs="Times New Roman"/>
        <w:sz w:val="20"/>
        <w:szCs w:val="18"/>
      </w:rPr>
    </w:pPr>
  </w:p>
  <w:p w14:paraId="16D59C94" w14:textId="77777777" w:rsidR="007B6FA9" w:rsidRPr="00D43EDD" w:rsidRDefault="007B6FA9" w:rsidP="00D43EDD">
    <w:pPr>
      <w:pStyle w:val="Kjene"/>
      <w:tabs>
        <w:tab w:val="clear" w:pos="4153"/>
        <w:tab w:val="clear" w:pos="8306"/>
        <w:tab w:val="right" w:pos="9072"/>
      </w:tabs>
      <w:rPr>
        <w:rFonts w:ascii="Times New Roman" w:hAnsi="Times New Roman" w:cs="Times New Roman"/>
        <w:sz w:val="20"/>
        <w:szCs w:val="18"/>
      </w:rPr>
    </w:pPr>
    <w:r w:rsidRPr="00D43EDD">
      <w:rPr>
        <w:rFonts w:ascii="Times New Roman" w:hAnsi="Times New Roman" w:cs="Times New Roman"/>
        <w:noProof/>
        <w:sz w:val="20"/>
        <w:szCs w:val="18"/>
      </w:rPr>
      <w:t xml:space="preserve">Tulkojums </w:t>
    </w:r>
    <w:r w:rsidRPr="00D43EDD">
      <w:rPr>
        <w:rFonts w:ascii="Times New Roman" w:hAnsi="Times New Roman" w:cs="Times New Roman"/>
        <w:noProof/>
        <w:sz w:val="20"/>
        <w:szCs w:val="18"/>
      </w:rPr>
      <w:fldChar w:fldCharType="begin"/>
    </w:r>
    <w:r w:rsidRPr="00D43EDD">
      <w:rPr>
        <w:rFonts w:ascii="Times New Roman" w:hAnsi="Times New Roman" w:cs="Times New Roman"/>
        <w:noProof/>
        <w:sz w:val="20"/>
        <w:szCs w:val="18"/>
      </w:rPr>
      <w:instrText>symbol 211 \f "Symbol" \s 9</w:instrText>
    </w:r>
    <w:r w:rsidRPr="00D43EDD">
      <w:rPr>
        <w:rFonts w:ascii="Times New Roman" w:hAnsi="Times New Roman" w:cs="Times New Roman"/>
        <w:noProof/>
        <w:sz w:val="20"/>
        <w:szCs w:val="18"/>
      </w:rPr>
      <w:fldChar w:fldCharType="separate"/>
    </w:r>
    <w:r w:rsidRPr="00D43EDD">
      <w:rPr>
        <w:rFonts w:ascii="Times New Roman" w:hAnsi="Times New Roman" w:cs="Times New Roman"/>
        <w:noProof/>
        <w:sz w:val="20"/>
        <w:szCs w:val="18"/>
      </w:rPr>
      <w:t>Ó</w:t>
    </w:r>
    <w:r w:rsidRPr="00D43EDD">
      <w:rPr>
        <w:rFonts w:ascii="Times New Roman" w:hAnsi="Times New Roman" w:cs="Times New Roman"/>
        <w:noProof/>
        <w:sz w:val="20"/>
        <w:szCs w:val="18"/>
      </w:rPr>
      <w:fldChar w:fldCharType="end"/>
    </w:r>
    <w:r w:rsidRPr="00D43EDD">
      <w:rPr>
        <w:rFonts w:ascii="Times New Roman" w:hAnsi="Times New Roman" w:cs="Times New Roman"/>
        <w:noProof/>
        <w:sz w:val="20"/>
        <w:szCs w:val="18"/>
      </w:rPr>
      <w:t xml:space="preserve"> Valsts valodas centrs, 2018</w:t>
    </w:r>
    <w:r w:rsidRPr="00D43EDD">
      <w:rPr>
        <w:rFonts w:ascii="Times New Roman" w:hAnsi="Times New Roman" w:cs="Times New Roman"/>
        <w:sz w:val="20"/>
        <w:szCs w:val="18"/>
      </w:rPr>
      <w:tab/>
    </w:r>
    <w:r w:rsidRPr="00D43EDD">
      <w:rPr>
        <w:rStyle w:val="Lappusesnumurs"/>
        <w:rFonts w:ascii="Times New Roman" w:hAnsi="Times New Roman" w:cs="Times New Roman"/>
        <w:sz w:val="20"/>
        <w:szCs w:val="18"/>
      </w:rPr>
      <w:fldChar w:fldCharType="begin"/>
    </w:r>
    <w:r w:rsidRPr="00D43EDD">
      <w:rPr>
        <w:rStyle w:val="Lappusesnumurs"/>
        <w:rFonts w:ascii="Times New Roman" w:hAnsi="Times New Roman" w:cs="Times New Roman"/>
        <w:sz w:val="20"/>
        <w:szCs w:val="18"/>
      </w:rPr>
      <w:instrText xml:space="preserve">page </w:instrText>
    </w:r>
    <w:r w:rsidRPr="00D43EDD">
      <w:rPr>
        <w:rStyle w:val="Lappusesnumurs"/>
        <w:rFonts w:ascii="Times New Roman" w:hAnsi="Times New Roman" w:cs="Times New Roman"/>
        <w:sz w:val="20"/>
        <w:szCs w:val="18"/>
      </w:rPr>
      <w:fldChar w:fldCharType="separate"/>
    </w:r>
    <w:r w:rsidRPr="00D43EDD">
      <w:rPr>
        <w:rStyle w:val="Lappusesnumurs"/>
        <w:rFonts w:ascii="Times New Roman" w:hAnsi="Times New Roman" w:cs="Times New Roman"/>
        <w:sz w:val="20"/>
        <w:szCs w:val="18"/>
      </w:rPr>
      <w:t>2</w:t>
    </w:r>
    <w:r w:rsidRPr="00D43EDD">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0C82" w14:textId="77777777" w:rsidR="007B6FA9" w:rsidRPr="00D43EDD" w:rsidRDefault="007B6FA9" w:rsidP="00D43EDD">
    <w:pPr>
      <w:pStyle w:val="Galvene"/>
      <w:tabs>
        <w:tab w:val="clear" w:pos="4153"/>
        <w:tab w:val="clear" w:pos="8306"/>
        <w:tab w:val="left" w:pos="9072"/>
      </w:tabs>
      <w:rPr>
        <w:rStyle w:val="Lappusesnumurs"/>
        <w:rFonts w:ascii="Times New Roman" w:hAnsi="Times New Roman" w:cs="Times New Roman"/>
        <w:sz w:val="20"/>
        <w:szCs w:val="20"/>
      </w:rPr>
    </w:pPr>
    <w:bookmarkStart w:id="34" w:name="_Hlk496261764"/>
    <w:bookmarkStart w:id="35" w:name="_Hlk496261765"/>
    <w:bookmarkStart w:id="36" w:name="_Hlk496261766"/>
  </w:p>
  <w:p w14:paraId="6843B4CF" w14:textId="77777777" w:rsidR="007B6FA9" w:rsidRPr="00D43EDD" w:rsidRDefault="007B6FA9" w:rsidP="00D43EDD">
    <w:pPr>
      <w:pStyle w:val="Galvene"/>
      <w:tabs>
        <w:tab w:val="clear" w:pos="4153"/>
        <w:tab w:val="clear" w:pos="8306"/>
        <w:tab w:val="left" w:leader="underscore" w:pos="9072"/>
      </w:tabs>
      <w:rPr>
        <w:rStyle w:val="Lappusesnumurs"/>
        <w:rFonts w:ascii="Times New Roman" w:hAnsi="Times New Roman" w:cs="Times New Roman"/>
        <w:sz w:val="20"/>
        <w:szCs w:val="20"/>
      </w:rPr>
    </w:pPr>
    <w:r w:rsidRPr="00D43EDD">
      <w:rPr>
        <w:rStyle w:val="Lappusesnumurs"/>
        <w:rFonts w:ascii="Times New Roman" w:hAnsi="Times New Roman" w:cs="Times New Roman"/>
        <w:sz w:val="20"/>
        <w:szCs w:val="20"/>
      </w:rPr>
      <w:tab/>
    </w:r>
  </w:p>
  <w:p w14:paraId="087C6463" w14:textId="77777777" w:rsidR="007B6FA9" w:rsidRPr="00D43EDD" w:rsidRDefault="007B6FA9" w:rsidP="00D43EDD">
    <w:pPr>
      <w:pStyle w:val="Galvene"/>
      <w:tabs>
        <w:tab w:val="clear" w:pos="4153"/>
        <w:tab w:val="clear" w:pos="8306"/>
        <w:tab w:val="left" w:pos="9072"/>
      </w:tabs>
      <w:rPr>
        <w:rStyle w:val="Lappusesnumurs"/>
        <w:rFonts w:ascii="Times New Roman" w:hAnsi="Times New Roman" w:cs="Times New Roman"/>
        <w:sz w:val="20"/>
        <w:szCs w:val="20"/>
      </w:rPr>
    </w:pPr>
  </w:p>
  <w:p w14:paraId="2723CEC2" w14:textId="77777777" w:rsidR="007B6FA9" w:rsidRPr="00D43EDD" w:rsidRDefault="007B6FA9" w:rsidP="00D43EDD">
    <w:pPr>
      <w:pStyle w:val="Kjene"/>
      <w:rPr>
        <w:rFonts w:ascii="Times New Roman" w:hAnsi="Times New Roman" w:cs="Times New Roman"/>
        <w:sz w:val="20"/>
        <w:szCs w:val="20"/>
      </w:rPr>
    </w:pPr>
    <w:r w:rsidRPr="00D43EDD">
      <w:rPr>
        <w:rFonts w:ascii="Times New Roman" w:hAnsi="Times New Roman" w:cs="Times New Roman"/>
        <w:noProof/>
        <w:sz w:val="20"/>
        <w:szCs w:val="20"/>
      </w:rPr>
      <w:t xml:space="preserve">Tulkojums </w:t>
    </w:r>
    <w:r w:rsidRPr="00D43EDD">
      <w:rPr>
        <w:rFonts w:ascii="Times New Roman" w:hAnsi="Times New Roman" w:cs="Times New Roman"/>
        <w:noProof/>
        <w:sz w:val="20"/>
        <w:szCs w:val="20"/>
      </w:rPr>
      <w:fldChar w:fldCharType="begin"/>
    </w:r>
    <w:r w:rsidRPr="00D43EDD">
      <w:rPr>
        <w:rFonts w:ascii="Times New Roman" w:hAnsi="Times New Roman" w:cs="Times New Roman"/>
        <w:noProof/>
        <w:sz w:val="20"/>
        <w:szCs w:val="20"/>
      </w:rPr>
      <w:instrText>symbol 211 \f "Symbol" \s 9</w:instrText>
    </w:r>
    <w:r w:rsidRPr="00D43EDD">
      <w:rPr>
        <w:rFonts w:ascii="Times New Roman" w:hAnsi="Times New Roman" w:cs="Times New Roman"/>
        <w:noProof/>
        <w:sz w:val="20"/>
        <w:szCs w:val="20"/>
      </w:rPr>
      <w:fldChar w:fldCharType="separate"/>
    </w:r>
    <w:r w:rsidRPr="00D43EDD">
      <w:rPr>
        <w:rFonts w:ascii="Times New Roman" w:hAnsi="Times New Roman" w:cs="Times New Roman"/>
        <w:noProof/>
        <w:sz w:val="20"/>
        <w:szCs w:val="20"/>
      </w:rPr>
      <w:t>Ó</w:t>
    </w:r>
    <w:r w:rsidRPr="00D43EDD">
      <w:rPr>
        <w:rFonts w:ascii="Times New Roman" w:hAnsi="Times New Roman" w:cs="Times New Roman"/>
        <w:noProof/>
        <w:sz w:val="20"/>
        <w:szCs w:val="20"/>
      </w:rPr>
      <w:fldChar w:fldCharType="end"/>
    </w:r>
    <w:r w:rsidRPr="00D43EDD">
      <w:rPr>
        <w:rFonts w:ascii="Times New Roman" w:hAnsi="Times New Roman" w:cs="Times New Roman"/>
        <w:noProof/>
        <w:sz w:val="20"/>
        <w:szCs w:val="20"/>
      </w:rPr>
      <w:t xml:space="preserve"> Valsts valodas centrs, 201</w:t>
    </w:r>
    <w:bookmarkEnd w:id="34"/>
    <w:bookmarkEnd w:id="35"/>
    <w:bookmarkEnd w:id="36"/>
    <w:r w:rsidRPr="00D43EDD">
      <w:rPr>
        <w:rFonts w:ascii="Times New Roman" w:hAnsi="Times New Roman" w:cs="Times New Roman"/>
        <w:noProo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38618" w14:textId="77777777" w:rsidR="007B6FA9" w:rsidRDefault="007B6FA9" w:rsidP="00D43EDD">
      <w:pPr>
        <w:spacing w:after="0" w:line="240" w:lineRule="auto"/>
      </w:pPr>
      <w:r>
        <w:separator/>
      </w:r>
    </w:p>
  </w:footnote>
  <w:footnote w:type="continuationSeparator" w:id="0">
    <w:p w14:paraId="0B92CC87" w14:textId="77777777" w:rsidR="007B6FA9" w:rsidRDefault="007B6FA9" w:rsidP="00D43EDD">
      <w:pPr>
        <w:spacing w:after="0" w:line="240" w:lineRule="auto"/>
      </w:pPr>
      <w:r>
        <w:continuationSeparator/>
      </w:r>
    </w:p>
  </w:footnote>
  <w:footnote w:id="1">
    <w:p w14:paraId="465FBDB7" w14:textId="5B5660E0" w:rsidR="007B6FA9" w:rsidRPr="00D43EDD" w:rsidRDefault="007B6FA9" w:rsidP="00D43EDD">
      <w:pPr>
        <w:spacing w:after="0" w:line="240" w:lineRule="auto"/>
        <w:jc w:val="both"/>
        <w:rPr>
          <w:rFonts w:ascii="Times New Roman" w:eastAsia="Times New Roman" w:hAnsi="Times New Roman" w:cs="Times New Roman"/>
          <w:sz w:val="20"/>
          <w:szCs w:val="20"/>
          <w:lang w:eastAsia="lv-LV"/>
        </w:rPr>
      </w:pPr>
      <w:r w:rsidRPr="00D43EDD">
        <w:rPr>
          <w:rStyle w:val="Vresatsauce"/>
          <w:rFonts w:ascii="Times New Roman" w:hAnsi="Times New Roman" w:cs="Times New Roman"/>
          <w:sz w:val="20"/>
          <w:szCs w:val="20"/>
        </w:rPr>
        <w:footnoteRef/>
      </w:r>
      <w:r w:rsidRPr="00D43EDD">
        <w:rPr>
          <w:rFonts w:ascii="Times New Roman" w:hAnsi="Times New Roman" w:cs="Times New Roman"/>
          <w:sz w:val="20"/>
          <w:szCs w:val="20"/>
        </w:rPr>
        <w:t xml:space="preserve"> </w:t>
      </w:r>
      <w:r w:rsidRPr="00D43EDD">
        <w:rPr>
          <w:rFonts w:ascii="Times New Roman" w:eastAsia="Times New Roman" w:hAnsi="Times New Roman" w:cs="Times New Roman"/>
          <w:color w:val="231F20"/>
          <w:sz w:val="20"/>
          <w:szCs w:val="20"/>
          <w:lang w:eastAsia="lv-LV"/>
        </w:rPr>
        <w:t xml:space="preserve">Lai saņemtu informāciju, lūdzu, sazinieties ar </w:t>
      </w:r>
      <w:r w:rsidRPr="00D43EDD">
        <w:rPr>
          <w:rFonts w:ascii="Times New Roman" w:eastAsia="Times New Roman" w:hAnsi="Times New Roman" w:cs="Times New Roman"/>
          <w:i/>
          <w:iCs/>
          <w:color w:val="231F20"/>
          <w:sz w:val="20"/>
          <w:szCs w:val="20"/>
          <w:lang w:eastAsia="lv-LV"/>
        </w:rPr>
        <w:t>Eurostat</w:t>
      </w:r>
      <w:r w:rsidRPr="00D43EDD">
        <w:rPr>
          <w:rFonts w:ascii="Times New Roman" w:eastAsia="Times New Roman" w:hAnsi="Times New Roman" w:cs="Times New Roman"/>
          <w:color w:val="231F20"/>
          <w:sz w:val="20"/>
          <w:szCs w:val="20"/>
          <w:lang w:eastAsia="lv-LV"/>
        </w:rPr>
        <w:t xml:space="preserve"> (</w:t>
      </w:r>
      <w:r w:rsidRPr="00D43EDD">
        <w:rPr>
          <w:rFonts w:ascii="Times New Roman" w:eastAsia="Times New Roman" w:hAnsi="Times New Roman" w:cs="Times New Roman"/>
          <w:color w:val="005CAB"/>
          <w:sz w:val="20"/>
          <w:szCs w:val="20"/>
          <w:lang w:eastAsia="lv-LV"/>
        </w:rPr>
        <w:t>Luca.Ascoli@ec.europa.eu</w:t>
      </w:r>
      <w:r w:rsidRPr="00D43EDD">
        <w:rPr>
          <w:rFonts w:ascii="Times New Roman" w:eastAsia="Times New Roman" w:hAnsi="Times New Roman" w:cs="Times New Roman"/>
          <w:color w:val="231F20"/>
          <w:sz w:val="20"/>
          <w:szCs w:val="20"/>
          <w:lang w:eastAsia="lv-LV"/>
        </w:rPr>
        <w:t xml:space="preserve">, </w:t>
      </w:r>
      <w:r w:rsidRPr="00D43EDD">
        <w:rPr>
          <w:rFonts w:ascii="Times New Roman" w:eastAsia="Times New Roman" w:hAnsi="Times New Roman" w:cs="Times New Roman"/>
          <w:color w:val="005CAB"/>
          <w:sz w:val="20"/>
          <w:szCs w:val="20"/>
          <w:lang w:eastAsia="lv-LV"/>
        </w:rPr>
        <w:t xml:space="preserve">Lourdes.PRADO-URENA@ec.europa.eu </w:t>
      </w:r>
      <w:r w:rsidRPr="00D43EDD">
        <w:rPr>
          <w:rFonts w:ascii="Times New Roman" w:eastAsia="Times New Roman" w:hAnsi="Times New Roman" w:cs="Times New Roman"/>
          <w:color w:val="231F20"/>
          <w:sz w:val="20"/>
          <w:szCs w:val="20"/>
          <w:lang w:eastAsia="lv-LV"/>
        </w:rPr>
        <w:t xml:space="preserve">vai </w:t>
      </w:r>
      <w:r w:rsidRPr="00D43EDD">
        <w:rPr>
          <w:rFonts w:ascii="Times New Roman" w:eastAsia="Times New Roman" w:hAnsi="Times New Roman" w:cs="Times New Roman"/>
          <w:color w:val="005CAB"/>
          <w:sz w:val="20"/>
          <w:szCs w:val="20"/>
          <w:lang w:eastAsia="lv-LV"/>
        </w:rPr>
        <w:t>ESTAT-D1-SECRETARIAT@ec.europa.eu</w:t>
      </w:r>
      <w:r w:rsidRPr="00D43EDD">
        <w:rPr>
          <w:rFonts w:ascii="Times New Roman" w:eastAsia="Times New Roman" w:hAnsi="Times New Roman" w:cs="Times New Roman"/>
          <w:color w:val="231F20"/>
          <w:sz w:val="20"/>
          <w:szCs w:val="20"/>
          <w:lang w:eastAsia="lv-LV"/>
        </w:rPr>
        <w:t xml:space="preserve">) vai </w:t>
      </w:r>
      <w:r w:rsidRPr="00D43EDD">
        <w:rPr>
          <w:rFonts w:ascii="Times New Roman" w:eastAsia="Times New Roman" w:hAnsi="Times New Roman" w:cs="Times New Roman"/>
          <w:i/>
          <w:iCs/>
          <w:color w:val="231F20"/>
          <w:sz w:val="20"/>
          <w:szCs w:val="20"/>
          <w:lang w:eastAsia="lv-LV"/>
        </w:rPr>
        <w:t>EPEC</w:t>
      </w:r>
      <w:r w:rsidRPr="00D43EDD">
        <w:rPr>
          <w:rFonts w:ascii="Times New Roman" w:eastAsia="Times New Roman" w:hAnsi="Times New Roman" w:cs="Times New Roman"/>
          <w:color w:val="231F20"/>
          <w:sz w:val="20"/>
          <w:szCs w:val="20"/>
          <w:lang w:eastAsia="lv-LV"/>
        </w:rPr>
        <w:t xml:space="preserve"> (</w:t>
      </w:r>
      <w:r w:rsidRPr="00D43EDD">
        <w:rPr>
          <w:rFonts w:ascii="Times New Roman" w:eastAsia="Times New Roman" w:hAnsi="Times New Roman" w:cs="Times New Roman"/>
          <w:color w:val="205E9E"/>
          <w:sz w:val="20"/>
          <w:szCs w:val="20"/>
          <w:lang w:eastAsia="lv-LV"/>
        </w:rPr>
        <w:t>epec@eib.org</w:t>
      </w:r>
      <w:r w:rsidRPr="00D43EDD">
        <w:rPr>
          <w:rFonts w:ascii="Times New Roman" w:eastAsia="Times New Roman" w:hAnsi="Times New Roman" w:cs="Times New Roman"/>
          <w:color w:val="005CAB"/>
          <w:sz w:val="20"/>
          <w:szCs w:val="20"/>
          <w:lang w:eastAsia="lv-LV"/>
        </w:rPr>
        <w:t>)</w:t>
      </w:r>
      <w:r w:rsidRPr="00D43EDD">
        <w:rPr>
          <w:rFonts w:ascii="Times New Roman" w:eastAsia="Times New Roman" w:hAnsi="Times New Roman" w:cs="Times New Roman"/>
          <w:color w:val="231F20"/>
          <w:sz w:val="20"/>
          <w:szCs w:val="20"/>
          <w:lang w:eastAsia="lv-LV"/>
        </w:rPr>
        <w:t>.</w:t>
      </w:r>
    </w:p>
  </w:footnote>
  <w:footnote w:id="2">
    <w:p w14:paraId="5D72B89D" w14:textId="3673578B" w:rsidR="007B6FA9" w:rsidRPr="000761E9" w:rsidRDefault="007B6FA9" w:rsidP="000761E9">
      <w:pPr>
        <w:spacing w:after="0" w:line="240" w:lineRule="auto"/>
        <w:jc w:val="both"/>
        <w:rPr>
          <w:rFonts w:ascii="Times New Roman" w:eastAsia="Times New Roman" w:hAnsi="Times New Roman" w:cs="Times New Roman"/>
          <w:color w:val="005CAB"/>
          <w:sz w:val="20"/>
          <w:szCs w:val="20"/>
          <w:lang w:eastAsia="lv-LV"/>
        </w:rPr>
      </w:pPr>
      <w:r w:rsidRPr="000761E9">
        <w:rPr>
          <w:rStyle w:val="Vresatsauce"/>
          <w:rFonts w:ascii="Times New Roman" w:hAnsi="Times New Roman" w:cs="Times New Roman"/>
          <w:sz w:val="20"/>
          <w:szCs w:val="20"/>
        </w:rPr>
        <w:footnoteRef/>
      </w:r>
      <w:r w:rsidRPr="000761E9">
        <w:rPr>
          <w:rFonts w:ascii="Times New Roman" w:hAnsi="Times New Roman" w:cs="Times New Roman"/>
          <w:sz w:val="20"/>
          <w:szCs w:val="20"/>
        </w:rPr>
        <w:t xml:space="preserve"> </w:t>
      </w:r>
      <w:r w:rsidRPr="000761E9">
        <w:rPr>
          <w:rFonts w:ascii="Times New Roman" w:eastAsia="Times New Roman" w:hAnsi="Times New Roman" w:cs="Times New Roman"/>
          <w:color w:val="231F20"/>
          <w:sz w:val="20"/>
          <w:szCs w:val="20"/>
          <w:lang w:eastAsia="lv-LV"/>
        </w:rPr>
        <w:t>Padomes 2013. gada 21. maija Regula (EK) Nr. 549/13 par Eiropas nacionālo un reģionālo kontu sistēmu Eiropas Savienībā (OV L 174/1, 26.06.2013., 1. lpp.). </w:t>
      </w:r>
      <w:r w:rsidRPr="000761E9">
        <w:rPr>
          <w:rFonts w:ascii="Times New Roman" w:eastAsia="Times New Roman" w:hAnsi="Times New Roman" w:cs="Times New Roman"/>
          <w:color w:val="005CAB"/>
          <w:sz w:val="20"/>
          <w:szCs w:val="20"/>
          <w:lang w:eastAsia="lv-LV"/>
        </w:rPr>
        <w:t>ec.europa.eu/eurostat/en/web/products-manuals-and-guidelines/-/KS-02-13-269</w:t>
      </w:r>
    </w:p>
  </w:footnote>
  <w:footnote w:id="3">
    <w:p w14:paraId="2EDF223F" w14:textId="4BDA0262" w:rsidR="007B6FA9" w:rsidRPr="000761E9" w:rsidRDefault="007B6FA9" w:rsidP="000761E9">
      <w:pPr>
        <w:pStyle w:val="Vresteksts"/>
        <w:jc w:val="both"/>
        <w:rPr>
          <w:rFonts w:ascii="Times New Roman" w:hAnsi="Times New Roman" w:cs="Times New Roman"/>
        </w:rPr>
      </w:pPr>
      <w:r w:rsidRPr="000761E9">
        <w:rPr>
          <w:rStyle w:val="Vresatsauce"/>
          <w:rFonts w:ascii="Times New Roman" w:hAnsi="Times New Roman" w:cs="Times New Roman"/>
        </w:rPr>
        <w:footnoteRef/>
      </w:r>
      <w:r w:rsidRPr="000761E9">
        <w:rPr>
          <w:rFonts w:ascii="Times New Roman" w:hAnsi="Times New Roman" w:cs="Times New Roman"/>
        </w:rPr>
        <w:t xml:space="preserve"> </w:t>
      </w:r>
      <w:r w:rsidRPr="000761E9">
        <w:rPr>
          <w:rFonts w:ascii="Times New Roman" w:eastAsia="Times New Roman" w:hAnsi="Times New Roman" w:cs="Times New Roman"/>
          <w:color w:val="231F20"/>
          <w:lang w:eastAsia="lv-LV"/>
        </w:rPr>
        <w:t>Sk. EKS 2010, 2.111.–2.112. un 20.05.–20.06. punktu.</w:t>
      </w:r>
    </w:p>
  </w:footnote>
  <w:footnote w:id="4">
    <w:p w14:paraId="11530689" w14:textId="664B5011" w:rsidR="007B6FA9" w:rsidRDefault="007B6FA9" w:rsidP="000761E9">
      <w:pPr>
        <w:pStyle w:val="Vresteksts"/>
        <w:jc w:val="both"/>
      </w:pPr>
      <w:r w:rsidRPr="000761E9">
        <w:rPr>
          <w:rStyle w:val="Vresatsauce"/>
          <w:rFonts w:ascii="Times New Roman" w:hAnsi="Times New Roman" w:cs="Times New Roman"/>
        </w:rPr>
        <w:footnoteRef/>
      </w:r>
      <w:r w:rsidRPr="000761E9">
        <w:rPr>
          <w:rFonts w:ascii="Times New Roman" w:hAnsi="Times New Roman" w:cs="Times New Roman"/>
        </w:rPr>
        <w:t xml:space="preserve"> </w:t>
      </w:r>
      <w:r w:rsidRPr="000761E9">
        <w:rPr>
          <w:rFonts w:ascii="Times New Roman" w:eastAsia="Times New Roman" w:hAnsi="Times New Roman" w:cs="Times New Roman"/>
          <w:color w:val="231F20"/>
          <w:lang w:eastAsia="lv-LV"/>
        </w:rPr>
        <w:t xml:space="preserve">Sk. tīmekļa vietnes </w:t>
      </w:r>
      <w:r w:rsidRPr="000761E9">
        <w:rPr>
          <w:rFonts w:ascii="Times New Roman" w:eastAsia="Times New Roman" w:hAnsi="Times New Roman" w:cs="Times New Roman"/>
          <w:color w:val="005CAB"/>
          <w:lang w:eastAsia="lv-LV"/>
        </w:rPr>
        <w:t xml:space="preserve">ec.europa.eu/eurostat/en/web/products-manuals-and-guidelines/-/KS-GQ-16-001 </w:t>
      </w:r>
      <w:r w:rsidRPr="000761E9">
        <w:rPr>
          <w:rFonts w:ascii="Times New Roman" w:eastAsia="Times New Roman" w:hAnsi="Times New Roman" w:cs="Times New Roman"/>
          <w:color w:val="231F20"/>
          <w:lang w:eastAsia="lv-LV"/>
        </w:rPr>
        <w:t xml:space="preserve">un </w:t>
      </w:r>
      <w:r w:rsidRPr="000761E9">
        <w:rPr>
          <w:rFonts w:ascii="Times New Roman" w:eastAsia="Times New Roman" w:hAnsi="Times New Roman" w:cs="Times New Roman"/>
          <w:color w:val="005CAB"/>
          <w:lang w:eastAsia="lv-LV"/>
        </w:rPr>
        <w:t>ec.europa.eu/eurostat/documents/1015035/7204121/Clarification-note-Statistical-treatment-of-PPP-contracts-accompanying-2016-MGDD.pdf/ed12cf33-f8eb-4e7e-aa58-29a5fbc3f978</w:t>
      </w:r>
      <w:r w:rsidRPr="000761E9">
        <w:rPr>
          <w:rFonts w:ascii="Times New Roman" w:eastAsia="Times New Roman" w:hAnsi="Times New Roman" w:cs="Times New Roman"/>
          <w:color w:val="231F20"/>
          <w:lang w:eastAsia="lv-LV"/>
        </w:rPr>
        <w:t>.</w:t>
      </w:r>
    </w:p>
  </w:footnote>
  <w:footnote w:id="5">
    <w:p w14:paraId="00150DE7" w14:textId="457039AB" w:rsidR="007B6FA9" w:rsidRPr="00B83963" w:rsidRDefault="007B6FA9" w:rsidP="00B83963">
      <w:pPr>
        <w:spacing w:after="0" w:line="240" w:lineRule="auto"/>
        <w:jc w:val="both"/>
        <w:rPr>
          <w:rFonts w:ascii="Times New Roman" w:eastAsia="Times New Roman" w:hAnsi="Times New Roman" w:cs="Times New Roman"/>
          <w:color w:val="231F20"/>
          <w:sz w:val="20"/>
          <w:szCs w:val="20"/>
          <w:lang w:eastAsia="lv-LV"/>
        </w:rPr>
      </w:pPr>
      <w:r w:rsidRPr="00B83963">
        <w:rPr>
          <w:rStyle w:val="Vresatsauce"/>
          <w:rFonts w:ascii="Times New Roman" w:hAnsi="Times New Roman" w:cs="Times New Roman"/>
          <w:sz w:val="20"/>
          <w:szCs w:val="20"/>
        </w:rPr>
        <w:footnoteRef/>
      </w:r>
      <w:r w:rsidRPr="00B83963">
        <w:rPr>
          <w:rFonts w:ascii="Times New Roman" w:hAnsi="Times New Roman" w:cs="Times New Roman"/>
          <w:sz w:val="20"/>
          <w:szCs w:val="20"/>
        </w:rPr>
        <w:t xml:space="preserve"> </w:t>
      </w:r>
      <w:r w:rsidRPr="00B83963">
        <w:rPr>
          <w:rFonts w:ascii="Times New Roman" w:eastAsia="Times New Roman" w:hAnsi="Times New Roman" w:cs="Times New Roman"/>
          <w:i/>
          <w:iCs/>
          <w:color w:val="231F20"/>
          <w:sz w:val="20"/>
          <w:szCs w:val="20"/>
          <w:lang w:eastAsia="lv-LV"/>
        </w:rPr>
        <w:t>EPEC</w:t>
      </w:r>
      <w:r w:rsidRPr="00B83963">
        <w:rPr>
          <w:rFonts w:ascii="Times New Roman" w:eastAsia="Times New Roman" w:hAnsi="Times New Roman" w:cs="Times New Roman"/>
          <w:color w:val="231F20"/>
          <w:sz w:val="20"/>
          <w:szCs w:val="20"/>
          <w:lang w:eastAsia="lv-LV"/>
        </w:rPr>
        <w:t xml:space="preserve"> un </w:t>
      </w:r>
      <w:r w:rsidRPr="00B83963">
        <w:rPr>
          <w:rFonts w:ascii="Times New Roman" w:eastAsia="Times New Roman" w:hAnsi="Times New Roman" w:cs="Times New Roman"/>
          <w:i/>
          <w:iCs/>
          <w:color w:val="231F20"/>
          <w:sz w:val="20"/>
          <w:szCs w:val="20"/>
          <w:lang w:eastAsia="lv-LV"/>
        </w:rPr>
        <w:t>Eurostat</w:t>
      </w:r>
      <w:r w:rsidRPr="00B83963">
        <w:rPr>
          <w:rFonts w:ascii="Times New Roman" w:eastAsia="Times New Roman" w:hAnsi="Times New Roman" w:cs="Times New Roman"/>
          <w:color w:val="231F20"/>
          <w:sz w:val="20"/>
          <w:szCs w:val="20"/>
          <w:lang w:eastAsia="lv-LV"/>
        </w:rPr>
        <w:t xml:space="preserve"> pateicas “Allen &amp; Overy LLP” par tās ieguldījumu šīs rokasgrāmatas sagatavošanā.</w:t>
      </w:r>
    </w:p>
  </w:footnote>
  <w:footnote w:id="6">
    <w:p w14:paraId="76685AEA" w14:textId="4AC20EEF" w:rsidR="007B6FA9" w:rsidRPr="00883523" w:rsidRDefault="007B6FA9" w:rsidP="00883523">
      <w:pPr>
        <w:spacing w:after="0" w:line="240" w:lineRule="auto"/>
        <w:jc w:val="both"/>
        <w:rPr>
          <w:rFonts w:ascii="Times New Roman" w:eastAsia="Times New Roman" w:hAnsi="Times New Roman" w:cs="Times New Roman"/>
          <w:sz w:val="20"/>
          <w:szCs w:val="20"/>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Institucionālo PPP apraksts ir atrodams šajā Eiropas Komisijas paziņojumā:</w:t>
      </w:r>
      <w:r w:rsidRPr="00883523">
        <w:rPr>
          <w:rFonts w:ascii="Times New Roman" w:eastAsia="Times New Roman" w:hAnsi="Times New Roman" w:cs="Times New Roman"/>
          <w:color w:val="005CAB"/>
          <w:sz w:val="20"/>
          <w:szCs w:val="20"/>
          <w:lang w:eastAsia="lv-LV"/>
        </w:rPr>
        <w:t>eur-lex.europa.eu/legal-content/EN/TXT/PDF/?uri=CELEX:52008XC0412(02)&amp;from=EN</w:t>
      </w:r>
      <w:r w:rsidRPr="00883523">
        <w:rPr>
          <w:rFonts w:ascii="Times New Roman" w:eastAsia="Times New Roman" w:hAnsi="Times New Roman" w:cs="Times New Roman"/>
          <w:color w:val="231F20"/>
          <w:sz w:val="20"/>
          <w:szCs w:val="20"/>
          <w:lang w:eastAsia="lv-LV"/>
        </w:rPr>
        <w:t>.</w:t>
      </w:r>
    </w:p>
  </w:footnote>
  <w:footnote w:id="7">
    <w:p w14:paraId="1E1387D0" w14:textId="7B11FD52" w:rsidR="007B6FA9" w:rsidRPr="00883523" w:rsidRDefault="007B6FA9" w:rsidP="00883523">
      <w:pPr>
        <w:spacing w:after="0" w:line="240" w:lineRule="auto"/>
        <w:jc w:val="both"/>
        <w:rPr>
          <w:rFonts w:ascii="Times New Roman" w:eastAsia="Times New Roman" w:hAnsi="Times New Roman" w:cs="Times New Roman"/>
          <w:sz w:val="24"/>
          <w:szCs w:val="24"/>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Daudzi energoefektivitātes līgumu elementi (piemēram, uz ietaupījumiem balstīts atalgojums) atšķiras no tipiskiem PPP līgumu elementiem. </w:t>
      </w:r>
      <w:r w:rsidRPr="00883523">
        <w:rPr>
          <w:rFonts w:ascii="Times New Roman" w:eastAsia="Times New Roman" w:hAnsi="Times New Roman" w:cs="Times New Roman"/>
          <w:i/>
          <w:iCs/>
          <w:color w:val="231F20"/>
          <w:sz w:val="20"/>
          <w:szCs w:val="20"/>
          <w:lang w:eastAsia="lv-LV"/>
        </w:rPr>
        <w:t>Eurostat</w:t>
      </w:r>
      <w:r w:rsidRPr="00883523">
        <w:rPr>
          <w:rFonts w:ascii="Times New Roman" w:eastAsia="Times New Roman" w:hAnsi="Times New Roman" w:cs="Times New Roman"/>
          <w:color w:val="231F20"/>
          <w:sz w:val="20"/>
          <w:szCs w:val="20"/>
          <w:lang w:eastAsia="lv-LV"/>
        </w:rPr>
        <w:t xml:space="preserve">noteikumus par energoefektivitātes līgumiem sk. tīmekļa vietnē </w:t>
      </w:r>
      <w:r w:rsidRPr="00883523">
        <w:rPr>
          <w:rFonts w:ascii="Times New Roman" w:eastAsia="Times New Roman" w:hAnsi="Times New Roman" w:cs="Times New Roman"/>
          <w:color w:val="005CAB"/>
          <w:sz w:val="20"/>
          <w:szCs w:val="20"/>
          <w:lang w:eastAsia="lv-LV"/>
        </w:rPr>
        <w:t>ec.europa.eu/eurostat/documents/1015035/6934993/EUROSTAT-Guidance-Note-on-Energy-Performance-Contracts-August-2015.pdf/dc5255f7-a5b8-42e5-bc5d-887dbf9434c9.</w:t>
      </w:r>
    </w:p>
  </w:footnote>
  <w:footnote w:id="8">
    <w:p w14:paraId="72861E9C" w14:textId="731E24F5" w:rsidR="007B6FA9" w:rsidRPr="00883523" w:rsidRDefault="007B6FA9" w:rsidP="00883523">
      <w:pPr>
        <w:spacing w:after="0" w:line="240" w:lineRule="auto"/>
        <w:jc w:val="both"/>
        <w:rPr>
          <w:rFonts w:ascii="Times New Roman" w:eastAsia="Times New Roman" w:hAnsi="Times New Roman" w:cs="Times New Roman"/>
          <w:sz w:val="20"/>
          <w:szCs w:val="20"/>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 xml:space="preserve">Vadlīnijas par </w:t>
      </w:r>
      <w:r w:rsidRPr="00883523">
        <w:rPr>
          <w:rFonts w:ascii="Times New Roman" w:eastAsia="Times New Roman" w:hAnsi="Times New Roman" w:cs="Times New Roman"/>
          <w:i/>
          <w:iCs/>
          <w:color w:val="231F20"/>
          <w:sz w:val="20"/>
          <w:szCs w:val="20"/>
          <w:lang w:eastAsia="lv-LV"/>
        </w:rPr>
        <w:t>Eurostat</w:t>
      </w:r>
      <w:r w:rsidRPr="00883523">
        <w:rPr>
          <w:rFonts w:ascii="Times New Roman" w:eastAsia="Times New Roman" w:hAnsi="Times New Roman" w:cs="Times New Roman"/>
          <w:color w:val="231F20"/>
          <w:sz w:val="20"/>
          <w:szCs w:val="20"/>
          <w:lang w:eastAsia="lv-LV"/>
        </w:rPr>
        <w:t> </w:t>
      </w:r>
      <w:r w:rsidRPr="00883523">
        <w:rPr>
          <w:rFonts w:ascii="Times New Roman" w:eastAsia="Times New Roman" w:hAnsi="Times New Roman" w:cs="Times New Roman"/>
          <w:i/>
          <w:iCs/>
          <w:color w:val="231F20"/>
          <w:sz w:val="20"/>
          <w:szCs w:val="20"/>
          <w:lang w:eastAsia="lv-LV"/>
        </w:rPr>
        <w:t>ex-ante</w:t>
      </w:r>
      <w:r w:rsidRPr="00883523">
        <w:rPr>
          <w:rFonts w:ascii="Times New Roman" w:eastAsia="Times New Roman" w:hAnsi="Times New Roman" w:cs="Times New Roman"/>
          <w:color w:val="231F20"/>
          <w:sz w:val="20"/>
          <w:szCs w:val="20"/>
          <w:lang w:eastAsia="lv-LV"/>
        </w:rPr>
        <w:t xml:space="preserve"> konsultācijām metodoloģiskos jautājumos ir pieejamas tīmekļa vietnē </w:t>
      </w:r>
      <w:r w:rsidRPr="00883523">
        <w:rPr>
          <w:rFonts w:ascii="Times New Roman" w:eastAsia="Times New Roman" w:hAnsi="Times New Roman" w:cs="Times New Roman"/>
          <w:color w:val="005CAB"/>
          <w:sz w:val="20"/>
          <w:szCs w:val="20"/>
          <w:lang w:eastAsia="lv-LV"/>
        </w:rPr>
        <w:t>ec.europa.eu/eurostat/documents/1015035/2046549/Ex-ante-advice-final-2013-01-18.pdf/483cc8b1-d384-416f- b7ed-7a788f246517.</w:t>
      </w:r>
    </w:p>
  </w:footnote>
  <w:footnote w:id="9">
    <w:p w14:paraId="5AAC7786" w14:textId="171D96A1" w:rsidR="007B6FA9" w:rsidRPr="00883523" w:rsidRDefault="007B6FA9" w:rsidP="00883523">
      <w:pPr>
        <w:spacing w:after="0" w:line="240" w:lineRule="auto"/>
        <w:jc w:val="both"/>
        <w:rPr>
          <w:rFonts w:ascii="Times New Roman" w:eastAsia="Times New Roman" w:hAnsi="Times New Roman" w:cs="Times New Roman"/>
          <w:color w:val="231F20"/>
          <w:sz w:val="20"/>
          <w:szCs w:val="20"/>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Tiek izteikta pateicība Lukam Askoli [</w:t>
      </w:r>
      <w:r w:rsidRPr="00883523">
        <w:rPr>
          <w:rFonts w:ascii="Times New Roman" w:eastAsia="Times New Roman" w:hAnsi="Times New Roman" w:cs="Times New Roman"/>
          <w:i/>
          <w:iCs/>
          <w:color w:val="231F20"/>
          <w:sz w:val="20"/>
          <w:szCs w:val="20"/>
          <w:lang w:eastAsia="lv-LV"/>
        </w:rPr>
        <w:t>Luca Ascoli</w:t>
      </w:r>
      <w:r w:rsidRPr="00883523">
        <w:rPr>
          <w:rFonts w:ascii="Times New Roman" w:eastAsia="Times New Roman" w:hAnsi="Times New Roman" w:cs="Times New Roman"/>
          <w:color w:val="231F20"/>
          <w:sz w:val="20"/>
          <w:szCs w:val="20"/>
          <w:lang w:eastAsia="lv-LV"/>
        </w:rPr>
        <w:t>] un Lurdesai Prado Urenjai [</w:t>
      </w:r>
      <w:r w:rsidRPr="00883523">
        <w:rPr>
          <w:rFonts w:ascii="Times New Roman" w:eastAsia="Times New Roman" w:hAnsi="Times New Roman" w:cs="Times New Roman"/>
          <w:i/>
          <w:iCs/>
          <w:color w:val="231F20"/>
          <w:sz w:val="20"/>
          <w:szCs w:val="20"/>
          <w:lang w:eastAsia="lv-LV"/>
        </w:rPr>
        <w:t>Lourdes Prado-Ureña</w:t>
      </w:r>
      <w:r w:rsidRPr="00883523">
        <w:rPr>
          <w:rFonts w:ascii="Times New Roman" w:eastAsia="Times New Roman" w:hAnsi="Times New Roman" w:cs="Times New Roman"/>
          <w:color w:val="231F20"/>
          <w:sz w:val="20"/>
          <w:szCs w:val="20"/>
          <w:lang w:eastAsia="lv-LV"/>
        </w:rPr>
        <w:t>] par ieguldījumu Rokasgrāmatas sagatavošanā.</w:t>
      </w:r>
    </w:p>
  </w:footnote>
  <w:footnote w:id="10">
    <w:p w14:paraId="144B987C" w14:textId="73AD1265" w:rsidR="007B6FA9" w:rsidRPr="00883523" w:rsidRDefault="007B6FA9" w:rsidP="00883523">
      <w:pPr>
        <w:spacing w:after="0" w:line="240" w:lineRule="auto"/>
        <w:jc w:val="both"/>
        <w:rPr>
          <w:rFonts w:ascii="Times New Roman" w:eastAsia="Times New Roman" w:hAnsi="Times New Roman" w:cs="Times New Roman"/>
          <w:color w:val="231F20"/>
          <w:sz w:val="20"/>
          <w:szCs w:val="20"/>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Sk. EKS 2010, 20.276.–20.290. punktu, 453.–456. lpp.</w:t>
      </w:r>
    </w:p>
  </w:footnote>
  <w:footnote w:id="11">
    <w:p w14:paraId="016F37F7" w14:textId="039CB678" w:rsidR="007B6FA9" w:rsidRPr="00883523" w:rsidRDefault="007B6FA9" w:rsidP="00883523">
      <w:pPr>
        <w:spacing w:after="0" w:line="240" w:lineRule="auto"/>
        <w:jc w:val="both"/>
        <w:rPr>
          <w:rFonts w:ascii="Times New Roman" w:eastAsia="Times New Roman" w:hAnsi="Times New Roman" w:cs="Times New Roman"/>
          <w:sz w:val="20"/>
          <w:szCs w:val="20"/>
          <w:lang w:eastAsia="lv-LV"/>
        </w:rPr>
      </w:pPr>
      <w:r w:rsidRPr="00883523">
        <w:rPr>
          <w:rStyle w:val="Vresatsauce"/>
          <w:rFonts w:ascii="Times New Roman" w:hAnsi="Times New Roman" w:cs="Times New Roman"/>
          <w:sz w:val="20"/>
          <w:szCs w:val="20"/>
        </w:rPr>
        <w:footnoteRef/>
      </w:r>
      <w:r w:rsidRPr="00883523">
        <w:rPr>
          <w:rFonts w:ascii="Times New Roman" w:hAnsi="Times New Roman" w:cs="Times New Roman"/>
          <w:sz w:val="20"/>
          <w:szCs w:val="20"/>
        </w:rPr>
        <w:t xml:space="preserve"> </w:t>
      </w:r>
      <w:r w:rsidRPr="00883523">
        <w:rPr>
          <w:rFonts w:ascii="Times New Roman" w:eastAsia="Times New Roman" w:hAnsi="Times New Roman" w:cs="Times New Roman"/>
          <w:color w:val="231F20"/>
          <w:sz w:val="20"/>
          <w:szCs w:val="20"/>
          <w:lang w:eastAsia="lv-LV"/>
        </w:rPr>
        <w:t xml:space="preserve">2004. gada 11. februāra </w:t>
      </w:r>
      <w:r w:rsidRPr="00883523">
        <w:rPr>
          <w:rFonts w:ascii="Times New Roman" w:eastAsia="Times New Roman" w:hAnsi="Times New Roman" w:cs="Times New Roman"/>
          <w:i/>
          <w:iCs/>
          <w:color w:val="231F20"/>
          <w:sz w:val="20"/>
          <w:szCs w:val="20"/>
          <w:lang w:eastAsia="lv-LV"/>
        </w:rPr>
        <w:t>Eurostat</w:t>
      </w:r>
      <w:r w:rsidRPr="00883523">
        <w:rPr>
          <w:rFonts w:ascii="Times New Roman" w:eastAsia="Times New Roman" w:hAnsi="Times New Roman" w:cs="Times New Roman"/>
          <w:color w:val="231F20"/>
          <w:sz w:val="20"/>
          <w:szCs w:val="20"/>
          <w:lang w:eastAsia="lv-LV"/>
        </w:rPr>
        <w:t xml:space="preserve"> Lēmums ir pieejams tīmekļa vietnē </w:t>
      </w:r>
      <w:r w:rsidRPr="00883523">
        <w:rPr>
          <w:rFonts w:ascii="Times New Roman" w:eastAsia="Times New Roman" w:hAnsi="Times New Roman" w:cs="Times New Roman"/>
          <w:color w:val="205E9E"/>
          <w:sz w:val="20"/>
          <w:szCs w:val="20"/>
          <w:lang w:eastAsia="lv-LV"/>
        </w:rPr>
        <w:t>ec.europa.eu/eurostat/documents/1015035/2041337/Treatment+of+PPPs.pdf/af9e90e2-bf50-4c77-a1a0-e042a617c04e.</w:t>
      </w:r>
    </w:p>
  </w:footnote>
  <w:footnote w:id="12">
    <w:p w14:paraId="345E1381" w14:textId="30CE6E33" w:rsidR="007B6FA9" w:rsidRPr="006E31BD" w:rsidRDefault="007B6FA9" w:rsidP="006E31BD">
      <w:pPr>
        <w:spacing w:after="0" w:line="240" w:lineRule="auto"/>
        <w:jc w:val="both"/>
        <w:rPr>
          <w:rFonts w:ascii="Times New Roman" w:eastAsia="Times New Roman" w:hAnsi="Times New Roman" w:cs="Times New Roman"/>
          <w:color w:val="231F20"/>
          <w:sz w:val="20"/>
          <w:szCs w:val="20"/>
          <w:lang w:eastAsia="lv-LV"/>
        </w:rPr>
      </w:pPr>
      <w:r w:rsidRPr="006E31BD">
        <w:rPr>
          <w:rStyle w:val="Vresatsauce"/>
          <w:rFonts w:ascii="Times New Roman" w:hAnsi="Times New Roman" w:cs="Times New Roman"/>
          <w:sz w:val="20"/>
          <w:szCs w:val="20"/>
        </w:rPr>
        <w:footnoteRef/>
      </w:r>
      <w:r w:rsidRPr="006E31BD">
        <w:rPr>
          <w:rFonts w:ascii="Times New Roman" w:hAnsi="Times New Roman" w:cs="Times New Roman"/>
          <w:sz w:val="20"/>
          <w:szCs w:val="20"/>
        </w:rPr>
        <w:t xml:space="preserve"> </w:t>
      </w:r>
      <w:r w:rsidRPr="006E31BD">
        <w:rPr>
          <w:rFonts w:ascii="Times New Roman" w:eastAsia="Times New Roman" w:hAnsi="Times New Roman" w:cs="Times New Roman"/>
          <w:color w:val="231F20"/>
          <w:sz w:val="20"/>
          <w:szCs w:val="20"/>
          <w:lang w:eastAsia="lv-LV"/>
        </w:rPr>
        <w:t xml:space="preserve">Tos projekta komponentus, kurus saskaņā ar PPP līgumu nodrošina, bet neuztur/neekspluatē Partneris, </w:t>
      </w:r>
      <w:r w:rsidRPr="006E31BD">
        <w:rPr>
          <w:rFonts w:ascii="Times New Roman" w:eastAsia="Times New Roman" w:hAnsi="Times New Roman" w:cs="Times New Roman"/>
          <w:i/>
          <w:iCs/>
          <w:color w:val="231F20"/>
          <w:sz w:val="20"/>
          <w:szCs w:val="20"/>
          <w:lang w:eastAsia="lv-LV"/>
        </w:rPr>
        <w:t>Eurostat</w:t>
      </w:r>
      <w:r w:rsidRPr="006E31BD">
        <w:rPr>
          <w:rFonts w:ascii="Times New Roman" w:eastAsia="Times New Roman" w:hAnsi="Times New Roman" w:cs="Times New Roman"/>
          <w:color w:val="231F20"/>
          <w:sz w:val="20"/>
          <w:szCs w:val="20"/>
          <w:lang w:eastAsia="lv-LV"/>
        </w:rPr>
        <w:t xml:space="preserve"> neuzskata par PPP aktīva daļu. Šādu komponentu statistiskā uzskaite ir jāanalizē atsevišķi. Piemērs varētu būt medicīniskās palīdzības telpu projekts, kurā saskaņā ar PPP līgumu Partnerim ir jābūvē papildu pievedceļi, bet tas nav atbildīgs par šo pievedceļu uzturēšanu vai ekspluatēšanu pēc to pabeigšanas.</w:t>
      </w:r>
    </w:p>
  </w:footnote>
  <w:footnote w:id="13">
    <w:p w14:paraId="5E96C524" w14:textId="4BF214F0" w:rsidR="007B6FA9" w:rsidRPr="000D0E10" w:rsidRDefault="007B6FA9" w:rsidP="005C785A">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Ar EKS 2010 Noteikumos tika ieviesta skaidra prasība, novērtējot PPP statistisko uzskaiti, ņemt vērā atlīdzības (ne tikai riskus).</w:t>
      </w:r>
    </w:p>
  </w:footnote>
  <w:footnote w:id="14">
    <w:p w14:paraId="1A57708A" w14:textId="29685EAC" w:rsidR="007B6FA9" w:rsidRPr="000D0E10" w:rsidRDefault="007B6FA9">
      <w:pPr>
        <w:pStyle w:val="Vresteksts"/>
        <w:rPr>
          <w:rFonts w:ascii="Times New Roman" w:hAnsi="Times New Roman" w:cs="Times New Roman"/>
        </w:rPr>
      </w:pPr>
      <w:r w:rsidRPr="000D0E10">
        <w:rPr>
          <w:rStyle w:val="Vresatsauce"/>
          <w:rFonts w:ascii="Times New Roman" w:hAnsi="Times New Roman" w:cs="Times New Roman"/>
        </w:rPr>
        <w:footnoteRef/>
      </w:r>
      <w:r w:rsidRPr="000D0E10">
        <w:rPr>
          <w:rFonts w:ascii="Times New Roman" w:hAnsi="Times New Roman" w:cs="Times New Roman"/>
        </w:rPr>
        <w:t xml:space="preserve"> </w:t>
      </w:r>
      <w:r w:rsidRPr="000D0E10">
        <w:rPr>
          <w:rFonts w:ascii="Times New Roman" w:eastAsia="Times New Roman" w:hAnsi="Times New Roman" w:cs="Times New Roman"/>
          <w:color w:val="231F20"/>
          <w:lang w:eastAsia="lv-LV"/>
        </w:rPr>
        <w:t>2. nodaļā skaidrots, kā pušu veids vai kontrole ietekmē statistisko uzskaiti.</w:t>
      </w:r>
    </w:p>
  </w:footnote>
  <w:footnote w:id="15">
    <w:p w14:paraId="02EE2437" w14:textId="7DD4B44C" w:rsidR="007B6FA9" w:rsidRPr="000D0E10"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 xml:space="preserve">Saskaņā ar </w:t>
      </w:r>
      <w:r w:rsidRPr="000D0E10">
        <w:rPr>
          <w:rFonts w:ascii="Times New Roman" w:eastAsia="Times New Roman" w:hAnsi="Times New Roman" w:cs="Times New Roman"/>
          <w:i/>
          <w:iCs/>
          <w:color w:val="231F20"/>
          <w:sz w:val="20"/>
          <w:szCs w:val="20"/>
          <w:lang w:eastAsia="lv-LV"/>
        </w:rPr>
        <w:t>MGDD</w:t>
      </w:r>
      <w:r w:rsidRPr="000D0E10">
        <w:rPr>
          <w:rFonts w:ascii="Times New Roman" w:eastAsia="Times New Roman" w:hAnsi="Times New Roman" w:cs="Times New Roman"/>
          <w:color w:val="231F20"/>
          <w:sz w:val="20"/>
          <w:szCs w:val="20"/>
          <w:lang w:eastAsia="lv-LV"/>
        </w:rPr>
        <w:t> 2016 (Noteikumi, kas bija spēkā, izdarot grozījumus, un tika izmantoti šo grozījumu novērtēšanai), ja valdība saņem 60 % no refinansējot gūtās peļņas, tas automātiski nozīmē, ka PPP ir reģistrējama valdības bilancē (sk. 3. nodaļas 14.6.2. tematu).</w:t>
      </w:r>
    </w:p>
  </w:footnote>
  <w:footnote w:id="16">
    <w:p w14:paraId="773A4015" w14:textId="1AF387C2" w:rsidR="007B6FA9" w:rsidRPr="000D0E10"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 xml:space="preserve">Šis ir grozījums, ko novērtē saskaņā ar </w:t>
      </w:r>
      <w:r w:rsidRPr="000D0E10">
        <w:rPr>
          <w:rFonts w:ascii="Times New Roman" w:eastAsia="Times New Roman" w:hAnsi="Times New Roman" w:cs="Times New Roman"/>
          <w:i/>
          <w:iCs/>
          <w:color w:val="231F20"/>
          <w:sz w:val="20"/>
          <w:szCs w:val="20"/>
          <w:lang w:eastAsia="lv-LV"/>
        </w:rPr>
        <w:t>MGDD</w:t>
      </w:r>
      <w:r w:rsidRPr="000D0E10">
        <w:rPr>
          <w:rFonts w:ascii="Times New Roman" w:eastAsia="Times New Roman" w:hAnsi="Times New Roman" w:cs="Times New Roman"/>
          <w:color w:val="231F20"/>
          <w:sz w:val="20"/>
          <w:szCs w:val="20"/>
          <w:lang w:eastAsia="lv-LV"/>
        </w:rPr>
        <w:t xml:space="preserve"> 2016. Tas, ka līgums valdībai piešķir tiesības uz 60 % no refinansējot gūtās peļņas, nav būtiski, jo saskaņā ar </w:t>
      </w:r>
      <w:r w:rsidRPr="000D0E10">
        <w:rPr>
          <w:rFonts w:ascii="Times New Roman" w:eastAsia="Times New Roman" w:hAnsi="Times New Roman" w:cs="Times New Roman"/>
          <w:i/>
          <w:iCs/>
          <w:color w:val="231F20"/>
          <w:sz w:val="20"/>
          <w:szCs w:val="20"/>
          <w:lang w:eastAsia="lv-LV"/>
        </w:rPr>
        <w:t>MGDD</w:t>
      </w:r>
      <w:r w:rsidRPr="000D0E10">
        <w:rPr>
          <w:rFonts w:ascii="Times New Roman" w:eastAsia="Times New Roman" w:hAnsi="Times New Roman" w:cs="Times New Roman"/>
          <w:color w:val="231F20"/>
          <w:sz w:val="20"/>
          <w:szCs w:val="20"/>
          <w:lang w:eastAsia="lv-LV"/>
        </w:rPr>
        <w:t> 2013 (Noteikumi, kas bija spēkā līguma finanšu izpildes dienā) valdības 60 % no refinansējot gūtās peļņas nebija būtiski statistiskajā uzskaitē.</w:t>
      </w:r>
    </w:p>
  </w:footnote>
  <w:footnote w:id="17">
    <w:p w14:paraId="708C7AB2" w14:textId="7A0E3D5A" w:rsidR="007B6FA9" w:rsidRPr="000D0E10"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Sk. 16. zemsvītras piezīmi.</w:t>
      </w:r>
    </w:p>
  </w:footnote>
  <w:footnote w:id="18">
    <w:p w14:paraId="4956E60B" w14:textId="321FC620" w:rsidR="007B6FA9" w:rsidRPr="000D0E10"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Statistikas vajadzībām subjektus, kas iesaistīti PPP darījumā, klasificē vai nu vispārējās valdības sektorā, vai ārpus tā. Tas tiks noteikts saskaņā ar tiem pašiem vispārējiem noteikumiem, kurus izmanto, lai noteiktu</w:t>
      </w:r>
      <w:r w:rsidRPr="000D0E10">
        <w:rPr>
          <w:rFonts w:ascii="Times New Roman" w:eastAsia="Times New Roman" w:hAnsi="Times New Roman" w:cs="Times New Roman"/>
          <w:color w:val="231F20"/>
          <w:sz w:val="20"/>
          <w:szCs w:val="20"/>
          <w:u w:val="single"/>
          <w:lang w:eastAsia="lv-LV"/>
        </w:rPr>
        <w:t xml:space="preserve"> visu</w:t>
      </w:r>
      <w:r w:rsidRPr="000D0E10">
        <w:rPr>
          <w:rFonts w:ascii="Times New Roman" w:eastAsia="Times New Roman" w:hAnsi="Times New Roman" w:cs="Times New Roman"/>
          <w:color w:val="231F20"/>
          <w:sz w:val="20"/>
          <w:szCs w:val="20"/>
          <w:lang w:eastAsia="lv-LV"/>
        </w:rPr>
        <w:t xml:space="preserve"> subjektu statistisko sektora klasifikāciju dalībvalstī.</w:t>
      </w:r>
      <w:r w:rsidRPr="000D0E10">
        <w:rPr>
          <w:rFonts w:ascii="Times New Roman" w:eastAsia="Times New Roman" w:hAnsi="Times New Roman" w:cs="Times New Roman"/>
          <w:sz w:val="20"/>
          <w:szCs w:val="20"/>
          <w:lang w:eastAsia="lv-LV"/>
        </w:rPr>
        <w:t> </w:t>
      </w:r>
      <w:r w:rsidRPr="000D0E10">
        <w:rPr>
          <w:rFonts w:ascii="Times New Roman" w:eastAsia="Times New Roman" w:hAnsi="Times New Roman" w:cs="Times New Roman"/>
          <w:color w:val="231F20"/>
          <w:sz w:val="20"/>
          <w:szCs w:val="20"/>
          <w:lang w:eastAsia="lv-LV"/>
        </w:rPr>
        <w:t>Šī ir tehniska un sarežģīta nacionālo kontu joma. Lai gan 2. nodaļā ir apsvērta vispārējo noteikumu iespējamā ietekme uz tipiskiem PPP darījumiem, lietotājiem ir ļoti ieteicams visus konkrētos jautājumus vai šaubas apspriest ar savas valsts statistikas iestādēm.</w:t>
      </w:r>
    </w:p>
  </w:footnote>
  <w:footnote w:id="19">
    <w:p w14:paraId="1739814F" w14:textId="3725C356" w:rsidR="007B6FA9" w:rsidRPr="000D0E10" w:rsidRDefault="007B6FA9" w:rsidP="000D0E10">
      <w:pPr>
        <w:spacing w:after="0" w:line="240" w:lineRule="auto"/>
        <w:jc w:val="both"/>
        <w:rPr>
          <w:rFonts w:ascii="Times New Roman" w:eastAsia="Times New Roman" w:hAnsi="Times New Roman" w:cs="Times New Roman"/>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i/>
          <w:iCs/>
          <w:color w:val="231F20"/>
          <w:sz w:val="20"/>
          <w:szCs w:val="20"/>
          <w:lang w:eastAsia="lv-LV"/>
        </w:rPr>
        <w:t>EDP</w:t>
      </w:r>
      <w:r w:rsidRPr="000D0E10">
        <w:rPr>
          <w:rFonts w:ascii="Times New Roman" w:eastAsia="Times New Roman" w:hAnsi="Times New Roman" w:cs="Times New Roman"/>
          <w:color w:val="231F20"/>
          <w:sz w:val="20"/>
          <w:szCs w:val="20"/>
          <w:lang w:eastAsia="lv-LV"/>
        </w:rPr>
        <w:t xml:space="preserve"> apvienotais apraksts, I pielikums: to iestāžu saraksts, kas katrā no valstīm ir klasificētas vispārējās valdības sektorā, ir pieejams tīmekļa vietnē </w:t>
      </w:r>
      <w:r w:rsidRPr="000D0E10">
        <w:rPr>
          <w:rFonts w:ascii="Times New Roman" w:eastAsia="Times New Roman" w:hAnsi="Times New Roman" w:cs="Times New Roman"/>
          <w:color w:val="205E9E"/>
          <w:sz w:val="20"/>
          <w:szCs w:val="20"/>
          <w:lang w:eastAsia="lv-LV"/>
        </w:rPr>
        <w:t>ec.europa.eu/eurostat/web/government-finance-statistics/excessive-deficit-procedure/edp-inventories</w:t>
      </w:r>
      <w:r w:rsidRPr="000D0E10">
        <w:rPr>
          <w:rFonts w:ascii="Times New Roman" w:eastAsia="Times New Roman" w:hAnsi="Times New Roman" w:cs="Times New Roman"/>
          <w:color w:val="005CAB"/>
          <w:sz w:val="20"/>
          <w:szCs w:val="20"/>
          <w:lang w:eastAsia="lv-LV"/>
        </w:rPr>
        <w:t>.</w:t>
      </w:r>
    </w:p>
  </w:footnote>
  <w:footnote w:id="20">
    <w:p w14:paraId="3F01A6CB" w14:textId="15D6D5A4" w:rsidR="007B6FA9" w:rsidRPr="000D0E10"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0D0E10">
        <w:rPr>
          <w:rStyle w:val="Vresatsauce"/>
          <w:rFonts w:ascii="Times New Roman" w:hAnsi="Times New Roman" w:cs="Times New Roman"/>
          <w:sz w:val="20"/>
          <w:szCs w:val="20"/>
        </w:rPr>
        <w:footnoteRef/>
      </w:r>
      <w:r w:rsidRPr="000D0E10">
        <w:rPr>
          <w:rFonts w:ascii="Times New Roman" w:hAnsi="Times New Roman" w:cs="Times New Roman"/>
          <w:sz w:val="20"/>
          <w:szCs w:val="20"/>
        </w:rPr>
        <w:t xml:space="preserve"> </w:t>
      </w:r>
      <w:r w:rsidRPr="000D0E10">
        <w:rPr>
          <w:rFonts w:ascii="Times New Roman" w:eastAsia="Times New Roman" w:hAnsi="Times New Roman" w:cs="Times New Roman"/>
          <w:color w:val="231F20"/>
          <w:sz w:val="20"/>
          <w:szCs w:val="20"/>
          <w:lang w:eastAsia="lv-LV"/>
        </w:rPr>
        <w:t xml:space="preserve">Šādas Iestādes piemērs ir dzelzceļa uzņēmums (kas pieder valstij, bet tiek klasificēts kā tirgus ražotājs, kurš neietilpst vispārējās valdības sektorā) slēdz ilgtermiņa vienošanos ar Partneri par dzelzceļa sliežu infrastruktūras būvniecību un ekspluatāciju/uzturēšanu. Jānorāda, ka jebkura valdības iesaistīšanās šādā projektā var ietekmēt tā statistisko uzskaiti, izmantojot citus </w:t>
      </w:r>
      <w:r w:rsidRPr="000D0E10">
        <w:rPr>
          <w:rFonts w:ascii="Times New Roman" w:eastAsia="Times New Roman" w:hAnsi="Times New Roman" w:cs="Times New Roman"/>
          <w:i/>
          <w:iCs/>
          <w:color w:val="231F20"/>
          <w:sz w:val="20"/>
          <w:szCs w:val="20"/>
          <w:lang w:eastAsia="lv-LV"/>
        </w:rPr>
        <w:t>Eurostat</w:t>
      </w:r>
      <w:r w:rsidRPr="000D0E10">
        <w:rPr>
          <w:rFonts w:ascii="Times New Roman" w:eastAsia="Times New Roman" w:hAnsi="Times New Roman" w:cs="Times New Roman"/>
          <w:color w:val="231F20"/>
          <w:sz w:val="20"/>
          <w:szCs w:val="20"/>
          <w:lang w:eastAsia="lv-LV"/>
        </w:rPr>
        <w:t xml:space="preserve"> noteikumus (t. i., tādus, kas neattiecas uz PPP).</w:t>
      </w:r>
    </w:p>
  </w:footnote>
  <w:footnote w:id="21">
    <w:p w14:paraId="16533A99" w14:textId="6D84BF78" w:rsidR="007B6FA9" w:rsidRPr="0039498B"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 xml:space="preserve">Tas attiecas arī uz tām </w:t>
      </w:r>
      <w:r>
        <w:rPr>
          <w:rFonts w:ascii="Times New Roman" w:eastAsia="Times New Roman" w:hAnsi="Times New Roman" w:cs="Times New Roman"/>
          <w:color w:val="231F20"/>
          <w:sz w:val="20"/>
          <w:szCs w:val="20"/>
          <w:lang w:eastAsia="lv-LV"/>
        </w:rPr>
        <w:t>īpašam nolūkam dibinātajām s</w:t>
      </w:r>
      <w:r w:rsidRPr="0039498B">
        <w:rPr>
          <w:rFonts w:ascii="Times New Roman" w:eastAsia="Times New Roman" w:hAnsi="Times New Roman" w:cs="Times New Roman"/>
          <w:color w:val="231F20"/>
          <w:sz w:val="20"/>
          <w:szCs w:val="20"/>
          <w:lang w:eastAsia="lv-LV"/>
        </w:rPr>
        <w:t>abiedrībām, kuras kontrolē viena vai vairākas valsts iestādes, kas klasificētas ārpus vispārējās valdības sektora (piemēram, valsts bankas vai valdības uzņēmumi, kas statistikas vajadzībām tiek uzskatīti par tirgus ražotājiem; sk. 26. zemsvītras piezīmi). Tomēr svarīgs izņēmums no iepriekš minētā ir gadījums, kad šīs valsts iestādes rīkojas, pamatojoties uz valdības norādījumiem (sk. šīs iedaļas pēdējo rindkopu).</w:t>
      </w:r>
    </w:p>
  </w:footnote>
  <w:footnote w:id="22">
    <w:p w14:paraId="58E2D2F9" w14:textId="2E3779A0" w:rsidR="007B6FA9" w:rsidRPr="0039498B"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 xml:space="preserve">Parasti </w:t>
      </w:r>
      <w:r>
        <w:rPr>
          <w:rFonts w:ascii="Times New Roman" w:eastAsia="Times New Roman" w:hAnsi="Times New Roman" w:cs="Times New Roman"/>
          <w:color w:val="231F20"/>
          <w:sz w:val="20"/>
          <w:szCs w:val="20"/>
          <w:lang w:eastAsia="lv-LV"/>
        </w:rPr>
        <w:t xml:space="preserve">īpašam nolūkam dibināta </w:t>
      </w:r>
      <w:r w:rsidRPr="0039498B">
        <w:rPr>
          <w:rFonts w:ascii="Times New Roman" w:eastAsia="Times New Roman" w:hAnsi="Times New Roman" w:cs="Times New Roman"/>
          <w:color w:val="231F20"/>
          <w:sz w:val="20"/>
          <w:szCs w:val="20"/>
          <w:lang w:eastAsia="lv-LV"/>
        </w:rPr>
        <w:t>sabiedrība slēdz tikai vienu PPP līgumu, lai īstenotu tikai vienu PPP projektu.</w:t>
      </w:r>
    </w:p>
    <w:p w14:paraId="7A485980" w14:textId="3A90B0AC" w:rsidR="007B6FA9" w:rsidRPr="0039498B"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39498B">
        <w:rPr>
          <w:rFonts w:ascii="Times New Roman" w:eastAsia="Times New Roman" w:hAnsi="Times New Roman" w:cs="Times New Roman"/>
          <w:color w:val="231F20"/>
          <w:sz w:val="20"/>
          <w:szCs w:val="20"/>
          <w:lang w:eastAsia="lv-LV"/>
        </w:rPr>
        <w:t xml:space="preserve">Tomēr </w:t>
      </w:r>
      <w:r>
        <w:rPr>
          <w:rFonts w:ascii="Times New Roman" w:eastAsia="Times New Roman" w:hAnsi="Times New Roman" w:cs="Times New Roman"/>
          <w:color w:val="231F20"/>
          <w:sz w:val="20"/>
          <w:szCs w:val="20"/>
          <w:lang w:eastAsia="lv-LV"/>
        </w:rPr>
        <w:t xml:space="preserve">īpašam nolūkam dibināta </w:t>
      </w:r>
      <w:r w:rsidRPr="0039498B">
        <w:rPr>
          <w:rFonts w:ascii="Times New Roman" w:eastAsia="Times New Roman" w:hAnsi="Times New Roman" w:cs="Times New Roman"/>
          <w:color w:val="231F20"/>
          <w:sz w:val="20"/>
          <w:szCs w:val="20"/>
          <w:lang w:eastAsia="lv-LV"/>
        </w:rPr>
        <w:t>sabiedrība, ko kontrolē privāti uzņēmumi, varētu slēgt vairākus PPP līgumus ar vienu vai vairākām Iestādēm, un tas nemainītu tās klasifikāciju ārpus vispārējās valdības sektora.</w:t>
      </w:r>
    </w:p>
  </w:footnote>
  <w:footnote w:id="23">
    <w:p w14:paraId="59D19F54" w14:textId="4E41A91F" w:rsidR="007B6FA9" w:rsidRPr="0039498B" w:rsidRDefault="007B6FA9" w:rsidP="000D0E10">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 xml:space="preserve">Sk. EKS 2010 2.38., 20.309. un 20.316.–20.318. punktu un </w:t>
      </w:r>
      <w:r w:rsidRPr="0039498B">
        <w:rPr>
          <w:rFonts w:ascii="Times New Roman" w:eastAsia="Times New Roman" w:hAnsi="Times New Roman" w:cs="Times New Roman"/>
          <w:i/>
          <w:iCs/>
          <w:color w:val="231F20"/>
          <w:sz w:val="20"/>
          <w:szCs w:val="20"/>
          <w:lang w:eastAsia="lv-LV"/>
        </w:rPr>
        <w:t>MGDD</w:t>
      </w:r>
      <w:r w:rsidRPr="0039498B">
        <w:rPr>
          <w:rFonts w:ascii="Times New Roman" w:eastAsia="Times New Roman" w:hAnsi="Times New Roman" w:cs="Times New Roman"/>
          <w:color w:val="231F20"/>
          <w:sz w:val="20"/>
          <w:szCs w:val="20"/>
          <w:lang w:eastAsia="lv-LV"/>
        </w:rPr>
        <w:t> 2016 I.2.3.– I.6.2.2. nodaļu.</w:t>
      </w:r>
    </w:p>
  </w:footnote>
  <w:footnote w:id="24">
    <w:p w14:paraId="3D0E618B" w14:textId="72239DB7" w:rsidR="007B6FA9" w:rsidRPr="0039498B" w:rsidRDefault="007B6FA9" w:rsidP="0039498B">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 xml:space="preserve">Ir svarīgi norādīt, ka valdības kontroli pār </w:t>
      </w:r>
      <w:r w:rsidR="00482047">
        <w:rPr>
          <w:rFonts w:ascii="Times New Roman" w:eastAsia="Times New Roman" w:hAnsi="Times New Roman" w:cs="Times New Roman"/>
          <w:color w:val="231F20"/>
          <w:sz w:val="20"/>
          <w:szCs w:val="20"/>
          <w:lang w:eastAsia="lv-LV"/>
        </w:rPr>
        <w:t xml:space="preserve">īpašam nolūkam dibinātu </w:t>
      </w:r>
      <w:r w:rsidRPr="0039498B">
        <w:rPr>
          <w:rFonts w:ascii="Times New Roman" w:eastAsia="Times New Roman" w:hAnsi="Times New Roman" w:cs="Times New Roman"/>
          <w:color w:val="231F20"/>
          <w:sz w:val="20"/>
          <w:szCs w:val="20"/>
          <w:lang w:eastAsia="lv-LV"/>
        </w:rPr>
        <w:t xml:space="preserve">sabiedrību var konstatēt, izvērtējot </w:t>
      </w:r>
      <w:r w:rsidR="00482047">
        <w:rPr>
          <w:rFonts w:ascii="Times New Roman" w:eastAsia="Times New Roman" w:hAnsi="Times New Roman" w:cs="Times New Roman"/>
          <w:color w:val="231F20"/>
          <w:sz w:val="20"/>
          <w:szCs w:val="20"/>
          <w:lang w:eastAsia="lv-LV"/>
        </w:rPr>
        <w:t xml:space="preserve">īpašam nolūkam dibinātas </w:t>
      </w:r>
      <w:r w:rsidRPr="0039498B">
        <w:rPr>
          <w:rFonts w:ascii="Times New Roman" w:eastAsia="Times New Roman" w:hAnsi="Times New Roman" w:cs="Times New Roman"/>
          <w:color w:val="231F20"/>
          <w:sz w:val="20"/>
          <w:szCs w:val="20"/>
          <w:lang w:eastAsia="lv-LV"/>
        </w:rPr>
        <w:t>sabiedrības attiecības</w:t>
      </w:r>
      <w:r w:rsidRPr="0039498B">
        <w:rPr>
          <w:rFonts w:ascii="Times New Roman" w:eastAsia="Times New Roman" w:hAnsi="Times New Roman" w:cs="Times New Roman"/>
          <w:color w:val="000000"/>
          <w:sz w:val="20"/>
          <w:szCs w:val="20"/>
          <w:lang w:eastAsia="lv-LV"/>
        </w:rPr>
        <w:t> </w:t>
      </w:r>
      <w:r w:rsidRPr="0039498B">
        <w:rPr>
          <w:rFonts w:ascii="Times New Roman" w:eastAsia="Times New Roman" w:hAnsi="Times New Roman" w:cs="Times New Roman"/>
          <w:color w:val="231F20"/>
          <w:sz w:val="20"/>
          <w:szCs w:val="20"/>
          <w:lang w:eastAsia="lv-LV"/>
        </w:rPr>
        <w:t>ar jebkuru valdības iestādi attiecīgajā dalībvalstī, ne tikai</w:t>
      </w:r>
      <w:r w:rsidRPr="0039498B">
        <w:rPr>
          <w:rFonts w:ascii="Times New Roman" w:eastAsia="Times New Roman" w:hAnsi="Times New Roman" w:cs="Times New Roman"/>
          <w:color w:val="000000"/>
          <w:sz w:val="20"/>
          <w:szCs w:val="20"/>
          <w:lang w:eastAsia="lv-LV"/>
        </w:rPr>
        <w:t> </w:t>
      </w:r>
      <w:r w:rsidRPr="0039498B">
        <w:rPr>
          <w:rFonts w:ascii="Times New Roman" w:eastAsia="Times New Roman" w:hAnsi="Times New Roman" w:cs="Times New Roman"/>
          <w:color w:val="231F20"/>
          <w:sz w:val="20"/>
          <w:szCs w:val="20"/>
          <w:lang w:eastAsia="lv-LV"/>
        </w:rPr>
        <w:t>tās attiecības ar konkrēto Iestādi.</w:t>
      </w:r>
      <w:r w:rsidRPr="0039498B">
        <w:rPr>
          <w:rFonts w:ascii="Times New Roman" w:eastAsia="Times New Roman" w:hAnsi="Times New Roman" w:cs="Times New Roman"/>
          <w:sz w:val="20"/>
          <w:szCs w:val="20"/>
          <w:lang w:eastAsia="lv-LV"/>
        </w:rPr>
        <w:t> </w:t>
      </w:r>
      <w:r w:rsidRPr="0039498B">
        <w:rPr>
          <w:rFonts w:ascii="Times New Roman" w:eastAsia="Times New Roman" w:hAnsi="Times New Roman" w:cs="Times New Roman"/>
          <w:color w:val="231F20"/>
          <w:sz w:val="20"/>
          <w:szCs w:val="20"/>
          <w:lang w:eastAsia="lv-LV"/>
        </w:rPr>
        <w:t xml:space="preserve">Piemēram, projektā, kur Iestāde ir vietējās pašvaldības iestāde, valsts kontroli pār </w:t>
      </w:r>
      <w:r w:rsidR="00482047">
        <w:rPr>
          <w:rFonts w:ascii="Times New Roman" w:eastAsia="Times New Roman" w:hAnsi="Times New Roman" w:cs="Times New Roman"/>
          <w:color w:val="231F20"/>
          <w:sz w:val="20"/>
          <w:szCs w:val="20"/>
          <w:lang w:eastAsia="lv-LV"/>
        </w:rPr>
        <w:t xml:space="preserve">īpašam nolūkam dibinātu </w:t>
      </w:r>
      <w:r w:rsidRPr="0039498B">
        <w:rPr>
          <w:rFonts w:ascii="Times New Roman" w:eastAsia="Times New Roman" w:hAnsi="Times New Roman" w:cs="Times New Roman"/>
          <w:color w:val="231F20"/>
          <w:sz w:val="20"/>
          <w:szCs w:val="20"/>
          <w:lang w:eastAsia="lv-LV"/>
        </w:rPr>
        <w:t xml:space="preserve">sabiedrību pierādītu tas, ka šīs </w:t>
      </w:r>
      <w:r w:rsidR="00482047">
        <w:rPr>
          <w:rFonts w:ascii="Times New Roman" w:eastAsia="Times New Roman" w:hAnsi="Times New Roman" w:cs="Times New Roman"/>
          <w:color w:val="231F20"/>
          <w:sz w:val="20"/>
          <w:szCs w:val="20"/>
          <w:lang w:eastAsia="lv-LV"/>
        </w:rPr>
        <w:t xml:space="preserve">īpašam nolūkam dibinātas </w:t>
      </w:r>
      <w:r w:rsidRPr="0039498B">
        <w:rPr>
          <w:rFonts w:ascii="Times New Roman" w:eastAsia="Times New Roman" w:hAnsi="Times New Roman" w:cs="Times New Roman"/>
          <w:color w:val="231F20"/>
          <w:sz w:val="20"/>
          <w:szCs w:val="20"/>
          <w:lang w:eastAsia="lv-LV"/>
        </w:rPr>
        <w:t xml:space="preserve">sabiedrības balsstiesību vairākums vai kontrolējošas līdzdalības daļa piederētu citai valdības iestādei (piemēram, ja centrālā valdība ieguldītu šajā </w:t>
      </w:r>
      <w:r w:rsidR="00482047">
        <w:rPr>
          <w:rFonts w:ascii="Times New Roman" w:eastAsia="Times New Roman" w:hAnsi="Times New Roman" w:cs="Times New Roman"/>
          <w:color w:val="231F20"/>
          <w:sz w:val="20"/>
          <w:szCs w:val="20"/>
          <w:lang w:eastAsia="lv-LV"/>
        </w:rPr>
        <w:t xml:space="preserve">īpašam nolūkam dibinātajā </w:t>
      </w:r>
      <w:r w:rsidRPr="0039498B">
        <w:rPr>
          <w:rFonts w:ascii="Times New Roman" w:eastAsia="Times New Roman" w:hAnsi="Times New Roman" w:cs="Times New Roman"/>
          <w:color w:val="231F20"/>
          <w:sz w:val="20"/>
          <w:szCs w:val="20"/>
          <w:lang w:eastAsia="lv-LV"/>
        </w:rPr>
        <w:t>sabiedrībā).</w:t>
      </w:r>
    </w:p>
  </w:footnote>
  <w:footnote w:id="25">
    <w:p w14:paraId="2D35C99F" w14:textId="7C931218" w:rsidR="007B6FA9" w:rsidRPr="0039498B" w:rsidRDefault="007B6FA9" w:rsidP="0039498B">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i/>
          <w:iCs/>
          <w:color w:val="231F20"/>
          <w:sz w:val="20"/>
          <w:szCs w:val="20"/>
          <w:lang w:eastAsia="lv-LV"/>
        </w:rPr>
        <w:t>Eurostat</w:t>
      </w:r>
      <w:r w:rsidRPr="0039498B">
        <w:rPr>
          <w:rFonts w:ascii="Times New Roman" w:eastAsia="Times New Roman" w:hAnsi="Times New Roman" w:cs="Times New Roman"/>
          <w:color w:val="231F20"/>
          <w:sz w:val="20"/>
          <w:szCs w:val="20"/>
          <w:lang w:eastAsia="lv-LV"/>
        </w:rPr>
        <w:t xml:space="preserve"> uzskata, ka tas, ka valdības līdzdalība </w:t>
      </w:r>
      <w:r w:rsidR="00482047">
        <w:rPr>
          <w:rFonts w:ascii="Times New Roman" w:eastAsia="Times New Roman" w:hAnsi="Times New Roman" w:cs="Times New Roman"/>
          <w:color w:val="231F20"/>
          <w:sz w:val="20"/>
          <w:szCs w:val="20"/>
          <w:lang w:eastAsia="lv-LV"/>
        </w:rPr>
        <w:t xml:space="preserve">īpašam nolūkam dibinātas </w:t>
      </w:r>
      <w:r w:rsidRPr="0039498B">
        <w:rPr>
          <w:rFonts w:ascii="Times New Roman" w:eastAsia="Times New Roman" w:hAnsi="Times New Roman" w:cs="Times New Roman"/>
          <w:color w:val="231F20"/>
          <w:sz w:val="20"/>
          <w:szCs w:val="20"/>
          <w:lang w:eastAsia="lv-LV"/>
        </w:rPr>
        <w:t xml:space="preserve">sabiedrības īpašumtiesībās var būt PPP projekta konkursā izvirzīts nosacījums, nav būtisks faktors, nosakot, vai valsts kontrolē šo </w:t>
      </w:r>
      <w:r w:rsidR="00482047">
        <w:rPr>
          <w:rFonts w:ascii="Times New Roman" w:eastAsia="Times New Roman" w:hAnsi="Times New Roman" w:cs="Times New Roman"/>
          <w:color w:val="231F20"/>
          <w:sz w:val="20"/>
          <w:szCs w:val="20"/>
          <w:lang w:eastAsia="lv-LV"/>
        </w:rPr>
        <w:t xml:space="preserve">īpašam nolūkam dibināto </w:t>
      </w:r>
      <w:r w:rsidRPr="0039498B">
        <w:rPr>
          <w:rFonts w:ascii="Times New Roman" w:eastAsia="Times New Roman" w:hAnsi="Times New Roman" w:cs="Times New Roman"/>
          <w:color w:val="231F20"/>
          <w:sz w:val="20"/>
          <w:szCs w:val="20"/>
          <w:lang w:eastAsia="lv-LV"/>
        </w:rPr>
        <w:t>sabiedrību.</w:t>
      </w:r>
    </w:p>
  </w:footnote>
  <w:footnote w:id="26">
    <w:p w14:paraId="20176AE6" w14:textId="4D61814F" w:rsidR="007B6FA9" w:rsidRPr="0039498B" w:rsidRDefault="007B6FA9">
      <w:pPr>
        <w:pStyle w:val="Vresteksts"/>
        <w:rPr>
          <w:rFonts w:ascii="Times New Roman" w:hAnsi="Times New Roman" w:cs="Times New Roman"/>
        </w:rPr>
      </w:pPr>
      <w:r w:rsidRPr="0039498B">
        <w:rPr>
          <w:rStyle w:val="Vresatsauce"/>
          <w:rFonts w:ascii="Times New Roman" w:hAnsi="Times New Roman" w:cs="Times New Roman"/>
        </w:rPr>
        <w:footnoteRef/>
      </w:r>
      <w:r w:rsidRPr="0039498B">
        <w:rPr>
          <w:rFonts w:ascii="Times New Roman" w:hAnsi="Times New Roman" w:cs="Times New Roman"/>
        </w:rPr>
        <w:t xml:space="preserve"> </w:t>
      </w:r>
      <w:r w:rsidRPr="0039498B">
        <w:rPr>
          <w:rFonts w:ascii="Times New Roman" w:eastAsia="Times New Roman" w:hAnsi="Times New Roman" w:cs="Times New Roman"/>
          <w:color w:val="231F20"/>
          <w:lang w:eastAsia="lv-LV"/>
        </w:rPr>
        <w:t xml:space="preserve">Sk. EKS 2010 20.19.–20.34. punktu un </w:t>
      </w:r>
      <w:r w:rsidRPr="0039498B">
        <w:rPr>
          <w:rFonts w:ascii="Times New Roman" w:eastAsia="Times New Roman" w:hAnsi="Times New Roman" w:cs="Times New Roman"/>
          <w:i/>
          <w:iCs/>
          <w:color w:val="231F20"/>
          <w:lang w:eastAsia="lv-LV"/>
        </w:rPr>
        <w:t>MGDD</w:t>
      </w:r>
      <w:r w:rsidRPr="0039498B">
        <w:rPr>
          <w:rFonts w:ascii="Times New Roman" w:eastAsia="Times New Roman" w:hAnsi="Times New Roman" w:cs="Times New Roman"/>
          <w:color w:val="231F20"/>
          <w:lang w:eastAsia="lv-LV"/>
        </w:rPr>
        <w:t> 2016 I.2.4. nodaļu.</w:t>
      </w:r>
    </w:p>
  </w:footnote>
  <w:footnote w:id="27">
    <w:p w14:paraId="30AE3F25" w14:textId="0513E83D" w:rsidR="007B6FA9" w:rsidRPr="0039498B" w:rsidRDefault="007B6FA9" w:rsidP="0039498B">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 xml:space="preserve">Militārā aprīkojuma projekti ir ārpus Rokasgrāmatas darbības jomas. Īpaši noteikumi par militārā aprīkojuma statistisko uzskaiti ir sniegti EKS 2010 20.190.–20.192. punktā un </w:t>
      </w:r>
      <w:r w:rsidRPr="0039498B">
        <w:rPr>
          <w:rFonts w:ascii="Times New Roman" w:eastAsia="Times New Roman" w:hAnsi="Times New Roman" w:cs="Times New Roman"/>
          <w:i/>
          <w:iCs/>
          <w:color w:val="231F20"/>
          <w:sz w:val="20"/>
          <w:szCs w:val="20"/>
          <w:lang w:eastAsia="lv-LV"/>
        </w:rPr>
        <w:t>MGDD</w:t>
      </w:r>
      <w:r w:rsidRPr="0039498B">
        <w:rPr>
          <w:rFonts w:ascii="Times New Roman" w:eastAsia="Times New Roman" w:hAnsi="Times New Roman" w:cs="Times New Roman"/>
          <w:color w:val="231F20"/>
          <w:sz w:val="20"/>
          <w:szCs w:val="20"/>
          <w:lang w:eastAsia="lv-LV"/>
        </w:rPr>
        <w:t xml:space="preserve"> II.5. daļā.</w:t>
      </w:r>
    </w:p>
  </w:footnote>
  <w:footnote w:id="28">
    <w:p w14:paraId="60FFE1D3" w14:textId="4E2D282F" w:rsidR="007B6FA9" w:rsidRPr="0039498B" w:rsidRDefault="007B6FA9" w:rsidP="0039498B">
      <w:pPr>
        <w:spacing w:after="0" w:line="240" w:lineRule="auto"/>
        <w:jc w:val="both"/>
        <w:rPr>
          <w:rFonts w:ascii="Times New Roman" w:eastAsia="Times New Roman" w:hAnsi="Times New Roman" w:cs="Times New Roman"/>
          <w:color w:val="231F20"/>
          <w:sz w:val="20"/>
          <w:szCs w:val="20"/>
          <w:lang w:eastAsia="lv-LV"/>
        </w:rPr>
      </w:pPr>
      <w:r w:rsidRPr="0039498B">
        <w:rPr>
          <w:rStyle w:val="Vresatsauce"/>
          <w:rFonts w:ascii="Times New Roman" w:hAnsi="Times New Roman" w:cs="Times New Roman"/>
          <w:sz w:val="20"/>
          <w:szCs w:val="20"/>
        </w:rPr>
        <w:footnoteRef/>
      </w:r>
      <w:r w:rsidRPr="0039498B">
        <w:rPr>
          <w:rFonts w:ascii="Times New Roman" w:hAnsi="Times New Roman" w:cs="Times New Roman"/>
          <w:sz w:val="20"/>
          <w:szCs w:val="20"/>
        </w:rPr>
        <w:t xml:space="preserve"> </w:t>
      </w:r>
      <w:r w:rsidRPr="0039498B">
        <w:rPr>
          <w:rFonts w:ascii="Times New Roman" w:eastAsia="Times New Roman" w:hAnsi="Times New Roman" w:cs="Times New Roman"/>
          <w:color w:val="231F20"/>
          <w:sz w:val="20"/>
          <w:szCs w:val="20"/>
          <w:lang w:eastAsia="lv-LV"/>
        </w:rPr>
        <w:t>Ņemiet vērā, ka šajā gadījumā prognozētie ieņēmumi ietekmēs statistisko uzskaiti (sk. 3. nodaļas 5.5. tematu).</w:t>
      </w:r>
    </w:p>
  </w:footnote>
  <w:footnote w:id="29">
    <w:p w14:paraId="087608F4" w14:textId="11CCEF4A" w:rsidR="007B6FA9" w:rsidRPr="00404D76" w:rsidRDefault="007B6FA9" w:rsidP="00404D76">
      <w:pPr>
        <w:spacing w:after="0" w:line="240" w:lineRule="auto"/>
        <w:jc w:val="both"/>
        <w:rPr>
          <w:rFonts w:ascii="Times New Roman" w:eastAsia="Times New Roman" w:hAnsi="Times New Roman" w:cs="Times New Roman"/>
          <w:color w:val="231F20"/>
          <w:sz w:val="20"/>
          <w:szCs w:val="20"/>
          <w:lang w:eastAsia="lv-LV"/>
        </w:rPr>
      </w:pPr>
      <w:r w:rsidRPr="00404D76">
        <w:rPr>
          <w:rStyle w:val="Vresatsauce"/>
          <w:rFonts w:ascii="Times New Roman" w:hAnsi="Times New Roman" w:cs="Times New Roman"/>
          <w:sz w:val="20"/>
          <w:szCs w:val="20"/>
        </w:rPr>
        <w:footnoteRef/>
      </w:r>
      <w:r w:rsidRPr="00404D76">
        <w:rPr>
          <w:rFonts w:ascii="Times New Roman" w:hAnsi="Times New Roman" w:cs="Times New Roman"/>
          <w:sz w:val="20"/>
          <w:szCs w:val="20"/>
        </w:rPr>
        <w:t xml:space="preserve"> </w:t>
      </w:r>
      <w:r w:rsidRPr="00404D76">
        <w:rPr>
          <w:rFonts w:ascii="Times New Roman" w:eastAsia="Times New Roman" w:hAnsi="Times New Roman" w:cs="Times New Roman"/>
          <w:i/>
          <w:iCs/>
          <w:color w:val="231F20"/>
          <w:sz w:val="20"/>
          <w:szCs w:val="20"/>
          <w:lang w:eastAsia="lv-LV"/>
        </w:rPr>
        <w:t>Eurostat</w:t>
      </w:r>
      <w:r w:rsidRPr="00404D76">
        <w:rPr>
          <w:rFonts w:ascii="Times New Roman" w:eastAsia="Times New Roman" w:hAnsi="Times New Roman" w:cs="Times New Roman"/>
          <w:color w:val="231F20"/>
          <w:sz w:val="20"/>
          <w:szCs w:val="20"/>
          <w:lang w:eastAsia="lv-LV"/>
        </w:rPr>
        <w:t xml:space="preserve"> apzinās, ka, iespējams, lielākajā daļā PPP līgumu noteikumi par atskaitījumiem tiek formulēti, Iestādei paredzot tiesības (nevis pienākumu) piemērot atskaitījumus no pamatdarbības maksājumiem. Lietotājiem jāņem vērā, ka </w:t>
      </w:r>
      <w:r w:rsidRPr="00404D76">
        <w:rPr>
          <w:rFonts w:ascii="Times New Roman" w:eastAsia="Times New Roman" w:hAnsi="Times New Roman" w:cs="Times New Roman"/>
          <w:i/>
          <w:iCs/>
          <w:color w:val="231F20"/>
          <w:sz w:val="20"/>
          <w:szCs w:val="20"/>
          <w:lang w:eastAsia="lv-LV"/>
        </w:rPr>
        <w:t>Eurostat</w:t>
      </w:r>
      <w:r w:rsidRPr="00404D76">
        <w:rPr>
          <w:rFonts w:ascii="Times New Roman" w:eastAsia="Times New Roman" w:hAnsi="Times New Roman" w:cs="Times New Roman"/>
          <w:color w:val="231F20"/>
          <w:sz w:val="20"/>
          <w:szCs w:val="20"/>
          <w:lang w:eastAsia="lv-LV"/>
        </w:rPr>
        <w:t xml:space="preserve"> gaida, ka praksē Iestāde atskaitījumus piemēros vienmēr, kad tie jāveic saskaņā ar PPP līgumu.</w:t>
      </w:r>
    </w:p>
  </w:footnote>
  <w:footnote w:id="30">
    <w:p w14:paraId="157AB13D" w14:textId="387A575D" w:rsidR="007B6FA9" w:rsidRPr="00404D76" w:rsidRDefault="007B6FA9" w:rsidP="00404D76">
      <w:pPr>
        <w:spacing w:after="0" w:line="240" w:lineRule="auto"/>
        <w:jc w:val="both"/>
        <w:rPr>
          <w:rFonts w:ascii="Times New Roman" w:eastAsia="Times New Roman" w:hAnsi="Times New Roman" w:cs="Times New Roman"/>
          <w:sz w:val="20"/>
          <w:szCs w:val="20"/>
          <w:lang w:eastAsia="lv-LV"/>
        </w:rPr>
      </w:pPr>
      <w:r w:rsidRPr="00404D76">
        <w:rPr>
          <w:rStyle w:val="Vresatsauce"/>
          <w:rFonts w:ascii="Times New Roman" w:hAnsi="Times New Roman" w:cs="Times New Roman"/>
          <w:sz w:val="20"/>
          <w:szCs w:val="20"/>
        </w:rPr>
        <w:footnoteRef/>
      </w:r>
      <w:r w:rsidRPr="00404D76">
        <w:rPr>
          <w:rFonts w:ascii="Times New Roman" w:hAnsi="Times New Roman" w:cs="Times New Roman"/>
          <w:sz w:val="20"/>
          <w:szCs w:val="20"/>
        </w:rPr>
        <w:t xml:space="preserve"> </w:t>
      </w:r>
      <w:r w:rsidRPr="00404D76">
        <w:rPr>
          <w:rFonts w:ascii="Times New Roman" w:eastAsia="Times New Roman" w:hAnsi="Times New Roman" w:cs="Times New Roman"/>
          <w:i/>
          <w:iCs/>
          <w:sz w:val="20"/>
          <w:szCs w:val="20"/>
          <w:lang w:eastAsia="lv-LV"/>
        </w:rPr>
        <w:t xml:space="preserve">Eurostat </w:t>
      </w:r>
      <w:r w:rsidRPr="00404D76">
        <w:rPr>
          <w:rFonts w:ascii="Times New Roman" w:eastAsia="Times New Roman" w:hAnsi="Times New Roman" w:cs="Times New Roman"/>
          <w:sz w:val="20"/>
          <w:szCs w:val="20"/>
          <w:lang w:eastAsia="lv-LV"/>
        </w:rPr>
        <w:t>viedokli par maksimālo atskaitījumu apmēru (ko bieži izmanto kopā ar svērumiem, lai iegūtu nesamērīgi lielus atskaitījumus) sk. 4.7.4. tematā.</w:t>
      </w:r>
    </w:p>
  </w:footnote>
  <w:footnote w:id="31">
    <w:p w14:paraId="77319DC9" w14:textId="259EEFDA" w:rsidR="007B6FA9" w:rsidRPr="0089377C" w:rsidRDefault="007B6FA9">
      <w:pPr>
        <w:pStyle w:val="Vresteksts"/>
        <w:rPr>
          <w:rFonts w:ascii="Times New Roman" w:hAnsi="Times New Roman" w:cs="Times New Roman"/>
        </w:rPr>
      </w:pPr>
      <w:r w:rsidRPr="0089377C">
        <w:rPr>
          <w:rStyle w:val="Vresatsauce"/>
          <w:rFonts w:ascii="Times New Roman" w:hAnsi="Times New Roman" w:cs="Times New Roman"/>
        </w:rPr>
        <w:footnoteRef/>
      </w:r>
      <w:r w:rsidRPr="0089377C">
        <w:rPr>
          <w:rFonts w:ascii="Times New Roman" w:hAnsi="Times New Roman" w:cs="Times New Roman"/>
        </w:rPr>
        <w:t xml:space="preserve"> </w:t>
      </w:r>
      <w:r w:rsidRPr="0089377C">
        <w:rPr>
          <w:rFonts w:ascii="Times New Roman" w:eastAsia="Times New Roman" w:hAnsi="Times New Roman" w:cs="Times New Roman"/>
          <w:color w:val="231F20"/>
          <w:lang w:eastAsia="lv-LV"/>
        </w:rPr>
        <w:t>2.3. tematā ir minēts izņēmuma gadījums, kad aktīvs tiek būvēts vairākās fāzēs.</w:t>
      </w:r>
    </w:p>
  </w:footnote>
  <w:footnote w:id="32">
    <w:p w14:paraId="7551510B" w14:textId="0023872D" w:rsidR="007B6FA9" w:rsidRPr="0089377C" w:rsidRDefault="007B6FA9" w:rsidP="0089377C">
      <w:pPr>
        <w:spacing w:after="0" w:line="240" w:lineRule="auto"/>
        <w:jc w:val="both"/>
        <w:rPr>
          <w:rFonts w:ascii="Times New Roman" w:eastAsia="Times New Roman" w:hAnsi="Times New Roman" w:cs="Times New Roman"/>
          <w:color w:val="231F20"/>
          <w:sz w:val="20"/>
          <w:szCs w:val="20"/>
          <w:lang w:eastAsia="lv-LV"/>
        </w:rPr>
      </w:pPr>
      <w:r w:rsidRPr="0089377C">
        <w:rPr>
          <w:rStyle w:val="Vresatsauce"/>
          <w:rFonts w:ascii="Times New Roman" w:hAnsi="Times New Roman" w:cs="Times New Roman"/>
          <w:sz w:val="20"/>
          <w:szCs w:val="20"/>
        </w:rPr>
        <w:footnoteRef/>
      </w:r>
      <w:r w:rsidRPr="0089377C">
        <w:rPr>
          <w:rFonts w:ascii="Times New Roman" w:hAnsi="Times New Roman" w:cs="Times New Roman"/>
          <w:sz w:val="20"/>
          <w:szCs w:val="20"/>
        </w:rPr>
        <w:t xml:space="preserve"> </w:t>
      </w:r>
      <w:r w:rsidRPr="0089377C">
        <w:rPr>
          <w:rFonts w:ascii="Times New Roman" w:eastAsia="Times New Roman" w:hAnsi="Times New Roman" w:cs="Times New Roman"/>
          <w:color w:val="231F20"/>
          <w:sz w:val="20"/>
          <w:szCs w:val="20"/>
          <w:lang w:eastAsia="lv-LV"/>
        </w:rPr>
        <w:t>Šī piezīme attiecas uz projektiem, kuros pamatdarbības maksājumi ir saistīti ar aktīva pieejamību un/vai pieprasījumu pēc tā, pretstatā energoefektivitātes līgumiem, kuros maksājumi ir saistīti ar enerģijas ietaupījumiem (attiecībā uz šiem līgumiem lietotājiem jāskatās Rokasgrāmatas 7. zemsvītras piezīme).</w:t>
      </w:r>
    </w:p>
  </w:footnote>
  <w:footnote w:id="33">
    <w:p w14:paraId="78380521" w14:textId="60F5E1C2" w:rsidR="007B6FA9" w:rsidRPr="0089377C" w:rsidRDefault="007B6FA9" w:rsidP="0089377C">
      <w:pPr>
        <w:spacing w:after="0" w:line="240" w:lineRule="auto"/>
        <w:jc w:val="both"/>
        <w:rPr>
          <w:rFonts w:ascii="Times New Roman" w:eastAsia="Times New Roman" w:hAnsi="Times New Roman" w:cs="Times New Roman"/>
          <w:color w:val="231F20"/>
          <w:sz w:val="20"/>
          <w:szCs w:val="20"/>
          <w:lang w:eastAsia="lv-LV"/>
        </w:rPr>
      </w:pPr>
      <w:r w:rsidRPr="0089377C">
        <w:rPr>
          <w:rStyle w:val="Vresatsauce"/>
          <w:rFonts w:ascii="Times New Roman" w:hAnsi="Times New Roman" w:cs="Times New Roman"/>
          <w:sz w:val="20"/>
          <w:szCs w:val="20"/>
        </w:rPr>
        <w:footnoteRef/>
      </w:r>
      <w:r w:rsidRPr="0089377C">
        <w:rPr>
          <w:rFonts w:ascii="Times New Roman" w:hAnsi="Times New Roman" w:cs="Times New Roman"/>
          <w:sz w:val="20"/>
          <w:szCs w:val="20"/>
        </w:rPr>
        <w:t xml:space="preserve"> </w:t>
      </w:r>
      <w:r w:rsidRPr="0089377C">
        <w:rPr>
          <w:rFonts w:ascii="Times New Roman" w:eastAsia="Times New Roman" w:hAnsi="Times New Roman" w:cs="Times New Roman"/>
          <w:color w:val="231F20"/>
          <w:sz w:val="20"/>
          <w:szCs w:val="20"/>
          <w:lang w:eastAsia="lv-LV"/>
        </w:rPr>
        <w:t>Ja maksājumu mehānisma pārskatīšanas dēļ tiek mainīti PPP līguma noteikumi, ir jāapsver, vai šīs izmaiņas ietekmē sākotnējo slēdzienu par statistisko uzskaiti (norādījumus par statistiskās uzskaites novērtēšanas laiku sk. 1. nodaļā).</w:t>
      </w:r>
    </w:p>
  </w:footnote>
  <w:footnote w:id="34">
    <w:p w14:paraId="4F0D7B84" w14:textId="43A3272A" w:rsidR="007B6FA9" w:rsidRPr="00C35652" w:rsidRDefault="007B6FA9" w:rsidP="00C35652">
      <w:pPr>
        <w:spacing w:after="0" w:line="240" w:lineRule="auto"/>
        <w:jc w:val="both"/>
        <w:rPr>
          <w:rFonts w:ascii="Times New Roman" w:eastAsia="Times New Roman" w:hAnsi="Times New Roman" w:cs="Times New Roman"/>
          <w:color w:val="231F20"/>
          <w:sz w:val="20"/>
          <w:szCs w:val="20"/>
          <w:lang w:eastAsia="lv-LV"/>
        </w:rPr>
      </w:pPr>
      <w:r w:rsidRPr="00C35652">
        <w:rPr>
          <w:rStyle w:val="Vresatsauce"/>
          <w:rFonts w:ascii="Times New Roman" w:hAnsi="Times New Roman" w:cs="Times New Roman"/>
          <w:sz w:val="20"/>
          <w:szCs w:val="20"/>
        </w:rPr>
        <w:footnoteRef/>
      </w:r>
      <w:r w:rsidRPr="00C35652">
        <w:rPr>
          <w:rFonts w:ascii="Times New Roman" w:hAnsi="Times New Roman" w:cs="Times New Roman"/>
          <w:sz w:val="20"/>
          <w:szCs w:val="20"/>
        </w:rPr>
        <w:t xml:space="preserve"> </w:t>
      </w:r>
      <w:r w:rsidRPr="00C35652">
        <w:rPr>
          <w:rFonts w:ascii="Times New Roman" w:eastAsia="Times New Roman" w:hAnsi="Times New Roman" w:cs="Times New Roman"/>
          <w:color w:val="231F20"/>
          <w:sz w:val="20"/>
          <w:szCs w:val="20"/>
          <w:lang w:eastAsia="lv-LV"/>
        </w:rPr>
        <w:t>Izņēmums ir tikai tie gadījumi, kad Iestāde uzņemas riskus, kas saistīti ar vispārējām pievienotā vērtības nodokļa režīma izmaiņām.</w:t>
      </w:r>
    </w:p>
  </w:footnote>
  <w:footnote w:id="35">
    <w:p w14:paraId="21EB53EB" w14:textId="77777777" w:rsidR="007B6FA9" w:rsidRPr="00BA2CDE" w:rsidRDefault="007B6FA9" w:rsidP="00BA2CDE">
      <w:pPr>
        <w:spacing w:after="0" w:line="240" w:lineRule="auto"/>
        <w:jc w:val="both"/>
        <w:rPr>
          <w:rFonts w:ascii="Times New Roman" w:eastAsia="Times New Roman" w:hAnsi="Times New Roman" w:cs="Times New Roman"/>
          <w:color w:val="231F20"/>
          <w:sz w:val="20"/>
          <w:szCs w:val="20"/>
          <w:lang w:eastAsia="lv-LV"/>
        </w:rPr>
      </w:pPr>
      <w:r w:rsidRPr="00BA2CDE">
        <w:rPr>
          <w:rStyle w:val="Vresatsauce"/>
          <w:rFonts w:ascii="Times New Roman" w:hAnsi="Times New Roman" w:cs="Times New Roman"/>
          <w:sz w:val="20"/>
          <w:szCs w:val="20"/>
        </w:rPr>
        <w:footnoteRef/>
      </w:r>
      <w:r w:rsidRPr="00BA2CDE">
        <w:rPr>
          <w:rFonts w:ascii="Times New Roman" w:hAnsi="Times New Roman" w:cs="Times New Roman"/>
          <w:sz w:val="20"/>
          <w:szCs w:val="20"/>
        </w:rPr>
        <w:t xml:space="preserve"> </w:t>
      </w:r>
      <w:r w:rsidRPr="00BA2CDE">
        <w:rPr>
          <w:rFonts w:ascii="Times New Roman" w:eastAsia="Times New Roman" w:hAnsi="Times New Roman" w:cs="Times New Roman"/>
          <w:i/>
          <w:iCs/>
          <w:color w:val="231F20"/>
          <w:sz w:val="20"/>
          <w:szCs w:val="20"/>
          <w:lang w:eastAsia="lv-LV"/>
        </w:rPr>
        <w:t>MGDD</w:t>
      </w:r>
      <w:r w:rsidRPr="00BA2CDE">
        <w:rPr>
          <w:rFonts w:ascii="Times New Roman" w:eastAsia="Times New Roman" w:hAnsi="Times New Roman" w:cs="Times New Roman"/>
          <w:color w:val="231F20"/>
          <w:sz w:val="20"/>
          <w:szCs w:val="20"/>
          <w:lang w:eastAsia="lv-LV"/>
        </w:rPr>
        <w:t> 2016 VI.4.3.3. nodaļas 60. punktā ir norādītas izņēmuma situācijas, kurās tirgus traucējumu (piemēram, kredītresursu iztrūkuma) gadījumā valdība var uzņemties saistības attiecībā uz PPP lielākās daļas finansēšanu, neietekmējot statistisko uzskaiti. </w:t>
      </w:r>
      <w:r w:rsidRPr="00BA2CDE">
        <w:rPr>
          <w:rFonts w:ascii="Times New Roman" w:eastAsia="Times New Roman" w:hAnsi="Times New Roman" w:cs="Times New Roman"/>
          <w:i/>
          <w:iCs/>
          <w:color w:val="231F20"/>
          <w:sz w:val="20"/>
          <w:szCs w:val="20"/>
          <w:lang w:eastAsia="lv-LV"/>
        </w:rPr>
        <w:t>Eurostat</w:t>
      </w:r>
      <w:r w:rsidRPr="00BA2CDE">
        <w:rPr>
          <w:rFonts w:ascii="Times New Roman" w:eastAsia="Times New Roman" w:hAnsi="Times New Roman" w:cs="Times New Roman"/>
          <w:color w:val="231F20"/>
          <w:sz w:val="20"/>
          <w:szCs w:val="20"/>
          <w:lang w:eastAsia="lv-LV"/>
        </w:rPr>
        <w:t xml:space="preserve"> uzskata, ka šīm izņēmuma situācijām nevajadzētu Iestādei radīt risku, kas saistīts ar tām finansējuma izmaksām vai nosacījumiem, kas stāsies spēkā pēc tirgus nosacījumu normalizēšanās (t. i., šis risks jāuzņemas Partnerim).</w:t>
      </w:r>
    </w:p>
    <w:p w14:paraId="34389E3D" w14:textId="666D4032" w:rsidR="007B6FA9" w:rsidRPr="00BA2CDE" w:rsidRDefault="007B6FA9" w:rsidP="00BA2CDE">
      <w:pPr>
        <w:spacing w:after="0" w:line="240" w:lineRule="auto"/>
        <w:jc w:val="both"/>
        <w:rPr>
          <w:rFonts w:ascii="Times New Roman" w:eastAsia="Times New Roman" w:hAnsi="Times New Roman" w:cs="Times New Roman"/>
          <w:color w:val="231F20"/>
          <w:sz w:val="20"/>
          <w:szCs w:val="20"/>
          <w:lang w:eastAsia="lv-LV"/>
        </w:rPr>
      </w:pPr>
      <w:r w:rsidRPr="00BA2CDE">
        <w:rPr>
          <w:rFonts w:ascii="Times New Roman" w:eastAsia="Times New Roman" w:hAnsi="Times New Roman" w:cs="Times New Roman"/>
          <w:color w:val="231F20"/>
          <w:sz w:val="20"/>
          <w:szCs w:val="20"/>
          <w:lang w:eastAsia="lv-LV"/>
        </w:rPr>
        <w:t>Tāpēc, ņemot vērā pieeju, kas parasti tiek piemērota PPP finansēšanai, ir maz ticams, ka šie izņēmumi praksē būs nozīmīgi.</w:t>
      </w:r>
    </w:p>
  </w:footnote>
  <w:footnote w:id="36">
    <w:p w14:paraId="4A9BDCA5" w14:textId="070D31AA" w:rsidR="007B6FA9" w:rsidRPr="00085CE9" w:rsidRDefault="007B6FA9">
      <w:pPr>
        <w:pStyle w:val="Vresteksts"/>
        <w:rPr>
          <w:rFonts w:ascii="Times New Roman" w:hAnsi="Times New Roman" w:cs="Times New Roman"/>
        </w:rPr>
      </w:pPr>
      <w:r w:rsidRPr="00085CE9">
        <w:rPr>
          <w:rStyle w:val="Vresatsauce"/>
          <w:rFonts w:ascii="Times New Roman" w:hAnsi="Times New Roman" w:cs="Times New Roman"/>
        </w:rPr>
        <w:footnoteRef/>
      </w:r>
      <w:r w:rsidRPr="00085CE9">
        <w:rPr>
          <w:rFonts w:ascii="Times New Roman" w:hAnsi="Times New Roman" w:cs="Times New Roman"/>
        </w:rPr>
        <w:t xml:space="preserve"> </w:t>
      </w:r>
      <w:r w:rsidRPr="00085CE9">
        <w:rPr>
          <w:rFonts w:ascii="Times New Roman" w:eastAsia="Times New Roman" w:hAnsi="Times New Roman" w:cs="Times New Roman"/>
          <w:color w:val="231F20"/>
          <w:lang w:eastAsia="lv-LV"/>
        </w:rPr>
        <w:t xml:space="preserve">4. nodaļa tiek piemērota tikai tad, ja projekts atbilst </w:t>
      </w:r>
      <w:r w:rsidRPr="00085CE9">
        <w:rPr>
          <w:rFonts w:ascii="Times New Roman" w:eastAsia="Times New Roman" w:hAnsi="Times New Roman" w:cs="Times New Roman"/>
          <w:i/>
          <w:iCs/>
          <w:color w:val="231F20"/>
          <w:lang w:eastAsia="lv-LV"/>
        </w:rPr>
        <w:t>Eurostat</w:t>
      </w:r>
      <w:r w:rsidRPr="00085CE9">
        <w:rPr>
          <w:rFonts w:ascii="Times New Roman" w:eastAsia="Times New Roman" w:hAnsi="Times New Roman" w:cs="Times New Roman"/>
          <w:color w:val="231F20"/>
          <w:lang w:eastAsia="lv-LV"/>
        </w:rPr>
        <w:t xml:space="preserve"> noteiktajai PPP definīcijai (sk. 2. nodaļu).</w:t>
      </w:r>
    </w:p>
  </w:footnote>
  <w:footnote w:id="37">
    <w:p w14:paraId="3B8A5DBC" w14:textId="4C6609F0" w:rsidR="007B6FA9" w:rsidRPr="00CE5D8A" w:rsidRDefault="007B6FA9" w:rsidP="00CE5D8A">
      <w:pPr>
        <w:spacing w:after="0" w:line="240" w:lineRule="auto"/>
        <w:jc w:val="both"/>
        <w:rPr>
          <w:rFonts w:ascii="Times New Roman" w:eastAsia="Times New Roman" w:hAnsi="Times New Roman" w:cs="Times New Roman"/>
          <w:sz w:val="20"/>
          <w:szCs w:val="20"/>
          <w:lang w:eastAsia="lv-LV"/>
        </w:rPr>
      </w:pPr>
      <w:r w:rsidRPr="00CE5D8A">
        <w:rPr>
          <w:rStyle w:val="Vresatsauce"/>
          <w:rFonts w:ascii="Times New Roman" w:hAnsi="Times New Roman" w:cs="Times New Roman"/>
          <w:sz w:val="20"/>
          <w:szCs w:val="20"/>
        </w:rPr>
        <w:footnoteRef/>
      </w:r>
      <w:r w:rsidRPr="00CE5D8A">
        <w:rPr>
          <w:rFonts w:ascii="Times New Roman" w:hAnsi="Times New Roman" w:cs="Times New Roman"/>
          <w:sz w:val="20"/>
          <w:szCs w:val="20"/>
        </w:rPr>
        <w:t xml:space="preserve"> </w:t>
      </w:r>
      <w:r w:rsidRPr="00CE5D8A">
        <w:rPr>
          <w:rFonts w:ascii="Times New Roman" w:eastAsia="Times New Roman" w:hAnsi="Times New Roman" w:cs="Times New Roman"/>
          <w:color w:val="231F20"/>
          <w:sz w:val="20"/>
          <w:szCs w:val="20"/>
          <w:lang w:eastAsia="lv-LV"/>
        </w:rPr>
        <w:t xml:space="preserve">Piemēram, tas, ka valdībai pieder pašu kapitāla daļas, kas tai dod tiesības saņemt vairāk nekā </w:t>
      </w:r>
      <w:r w:rsidRPr="00CE5D8A">
        <w:rPr>
          <w:rFonts w:ascii="Times New Roman" w:eastAsia="Times New Roman" w:hAnsi="Times New Roman" w:cs="Times New Roman"/>
          <w:b/>
          <w:bCs/>
          <w:color w:val="231F20"/>
          <w:sz w:val="20"/>
          <w:szCs w:val="20"/>
          <w:lang w:eastAsia="lv-LV"/>
        </w:rPr>
        <w:t>vienu trešdaļu</w:t>
      </w:r>
      <w:r w:rsidRPr="00CE5D8A">
        <w:rPr>
          <w:rFonts w:ascii="Times New Roman" w:eastAsia="Times New Roman" w:hAnsi="Times New Roman" w:cs="Times New Roman"/>
          <w:color w:val="231F20"/>
          <w:sz w:val="20"/>
          <w:szCs w:val="20"/>
          <w:lang w:eastAsia="lv-LV"/>
        </w:rPr>
        <w:t xml:space="preserve"> no Partnera peļņas, ir ĻOTI SVARĪGI; tas, ka prognozēts, ka no trešām personām gūtie ieņēmumi, kurus saņems valdība, būs </w:t>
      </w:r>
      <w:r w:rsidRPr="00CE5D8A">
        <w:rPr>
          <w:rFonts w:ascii="Times New Roman" w:eastAsia="Times New Roman" w:hAnsi="Times New Roman" w:cs="Times New Roman"/>
          <w:b/>
          <w:bCs/>
          <w:color w:val="231F20"/>
          <w:sz w:val="20"/>
          <w:szCs w:val="20"/>
          <w:lang w:eastAsia="lv-LV"/>
        </w:rPr>
        <w:t xml:space="preserve">vismaz 5 %, bet mazāk par 20 % </w:t>
      </w:r>
      <w:r w:rsidRPr="00CE5D8A">
        <w:rPr>
          <w:rFonts w:ascii="Times New Roman" w:eastAsia="Times New Roman" w:hAnsi="Times New Roman" w:cs="Times New Roman"/>
          <w:color w:val="231F20"/>
          <w:sz w:val="20"/>
          <w:szCs w:val="20"/>
          <w:lang w:eastAsia="lv-LV"/>
        </w:rPr>
        <w:t>no PPP līgumā noteiktajiem maksājumiem, ir VIDĒJI SVARĪGI.</w:t>
      </w:r>
    </w:p>
  </w:footnote>
  <w:footnote w:id="38">
    <w:p w14:paraId="23AEBA44" w14:textId="6F85514B" w:rsidR="007B6FA9" w:rsidRPr="00CE5D8A" w:rsidRDefault="007B6FA9" w:rsidP="00CE5D8A">
      <w:pPr>
        <w:spacing w:after="0" w:line="240" w:lineRule="auto"/>
        <w:jc w:val="both"/>
        <w:rPr>
          <w:rFonts w:ascii="Times New Roman" w:eastAsia="Times New Roman" w:hAnsi="Times New Roman" w:cs="Times New Roman"/>
          <w:color w:val="231F20"/>
          <w:sz w:val="20"/>
          <w:szCs w:val="20"/>
          <w:lang w:eastAsia="lv-LV"/>
        </w:rPr>
      </w:pPr>
      <w:r w:rsidRPr="00CE5D8A">
        <w:rPr>
          <w:rStyle w:val="Vresatsauce"/>
          <w:rFonts w:ascii="Times New Roman" w:hAnsi="Times New Roman" w:cs="Times New Roman"/>
          <w:sz w:val="20"/>
          <w:szCs w:val="20"/>
        </w:rPr>
        <w:footnoteRef/>
      </w:r>
      <w:r w:rsidRPr="00CE5D8A">
        <w:rPr>
          <w:rFonts w:ascii="Times New Roman" w:hAnsi="Times New Roman" w:cs="Times New Roman"/>
          <w:sz w:val="20"/>
          <w:szCs w:val="20"/>
        </w:rPr>
        <w:t xml:space="preserve"> </w:t>
      </w:r>
      <w:r w:rsidRPr="00CE5D8A">
        <w:rPr>
          <w:rFonts w:ascii="Times New Roman" w:eastAsia="Times New Roman" w:hAnsi="Times New Roman" w:cs="Times New Roman"/>
          <w:color w:val="231F20"/>
          <w:sz w:val="20"/>
          <w:szCs w:val="20"/>
          <w:lang w:eastAsia="lv-LV"/>
        </w:rPr>
        <w:t>3. nodaļā ir identificēti tikai divi ĻOTI SVARĪGI noteikumi (sk. 14.4. un 15.1. tematu). Tā kā šie abi noteikumi ir balstīti uz noteiktām proporcijām, neviens no tiem netiktu pārklasificēts uz tādu, kura dēļ PPP jāreģistrē valdības BILANCĒ.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9E5F" w14:textId="77777777" w:rsidR="007B6FA9" w:rsidRPr="00D43EDD" w:rsidRDefault="007B6FA9" w:rsidP="00D43EDD">
    <w:pPr>
      <w:pStyle w:val="Galvene"/>
      <w:tabs>
        <w:tab w:val="clear" w:pos="4153"/>
        <w:tab w:val="clear" w:pos="8306"/>
      </w:tabs>
      <w:rPr>
        <w:rStyle w:val="Lappusesnumurs"/>
        <w:rFonts w:ascii="Times New Roman" w:hAnsi="Times New Roman" w:cs="Times New Roman"/>
        <w:sz w:val="20"/>
        <w:szCs w:val="20"/>
      </w:rPr>
    </w:pPr>
    <w:bookmarkStart w:id="24" w:name="_Hlk496261784"/>
    <w:bookmarkStart w:id="25" w:name="_Hlk496261785"/>
    <w:bookmarkStart w:id="26" w:name="_Hlk496261786"/>
    <w:bookmarkStart w:id="27" w:name="_Hlk502757728"/>
    <w:bookmarkStart w:id="28" w:name="_Hlk502757729"/>
    <w:bookmarkStart w:id="29" w:name="_Hlk502757738"/>
    <w:bookmarkStart w:id="30" w:name="_Hlk502757739"/>
  </w:p>
  <w:p w14:paraId="7DDC759B" w14:textId="77777777" w:rsidR="007B6FA9" w:rsidRPr="00D43EDD" w:rsidRDefault="007B6FA9" w:rsidP="00D43EDD">
    <w:pPr>
      <w:pStyle w:val="Galvene"/>
      <w:tabs>
        <w:tab w:val="clear" w:pos="4153"/>
        <w:tab w:val="clear" w:pos="8306"/>
        <w:tab w:val="right" w:leader="underscore" w:pos="9072"/>
      </w:tabs>
      <w:rPr>
        <w:rStyle w:val="Lappusesnumurs"/>
        <w:rFonts w:ascii="Times New Roman" w:hAnsi="Times New Roman" w:cs="Times New Roman"/>
        <w:sz w:val="20"/>
        <w:szCs w:val="20"/>
      </w:rPr>
    </w:pPr>
    <w:r w:rsidRPr="00D43EDD">
      <w:rPr>
        <w:rStyle w:val="Lappusesnumurs"/>
        <w:rFonts w:ascii="Times New Roman" w:hAnsi="Times New Roman" w:cs="Times New Roman"/>
        <w:sz w:val="20"/>
        <w:szCs w:val="20"/>
      </w:rPr>
      <w:tab/>
    </w:r>
  </w:p>
  <w:bookmarkEnd w:id="24"/>
  <w:bookmarkEnd w:id="25"/>
  <w:bookmarkEnd w:id="26"/>
  <w:bookmarkEnd w:id="27"/>
  <w:bookmarkEnd w:id="28"/>
  <w:bookmarkEnd w:id="29"/>
  <w:bookmarkEnd w:id="30"/>
  <w:p w14:paraId="0D98A603" w14:textId="77777777" w:rsidR="007B6FA9" w:rsidRPr="00D43EDD" w:rsidRDefault="007B6FA9" w:rsidP="00D43EDD">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480F" w14:textId="77777777" w:rsidR="007B6FA9" w:rsidRPr="00D43EDD" w:rsidRDefault="007B6FA9" w:rsidP="00D43EDD">
    <w:pPr>
      <w:pBdr>
        <w:bottom w:val="single" w:sz="12" w:space="5" w:color="auto"/>
      </w:pBdr>
      <w:spacing w:after="0" w:line="240" w:lineRule="auto"/>
      <w:rPr>
        <w:rFonts w:ascii="Times New Roman" w:hAnsi="Times New Roman" w:cs="Times New Roman"/>
        <w:spacing w:val="-2"/>
        <w:sz w:val="20"/>
        <w:szCs w:val="20"/>
      </w:rPr>
    </w:pPr>
    <w:bookmarkStart w:id="31" w:name="_Hlk496261745"/>
    <w:bookmarkStart w:id="32" w:name="_Hlk496261746"/>
    <w:bookmarkStart w:id="33" w:name="_Hlk496261747"/>
  </w:p>
  <w:bookmarkEnd w:id="31"/>
  <w:bookmarkEnd w:id="32"/>
  <w:bookmarkEnd w:id="33"/>
  <w:p w14:paraId="4BCB2C75" w14:textId="77777777" w:rsidR="007B6FA9" w:rsidRPr="00D43EDD" w:rsidRDefault="007B6FA9" w:rsidP="00D43EDD">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7C7"/>
    <w:multiLevelType w:val="hybridMultilevel"/>
    <w:tmpl w:val="B9A21AC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9F1BDD"/>
    <w:multiLevelType w:val="hybridMultilevel"/>
    <w:tmpl w:val="290C267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B67C8E"/>
    <w:multiLevelType w:val="hybridMultilevel"/>
    <w:tmpl w:val="3EFEDF4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D81B92"/>
    <w:multiLevelType w:val="hybridMultilevel"/>
    <w:tmpl w:val="D2686F6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B367FE"/>
    <w:multiLevelType w:val="hybridMultilevel"/>
    <w:tmpl w:val="98BE35B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844C1E"/>
    <w:multiLevelType w:val="hybridMultilevel"/>
    <w:tmpl w:val="E17260B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59E226C"/>
    <w:multiLevelType w:val="hybridMultilevel"/>
    <w:tmpl w:val="7E12F57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9D133F"/>
    <w:multiLevelType w:val="hybridMultilevel"/>
    <w:tmpl w:val="308E41F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A76B7F"/>
    <w:multiLevelType w:val="hybridMultilevel"/>
    <w:tmpl w:val="5590D33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C431E95"/>
    <w:multiLevelType w:val="hybridMultilevel"/>
    <w:tmpl w:val="03F675F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857673"/>
    <w:multiLevelType w:val="hybridMultilevel"/>
    <w:tmpl w:val="CFE079E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C06AD5"/>
    <w:multiLevelType w:val="hybridMultilevel"/>
    <w:tmpl w:val="5736270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B942F0"/>
    <w:multiLevelType w:val="hybridMultilevel"/>
    <w:tmpl w:val="5AF4C76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27F4EC0"/>
    <w:multiLevelType w:val="hybridMultilevel"/>
    <w:tmpl w:val="C0F068E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DA7131"/>
    <w:multiLevelType w:val="hybridMultilevel"/>
    <w:tmpl w:val="8882821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2FB5299"/>
    <w:multiLevelType w:val="hybridMultilevel"/>
    <w:tmpl w:val="FB64F96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3205939"/>
    <w:multiLevelType w:val="hybridMultilevel"/>
    <w:tmpl w:val="5B8EC82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37511C1"/>
    <w:multiLevelType w:val="hybridMultilevel"/>
    <w:tmpl w:val="82BCE9D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676EF6"/>
    <w:multiLevelType w:val="hybridMultilevel"/>
    <w:tmpl w:val="261C53D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5FF0ED6"/>
    <w:multiLevelType w:val="hybridMultilevel"/>
    <w:tmpl w:val="CD2E055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6DA694E"/>
    <w:multiLevelType w:val="hybridMultilevel"/>
    <w:tmpl w:val="594C328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EDB6C36"/>
    <w:multiLevelType w:val="hybridMultilevel"/>
    <w:tmpl w:val="500A07A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F7A46B7"/>
    <w:multiLevelType w:val="hybridMultilevel"/>
    <w:tmpl w:val="33021D4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F9C5311"/>
    <w:multiLevelType w:val="hybridMultilevel"/>
    <w:tmpl w:val="EF94AAA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FC87E6B"/>
    <w:multiLevelType w:val="hybridMultilevel"/>
    <w:tmpl w:val="6BA2BA4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0E64780"/>
    <w:multiLevelType w:val="hybridMultilevel"/>
    <w:tmpl w:val="8B327AC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2E9037F"/>
    <w:multiLevelType w:val="hybridMultilevel"/>
    <w:tmpl w:val="B59226B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3AA5C0C"/>
    <w:multiLevelType w:val="hybridMultilevel"/>
    <w:tmpl w:val="E446FBF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0F018E"/>
    <w:multiLevelType w:val="hybridMultilevel"/>
    <w:tmpl w:val="894E138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4271A0C"/>
    <w:multiLevelType w:val="hybridMultilevel"/>
    <w:tmpl w:val="08DAD34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4A50616"/>
    <w:multiLevelType w:val="hybridMultilevel"/>
    <w:tmpl w:val="4576321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52254E2"/>
    <w:multiLevelType w:val="hybridMultilevel"/>
    <w:tmpl w:val="6C4899E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58B096C"/>
    <w:multiLevelType w:val="hybridMultilevel"/>
    <w:tmpl w:val="6B22765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7301383"/>
    <w:multiLevelType w:val="hybridMultilevel"/>
    <w:tmpl w:val="9C001ED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87F5C27"/>
    <w:multiLevelType w:val="hybridMultilevel"/>
    <w:tmpl w:val="2F88EB2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892153D"/>
    <w:multiLevelType w:val="hybridMultilevel"/>
    <w:tmpl w:val="139A573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9207112"/>
    <w:multiLevelType w:val="hybridMultilevel"/>
    <w:tmpl w:val="03D6600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9C8070B"/>
    <w:multiLevelType w:val="hybridMultilevel"/>
    <w:tmpl w:val="E06C51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A901BC2"/>
    <w:multiLevelType w:val="hybridMultilevel"/>
    <w:tmpl w:val="52D6378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2D91416F"/>
    <w:multiLevelType w:val="hybridMultilevel"/>
    <w:tmpl w:val="1B08432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DBE098F"/>
    <w:multiLevelType w:val="hybridMultilevel"/>
    <w:tmpl w:val="B1488AB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F2C6A1E"/>
    <w:multiLevelType w:val="hybridMultilevel"/>
    <w:tmpl w:val="5FDC12E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FB85191"/>
    <w:multiLevelType w:val="hybridMultilevel"/>
    <w:tmpl w:val="C62647C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07E11DB"/>
    <w:multiLevelType w:val="hybridMultilevel"/>
    <w:tmpl w:val="65A86DB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1210C8E"/>
    <w:multiLevelType w:val="hybridMultilevel"/>
    <w:tmpl w:val="CF40828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25A5C74"/>
    <w:multiLevelType w:val="hybridMultilevel"/>
    <w:tmpl w:val="52340CC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33EC1D7C"/>
    <w:multiLevelType w:val="hybridMultilevel"/>
    <w:tmpl w:val="A5704D3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8B4112E"/>
    <w:multiLevelType w:val="hybridMultilevel"/>
    <w:tmpl w:val="81D665A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9E95E71"/>
    <w:multiLevelType w:val="hybridMultilevel"/>
    <w:tmpl w:val="A9ACAE7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9EE0CA5"/>
    <w:multiLevelType w:val="hybridMultilevel"/>
    <w:tmpl w:val="B45248C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AA9188E"/>
    <w:multiLevelType w:val="hybridMultilevel"/>
    <w:tmpl w:val="4AA864D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3AEC3F95"/>
    <w:multiLevelType w:val="hybridMultilevel"/>
    <w:tmpl w:val="EA78924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3D413607"/>
    <w:multiLevelType w:val="hybridMultilevel"/>
    <w:tmpl w:val="D7AA41C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F1122D0"/>
    <w:multiLevelType w:val="hybridMultilevel"/>
    <w:tmpl w:val="6208431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0CA4A32"/>
    <w:multiLevelType w:val="hybridMultilevel"/>
    <w:tmpl w:val="3D1A93B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40D43CC6"/>
    <w:multiLevelType w:val="hybridMultilevel"/>
    <w:tmpl w:val="64B25C2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0E96095"/>
    <w:multiLevelType w:val="hybridMultilevel"/>
    <w:tmpl w:val="E0000EF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29103B2"/>
    <w:multiLevelType w:val="hybridMultilevel"/>
    <w:tmpl w:val="EE14F83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353099D"/>
    <w:multiLevelType w:val="hybridMultilevel"/>
    <w:tmpl w:val="16D6523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4B47F1E"/>
    <w:multiLevelType w:val="hybridMultilevel"/>
    <w:tmpl w:val="FC0AAF5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4FD66BE"/>
    <w:multiLevelType w:val="hybridMultilevel"/>
    <w:tmpl w:val="A126B02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5B62838"/>
    <w:multiLevelType w:val="hybridMultilevel"/>
    <w:tmpl w:val="5766710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83312EB"/>
    <w:multiLevelType w:val="hybridMultilevel"/>
    <w:tmpl w:val="0786098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490A5462"/>
    <w:multiLevelType w:val="hybridMultilevel"/>
    <w:tmpl w:val="EA0A166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92E3DB5"/>
    <w:multiLevelType w:val="hybridMultilevel"/>
    <w:tmpl w:val="F4CCF54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9B6105C"/>
    <w:multiLevelType w:val="hybridMultilevel"/>
    <w:tmpl w:val="86AE2E6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E597627"/>
    <w:multiLevelType w:val="hybridMultilevel"/>
    <w:tmpl w:val="10C241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FC871D8"/>
    <w:multiLevelType w:val="hybridMultilevel"/>
    <w:tmpl w:val="928A369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1BF54BF"/>
    <w:multiLevelType w:val="hybridMultilevel"/>
    <w:tmpl w:val="CDEA441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1DA7136"/>
    <w:multiLevelType w:val="hybridMultilevel"/>
    <w:tmpl w:val="E1004F5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241557A"/>
    <w:multiLevelType w:val="hybridMultilevel"/>
    <w:tmpl w:val="C24C790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3220C82"/>
    <w:multiLevelType w:val="hybridMultilevel"/>
    <w:tmpl w:val="F502D28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66D6A20"/>
    <w:multiLevelType w:val="hybridMultilevel"/>
    <w:tmpl w:val="4F70E36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579F4794"/>
    <w:multiLevelType w:val="hybridMultilevel"/>
    <w:tmpl w:val="74E6231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87A07C5"/>
    <w:multiLevelType w:val="hybridMultilevel"/>
    <w:tmpl w:val="964A108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99A33CD"/>
    <w:multiLevelType w:val="hybridMultilevel"/>
    <w:tmpl w:val="0E24F48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5A3D2FC7"/>
    <w:multiLevelType w:val="hybridMultilevel"/>
    <w:tmpl w:val="652CD25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A8E3338"/>
    <w:multiLevelType w:val="hybridMultilevel"/>
    <w:tmpl w:val="4358F24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5AF364A8"/>
    <w:multiLevelType w:val="hybridMultilevel"/>
    <w:tmpl w:val="A296CF3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5B1172C4"/>
    <w:multiLevelType w:val="hybridMultilevel"/>
    <w:tmpl w:val="3E30265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5BE81E0A"/>
    <w:multiLevelType w:val="hybridMultilevel"/>
    <w:tmpl w:val="46F2323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5CEB5FF8"/>
    <w:multiLevelType w:val="hybridMultilevel"/>
    <w:tmpl w:val="0770C03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D106BBD"/>
    <w:multiLevelType w:val="hybridMultilevel"/>
    <w:tmpl w:val="11DEB6DC"/>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DB241A7"/>
    <w:multiLevelType w:val="hybridMultilevel"/>
    <w:tmpl w:val="E06894C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5EB34A97"/>
    <w:multiLevelType w:val="hybridMultilevel"/>
    <w:tmpl w:val="945E81D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FA468B6"/>
    <w:multiLevelType w:val="hybridMultilevel"/>
    <w:tmpl w:val="9CE44A5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600611DA"/>
    <w:multiLevelType w:val="hybridMultilevel"/>
    <w:tmpl w:val="2EC8034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60376669"/>
    <w:multiLevelType w:val="hybridMultilevel"/>
    <w:tmpl w:val="53E60EB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61222F81"/>
    <w:multiLevelType w:val="hybridMultilevel"/>
    <w:tmpl w:val="68A6112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623679A1"/>
    <w:multiLevelType w:val="hybridMultilevel"/>
    <w:tmpl w:val="E4A6416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628259F8"/>
    <w:multiLevelType w:val="hybridMultilevel"/>
    <w:tmpl w:val="7398F57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38A758D"/>
    <w:multiLevelType w:val="hybridMultilevel"/>
    <w:tmpl w:val="F59E47F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61862EF"/>
    <w:multiLevelType w:val="hybridMultilevel"/>
    <w:tmpl w:val="90F449D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66A177CD"/>
    <w:multiLevelType w:val="hybridMultilevel"/>
    <w:tmpl w:val="995AB94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672A0097"/>
    <w:multiLevelType w:val="hybridMultilevel"/>
    <w:tmpl w:val="7B2CE3E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677C3EEF"/>
    <w:multiLevelType w:val="hybridMultilevel"/>
    <w:tmpl w:val="3014D48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7E87D44"/>
    <w:multiLevelType w:val="hybridMultilevel"/>
    <w:tmpl w:val="F474B7B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7" w15:restartNumberingAfterBreak="0">
    <w:nsid w:val="694674FC"/>
    <w:multiLevelType w:val="hybridMultilevel"/>
    <w:tmpl w:val="6556FCC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69E836D0"/>
    <w:multiLevelType w:val="hybridMultilevel"/>
    <w:tmpl w:val="1706903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6B486526"/>
    <w:multiLevelType w:val="hybridMultilevel"/>
    <w:tmpl w:val="8362EF3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6C9975AF"/>
    <w:multiLevelType w:val="hybridMultilevel"/>
    <w:tmpl w:val="3716B82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CFA08DC"/>
    <w:multiLevelType w:val="hybridMultilevel"/>
    <w:tmpl w:val="3B0E188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6CFE0EAC"/>
    <w:multiLevelType w:val="hybridMultilevel"/>
    <w:tmpl w:val="3740FB4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6DD26FCB"/>
    <w:multiLevelType w:val="hybridMultilevel"/>
    <w:tmpl w:val="3746E85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E337529"/>
    <w:multiLevelType w:val="hybridMultilevel"/>
    <w:tmpl w:val="E00496B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6FA97EAB"/>
    <w:multiLevelType w:val="hybridMultilevel"/>
    <w:tmpl w:val="90E294B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FE87819"/>
    <w:multiLevelType w:val="hybridMultilevel"/>
    <w:tmpl w:val="720491A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700F486F"/>
    <w:multiLevelType w:val="hybridMultilevel"/>
    <w:tmpl w:val="1D42BE0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70856CA5"/>
    <w:multiLevelType w:val="hybridMultilevel"/>
    <w:tmpl w:val="6930C5B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715937EF"/>
    <w:multiLevelType w:val="hybridMultilevel"/>
    <w:tmpl w:val="2CA409E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0" w15:restartNumberingAfterBreak="0">
    <w:nsid w:val="71701E3D"/>
    <w:multiLevelType w:val="hybridMultilevel"/>
    <w:tmpl w:val="658AD72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22C53D3"/>
    <w:multiLevelType w:val="hybridMultilevel"/>
    <w:tmpl w:val="263C514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2" w15:restartNumberingAfterBreak="0">
    <w:nsid w:val="7246435D"/>
    <w:multiLevelType w:val="hybridMultilevel"/>
    <w:tmpl w:val="F14A5AD2"/>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4C14FA2"/>
    <w:multiLevelType w:val="hybridMultilevel"/>
    <w:tmpl w:val="A3DE0FB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74D56C11"/>
    <w:multiLevelType w:val="hybridMultilevel"/>
    <w:tmpl w:val="20FA5A8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5A05F22"/>
    <w:multiLevelType w:val="hybridMultilevel"/>
    <w:tmpl w:val="DFE878D6"/>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73D4226"/>
    <w:multiLevelType w:val="hybridMultilevel"/>
    <w:tmpl w:val="E392E49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15:restartNumberingAfterBreak="0">
    <w:nsid w:val="777D52F4"/>
    <w:multiLevelType w:val="hybridMultilevel"/>
    <w:tmpl w:val="3DC28C44"/>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8" w15:restartNumberingAfterBreak="0">
    <w:nsid w:val="78692B15"/>
    <w:multiLevelType w:val="hybridMultilevel"/>
    <w:tmpl w:val="E146EC7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9993236"/>
    <w:multiLevelType w:val="hybridMultilevel"/>
    <w:tmpl w:val="1A0227F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0" w15:restartNumberingAfterBreak="0">
    <w:nsid w:val="7A0D0CE6"/>
    <w:multiLevelType w:val="hybridMultilevel"/>
    <w:tmpl w:val="07BAD70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1" w15:restartNumberingAfterBreak="0">
    <w:nsid w:val="7AA84D80"/>
    <w:multiLevelType w:val="hybridMultilevel"/>
    <w:tmpl w:val="BE4CF9E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7CE47A25"/>
    <w:multiLevelType w:val="hybridMultilevel"/>
    <w:tmpl w:val="64F45008"/>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3" w15:restartNumberingAfterBreak="0">
    <w:nsid w:val="7D0A4D2C"/>
    <w:multiLevelType w:val="hybridMultilevel"/>
    <w:tmpl w:val="96E8B5B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4" w15:restartNumberingAfterBreak="0">
    <w:nsid w:val="7D46479F"/>
    <w:multiLevelType w:val="hybridMultilevel"/>
    <w:tmpl w:val="B8D2099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5" w15:restartNumberingAfterBreak="0">
    <w:nsid w:val="7F761B18"/>
    <w:multiLevelType w:val="hybridMultilevel"/>
    <w:tmpl w:val="4ACA9BFA"/>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7F7F0226"/>
    <w:multiLevelType w:val="hybridMultilevel"/>
    <w:tmpl w:val="1548D43E"/>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FF645C7"/>
    <w:multiLevelType w:val="hybridMultilevel"/>
    <w:tmpl w:val="6BCA845C"/>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3"/>
  </w:num>
  <w:num w:numId="2">
    <w:abstractNumId w:val="23"/>
  </w:num>
  <w:num w:numId="3">
    <w:abstractNumId w:val="120"/>
  </w:num>
  <w:num w:numId="4">
    <w:abstractNumId w:val="54"/>
  </w:num>
  <w:num w:numId="5">
    <w:abstractNumId w:val="45"/>
  </w:num>
  <w:num w:numId="6">
    <w:abstractNumId w:val="47"/>
  </w:num>
  <w:num w:numId="7">
    <w:abstractNumId w:val="73"/>
  </w:num>
  <w:num w:numId="8">
    <w:abstractNumId w:val="41"/>
  </w:num>
  <w:num w:numId="9">
    <w:abstractNumId w:val="65"/>
  </w:num>
  <w:num w:numId="10">
    <w:abstractNumId w:val="95"/>
  </w:num>
  <w:num w:numId="11">
    <w:abstractNumId w:val="4"/>
  </w:num>
  <w:num w:numId="12">
    <w:abstractNumId w:val="66"/>
  </w:num>
  <w:num w:numId="13">
    <w:abstractNumId w:val="16"/>
  </w:num>
  <w:num w:numId="14">
    <w:abstractNumId w:val="72"/>
  </w:num>
  <w:num w:numId="15">
    <w:abstractNumId w:val="77"/>
  </w:num>
  <w:num w:numId="16">
    <w:abstractNumId w:val="98"/>
  </w:num>
  <w:num w:numId="17">
    <w:abstractNumId w:val="84"/>
  </w:num>
  <w:num w:numId="18">
    <w:abstractNumId w:val="33"/>
  </w:num>
  <w:num w:numId="19">
    <w:abstractNumId w:val="75"/>
  </w:num>
  <w:num w:numId="20">
    <w:abstractNumId w:val="83"/>
  </w:num>
  <w:num w:numId="21">
    <w:abstractNumId w:val="126"/>
  </w:num>
  <w:num w:numId="22">
    <w:abstractNumId w:val="125"/>
  </w:num>
  <w:num w:numId="23">
    <w:abstractNumId w:val="114"/>
  </w:num>
  <w:num w:numId="24">
    <w:abstractNumId w:val="50"/>
  </w:num>
  <w:num w:numId="25">
    <w:abstractNumId w:val="22"/>
  </w:num>
  <w:num w:numId="26">
    <w:abstractNumId w:val="46"/>
  </w:num>
  <w:num w:numId="27">
    <w:abstractNumId w:val="74"/>
  </w:num>
  <w:num w:numId="28">
    <w:abstractNumId w:val="76"/>
  </w:num>
  <w:num w:numId="29">
    <w:abstractNumId w:val="43"/>
  </w:num>
  <w:num w:numId="30">
    <w:abstractNumId w:val="123"/>
  </w:num>
  <w:num w:numId="31">
    <w:abstractNumId w:val="36"/>
  </w:num>
  <w:num w:numId="32">
    <w:abstractNumId w:val="12"/>
  </w:num>
  <w:num w:numId="33">
    <w:abstractNumId w:val="57"/>
  </w:num>
  <w:num w:numId="34">
    <w:abstractNumId w:val="42"/>
  </w:num>
  <w:num w:numId="35">
    <w:abstractNumId w:val="15"/>
  </w:num>
  <w:num w:numId="36">
    <w:abstractNumId w:val="20"/>
  </w:num>
  <w:num w:numId="37">
    <w:abstractNumId w:val="111"/>
  </w:num>
  <w:num w:numId="38">
    <w:abstractNumId w:val="38"/>
  </w:num>
  <w:num w:numId="39">
    <w:abstractNumId w:val="89"/>
  </w:num>
  <w:num w:numId="40">
    <w:abstractNumId w:val="21"/>
  </w:num>
  <w:num w:numId="41">
    <w:abstractNumId w:val="92"/>
  </w:num>
  <w:num w:numId="42">
    <w:abstractNumId w:val="97"/>
  </w:num>
  <w:num w:numId="43">
    <w:abstractNumId w:val="58"/>
  </w:num>
  <w:num w:numId="44">
    <w:abstractNumId w:val="3"/>
  </w:num>
  <w:num w:numId="45">
    <w:abstractNumId w:val="108"/>
  </w:num>
  <w:num w:numId="46">
    <w:abstractNumId w:val="25"/>
  </w:num>
  <w:num w:numId="47">
    <w:abstractNumId w:val="121"/>
  </w:num>
  <w:num w:numId="48">
    <w:abstractNumId w:val="90"/>
  </w:num>
  <w:num w:numId="49">
    <w:abstractNumId w:val="82"/>
  </w:num>
  <w:num w:numId="50">
    <w:abstractNumId w:val="96"/>
  </w:num>
  <w:num w:numId="51">
    <w:abstractNumId w:val="39"/>
  </w:num>
  <w:num w:numId="52">
    <w:abstractNumId w:val="61"/>
  </w:num>
  <w:num w:numId="53">
    <w:abstractNumId w:val="17"/>
  </w:num>
  <w:num w:numId="54">
    <w:abstractNumId w:val="26"/>
  </w:num>
  <w:num w:numId="55">
    <w:abstractNumId w:val="62"/>
  </w:num>
  <w:num w:numId="56">
    <w:abstractNumId w:val="70"/>
  </w:num>
  <w:num w:numId="57">
    <w:abstractNumId w:val="127"/>
  </w:num>
  <w:num w:numId="58">
    <w:abstractNumId w:val="80"/>
  </w:num>
  <w:num w:numId="59">
    <w:abstractNumId w:val="48"/>
  </w:num>
  <w:num w:numId="60">
    <w:abstractNumId w:val="101"/>
  </w:num>
  <w:num w:numId="61">
    <w:abstractNumId w:val="19"/>
  </w:num>
  <w:num w:numId="62">
    <w:abstractNumId w:val="44"/>
  </w:num>
  <w:num w:numId="63">
    <w:abstractNumId w:val="118"/>
  </w:num>
  <w:num w:numId="64">
    <w:abstractNumId w:val="122"/>
  </w:num>
  <w:num w:numId="65">
    <w:abstractNumId w:val="86"/>
  </w:num>
  <w:num w:numId="66">
    <w:abstractNumId w:val="69"/>
  </w:num>
  <w:num w:numId="67">
    <w:abstractNumId w:val="115"/>
  </w:num>
  <w:num w:numId="68">
    <w:abstractNumId w:val="110"/>
  </w:num>
  <w:num w:numId="69">
    <w:abstractNumId w:val="106"/>
  </w:num>
  <w:num w:numId="70">
    <w:abstractNumId w:val="13"/>
  </w:num>
  <w:num w:numId="71">
    <w:abstractNumId w:val="11"/>
  </w:num>
  <w:num w:numId="72">
    <w:abstractNumId w:val="64"/>
  </w:num>
  <w:num w:numId="73">
    <w:abstractNumId w:val="8"/>
  </w:num>
  <w:num w:numId="74">
    <w:abstractNumId w:val="0"/>
  </w:num>
  <w:num w:numId="75">
    <w:abstractNumId w:val="109"/>
  </w:num>
  <w:num w:numId="76">
    <w:abstractNumId w:val="88"/>
  </w:num>
  <w:num w:numId="77">
    <w:abstractNumId w:val="119"/>
  </w:num>
  <w:num w:numId="78">
    <w:abstractNumId w:val="18"/>
  </w:num>
  <w:num w:numId="79">
    <w:abstractNumId w:val="51"/>
  </w:num>
  <w:num w:numId="80">
    <w:abstractNumId w:val="78"/>
  </w:num>
  <w:num w:numId="81">
    <w:abstractNumId w:val="31"/>
  </w:num>
  <w:num w:numId="82">
    <w:abstractNumId w:val="85"/>
  </w:num>
  <w:num w:numId="83">
    <w:abstractNumId w:val="53"/>
  </w:num>
  <w:num w:numId="84">
    <w:abstractNumId w:val="29"/>
  </w:num>
  <w:num w:numId="85">
    <w:abstractNumId w:val="56"/>
  </w:num>
  <w:num w:numId="86">
    <w:abstractNumId w:val="60"/>
  </w:num>
  <w:num w:numId="87">
    <w:abstractNumId w:val="99"/>
  </w:num>
  <w:num w:numId="88">
    <w:abstractNumId w:val="35"/>
  </w:num>
  <w:num w:numId="89">
    <w:abstractNumId w:val="112"/>
  </w:num>
  <w:num w:numId="90">
    <w:abstractNumId w:val="117"/>
  </w:num>
  <w:num w:numId="91">
    <w:abstractNumId w:val="55"/>
  </w:num>
  <w:num w:numId="92">
    <w:abstractNumId w:val="68"/>
  </w:num>
  <w:num w:numId="93">
    <w:abstractNumId w:val="94"/>
  </w:num>
  <w:num w:numId="94">
    <w:abstractNumId w:val="71"/>
  </w:num>
  <w:num w:numId="95">
    <w:abstractNumId w:val="27"/>
  </w:num>
  <w:num w:numId="96">
    <w:abstractNumId w:val="1"/>
  </w:num>
  <w:num w:numId="97">
    <w:abstractNumId w:val="116"/>
  </w:num>
  <w:num w:numId="98">
    <w:abstractNumId w:val="9"/>
  </w:num>
  <w:num w:numId="99">
    <w:abstractNumId w:val="105"/>
  </w:num>
  <w:num w:numId="100">
    <w:abstractNumId w:val="107"/>
  </w:num>
  <w:num w:numId="101">
    <w:abstractNumId w:val="37"/>
  </w:num>
  <w:num w:numId="102">
    <w:abstractNumId w:val="91"/>
  </w:num>
  <w:num w:numId="103">
    <w:abstractNumId w:val="5"/>
  </w:num>
  <w:num w:numId="104">
    <w:abstractNumId w:val="10"/>
  </w:num>
  <w:num w:numId="105">
    <w:abstractNumId w:val="102"/>
  </w:num>
  <w:num w:numId="106">
    <w:abstractNumId w:val="30"/>
  </w:num>
  <w:num w:numId="107">
    <w:abstractNumId w:val="32"/>
  </w:num>
  <w:num w:numId="108">
    <w:abstractNumId w:val="49"/>
  </w:num>
  <w:num w:numId="109">
    <w:abstractNumId w:val="52"/>
  </w:num>
  <w:num w:numId="110">
    <w:abstractNumId w:val="113"/>
  </w:num>
  <w:num w:numId="111">
    <w:abstractNumId w:val="124"/>
  </w:num>
  <w:num w:numId="112">
    <w:abstractNumId w:val="63"/>
  </w:num>
  <w:num w:numId="113">
    <w:abstractNumId w:val="104"/>
  </w:num>
  <w:num w:numId="114">
    <w:abstractNumId w:val="67"/>
  </w:num>
  <w:num w:numId="115">
    <w:abstractNumId w:val="40"/>
  </w:num>
  <w:num w:numId="116">
    <w:abstractNumId w:val="59"/>
  </w:num>
  <w:num w:numId="117">
    <w:abstractNumId w:val="28"/>
  </w:num>
  <w:num w:numId="118">
    <w:abstractNumId w:val="81"/>
  </w:num>
  <w:num w:numId="119">
    <w:abstractNumId w:val="7"/>
  </w:num>
  <w:num w:numId="120">
    <w:abstractNumId w:val="93"/>
  </w:num>
  <w:num w:numId="121">
    <w:abstractNumId w:val="6"/>
  </w:num>
  <w:num w:numId="122">
    <w:abstractNumId w:val="87"/>
  </w:num>
  <w:num w:numId="123">
    <w:abstractNumId w:val="24"/>
  </w:num>
  <w:num w:numId="124">
    <w:abstractNumId w:val="14"/>
  </w:num>
  <w:num w:numId="125">
    <w:abstractNumId w:val="79"/>
  </w:num>
  <w:num w:numId="126">
    <w:abstractNumId w:val="34"/>
  </w:num>
  <w:num w:numId="127">
    <w:abstractNumId w:val="2"/>
  </w:num>
  <w:num w:numId="128">
    <w:abstractNumId w:val="10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7A"/>
    <w:rsid w:val="00003E88"/>
    <w:rsid w:val="000132B7"/>
    <w:rsid w:val="00066AFE"/>
    <w:rsid w:val="000761E9"/>
    <w:rsid w:val="00085CE9"/>
    <w:rsid w:val="000B2683"/>
    <w:rsid w:val="000D0E10"/>
    <w:rsid w:val="00112C7A"/>
    <w:rsid w:val="002257AA"/>
    <w:rsid w:val="002E122E"/>
    <w:rsid w:val="00312AF6"/>
    <w:rsid w:val="00331E7F"/>
    <w:rsid w:val="0039498B"/>
    <w:rsid w:val="003B7891"/>
    <w:rsid w:val="003E2DAA"/>
    <w:rsid w:val="00404D76"/>
    <w:rsid w:val="00482047"/>
    <w:rsid w:val="004C0743"/>
    <w:rsid w:val="00511B5A"/>
    <w:rsid w:val="00521CB6"/>
    <w:rsid w:val="00586FD8"/>
    <w:rsid w:val="005C785A"/>
    <w:rsid w:val="00612747"/>
    <w:rsid w:val="006A1C4C"/>
    <w:rsid w:val="006B1A0C"/>
    <w:rsid w:val="006B5824"/>
    <w:rsid w:val="006E31BD"/>
    <w:rsid w:val="00712F85"/>
    <w:rsid w:val="007B6FA9"/>
    <w:rsid w:val="00843EA9"/>
    <w:rsid w:val="00870922"/>
    <w:rsid w:val="00872EC2"/>
    <w:rsid w:val="00883523"/>
    <w:rsid w:val="0089377C"/>
    <w:rsid w:val="00895EAA"/>
    <w:rsid w:val="00A756C4"/>
    <w:rsid w:val="00AA0A23"/>
    <w:rsid w:val="00B37430"/>
    <w:rsid w:val="00B57331"/>
    <w:rsid w:val="00B6396B"/>
    <w:rsid w:val="00B83963"/>
    <w:rsid w:val="00BA2CDE"/>
    <w:rsid w:val="00BA7686"/>
    <w:rsid w:val="00BD2475"/>
    <w:rsid w:val="00C35652"/>
    <w:rsid w:val="00CA6788"/>
    <w:rsid w:val="00CE5D8A"/>
    <w:rsid w:val="00D43EDD"/>
    <w:rsid w:val="00DC1556"/>
    <w:rsid w:val="00E05544"/>
    <w:rsid w:val="00E7520A"/>
    <w:rsid w:val="00E7693B"/>
    <w:rsid w:val="00F82374"/>
    <w:rsid w:val="00F934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3AF7"/>
  <w15:chartTrackingRefBased/>
  <w15:docId w15:val="{B980C007-A0BA-47AB-BF16-B7A09039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86FD8"/>
    <w:pPr>
      <w:widowControl w:val="0"/>
      <w:spacing w:after="0" w:line="240" w:lineRule="auto"/>
      <w:outlineLvl w:val="0"/>
    </w:pPr>
    <w:rPr>
      <w:rFonts w:ascii="Times New Roman" w:eastAsiaTheme="majorEastAsia" w:hAnsi="Times New Roman" w:cstheme="majorBidi"/>
      <w:b/>
      <w:color w:val="005CAB"/>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D43E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3EDD"/>
  </w:style>
  <w:style w:type="paragraph" w:styleId="Kjene">
    <w:name w:val="footer"/>
    <w:basedOn w:val="Parasts"/>
    <w:link w:val="KjeneRakstz"/>
    <w:unhideWhenUsed/>
    <w:rsid w:val="00D43E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3EDD"/>
  </w:style>
  <w:style w:type="character" w:styleId="Lappusesnumurs">
    <w:name w:val="page number"/>
    <w:basedOn w:val="Noklusjumarindkopasfonts"/>
    <w:semiHidden/>
    <w:rsid w:val="00D43EDD"/>
  </w:style>
  <w:style w:type="paragraph" w:styleId="Pamatteksts">
    <w:name w:val="Body Text"/>
    <w:basedOn w:val="Parasts"/>
    <w:link w:val="PamattekstsRakstz"/>
    <w:uiPriority w:val="1"/>
    <w:qFormat/>
    <w:rsid w:val="00D43EDD"/>
    <w:pPr>
      <w:widowControl w:val="0"/>
      <w:autoSpaceDE w:val="0"/>
      <w:autoSpaceDN w:val="0"/>
      <w:adjustRightInd w:val="0"/>
      <w:spacing w:after="0" w:line="240" w:lineRule="auto"/>
      <w:ind w:left="1417"/>
    </w:pPr>
    <w:rPr>
      <w:rFonts w:ascii="Arial" w:eastAsia="Times New Roman" w:hAnsi="Arial" w:cs="Arial"/>
      <w:sz w:val="24"/>
      <w:szCs w:val="24"/>
      <w:lang w:eastAsia="lv-LV"/>
    </w:rPr>
  </w:style>
  <w:style w:type="character" w:customStyle="1" w:styleId="PamattekstsRakstz">
    <w:name w:val="Pamatteksts Rakstz."/>
    <w:basedOn w:val="Noklusjumarindkopasfonts"/>
    <w:link w:val="Pamatteksts"/>
    <w:uiPriority w:val="1"/>
    <w:rsid w:val="00D43EDD"/>
    <w:rPr>
      <w:rFonts w:ascii="Arial" w:eastAsia="Times New Roman" w:hAnsi="Arial" w:cs="Arial"/>
      <w:sz w:val="24"/>
      <w:szCs w:val="24"/>
      <w:lang w:eastAsia="lv-LV"/>
    </w:rPr>
  </w:style>
  <w:style w:type="table" w:styleId="Reatabula">
    <w:name w:val="Table Grid"/>
    <w:basedOn w:val="Parastatabula"/>
    <w:uiPriority w:val="39"/>
    <w:rsid w:val="00D4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43ED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43EDD"/>
    <w:rPr>
      <w:sz w:val="20"/>
      <w:szCs w:val="20"/>
    </w:rPr>
  </w:style>
  <w:style w:type="character" w:styleId="Vresatsauce">
    <w:name w:val="footnote reference"/>
    <w:basedOn w:val="Noklusjumarindkopasfonts"/>
    <w:uiPriority w:val="99"/>
    <w:semiHidden/>
    <w:unhideWhenUsed/>
    <w:rsid w:val="00D43EDD"/>
    <w:rPr>
      <w:vertAlign w:val="superscript"/>
    </w:rPr>
  </w:style>
  <w:style w:type="paragraph" w:customStyle="1" w:styleId="TableParagraph">
    <w:name w:val="Table Paragraph"/>
    <w:basedOn w:val="Parasts"/>
    <w:uiPriority w:val="1"/>
    <w:qFormat/>
    <w:rsid w:val="00D43EDD"/>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83963"/>
    <w:pPr>
      <w:ind w:left="720"/>
      <w:contextualSpacing/>
    </w:pPr>
  </w:style>
  <w:style w:type="character" w:customStyle="1" w:styleId="Virsraksts1Rakstz">
    <w:name w:val="Virsraksts 1 Rakstz."/>
    <w:basedOn w:val="Noklusjumarindkopasfonts"/>
    <w:link w:val="Virsraksts1"/>
    <w:uiPriority w:val="9"/>
    <w:rsid w:val="00586FD8"/>
    <w:rPr>
      <w:rFonts w:ascii="Times New Roman" w:eastAsiaTheme="majorEastAsia" w:hAnsi="Times New Roman" w:cstheme="majorBidi"/>
      <w:b/>
      <w:color w:val="005CAB"/>
      <w:sz w:val="28"/>
      <w:szCs w:val="32"/>
    </w:rPr>
  </w:style>
  <w:style w:type="paragraph" w:styleId="Saturardtjavirsraksts">
    <w:name w:val="TOC Heading"/>
    <w:basedOn w:val="Virsraksts1"/>
    <w:next w:val="Parasts"/>
    <w:uiPriority w:val="39"/>
    <w:unhideWhenUsed/>
    <w:qFormat/>
    <w:rsid w:val="00586FD8"/>
    <w:pPr>
      <w:keepNext/>
      <w:keepLines/>
      <w:widowControl/>
      <w:spacing w:before="240" w:line="259" w:lineRule="auto"/>
      <w:outlineLvl w:val="9"/>
    </w:pPr>
    <w:rPr>
      <w:rFonts w:asciiTheme="majorHAnsi" w:hAnsiTheme="majorHAnsi"/>
      <w:b w:val="0"/>
      <w:color w:val="2F5496" w:themeColor="accent1" w:themeShade="BF"/>
      <w:sz w:val="32"/>
      <w:lang w:eastAsia="lv-LV"/>
    </w:rPr>
  </w:style>
  <w:style w:type="paragraph" w:styleId="Saturs1">
    <w:name w:val="toc 1"/>
    <w:basedOn w:val="Parasts"/>
    <w:next w:val="Parasts"/>
    <w:autoRedefine/>
    <w:uiPriority w:val="39"/>
    <w:unhideWhenUsed/>
    <w:rsid w:val="00586FD8"/>
    <w:pPr>
      <w:spacing w:after="100"/>
    </w:pPr>
  </w:style>
  <w:style w:type="character" w:styleId="Hipersaite">
    <w:name w:val="Hyperlink"/>
    <w:basedOn w:val="Noklusjumarindkopasfonts"/>
    <w:uiPriority w:val="99"/>
    <w:unhideWhenUsed/>
    <w:rsid w:val="00586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67618">
      <w:bodyDiv w:val="1"/>
      <w:marLeft w:val="0"/>
      <w:marRight w:val="0"/>
      <w:marTop w:val="0"/>
      <w:marBottom w:val="0"/>
      <w:divBdr>
        <w:top w:val="none" w:sz="0" w:space="0" w:color="auto"/>
        <w:left w:val="none" w:sz="0" w:space="0" w:color="auto"/>
        <w:bottom w:val="none" w:sz="0" w:space="0" w:color="auto"/>
        <w:right w:val="none" w:sz="0" w:space="0" w:color="auto"/>
      </w:divBdr>
      <w:divsChild>
        <w:div w:id="709576693">
          <w:marLeft w:val="0"/>
          <w:marRight w:val="0"/>
          <w:marTop w:val="0"/>
          <w:marBottom w:val="0"/>
          <w:divBdr>
            <w:top w:val="none" w:sz="0" w:space="0" w:color="auto"/>
            <w:left w:val="none" w:sz="0" w:space="0" w:color="auto"/>
            <w:bottom w:val="none" w:sz="0" w:space="0" w:color="auto"/>
            <w:right w:val="none" w:sz="0" w:space="0" w:color="auto"/>
          </w:divBdr>
          <w:divsChild>
            <w:div w:id="19161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47F5-0DAD-4BAF-A911-F566C5DB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110</Pages>
  <Words>153037</Words>
  <Characters>87232</Characters>
  <Application>Microsoft Office Word</Application>
  <DocSecurity>0</DocSecurity>
  <Lines>726</Lines>
  <Paragraphs>479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9</cp:revision>
  <dcterms:created xsi:type="dcterms:W3CDTF">2018-11-02T11:11:00Z</dcterms:created>
  <dcterms:modified xsi:type="dcterms:W3CDTF">2019-01-17T14:51:00Z</dcterms:modified>
</cp:coreProperties>
</file>