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24D6" w14:textId="2C6D8043" w:rsidR="000D62B0" w:rsidRDefault="000D62B0" w:rsidP="000D62B0">
      <w:pPr>
        <w:widowControl/>
        <w:jc w:val="both"/>
        <w:rPr>
          <w:rFonts w:ascii="Times New Roman" w:hAnsi="Times New Roman" w:cs="Times New Roman"/>
          <w:b/>
          <w:noProof/>
          <w:sz w:val="24"/>
          <w:szCs w:val="24"/>
          <w:u w:val="thick" w:color="034EA2"/>
        </w:rPr>
      </w:pPr>
    </w:p>
    <w:p w14:paraId="7FDE67FF" w14:textId="6C0FC700" w:rsidR="000D62B0" w:rsidRDefault="000D62B0" w:rsidP="000D62B0">
      <w:pPr>
        <w:widowControl/>
        <w:jc w:val="both"/>
        <w:rPr>
          <w:rFonts w:ascii="Times New Roman" w:hAnsi="Times New Roman" w:cs="Times New Roman"/>
          <w:b/>
          <w:noProof/>
          <w:sz w:val="24"/>
          <w:szCs w:val="24"/>
          <w:u w:val="thick" w:color="034EA2"/>
        </w:rPr>
      </w:pPr>
    </w:p>
    <w:p w14:paraId="3452467C" w14:textId="429D96D7" w:rsidR="009100E9" w:rsidRDefault="009100E9" w:rsidP="000D62B0">
      <w:pPr>
        <w:widowControl/>
        <w:jc w:val="both"/>
        <w:rPr>
          <w:rFonts w:ascii="Times New Roman" w:hAnsi="Times New Roman" w:cs="Times New Roman"/>
          <w:b/>
          <w:noProof/>
          <w:sz w:val="24"/>
          <w:szCs w:val="24"/>
          <w:u w:val="thick" w:color="034EA2"/>
        </w:rPr>
      </w:pPr>
    </w:p>
    <w:p w14:paraId="32B09FE8" w14:textId="3CF34D0A" w:rsidR="009100E9" w:rsidRDefault="009100E9" w:rsidP="000D62B0">
      <w:pPr>
        <w:widowControl/>
        <w:jc w:val="both"/>
        <w:rPr>
          <w:rFonts w:ascii="Times New Roman" w:hAnsi="Times New Roman" w:cs="Times New Roman"/>
          <w:b/>
          <w:noProof/>
          <w:sz w:val="24"/>
          <w:szCs w:val="24"/>
          <w:u w:val="thick" w:color="034EA2"/>
        </w:rPr>
      </w:pPr>
    </w:p>
    <w:p w14:paraId="5CDF5697" w14:textId="7F09D683" w:rsidR="009100E9" w:rsidRDefault="009100E9" w:rsidP="000D62B0">
      <w:pPr>
        <w:widowControl/>
        <w:jc w:val="both"/>
        <w:rPr>
          <w:rFonts w:ascii="Times New Roman" w:hAnsi="Times New Roman" w:cs="Times New Roman"/>
          <w:b/>
          <w:noProof/>
          <w:sz w:val="24"/>
          <w:szCs w:val="24"/>
          <w:u w:val="thick" w:color="034EA2"/>
        </w:rPr>
      </w:pPr>
    </w:p>
    <w:p w14:paraId="377762DD" w14:textId="7A189B1D" w:rsidR="009100E9" w:rsidRDefault="009100E9" w:rsidP="000D62B0">
      <w:pPr>
        <w:widowControl/>
        <w:jc w:val="both"/>
        <w:rPr>
          <w:rFonts w:ascii="Times New Roman" w:hAnsi="Times New Roman" w:cs="Times New Roman"/>
          <w:b/>
          <w:noProof/>
          <w:sz w:val="24"/>
          <w:szCs w:val="24"/>
          <w:u w:val="thick" w:color="034EA2"/>
        </w:rPr>
      </w:pPr>
    </w:p>
    <w:p w14:paraId="1D0397C8" w14:textId="2DE28B08" w:rsidR="009100E9" w:rsidRDefault="009100E9" w:rsidP="000D62B0">
      <w:pPr>
        <w:widowControl/>
        <w:jc w:val="both"/>
        <w:rPr>
          <w:rFonts w:ascii="Times New Roman" w:hAnsi="Times New Roman" w:cs="Times New Roman"/>
          <w:b/>
          <w:noProof/>
          <w:sz w:val="24"/>
          <w:szCs w:val="24"/>
          <w:u w:val="thick" w:color="034EA2"/>
        </w:rPr>
      </w:pPr>
    </w:p>
    <w:p w14:paraId="66FC6E4C" w14:textId="7D2042E1" w:rsidR="009100E9" w:rsidRDefault="009100E9" w:rsidP="000D62B0">
      <w:pPr>
        <w:widowControl/>
        <w:jc w:val="both"/>
        <w:rPr>
          <w:rFonts w:ascii="Times New Roman" w:hAnsi="Times New Roman" w:cs="Times New Roman"/>
          <w:b/>
          <w:noProof/>
          <w:sz w:val="24"/>
          <w:szCs w:val="24"/>
          <w:u w:val="thick" w:color="034EA2"/>
        </w:rPr>
      </w:pPr>
    </w:p>
    <w:p w14:paraId="59B2B9CF" w14:textId="388F0EA5" w:rsidR="009100E9" w:rsidRDefault="009100E9" w:rsidP="000D62B0">
      <w:pPr>
        <w:widowControl/>
        <w:jc w:val="both"/>
        <w:rPr>
          <w:rFonts w:ascii="Times New Roman" w:hAnsi="Times New Roman" w:cs="Times New Roman"/>
          <w:b/>
          <w:noProof/>
          <w:sz w:val="24"/>
          <w:szCs w:val="24"/>
          <w:u w:val="thick" w:color="034EA2"/>
        </w:rPr>
      </w:pPr>
    </w:p>
    <w:p w14:paraId="63319E9D" w14:textId="019EE29A" w:rsidR="009100E9" w:rsidRDefault="009100E9" w:rsidP="000D62B0">
      <w:pPr>
        <w:widowControl/>
        <w:jc w:val="both"/>
        <w:rPr>
          <w:rFonts w:ascii="Times New Roman" w:hAnsi="Times New Roman" w:cs="Times New Roman"/>
          <w:b/>
          <w:noProof/>
          <w:sz w:val="24"/>
          <w:szCs w:val="24"/>
          <w:u w:val="thick" w:color="034EA2"/>
        </w:rPr>
      </w:pPr>
    </w:p>
    <w:p w14:paraId="466C06E1" w14:textId="3950CB91" w:rsidR="009100E9" w:rsidRDefault="009100E9" w:rsidP="000D62B0">
      <w:pPr>
        <w:widowControl/>
        <w:jc w:val="both"/>
        <w:rPr>
          <w:rFonts w:ascii="Times New Roman" w:hAnsi="Times New Roman" w:cs="Times New Roman"/>
          <w:b/>
          <w:noProof/>
          <w:sz w:val="24"/>
          <w:szCs w:val="24"/>
          <w:u w:val="thick" w:color="034EA2"/>
        </w:rPr>
      </w:pPr>
    </w:p>
    <w:p w14:paraId="6B9E4DBE" w14:textId="77777777" w:rsidR="009100E9" w:rsidRDefault="009100E9" w:rsidP="000D62B0">
      <w:pPr>
        <w:widowControl/>
        <w:jc w:val="both"/>
        <w:rPr>
          <w:rFonts w:ascii="Times New Roman" w:hAnsi="Times New Roman" w:cs="Times New Roman"/>
          <w:b/>
          <w:noProof/>
          <w:sz w:val="24"/>
          <w:szCs w:val="24"/>
          <w:u w:val="thick" w:color="034EA2"/>
        </w:rPr>
      </w:pPr>
    </w:p>
    <w:p w14:paraId="07C0437E" w14:textId="41257271" w:rsidR="000D62B0" w:rsidRPr="000D62B0" w:rsidRDefault="000D62B0" w:rsidP="000D62B0">
      <w:pPr>
        <w:widowControl/>
        <w:jc w:val="right"/>
        <w:rPr>
          <w:rFonts w:ascii="Times New Roman" w:hAnsi="Times New Roman" w:cs="Times New Roman"/>
          <w:b/>
          <w:noProof/>
          <w:sz w:val="36"/>
          <w:szCs w:val="36"/>
        </w:rPr>
      </w:pPr>
      <w:r>
        <w:rPr>
          <w:rFonts w:ascii="Times New Roman" w:hAnsi="Times New Roman"/>
          <w:b/>
          <w:sz w:val="36"/>
        </w:rPr>
        <w:t>JAUNĀS LEIPCIGAS HARTAS ĪSTENOŠANA, IZMANTOJOT DAUDZLĪMEŅU PĀRVALDĪBU</w:t>
      </w:r>
    </w:p>
    <w:p w14:paraId="517AF7C6" w14:textId="75804111" w:rsidR="000D62B0" w:rsidRDefault="000D62B0" w:rsidP="000D62B0">
      <w:pPr>
        <w:widowControl/>
        <w:jc w:val="both"/>
        <w:rPr>
          <w:rFonts w:ascii="Times New Roman" w:hAnsi="Times New Roman" w:cs="Times New Roman"/>
          <w:b/>
          <w:noProof/>
          <w:sz w:val="24"/>
          <w:szCs w:val="24"/>
          <w:u w:val="thick" w:color="034EA2"/>
        </w:rPr>
      </w:pPr>
    </w:p>
    <w:p w14:paraId="544D16B8" w14:textId="54A42B05" w:rsidR="000D62B0" w:rsidRDefault="000D62B0" w:rsidP="000D62B0">
      <w:pPr>
        <w:widowControl/>
        <w:jc w:val="both"/>
        <w:rPr>
          <w:rFonts w:ascii="Times New Roman" w:hAnsi="Times New Roman" w:cs="Times New Roman"/>
          <w:b/>
          <w:noProof/>
          <w:sz w:val="24"/>
          <w:szCs w:val="24"/>
          <w:u w:val="thick" w:color="034EA2"/>
        </w:rPr>
      </w:pPr>
    </w:p>
    <w:p w14:paraId="39135414" w14:textId="783CFDB5" w:rsidR="000D62B0" w:rsidRDefault="000D62B0" w:rsidP="009100E9">
      <w:pPr>
        <w:widowControl/>
        <w:jc w:val="right"/>
        <w:rPr>
          <w:rFonts w:ascii="Times New Roman" w:hAnsi="Times New Roman" w:cs="Times New Roman"/>
          <w:b/>
          <w:noProof/>
          <w:sz w:val="28"/>
          <w:szCs w:val="28"/>
          <w:u w:color="034EA2"/>
        </w:rPr>
      </w:pPr>
      <w:r>
        <w:rPr>
          <w:rFonts w:ascii="Times New Roman" w:hAnsi="Times New Roman"/>
          <w:b/>
          <w:sz w:val="28"/>
          <w:u w:color="034EA2"/>
        </w:rPr>
        <w:t>ES pilsētprogrammas nākamie soļi</w:t>
      </w:r>
    </w:p>
    <w:p w14:paraId="56DE0DE7" w14:textId="1FC82838" w:rsidR="000D62B0" w:rsidRPr="000D62B0" w:rsidRDefault="000D62B0" w:rsidP="000D62B0">
      <w:pPr>
        <w:widowControl/>
        <w:jc w:val="both"/>
        <w:rPr>
          <w:rFonts w:ascii="Times New Roman" w:hAnsi="Times New Roman" w:cs="Times New Roman"/>
          <w:bCs/>
          <w:noProof/>
          <w:sz w:val="24"/>
          <w:szCs w:val="24"/>
          <w:u w:color="034EA2"/>
        </w:rPr>
      </w:pPr>
    </w:p>
    <w:p w14:paraId="5CBBA2E4" w14:textId="3275EDB5" w:rsidR="000D62B0" w:rsidRPr="000D62B0" w:rsidRDefault="000D62B0" w:rsidP="009100E9">
      <w:pPr>
        <w:widowControl/>
        <w:jc w:val="right"/>
        <w:rPr>
          <w:rFonts w:ascii="Times New Roman" w:hAnsi="Times New Roman" w:cs="Times New Roman"/>
          <w:bCs/>
          <w:noProof/>
          <w:sz w:val="24"/>
          <w:szCs w:val="24"/>
          <w:u w:color="034EA2"/>
        </w:rPr>
      </w:pPr>
      <w:r>
        <w:rPr>
          <w:rFonts w:ascii="Times New Roman" w:hAnsi="Times New Roman"/>
          <w:sz w:val="24"/>
          <w:u w:color="034EA2"/>
        </w:rPr>
        <w:t>Pieņemta ministru neformālajā sanāksmē par pilsētu jautājumiem 2020. gada 30. novembrī</w:t>
      </w:r>
    </w:p>
    <w:p w14:paraId="4CFE191B" w14:textId="712D08C6" w:rsidR="000D62B0" w:rsidRDefault="000D62B0" w:rsidP="000D62B0">
      <w:pPr>
        <w:widowControl/>
        <w:jc w:val="both"/>
        <w:rPr>
          <w:rFonts w:ascii="Times New Roman" w:hAnsi="Times New Roman" w:cs="Times New Roman"/>
          <w:b/>
          <w:noProof/>
          <w:sz w:val="24"/>
          <w:szCs w:val="24"/>
          <w:u w:val="thick" w:color="034EA2"/>
        </w:rPr>
      </w:pPr>
    </w:p>
    <w:p w14:paraId="67B693D5" w14:textId="62522E9D" w:rsidR="000D62B0" w:rsidRDefault="000D62B0" w:rsidP="000D62B0">
      <w:pPr>
        <w:widowControl/>
        <w:jc w:val="both"/>
        <w:rPr>
          <w:rFonts w:ascii="Times New Roman" w:hAnsi="Times New Roman" w:cs="Times New Roman"/>
          <w:b/>
          <w:noProof/>
          <w:sz w:val="24"/>
          <w:szCs w:val="24"/>
          <w:u w:val="thick" w:color="034EA2"/>
        </w:rPr>
      </w:pPr>
    </w:p>
    <w:p w14:paraId="05D32DE2" w14:textId="1193D959" w:rsidR="000D62B0" w:rsidRDefault="000D62B0">
      <w:pPr>
        <w:rPr>
          <w:rFonts w:ascii="Times New Roman" w:hAnsi="Times New Roman" w:cs="Times New Roman"/>
          <w:b/>
          <w:noProof/>
          <w:sz w:val="24"/>
          <w:szCs w:val="24"/>
          <w:u w:val="thick" w:color="034EA2"/>
        </w:rPr>
      </w:pPr>
      <w:r>
        <w:br w:type="page"/>
      </w:r>
    </w:p>
    <w:p w14:paraId="1E34AFE6" w14:textId="0501929B" w:rsidR="000D62B0" w:rsidRPr="000D62B0" w:rsidRDefault="000D62B0" w:rsidP="000D62B0">
      <w:pPr>
        <w:widowControl/>
        <w:tabs>
          <w:tab w:val="left" w:pos="588"/>
          <w:tab w:val="left" w:pos="1020"/>
        </w:tabs>
        <w:jc w:val="both"/>
        <w:rPr>
          <w:rFonts w:ascii="Times New Roman" w:hAnsi="Times New Roman" w:cs="Times New Roman"/>
          <w:b/>
          <w:noProof/>
          <w:color w:val="034EA2"/>
          <w:sz w:val="24"/>
          <w:szCs w:val="24"/>
          <w:u w:val="thick" w:color="034EA2"/>
        </w:rPr>
      </w:pPr>
      <w:r>
        <w:rPr>
          <w:rFonts w:ascii="Times New Roman" w:hAnsi="Times New Roman"/>
          <w:b/>
          <w:color w:val="034EA2"/>
          <w:sz w:val="24"/>
          <w:u w:val="thick" w:color="034EA2"/>
        </w:rPr>
        <w:lastRenderedPageBreak/>
        <w:t>I. PASTĀVĪGĀ NEPIECIEŠAMĪBA PĒC PILSĒTU DAUDZLĪMEŅU PĀRVALDĪBAS EIROPĀ</w:t>
      </w:r>
    </w:p>
    <w:p w14:paraId="664CDE53" w14:textId="77777777" w:rsidR="000D62B0" w:rsidRPr="000D62B0" w:rsidRDefault="000D62B0" w:rsidP="000D62B0">
      <w:pPr>
        <w:widowControl/>
        <w:jc w:val="both"/>
        <w:rPr>
          <w:rFonts w:ascii="Times New Roman" w:eastAsia="Calibri" w:hAnsi="Times New Roman" w:cs="Times New Roman"/>
          <w:b/>
          <w:bCs/>
          <w:noProof/>
          <w:sz w:val="24"/>
          <w:szCs w:val="24"/>
        </w:rPr>
      </w:pPr>
    </w:p>
    <w:p w14:paraId="2DF9F2D7"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Jaunā Leipcigas harta ar labas pilsētu pārvaldības stratēģisko principu kopumu sniedz satvaru, uz kuru balstīt Eiropas pilsētu politikas pēc 2020. gada saskaņošanu. Šī sistēma vēlreiz apstiprina Amsterdamas pakta mērķus un sasniegumus, tādējādi sasaistot ES pilsētprogrammas darba metodi ar Jaunās Leipcigas hartas stratēģiskajiem principiem.</w:t>
      </w:r>
    </w:p>
    <w:p w14:paraId="68E5F007" w14:textId="77777777" w:rsidR="000D62B0" w:rsidRPr="000D62B0" w:rsidRDefault="000D62B0" w:rsidP="000D62B0">
      <w:pPr>
        <w:widowControl/>
        <w:jc w:val="both"/>
        <w:rPr>
          <w:rFonts w:ascii="Times New Roman" w:eastAsia="Lucida Sans" w:hAnsi="Times New Roman" w:cs="Times New Roman"/>
          <w:noProof/>
          <w:sz w:val="24"/>
          <w:szCs w:val="24"/>
        </w:rPr>
      </w:pPr>
    </w:p>
    <w:p w14:paraId="58363926" w14:textId="48AEC571" w:rsidR="000D62B0" w:rsidRPr="000D62B0" w:rsidRDefault="000D62B0" w:rsidP="000D62B0">
      <w:pPr>
        <w:pStyle w:val="BodyText"/>
        <w:widowControl/>
        <w:ind w:left="0"/>
        <w:jc w:val="both"/>
        <w:rPr>
          <w:rFonts w:ascii="Times New Roman" w:hAnsi="Times New Roman" w:cs="Times New Roman"/>
          <w:noProof/>
        </w:rPr>
      </w:pPr>
      <w:r>
        <w:rPr>
          <w:rFonts w:ascii="Times New Roman" w:hAnsi="Times New Roman"/>
          <w:b/>
          <w:bCs/>
          <w:color w:val="231F20"/>
        </w:rPr>
        <w:t>Mēs, par pilsētu jautājumiem atbildīgie ministri, uzsveram</w:t>
      </w:r>
      <w:r>
        <w:rPr>
          <w:rFonts w:ascii="Times New Roman" w:hAnsi="Times New Roman"/>
          <w:color w:val="231F20"/>
        </w:rPr>
        <w:t>, ka ES pilsētprogramma kā vērtīgs īstenošanas instruments ceļā uz saskaņotāku un pilsētai piemērotāku politiku tiks turpināta un attīstīta, lai stiprinātu tās ietekmi un efektivitāti.</w:t>
      </w:r>
    </w:p>
    <w:p w14:paraId="333B4344" w14:textId="77777777" w:rsidR="000D62B0" w:rsidRPr="000D62B0" w:rsidRDefault="000D62B0" w:rsidP="000D62B0">
      <w:pPr>
        <w:widowControl/>
        <w:jc w:val="both"/>
        <w:rPr>
          <w:rFonts w:ascii="Times New Roman" w:eastAsia="Lucida Sans" w:hAnsi="Times New Roman" w:cs="Times New Roman"/>
          <w:noProof/>
          <w:sz w:val="24"/>
          <w:szCs w:val="24"/>
        </w:rPr>
      </w:pPr>
    </w:p>
    <w:p w14:paraId="03906717" w14:textId="77777777" w:rsidR="000D62B0" w:rsidRPr="000D62B0" w:rsidRDefault="000D62B0" w:rsidP="000D62B0">
      <w:pPr>
        <w:widowControl/>
        <w:jc w:val="both"/>
        <w:rPr>
          <w:rFonts w:ascii="Times New Roman" w:eastAsia="Lucida Sans" w:hAnsi="Times New Roman" w:cs="Times New Roman"/>
          <w:noProof/>
          <w:sz w:val="24"/>
          <w:szCs w:val="24"/>
        </w:rPr>
      </w:pPr>
    </w:p>
    <w:p w14:paraId="55CF9999" w14:textId="3F2293BA" w:rsidR="000D62B0" w:rsidRPr="000D62B0" w:rsidRDefault="000D62B0" w:rsidP="000D62B0">
      <w:pPr>
        <w:pStyle w:val="Heading1"/>
        <w:widowControl/>
        <w:tabs>
          <w:tab w:val="left" w:pos="1034"/>
        </w:tabs>
        <w:spacing w:before="0"/>
        <w:ind w:left="0" w:firstLine="0"/>
        <w:jc w:val="both"/>
        <w:rPr>
          <w:rFonts w:ascii="Times New Roman" w:hAnsi="Times New Roman" w:cs="Times New Roman"/>
          <w:noProof/>
          <w:color w:val="034EA2"/>
        </w:rPr>
      </w:pPr>
      <w:r>
        <w:rPr>
          <w:rFonts w:ascii="Times New Roman" w:hAnsi="Times New Roman"/>
          <w:color w:val="034EA2"/>
        </w:rPr>
        <w:t>1. ES PILSĒTPROGRAMMAS KONSOLIDĒŠANA, ĪSTENOŠANA UN VIRZĪŠANA</w:t>
      </w:r>
    </w:p>
    <w:p w14:paraId="18445DEC" w14:textId="77777777" w:rsidR="000D62B0" w:rsidRPr="000D62B0" w:rsidRDefault="000D62B0" w:rsidP="000D62B0">
      <w:pPr>
        <w:widowControl/>
        <w:jc w:val="both"/>
        <w:rPr>
          <w:rFonts w:ascii="Times New Roman" w:eastAsia="Calibri" w:hAnsi="Times New Roman" w:cs="Times New Roman"/>
          <w:b/>
          <w:bCs/>
          <w:noProof/>
          <w:sz w:val="24"/>
          <w:szCs w:val="24"/>
        </w:rPr>
      </w:pPr>
    </w:p>
    <w:p w14:paraId="11D3EA53" w14:textId="7409D51E"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ministri, vēršam uzmanību</w:t>
      </w:r>
      <w:r>
        <w:rPr>
          <w:rFonts w:ascii="Times New Roman" w:hAnsi="Times New Roman"/>
          <w:color w:val="231F20"/>
        </w:rPr>
        <w:t xml:space="preserve"> uz to, ka ES pilsētprogramma viennozīmīgi ir veicinājusi daudzlīmeņu un daudzu ieinteresēto pušu pārvaldību Eiropā un pozitīvi ietekmējusi sadarbību starp pašvaldību un reģionālās iestādēm, dalībvalstīm, Eiropas Komisiju un citām ES institūcijām, kā arī citām pilsētās ieinteresētajām pusēm. ES pilsētprogrammas galvenais sasniegums ir pašvaldību un reģionālajām iestādēm sniegtā iespēja apspriest pilsētu prioritārās tēmas ar Eiropas iestādēm, valstu ministrijām un citiem partneriem, proti, kopīgi apzināt iespējas, kā uzlabot pilsētu teritorijas ietekmējošās ES pilsētu politikas savstarpējo papildināmību un saskaņotību un kā stiprināt tās pilsētu dimensiju. Tas atbilst pilsētu izšķirošajai lomai daudzlīmeņu politikas veidošanā.</w:t>
      </w:r>
    </w:p>
    <w:p w14:paraId="09D11F7D" w14:textId="77777777" w:rsidR="000D62B0" w:rsidRPr="000D62B0" w:rsidRDefault="000D62B0" w:rsidP="000D62B0">
      <w:pPr>
        <w:widowControl/>
        <w:jc w:val="both"/>
        <w:rPr>
          <w:rFonts w:ascii="Times New Roman" w:hAnsi="Times New Roman" w:cs="Times New Roman"/>
          <w:noProof/>
          <w:color w:val="231F20"/>
        </w:rPr>
      </w:pPr>
    </w:p>
    <w:p w14:paraId="36B1ADC4"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Arī Eiropas Komisijas novērtējumā par pirmajiem ES pilsētprogrammas īstenošanas gadiem ir parādīti daudzi pozitīvi rezultāti. Vienlaikus tajā norādīts uz nepieciešamiem uzlabojumiem, lai pēc iespējas pilnvērtīgāk sasniegtu iniciatīvas mērķus.</w:t>
      </w:r>
    </w:p>
    <w:p w14:paraId="59640A40" w14:textId="77777777" w:rsidR="000D62B0" w:rsidRPr="000D62B0" w:rsidRDefault="000D62B0" w:rsidP="000D62B0">
      <w:pPr>
        <w:widowControl/>
        <w:jc w:val="both"/>
        <w:rPr>
          <w:rFonts w:ascii="Times New Roman" w:eastAsia="Lucida Sans" w:hAnsi="Times New Roman" w:cs="Times New Roman"/>
          <w:noProof/>
          <w:sz w:val="24"/>
          <w:szCs w:val="24"/>
        </w:rPr>
      </w:pPr>
    </w:p>
    <w:p w14:paraId="6DEA0F1E" w14:textId="523F1731" w:rsidR="000D62B0" w:rsidRPr="000D62B0" w:rsidRDefault="000D62B0" w:rsidP="000D62B0">
      <w:pPr>
        <w:pStyle w:val="BodyText"/>
        <w:widowControl/>
        <w:ind w:left="0"/>
        <w:jc w:val="both"/>
        <w:rPr>
          <w:rFonts w:ascii="Times New Roman" w:hAnsi="Times New Roman" w:cs="Times New Roman"/>
          <w:noProof/>
        </w:rPr>
      </w:pPr>
      <w:r>
        <w:rPr>
          <w:rFonts w:ascii="Times New Roman" w:hAnsi="Times New Roman"/>
          <w:b/>
          <w:bCs/>
          <w:color w:val="231F20"/>
        </w:rPr>
        <w:t>Mēs uzsveram,</w:t>
      </w:r>
      <w:r>
        <w:rPr>
          <w:rFonts w:ascii="Times New Roman" w:hAnsi="Times New Roman"/>
          <w:color w:val="231F20"/>
        </w:rPr>
        <w:t xml:space="preserve"> ka ES pilsētprogramma ir svarīga kā līdzeklis, kas veicina Apvienoto Nāciju Organizācijas Jaunās pilsētprogrammas īstenošanu un ilgtspējīgas attīstības mērķu sasniegšanu pilsētu dimensijās.</w:t>
      </w:r>
    </w:p>
    <w:p w14:paraId="4752D1E2" w14:textId="77777777" w:rsidR="000D62B0" w:rsidRPr="000D62B0" w:rsidRDefault="000D62B0" w:rsidP="000D62B0">
      <w:pPr>
        <w:widowControl/>
        <w:jc w:val="both"/>
        <w:rPr>
          <w:rFonts w:ascii="Times New Roman" w:eastAsia="Lucida Sans" w:hAnsi="Times New Roman" w:cs="Times New Roman"/>
          <w:noProof/>
          <w:sz w:val="24"/>
          <w:szCs w:val="24"/>
        </w:rPr>
      </w:pPr>
    </w:p>
    <w:p w14:paraId="4F4A98CD" w14:textId="423F5600"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esam vienisprātis</w:t>
      </w:r>
      <w:r>
        <w:rPr>
          <w:rFonts w:ascii="Times New Roman" w:hAnsi="Times New Roman"/>
          <w:color w:val="231F20"/>
        </w:rPr>
        <w:t>, ka nākotnē ES pilsētprogramma mums jāpadara iedarbīgāka un efektīvāka, kā arī jāizmanto līdz šim sasniegtie rezultāti. Amsterdamas paktā noteiktie trīs galvenie pīlāri – labāks regulējums, labāks finansējums un labākas zināšanas (pamats un apmaiņa) – joprojām ir ļoti svarīgi.</w:t>
      </w:r>
    </w:p>
    <w:p w14:paraId="7BD4D82C" w14:textId="77777777" w:rsidR="000D62B0" w:rsidRPr="000D62B0" w:rsidRDefault="000D62B0" w:rsidP="000D62B0">
      <w:pPr>
        <w:widowControl/>
        <w:jc w:val="both"/>
        <w:rPr>
          <w:rFonts w:ascii="Times New Roman" w:hAnsi="Times New Roman" w:cs="Times New Roman"/>
          <w:noProof/>
          <w:color w:val="231F20"/>
        </w:rPr>
      </w:pPr>
    </w:p>
    <w:p w14:paraId="2F75F8CF"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ES pilsētprogrammas novērtējumā ir norādīts, ka ierobežotie resursi ir svarīgs jautājums, kas jārisina. Tādēļ pietiekamam finansējumam un efektīvām īstenošanas struktūrām, kuru pamatā ir daudzlīmeņu pārvaldība, ir izšķiroša nozīme efektīvākā ES pilsētprogrammas īstenošanā.</w:t>
      </w:r>
    </w:p>
    <w:p w14:paraId="617C848B" w14:textId="45385C72" w:rsidR="000D62B0" w:rsidRDefault="000D62B0" w:rsidP="000D62B0">
      <w:pPr>
        <w:widowControl/>
        <w:jc w:val="both"/>
        <w:rPr>
          <w:rFonts w:ascii="Times New Roman" w:hAnsi="Times New Roman" w:cs="Times New Roman"/>
          <w:noProof/>
          <w:sz w:val="24"/>
          <w:szCs w:val="24"/>
        </w:rPr>
      </w:pPr>
    </w:p>
    <w:p w14:paraId="27401C15"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atzinīgi vērtējam</w:t>
      </w:r>
      <w:r>
        <w:rPr>
          <w:rFonts w:ascii="Times New Roman" w:hAnsi="Times New Roman"/>
          <w:color w:val="231F20"/>
        </w:rPr>
        <w:t xml:space="preserve"> Eiropas pilsētu iniciatīvu saskaņā ar kohēzijas politiku kā instrumentu, kas atbalsta ES pilsētprogrammu un starpvaldību sadarbību pilsētu jautājumos, stiprina integrētas un līdzdalībā balstītas pieejas un to ilgtspēju, kā arī veicina saskaņotību starp ES politiku, programmām un iniciatīvām, kas attiecas uz ilgtspējīgu pilsētu attīstību. Kohēzijas politikas stiprinātajai pilsētas dimensijai ir jābalstās uz Jaunās Leipcigas hartas principiem un jāsekmē to ievērošana, un attiecīgos gadījumos jāveicina funkcionālo teritoriju koncepcija, tādējādi veicinot harmonisku un līdzsvarotu Eiropas attīstību, vienlaikus ņemot vērā situāciju dalībvalstīs un reģionos.</w:t>
      </w:r>
    </w:p>
    <w:p w14:paraId="00F5B72B" w14:textId="77777777" w:rsidR="000D62B0" w:rsidRPr="000D62B0" w:rsidRDefault="000D62B0" w:rsidP="000D62B0">
      <w:pPr>
        <w:widowControl/>
        <w:jc w:val="both"/>
        <w:rPr>
          <w:rFonts w:ascii="Times New Roman" w:hAnsi="Times New Roman" w:cs="Times New Roman"/>
          <w:noProof/>
          <w:color w:val="231F20"/>
        </w:rPr>
      </w:pPr>
    </w:p>
    <w:p w14:paraId="6D80AAF5" w14:textId="7D9455B1" w:rsidR="000D62B0" w:rsidRPr="000D62B0" w:rsidRDefault="000D62B0" w:rsidP="000D62B0">
      <w:pPr>
        <w:pStyle w:val="BodyText"/>
        <w:widowControl/>
        <w:ind w:left="0"/>
        <w:jc w:val="both"/>
        <w:rPr>
          <w:rFonts w:ascii="Times New Roman" w:hAnsi="Times New Roman" w:cs="Times New Roman"/>
          <w:noProof/>
        </w:rPr>
      </w:pPr>
      <w:r>
        <w:rPr>
          <w:rFonts w:ascii="Times New Roman" w:hAnsi="Times New Roman"/>
          <w:b/>
          <w:bCs/>
          <w:color w:val="231F20"/>
        </w:rPr>
        <w:lastRenderedPageBreak/>
        <w:t xml:space="preserve">Vienlaikus mēs uzsveram, </w:t>
      </w:r>
      <w:r>
        <w:rPr>
          <w:rFonts w:ascii="Times New Roman" w:hAnsi="Times New Roman"/>
          <w:color w:val="231F20"/>
        </w:rPr>
        <w:t>ka visām ieinteresētajām pusēm un iesaistītajiem valdības līmeņiem aktīvi jāpēta visas iespējas piešķirt resursus ES pilsētprogrammai, ņemot vērā subsidiaritātes un proporcionalitātes principus.</w:t>
      </w:r>
    </w:p>
    <w:p w14:paraId="7C2B7E00" w14:textId="77777777" w:rsidR="000D62B0" w:rsidRPr="000D62B0" w:rsidRDefault="000D62B0" w:rsidP="000D62B0">
      <w:pPr>
        <w:widowControl/>
        <w:jc w:val="both"/>
        <w:rPr>
          <w:rFonts w:ascii="Times New Roman" w:eastAsia="Lucida Sans" w:hAnsi="Times New Roman" w:cs="Times New Roman"/>
          <w:noProof/>
          <w:sz w:val="24"/>
          <w:szCs w:val="24"/>
        </w:rPr>
      </w:pPr>
    </w:p>
    <w:p w14:paraId="2B8DBB44" w14:textId="77777777" w:rsidR="000D62B0" w:rsidRPr="000D62B0" w:rsidRDefault="000D62B0" w:rsidP="000D62B0">
      <w:pPr>
        <w:widowControl/>
        <w:jc w:val="both"/>
        <w:rPr>
          <w:rFonts w:ascii="Times New Roman" w:eastAsia="Lucida Sans" w:hAnsi="Times New Roman" w:cs="Times New Roman"/>
          <w:noProof/>
          <w:sz w:val="24"/>
          <w:szCs w:val="24"/>
        </w:rPr>
      </w:pPr>
    </w:p>
    <w:p w14:paraId="7755DD84" w14:textId="12C8B1FC" w:rsidR="000D62B0" w:rsidRPr="000D62B0" w:rsidRDefault="000D62B0" w:rsidP="000D62B0">
      <w:pPr>
        <w:pStyle w:val="Heading1"/>
        <w:widowControl/>
        <w:tabs>
          <w:tab w:val="left" w:pos="521"/>
        </w:tabs>
        <w:spacing w:before="0"/>
        <w:ind w:left="0" w:firstLine="0"/>
        <w:jc w:val="both"/>
        <w:rPr>
          <w:rFonts w:ascii="Times New Roman" w:hAnsi="Times New Roman" w:cs="Times New Roman"/>
          <w:noProof/>
          <w:color w:val="034EA2"/>
        </w:rPr>
      </w:pPr>
      <w:r>
        <w:rPr>
          <w:rFonts w:ascii="Times New Roman" w:hAnsi="Times New Roman"/>
          <w:color w:val="034EA2"/>
        </w:rPr>
        <w:t>2. DAUDZLĪMEŅU UN DAUDZU IEINTERESĒTO PUŠU SADARBĪBAS UZTURĒŠANA UN STIPRINĀŠANA</w:t>
      </w:r>
    </w:p>
    <w:p w14:paraId="34200B89" w14:textId="77777777" w:rsidR="000D62B0" w:rsidRPr="000D62B0" w:rsidRDefault="000D62B0" w:rsidP="000D62B0">
      <w:pPr>
        <w:widowControl/>
        <w:jc w:val="both"/>
        <w:rPr>
          <w:rFonts w:ascii="Times New Roman" w:eastAsia="Calibri" w:hAnsi="Times New Roman" w:cs="Times New Roman"/>
          <w:b/>
          <w:bCs/>
          <w:noProof/>
          <w:sz w:val="24"/>
          <w:szCs w:val="24"/>
        </w:rPr>
      </w:pPr>
    </w:p>
    <w:p w14:paraId="4C6766E7" w14:textId="5A53172B"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Daudzlīmeņu un daudzu ieinteresēto pušu pieeja, kā arī unikālā iespēja it īpaši pašvaldību un reģionālajām iestādēm uzsākt dialogu starp visiem attiecīgajiem līmeņiem, ir identificētas kā svarīgas ES pilsētprogrammas stiprās puses un sasniegumi. Tas pats ir attiecināms uz tematiskās partnerības pieeju un to, ka partnerības ir elastīgas un “eksperimentālas”. Tomēr jāpievēršas jautājumiem, kas saistīti ar to, ka trūkst skaidru un pārredzamu procesu, prasību un konkrētu mērķu, kā arī to, ka ieinteresētās puses iesaistās nevienmērīgi.</w:t>
      </w:r>
    </w:p>
    <w:p w14:paraId="35E3877B" w14:textId="77777777" w:rsidR="000D62B0" w:rsidRPr="000D62B0" w:rsidRDefault="000D62B0" w:rsidP="000D62B0">
      <w:pPr>
        <w:widowControl/>
        <w:jc w:val="both"/>
        <w:rPr>
          <w:rFonts w:ascii="Times New Roman" w:eastAsia="Lucida Sans" w:hAnsi="Times New Roman" w:cs="Times New Roman"/>
          <w:noProof/>
          <w:sz w:val="24"/>
          <w:szCs w:val="24"/>
        </w:rPr>
      </w:pPr>
    </w:p>
    <w:p w14:paraId="74D1522C" w14:textId="3BE7DE1D"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ministri, atkārtoti apstiprinām,</w:t>
      </w:r>
      <w:r>
        <w:rPr>
          <w:rFonts w:ascii="Times New Roman" w:hAnsi="Times New Roman"/>
          <w:color w:val="231F20"/>
        </w:rPr>
        <w:t xml:space="preserve"> ka daudzlīmeņu un daudzu ieinteresēto pušu tematiskās partnerības joprojām ir galvenais ES pilsētprogrammas īstenošanas instruments plašākajā darbību lokā, kas vērstas uz ES politikas pilsētu dimensijas uzlabošanu, kā tas noteikts Amsterdamas paktā. Ir jāapsver citi sadarbības veidi, kas atbilst daudzlīmeņu un daudzu ieinteresēto pušu principiem, kuri veicina ilgtspējīgu pilsētu attīstību, kā arī jāturpina pētīt šos veidus.</w:t>
      </w:r>
    </w:p>
    <w:p w14:paraId="1D4A4FAF" w14:textId="77777777" w:rsidR="000D62B0" w:rsidRPr="000D62B0" w:rsidRDefault="000D62B0" w:rsidP="000D62B0">
      <w:pPr>
        <w:widowControl/>
        <w:jc w:val="both"/>
        <w:rPr>
          <w:rFonts w:ascii="Times New Roman" w:hAnsi="Times New Roman" w:cs="Times New Roman"/>
          <w:noProof/>
          <w:color w:val="231F20"/>
        </w:rPr>
      </w:pPr>
    </w:p>
    <w:p w14:paraId="46DF9D0E" w14:textId="54DE1CAB"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Tāpēc mēs vienojamies par</w:t>
      </w:r>
      <w:r>
        <w:rPr>
          <w:rFonts w:ascii="Times New Roman" w:hAnsi="Times New Roman"/>
          <w:color w:val="231F20"/>
        </w:rPr>
        <w:t xml:space="preserve"> elastīgāku tematisko partnerību izveidi ilguma, sastāva un rezultātu ziņā mērķtiecīgākā, līdzsvarotākā un pārredzamākā sistēmā nākotnē. Tas nozīmē, ka partnerību sadarbību noteiks konkrēti mērķi. Turklāt visu lielumu pilsētu iesaistīšanās ir galvenais faktors, lai atspoguļotu Eiropas pilsētu teritoriju daudzveidību un to atšķirīgās vajadzības. Partneru atlase notiks pēc īpašiem aicinājumiem uz partnerībām, pamatojoties uz iepriekšējiem novērtējumiem, kuru mērķis ir aizsargāt atbilstošu līmeni partneru tematiskajām un procesuālajām zināšanām. Pietiekami resursi nodrošinās, ka partnerības var sasniegt savus mērķus un darboties, izmantojot viegli pieejamas administratīvās procedūras. Lai nodrošinātu lielāku ietekmi uz attiecīgo nozari, jau no katras partnerības sākuma jābūt ciešai sadarbībai ar attiecīgo Eiropas Komisijas ģenerāldirektorātu un valstu ministriju pārstāvjiem.</w:t>
      </w:r>
    </w:p>
    <w:p w14:paraId="0B98E992" w14:textId="77777777" w:rsidR="000D62B0" w:rsidRPr="000D62B0" w:rsidRDefault="000D62B0" w:rsidP="000D62B0">
      <w:pPr>
        <w:widowControl/>
        <w:jc w:val="both"/>
        <w:rPr>
          <w:rFonts w:ascii="Times New Roman" w:hAnsi="Times New Roman" w:cs="Times New Roman"/>
          <w:noProof/>
          <w:color w:val="231F20"/>
        </w:rPr>
      </w:pPr>
    </w:p>
    <w:p w14:paraId="2D498D8E" w14:textId="4054B262"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norādām</w:t>
      </w:r>
      <w:r>
        <w:rPr>
          <w:rFonts w:ascii="Times New Roman" w:hAnsi="Times New Roman"/>
          <w:color w:val="231F20"/>
        </w:rPr>
        <w:t>, ka ir izšķiroši svarīgi balstīties uz to vērtīgo darbu kopumu, ko kopš 2016. gada ir paveikušas 14 tematiskās partnerības, un turpināt atbalstīt darbību īstenošanu. Partnerības darbību tematiskā apkopošana, lai radītu sinerģijas, iespējams var kļūt par ļoti spēcīgu instrumentu turpmākā ES pilsētprogrammas tematiskās orientācijas attīstībā. Arī procesuālajā ziņā var mācīties no ES pilsētprogrammas izmēģinājuma stadijas: ir jāveicina spēcīgāka pieredzes nodošana attiecīgajām ieinteresētajām pusēm un ciešāka partnerību sadarbība.</w:t>
      </w:r>
    </w:p>
    <w:p w14:paraId="79C838DB" w14:textId="77777777" w:rsidR="000D62B0" w:rsidRPr="000D62B0" w:rsidRDefault="000D62B0" w:rsidP="000D62B0">
      <w:pPr>
        <w:widowControl/>
        <w:jc w:val="both"/>
        <w:rPr>
          <w:rFonts w:ascii="Times New Roman" w:eastAsia="Lucida Sans" w:hAnsi="Times New Roman" w:cs="Times New Roman"/>
          <w:noProof/>
          <w:sz w:val="24"/>
          <w:szCs w:val="24"/>
        </w:rPr>
      </w:pPr>
    </w:p>
    <w:p w14:paraId="113A1336" w14:textId="616FB274"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Jaunajām tematisko partnerību tēmām vai salīdzināmiem daudzlīmeņu instrumentiem jāsaskan ar ES politikas prioritātēm un iniciatīvām un jāsniedz ieguldījums šajās prioritātēs un iniciatīvās īpaši, ja tām ir skaidra pilsētu dimensija. Tas it īpaši attiecas uz Eiropas zaļo kursu, Eiropas sociālo tiesību pīlāru, Eiropas digitālo stratēģiju, Eiropas atveseļošanas plānu un saistībā ar globālajām prioritātēm, kas uzsvērtas Ilgtspējīgas attīstības programmā 2030. gadam un Jaunajā pilsētprogrammā.</w:t>
      </w:r>
    </w:p>
    <w:p w14:paraId="7BFFB696" w14:textId="77777777" w:rsidR="000D62B0" w:rsidRPr="000D62B0" w:rsidRDefault="000D62B0" w:rsidP="000D62B0">
      <w:pPr>
        <w:widowControl/>
        <w:jc w:val="both"/>
        <w:rPr>
          <w:rFonts w:ascii="Times New Roman" w:eastAsia="Lucida Sans" w:hAnsi="Times New Roman" w:cs="Times New Roman"/>
          <w:noProof/>
          <w:sz w:val="24"/>
          <w:szCs w:val="24"/>
        </w:rPr>
      </w:pPr>
    </w:p>
    <w:p w14:paraId="1C0C8CA2" w14:textId="77777777" w:rsidR="000D62B0" w:rsidRPr="000D62B0" w:rsidRDefault="000D62B0" w:rsidP="000D62B0">
      <w:pPr>
        <w:widowControl/>
        <w:jc w:val="both"/>
        <w:rPr>
          <w:rFonts w:ascii="Times New Roman" w:eastAsia="Lucida Sans" w:hAnsi="Times New Roman" w:cs="Times New Roman"/>
          <w:noProof/>
          <w:sz w:val="24"/>
          <w:szCs w:val="24"/>
        </w:rPr>
      </w:pPr>
    </w:p>
    <w:p w14:paraId="287BEB4F" w14:textId="617AA143" w:rsidR="000D62B0" w:rsidRPr="000D62B0" w:rsidRDefault="000D62B0" w:rsidP="00891BBE">
      <w:pPr>
        <w:pStyle w:val="Heading1"/>
        <w:keepNext/>
        <w:widowControl/>
        <w:tabs>
          <w:tab w:val="left" w:pos="521"/>
        </w:tabs>
        <w:spacing w:before="0"/>
        <w:ind w:left="0" w:firstLine="0"/>
        <w:jc w:val="both"/>
        <w:rPr>
          <w:rFonts w:ascii="Times New Roman" w:hAnsi="Times New Roman" w:cs="Times New Roman"/>
          <w:noProof/>
          <w:color w:val="034EA2"/>
        </w:rPr>
      </w:pPr>
      <w:r>
        <w:rPr>
          <w:rFonts w:ascii="Times New Roman" w:hAnsi="Times New Roman"/>
          <w:color w:val="034EA2"/>
        </w:rPr>
        <w:lastRenderedPageBreak/>
        <w:t>3. LABĀKA REGULĒJUMA, LABĀKA FINANSĒJUMA UN POLITIKAS SASKAŅOTĪBAS SASNIEGŠANA</w:t>
      </w:r>
    </w:p>
    <w:p w14:paraId="34FF01FA" w14:textId="77777777" w:rsidR="000D62B0" w:rsidRPr="000D62B0" w:rsidRDefault="000D62B0" w:rsidP="00891BBE">
      <w:pPr>
        <w:keepNext/>
        <w:widowControl/>
        <w:jc w:val="both"/>
        <w:rPr>
          <w:rFonts w:ascii="Times New Roman" w:eastAsia="Calibri" w:hAnsi="Times New Roman" w:cs="Times New Roman"/>
          <w:b/>
          <w:bCs/>
          <w:noProof/>
          <w:sz w:val="24"/>
          <w:szCs w:val="24"/>
        </w:rPr>
      </w:pPr>
    </w:p>
    <w:p w14:paraId="35FBAA37" w14:textId="3C3F83FA"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ministri, atzīstam</w:t>
      </w:r>
      <w:r>
        <w:rPr>
          <w:rFonts w:ascii="Times New Roman" w:hAnsi="Times New Roman"/>
          <w:color w:val="231F20"/>
        </w:rPr>
        <w:t>, ka ES pilsētprogrammas partnerības ir sniegušas noderīgas atziņas par vājajām vietām un izaicinājumiem, kas saistīti ar ES politikas un tiesību aktu īstenošanu. Vienlaikus ES pilsētprogrammas novērtējumā ir konstatēts, ka salīdzinoši maz darbību ir vērstas uz labāku regulējumu vai labāku finansējumu. Līdz ar to šiem virzieniem nepieciešama mērķtiecīgāka pieeja. To turpmākai īstenošanai jābūt cieši saistītai ar ES politikas veidošanas un finansēšanas cikliem, kā arī pašreizējām institūcijām un procesiem.</w:t>
      </w:r>
    </w:p>
    <w:p w14:paraId="12BDC405" w14:textId="77777777" w:rsidR="000D62B0" w:rsidRPr="000D62B0" w:rsidRDefault="000D62B0" w:rsidP="000D62B0">
      <w:pPr>
        <w:widowControl/>
        <w:jc w:val="both"/>
        <w:rPr>
          <w:rFonts w:ascii="Times New Roman" w:hAnsi="Times New Roman" w:cs="Times New Roman"/>
          <w:noProof/>
          <w:color w:val="231F20"/>
        </w:rPr>
      </w:pPr>
    </w:p>
    <w:p w14:paraId="1515A499"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uzsveram,</w:t>
      </w:r>
      <w:r>
        <w:rPr>
          <w:rFonts w:ascii="Times New Roman" w:hAnsi="Times New Roman"/>
          <w:color w:val="231F20"/>
        </w:rPr>
        <w:t xml:space="preserve"> ka pastāvīgas juridiskās un procesuālās zināšanas ir izšķirošas, un tām jābūt pieejamām partnerībām, lai nodrošinātu efektīvas un savlaicīgas darbības. Šīs zināšanas ir nepieciešamas, lai izveidotu ciešu saikni ar Labāka regulējuma programmu, tostarp platformu “Gatavi nākotnei”.</w:t>
      </w:r>
    </w:p>
    <w:p w14:paraId="7A583E92" w14:textId="77777777" w:rsidR="000D62B0" w:rsidRPr="000D62B0" w:rsidRDefault="000D62B0" w:rsidP="000D62B0">
      <w:pPr>
        <w:widowControl/>
        <w:jc w:val="both"/>
        <w:rPr>
          <w:rFonts w:ascii="Times New Roman" w:hAnsi="Times New Roman" w:cs="Times New Roman"/>
          <w:noProof/>
          <w:color w:val="231F20"/>
        </w:rPr>
      </w:pPr>
    </w:p>
    <w:p w14:paraId="266561B3" w14:textId="6454DF62"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Tāpēc mēs iesakām</w:t>
      </w:r>
      <w:r>
        <w:rPr>
          <w:rFonts w:ascii="Times New Roman" w:hAnsi="Times New Roman"/>
          <w:color w:val="231F20"/>
        </w:rPr>
        <w:t xml:space="preserve"> ES pilsētprogrammas labāka regulējuma daļu saistīt ar gada darba programmu un attiecīgā gadījumā apsvērt tās saistīšanu ar platformas “Gatavi nākotnei” reglamentu. Turklāt turpmākajai ES pilsētprogrammai un tās īstenošanas instrumentiem cita starpā ir nepārtraukti jābūt piekļuvei tādiem pakalpojumiem kā juridiskas konsultācijas, lai veicinātu tādas likumdošanas darbības un ieteikumus, kas tieši dod labumu ES pilsētām un reģioniem.</w:t>
      </w:r>
    </w:p>
    <w:p w14:paraId="1A61D0D8" w14:textId="77777777" w:rsidR="000D62B0" w:rsidRPr="000D62B0" w:rsidRDefault="000D62B0" w:rsidP="000D62B0">
      <w:pPr>
        <w:widowControl/>
        <w:jc w:val="both"/>
        <w:rPr>
          <w:rFonts w:ascii="Times New Roman" w:hAnsi="Times New Roman" w:cs="Times New Roman"/>
          <w:noProof/>
          <w:color w:val="231F20"/>
        </w:rPr>
      </w:pPr>
    </w:p>
    <w:p w14:paraId="3595A684" w14:textId="77777777" w:rsidR="000D62B0" w:rsidRPr="000D62B0" w:rsidRDefault="000D62B0" w:rsidP="000D62B0">
      <w:pPr>
        <w:pStyle w:val="BodyText"/>
        <w:widowControl/>
        <w:ind w:left="0"/>
        <w:jc w:val="both"/>
        <w:rPr>
          <w:rFonts w:ascii="Times New Roman" w:hAnsi="Times New Roman" w:cs="Times New Roman"/>
          <w:noProof/>
        </w:rPr>
      </w:pPr>
      <w:r>
        <w:rPr>
          <w:rFonts w:ascii="Times New Roman" w:hAnsi="Times New Roman"/>
          <w:b/>
          <w:bCs/>
          <w:color w:val="231F20"/>
        </w:rPr>
        <w:t>Mēs apņemamies</w:t>
      </w:r>
      <w:r>
        <w:rPr>
          <w:rFonts w:ascii="Times New Roman" w:hAnsi="Times New Roman"/>
          <w:color w:val="231F20"/>
        </w:rPr>
        <w:t xml:space="preserve"> pienācīgi apsvērt darbības un ieteikumus, kas izriet no ES pilsētprogrammas.</w:t>
      </w:r>
    </w:p>
    <w:p w14:paraId="4921EAB2" w14:textId="77777777" w:rsidR="000D62B0" w:rsidRPr="000D62B0" w:rsidRDefault="000D62B0" w:rsidP="000D62B0">
      <w:pPr>
        <w:widowControl/>
        <w:jc w:val="both"/>
        <w:rPr>
          <w:rFonts w:ascii="Times New Roman" w:eastAsia="Lucida Sans" w:hAnsi="Times New Roman" w:cs="Times New Roman"/>
          <w:noProof/>
          <w:sz w:val="24"/>
          <w:szCs w:val="24"/>
        </w:rPr>
      </w:pPr>
    </w:p>
    <w:p w14:paraId="35359937" w14:textId="77777777" w:rsidR="000D62B0" w:rsidRPr="000D62B0" w:rsidRDefault="000D62B0" w:rsidP="000D62B0">
      <w:pPr>
        <w:widowControl/>
        <w:jc w:val="both"/>
        <w:rPr>
          <w:rFonts w:ascii="Times New Roman" w:eastAsia="Lucida Sans" w:hAnsi="Times New Roman" w:cs="Times New Roman"/>
          <w:noProof/>
          <w:sz w:val="24"/>
          <w:szCs w:val="24"/>
        </w:rPr>
      </w:pPr>
    </w:p>
    <w:p w14:paraId="644391B2" w14:textId="2AFA46D8" w:rsidR="000D62B0" w:rsidRPr="000D62B0" w:rsidRDefault="006D7E33" w:rsidP="006D7E33">
      <w:pPr>
        <w:pStyle w:val="Heading1"/>
        <w:widowControl/>
        <w:tabs>
          <w:tab w:val="left" w:pos="521"/>
        </w:tabs>
        <w:spacing w:before="0"/>
        <w:ind w:left="0" w:firstLine="0"/>
        <w:jc w:val="both"/>
        <w:rPr>
          <w:rFonts w:ascii="Times New Roman" w:hAnsi="Times New Roman" w:cs="Times New Roman"/>
          <w:noProof/>
          <w:color w:val="034EA2"/>
        </w:rPr>
      </w:pPr>
      <w:r>
        <w:rPr>
          <w:rFonts w:ascii="Times New Roman" w:hAnsi="Times New Roman"/>
          <w:color w:val="034EA2"/>
        </w:rPr>
        <w:t>4. LABĀKU ZINĀŠANU UN CIEŠĀKAS KOMUNIKĀCIJAS NODROŠINĀŠANA</w:t>
      </w:r>
    </w:p>
    <w:p w14:paraId="0F3934C8" w14:textId="77777777" w:rsidR="000D62B0" w:rsidRPr="000D62B0" w:rsidRDefault="000D62B0" w:rsidP="000D62B0">
      <w:pPr>
        <w:widowControl/>
        <w:jc w:val="both"/>
        <w:rPr>
          <w:rFonts w:ascii="Times New Roman" w:eastAsia="Calibri" w:hAnsi="Times New Roman" w:cs="Times New Roman"/>
          <w:b/>
          <w:bCs/>
          <w:noProof/>
          <w:sz w:val="24"/>
          <w:szCs w:val="24"/>
        </w:rPr>
      </w:pPr>
    </w:p>
    <w:p w14:paraId="20AA8B57" w14:textId="44828F98"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ES pilsētprogrammas novērtējums atklāja nepieciešamību uzlabot iekšējo komunikāciju starp galvenajiem dalībniekiem. Lai nodrošinātu lielāku pārredzamību, atbildību un labāku informācijas plūsmu it īpaši saistībā ar darbību īstenošanu, ir jāstiprina horizontālais un vertikālais dialogs pilsētu politikas jomā.</w:t>
      </w:r>
    </w:p>
    <w:p w14:paraId="49B0424D" w14:textId="77777777" w:rsidR="000D62B0" w:rsidRPr="000D62B0" w:rsidRDefault="000D62B0" w:rsidP="000D62B0">
      <w:pPr>
        <w:widowControl/>
        <w:jc w:val="both"/>
        <w:rPr>
          <w:rFonts w:ascii="Times New Roman" w:eastAsia="Lucida Sans" w:hAnsi="Times New Roman" w:cs="Times New Roman"/>
          <w:noProof/>
          <w:sz w:val="24"/>
          <w:szCs w:val="24"/>
        </w:rPr>
      </w:pPr>
    </w:p>
    <w:p w14:paraId="089BD0D8" w14:textId="223ABB42"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ministri, vēršam uzmanību</w:t>
      </w:r>
      <w:r>
        <w:rPr>
          <w:rFonts w:ascii="Times New Roman" w:hAnsi="Times New Roman"/>
          <w:color w:val="231F20"/>
        </w:rPr>
        <w:t xml:space="preserve"> uz to, ka jātiecas sasniegt abus labāku zināšanu virziena elementus – gan zināšanu pamatu, gan zināšanu apmaiņu –, piemērojot diferencētu un mērķtiecīgu pieeju. Tādējādi partnerībām jāspēj izmantot pašreizējās atbalsta struktūras un iesaistīt attiecīgos partnerus. Attiecībā uz zināšanu bāzi, Komisijas ģenerāldirektorātos tās pirmām kārtām ir zināšanu politikas nodaļas, Komisijas Kopīgais pētniecības centrs, “Eurostat”, </w:t>
      </w:r>
      <w:r>
        <w:rPr>
          <w:rFonts w:ascii="Times New Roman" w:hAnsi="Times New Roman"/>
          <w:i/>
          <w:iCs/>
          <w:color w:val="231F20"/>
        </w:rPr>
        <w:t>ESPON</w:t>
      </w:r>
      <w:r>
        <w:rPr>
          <w:rFonts w:ascii="Times New Roman" w:hAnsi="Times New Roman"/>
          <w:color w:val="231F20"/>
        </w:rPr>
        <w:t xml:space="preserve">, KPI “Pilsētu Eiropa”, “Apvārsnis Eiropa”, </w:t>
      </w:r>
      <w:r>
        <w:rPr>
          <w:rFonts w:ascii="Times New Roman" w:hAnsi="Times New Roman"/>
          <w:i/>
          <w:iCs/>
          <w:color w:val="231F20"/>
        </w:rPr>
        <w:t>EUKN</w:t>
      </w:r>
      <w:r>
        <w:rPr>
          <w:rFonts w:ascii="Times New Roman" w:hAnsi="Times New Roman"/>
          <w:color w:val="231F20"/>
        </w:rPr>
        <w:t xml:space="preserve"> un citas zināšanu programmas un tīkli. Zināšanu apmaiņa, kā arī spēju un zināšanu veidošana būtu jāatbalsta kohēzijas politikas programmām un iniciatīvām, it īpaši Eiropas pilsētu iniciatīvai un </w:t>
      </w:r>
      <w:r>
        <w:rPr>
          <w:rFonts w:ascii="Times New Roman" w:hAnsi="Times New Roman"/>
          <w:i/>
          <w:iCs/>
          <w:color w:val="231F20"/>
        </w:rPr>
        <w:t>URBACT</w:t>
      </w:r>
      <w:r>
        <w:rPr>
          <w:rFonts w:ascii="Times New Roman" w:hAnsi="Times New Roman"/>
          <w:color w:val="231F20"/>
        </w:rPr>
        <w:t xml:space="preserve"> programmai. Kopumā daudzveidīgās pētniecības un inovācijas darbības, kas atbalsta sadarbību zinātnes un politikas jomā, piedāvā lielu potenciālu, un tās jāņem vērā turpmākajā ES pilsētprogrammas gaitā. Izplatīšanai un izmantošanai var papildus būt noderīga ieinteresēto pušu iesaistīšana gan no trešām valstīm, gan no starpvaldību organizāciju izveidotajiem satvariem, kas attiecas uz starptautisko sadarbību pilsētu attīstības jomā.</w:t>
      </w:r>
    </w:p>
    <w:p w14:paraId="5CA7A278" w14:textId="77777777" w:rsidR="000D62B0" w:rsidRPr="000D62B0" w:rsidRDefault="000D62B0" w:rsidP="000D62B0">
      <w:pPr>
        <w:widowControl/>
        <w:jc w:val="both"/>
        <w:rPr>
          <w:rFonts w:ascii="Times New Roman" w:eastAsia="Lucida Sans" w:hAnsi="Times New Roman" w:cs="Times New Roman"/>
          <w:noProof/>
          <w:sz w:val="24"/>
          <w:szCs w:val="24"/>
        </w:rPr>
      </w:pPr>
    </w:p>
    <w:p w14:paraId="2610B1AF" w14:textId="422E99C9"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 xml:space="preserve">Mēs atzīstam </w:t>
      </w:r>
      <w:r>
        <w:rPr>
          <w:rFonts w:ascii="Times New Roman" w:hAnsi="Times New Roman"/>
          <w:color w:val="231F20"/>
        </w:rPr>
        <w:t xml:space="preserve">nepieciešamību ciešāk stratēģiski pielīdzināt Teritoriālās attīstības programmu 2030. gadam, kohēzijas politikas pilsētu dimensiju, valstu pilsētu politikas satvaru un ES </w:t>
      </w:r>
      <w:r>
        <w:rPr>
          <w:rFonts w:ascii="Times New Roman" w:hAnsi="Times New Roman"/>
          <w:color w:val="231F20"/>
        </w:rPr>
        <w:lastRenderedPageBreak/>
        <w:t>pilsētprogrammu. No ES pilsētprogrammas rezultātiem vietējā un reģionālajā līmenī jāgūst labums plašākam pilsētu un ieinteresēto pušu lokam.</w:t>
      </w:r>
    </w:p>
    <w:p w14:paraId="697D431D" w14:textId="77777777" w:rsidR="000D62B0" w:rsidRPr="000D62B0" w:rsidRDefault="000D62B0" w:rsidP="000D62B0">
      <w:pPr>
        <w:widowControl/>
        <w:jc w:val="both"/>
        <w:rPr>
          <w:rFonts w:ascii="Times New Roman" w:hAnsi="Times New Roman" w:cs="Times New Roman"/>
          <w:noProof/>
          <w:color w:val="231F20"/>
        </w:rPr>
      </w:pPr>
    </w:p>
    <w:p w14:paraId="0584A6C0" w14:textId="7701CC99"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Tāpēc mēs uzskatām,</w:t>
      </w:r>
      <w:r>
        <w:rPr>
          <w:rFonts w:ascii="Times New Roman" w:hAnsi="Times New Roman"/>
          <w:color w:val="231F20"/>
        </w:rPr>
        <w:t xml:space="preserve"> ka valstu kontaktpunktiem ir izšķirošā loma attiecīgās izmantošanas, saziņas un izplatīšanas darbību atbalstīšanā. Līdz ar to jāaizsargā subsidiaritātes un proporcionalitātes principi un jāizvairās no struktūru dublēšanās.</w:t>
      </w:r>
    </w:p>
    <w:p w14:paraId="4CFDC6DA" w14:textId="77777777" w:rsidR="000D62B0" w:rsidRPr="000D62B0" w:rsidRDefault="000D62B0" w:rsidP="000D62B0">
      <w:pPr>
        <w:widowControl/>
        <w:jc w:val="both"/>
        <w:rPr>
          <w:rFonts w:ascii="Times New Roman" w:hAnsi="Times New Roman" w:cs="Times New Roman"/>
          <w:noProof/>
          <w:color w:val="231F20"/>
        </w:rPr>
      </w:pPr>
    </w:p>
    <w:p w14:paraId="3EC26E64" w14:textId="77777777" w:rsidR="000D62B0" w:rsidRPr="000D62B0" w:rsidRDefault="000D62B0" w:rsidP="000D62B0">
      <w:pPr>
        <w:widowControl/>
        <w:jc w:val="both"/>
        <w:rPr>
          <w:rFonts w:ascii="Times New Roman" w:hAnsi="Times New Roman" w:cs="Times New Roman"/>
          <w:noProof/>
          <w:color w:val="231F20"/>
        </w:rPr>
      </w:pPr>
    </w:p>
    <w:p w14:paraId="4411B9F6" w14:textId="213CB96F" w:rsidR="000D62B0" w:rsidRPr="000D62B0" w:rsidRDefault="006D7E33" w:rsidP="006D7E33">
      <w:pPr>
        <w:pStyle w:val="Heading1"/>
        <w:widowControl/>
        <w:tabs>
          <w:tab w:val="left" w:pos="521"/>
        </w:tabs>
        <w:spacing w:before="0"/>
        <w:ind w:left="0" w:firstLine="0"/>
        <w:jc w:val="both"/>
        <w:rPr>
          <w:rFonts w:ascii="Times New Roman" w:hAnsi="Times New Roman" w:cs="Times New Roman"/>
          <w:noProof/>
          <w:color w:val="034EA2"/>
        </w:rPr>
      </w:pPr>
      <w:r>
        <w:rPr>
          <w:rFonts w:ascii="Times New Roman" w:hAnsi="Times New Roman"/>
          <w:color w:val="034EA2"/>
        </w:rPr>
        <w:t>5. ES PILSĒTPROGRAMMAS PĀRVALDĪŠANA AR EFEKTĪVĀM LĒMUMU PIEŅEMŠANAS ATBALSTA STRUKTŪRĀM</w:t>
      </w:r>
    </w:p>
    <w:p w14:paraId="7717DEB7" w14:textId="77777777" w:rsidR="000D62B0" w:rsidRPr="000D62B0" w:rsidRDefault="000D62B0" w:rsidP="000D62B0">
      <w:pPr>
        <w:widowControl/>
        <w:jc w:val="both"/>
        <w:rPr>
          <w:rFonts w:ascii="Times New Roman" w:eastAsia="Calibri" w:hAnsi="Times New Roman" w:cs="Times New Roman"/>
          <w:b/>
          <w:bCs/>
          <w:noProof/>
          <w:sz w:val="24"/>
          <w:szCs w:val="24"/>
        </w:rPr>
      </w:pPr>
    </w:p>
    <w:p w14:paraId="69C81634" w14:textId="44CA116C"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Mēs, ministri, apstiprinām,</w:t>
      </w:r>
      <w:r>
        <w:rPr>
          <w:rFonts w:ascii="Times New Roman" w:hAnsi="Times New Roman"/>
          <w:color w:val="231F20"/>
        </w:rPr>
        <w:t xml:space="preserve"> ka ES pilsētprogramma ir panākusi ievērojamu progresu, stiprinot pilsētu dimensiju un izveidojot kopīgu pamatu pilsētu politikas iniciatīvām. ES pilsētprogrammas novērtējumā nepārprotami norādīts, ka tās sasniegumi ir saistīti ar ciešāku sadarbību starp pašvaldību un reģionālajām iestādēm, dalībvalstīm un Eiropas Komisiju un ciešā partnerībā ar citām attiecīgajām Eiropas iestādēm un ieinteresētajām pusēm. Tomēr novērtējumā arī teikts, ka ES pilsētprogrammai trūkst efektīvas pārvaldības mehānisma un ka lielāka uzmanība jāpievērš ieinteresēto pušu iesaistīšanai, kā arī darbību īstenošanai.</w:t>
      </w:r>
    </w:p>
    <w:p w14:paraId="3C08AF51" w14:textId="77777777" w:rsidR="000D62B0" w:rsidRPr="000D62B0" w:rsidRDefault="000D62B0" w:rsidP="000D62B0">
      <w:pPr>
        <w:widowControl/>
        <w:jc w:val="both"/>
        <w:rPr>
          <w:rFonts w:ascii="Times New Roman" w:hAnsi="Times New Roman" w:cs="Times New Roman"/>
          <w:noProof/>
          <w:color w:val="231F20"/>
        </w:rPr>
      </w:pPr>
    </w:p>
    <w:p w14:paraId="343A9BE1" w14:textId="77777777" w:rsidR="000D62B0" w:rsidRPr="000D62B0" w:rsidRDefault="000D62B0" w:rsidP="000D62B0">
      <w:pPr>
        <w:pStyle w:val="BodyText"/>
        <w:widowControl/>
        <w:ind w:left="0"/>
        <w:jc w:val="both"/>
        <w:rPr>
          <w:rFonts w:ascii="Times New Roman" w:hAnsi="Times New Roman" w:cs="Times New Roman"/>
          <w:noProof/>
        </w:rPr>
      </w:pPr>
      <w:r>
        <w:rPr>
          <w:rFonts w:ascii="Times New Roman" w:hAnsi="Times New Roman"/>
          <w:b/>
          <w:bCs/>
          <w:color w:val="231F20"/>
        </w:rPr>
        <w:t>Mēs atzīstam,</w:t>
      </w:r>
      <w:r>
        <w:rPr>
          <w:rFonts w:ascii="Times New Roman" w:hAnsi="Times New Roman"/>
          <w:color w:val="231F20"/>
        </w:rPr>
        <w:t xml:space="preserve"> ka dalībvalstīm ir galvenā loma šo trūkumu novēršanā, lai nākotnē īstenotu daudz efektīvāku ES pilsētprogrammu.</w:t>
      </w:r>
    </w:p>
    <w:p w14:paraId="477ADE54" w14:textId="77777777" w:rsidR="000D62B0" w:rsidRPr="000D62B0" w:rsidRDefault="000D62B0" w:rsidP="000D62B0">
      <w:pPr>
        <w:widowControl/>
        <w:jc w:val="both"/>
        <w:rPr>
          <w:rFonts w:ascii="Times New Roman" w:eastAsia="Lucida Sans" w:hAnsi="Times New Roman" w:cs="Times New Roman"/>
          <w:noProof/>
          <w:sz w:val="24"/>
          <w:szCs w:val="24"/>
        </w:rPr>
      </w:pPr>
    </w:p>
    <w:p w14:paraId="4FB02351"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Ministru pieņemtās Rīgas deklarācijas garā virzoties uz ES pilsētprogrammu, mēs atzīstam, ka starpvaldību sadarbības struktūras pilsētu jautājumos ir piemērota platforma, kur visas attiecīgās ieinteresētās puses nākotnē varēs kopīgi apspriest un pārvaldīt ES pilsētprogrammu.</w:t>
      </w:r>
    </w:p>
    <w:p w14:paraId="3347BC5C" w14:textId="77777777" w:rsidR="000D62B0" w:rsidRPr="000D62B0" w:rsidRDefault="000D62B0" w:rsidP="000D62B0">
      <w:pPr>
        <w:widowControl/>
        <w:jc w:val="both"/>
        <w:rPr>
          <w:rFonts w:ascii="Times New Roman" w:eastAsia="Lucida Sans" w:hAnsi="Times New Roman" w:cs="Times New Roman"/>
          <w:noProof/>
          <w:sz w:val="24"/>
          <w:szCs w:val="24"/>
        </w:rPr>
      </w:pPr>
    </w:p>
    <w:p w14:paraId="03A6B6D5" w14:textId="0E068453"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Ģenerāldirektoru sanāksme pilsētpolitikas jautājumos (</w:t>
      </w:r>
      <w:r>
        <w:rPr>
          <w:rFonts w:ascii="Times New Roman" w:hAnsi="Times New Roman"/>
          <w:i/>
          <w:iCs/>
          <w:color w:val="231F20"/>
        </w:rPr>
        <w:t>DGUM</w:t>
      </w:r>
      <w:r>
        <w:rPr>
          <w:rFonts w:ascii="Times New Roman" w:hAnsi="Times New Roman"/>
          <w:color w:val="231F20"/>
        </w:rPr>
        <w:t xml:space="preserve">) pārstāv centrālo koordinācijas un lēmumu pieņemšanas iestādi ES pilsētprogrammā, ko konsultē un atbalsta Pilsētattīstības grupa (PAG), kā norādīts Amsterdamas paktā. </w:t>
      </w:r>
      <w:r>
        <w:rPr>
          <w:rFonts w:ascii="Times New Roman" w:hAnsi="Times New Roman"/>
          <w:i/>
          <w:iCs/>
          <w:color w:val="231F20"/>
        </w:rPr>
        <w:t>DGUM</w:t>
      </w:r>
      <w:r>
        <w:rPr>
          <w:rFonts w:ascii="Times New Roman" w:hAnsi="Times New Roman"/>
          <w:color w:val="231F20"/>
        </w:rPr>
        <w:t xml:space="preserve"> un PAG turpinās gūt labumu no Pilsētprogrammas tehniskās sagatavošanas grupas (PPTSG) sagatavošanas darba.</w:t>
      </w:r>
    </w:p>
    <w:p w14:paraId="2DC0B211" w14:textId="77777777" w:rsidR="000D62B0" w:rsidRPr="000D62B0" w:rsidRDefault="000D62B0" w:rsidP="000D62B0">
      <w:pPr>
        <w:widowControl/>
        <w:jc w:val="both"/>
        <w:rPr>
          <w:rFonts w:ascii="Times New Roman" w:eastAsia="Lucida Sans" w:hAnsi="Times New Roman" w:cs="Times New Roman"/>
          <w:noProof/>
          <w:sz w:val="24"/>
          <w:szCs w:val="24"/>
        </w:rPr>
      </w:pPr>
    </w:p>
    <w:p w14:paraId="547C01DA" w14:textId="30565DE2"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 xml:space="preserve">Lai nākotnē īstenotu ES pilsētprogrammu, partnerībām būs nepieciešama saziņa, zināšanas, pārvaldība un administratīvais atbalsts, kā arī norādījumi par </w:t>
      </w:r>
      <w:r w:rsidR="00C666BD">
        <w:rPr>
          <w:rFonts w:ascii="Times New Roman" w:hAnsi="Times New Roman"/>
          <w:color w:val="231F20"/>
        </w:rPr>
        <w:t>pārnozaru jautājumiem</w:t>
      </w:r>
      <w:r>
        <w:rPr>
          <w:rFonts w:ascii="Times New Roman" w:hAnsi="Times New Roman"/>
          <w:color w:val="231F20"/>
        </w:rPr>
        <w:t xml:space="preserve"> un ciešāka savstarpēja sadarbība. Dalībvalstis un Eiropas Komisija kopīgi veiks iepriekšējus novērtējumus, sagatavos attiecīgos aicinājumus uz partnerībām, pārraudzīs virzību, kā arī pārredzami izmantos pieredzi un rezultātus. Vienlaikus ir jāatbalsta starpvaldību sadarbība pilsētu jautājumos saskaņā ar prezidentvalstu trijotnes prioritātēm, tādējādi veicinot stratēģisko analīzi un sintēzi, saskaņotību un nepārtrauktību trijotnes programmās un starp tām, sniedzot atbalstu </w:t>
      </w:r>
      <w:r>
        <w:rPr>
          <w:rFonts w:ascii="Times New Roman" w:hAnsi="Times New Roman"/>
          <w:i/>
          <w:iCs/>
          <w:color w:val="231F20"/>
        </w:rPr>
        <w:t>DGUM</w:t>
      </w:r>
      <w:r>
        <w:rPr>
          <w:rFonts w:ascii="Times New Roman" w:hAnsi="Times New Roman"/>
          <w:color w:val="231F20"/>
        </w:rPr>
        <w:t xml:space="preserve"> un PAG, un visbeidzot dalībvalstīs stiprinot pilsētu politiku.</w:t>
      </w:r>
    </w:p>
    <w:p w14:paraId="345FF392" w14:textId="77777777" w:rsidR="000D62B0" w:rsidRPr="000D62B0" w:rsidRDefault="000D62B0" w:rsidP="000D62B0">
      <w:pPr>
        <w:widowControl/>
        <w:jc w:val="both"/>
        <w:rPr>
          <w:rFonts w:ascii="Times New Roman" w:eastAsia="Lucida Sans" w:hAnsi="Times New Roman" w:cs="Times New Roman"/>
          <w:noProof/>
          <w:sz w:val="24"/>
          <w:szCs w:val="24"/>
        </w:rPr>
      </w:pPr>
    </w:p>
    <w:p w14:paraId="600FE6AD"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b/>
          <w:bCs/>
          <w:color w:val="231F20"/>
        </w:rPr>
        <w:t>Tādēļ mēs piekrītam,</w:t>
      </w:r>
      <w:r>
        <w:rPr>
          <w:rFonts w:ascii="Times New Roman" w:hAnsi="Times New Roman"/>
          <w:color w:val="231F20"/>
        </w:rPr>
        <w:t xml:space="preserve"> ka šos uzdevumus vissaskaņotāk un efektīvāk spēs veikt specializēts un pastāvīgs sekretariāts pilsētu jautājumos, kas strādās, lai saskaņā ar Eiropas pilsētu iniciatīvu izveidotu atbilstošu struktūru. Mēs uzskatām, ka tas veicinās ciešāku vispārēju sadarbību un lielāku ietekmi pilsētu mērogā visā Eiropā.</w:t>
      </w:r>
    </w:p>
    <w:p w14:paraId="5D11755B" w14:textId="77777777" w:rsidR="000D62B0" w:rsidRPr="000D62B0" w:rsidRDefault="000D62B0" w:rsidP="000D62B0">
      <w:pPr>
        <w:widowControl/>
        <w:jc w:val="both"/>
        <w:rPr>
          <w:rFonts w:ascii="Times New Roman" w:hAnsi="Times New Roman" w:cs="Times New Roman"/>
          <w:noProof/>
          <w:color w:val="231F20"/>
        </w:rPr>
      </w:pPr>
    </w:p>
    <w:p w14:paraId="23325364" w14:textId="77777777" w:rsidR="000D62B0" w:rsidRPr="000D62B0" w:rsidRDefault="000D62B0" w:rsidP="000D62B0">
      <w:pPr>
        <w:widowControl/>
        <w:jc w:val="both"/>
        <w:rPr>
          <w:rFonts w:ascii="Times New Roman" w:hAnsi="Times New Roman" w:cs="Times New Roman"/>
          <w:noProof/>
          <w:color w:val="231F20"/>
        </w:rPr>
      </w:pPr>
    </w:p>
    <w:p w14:paraId="5CB5FB72" w14:textId="3EEC77E6" w:rsidR="000D62B0" w:rsidRPr="000D62B0" w:rsidRDefault="006D7E33" w:rsidP="00AF5E78">
      <w:pPr>
        <w:keepNext/>
        <w:keepLines/>
        <w:widowControl/>
        <w:tabs>
          <w:tab w:val="left" w:pos="400"/>
          <w:tab w:val="left" w:pos="1020"/>
        </w:tabs>
        <w:jc w:val="both"/>
        <w:rPr>
          <w:rFonts w:ascii="Times New Roman" w:hAnsi="Times New Roman" w:cs="Times New Roman"/>
          <w:b/>
          <w:noProof/>
          <w:color w:val="034EA2"/>
          <w:sz w:val="24"/>
          <w:szCs w:val="24"/>
          <w:u w:val="thick" w:color="034EA2"/>
        </w:rPr>
      </w:pPr>
      <w:r>
        <w:rPr>
          <w:rFonts w:ascii="Times New Roman" w:hAnsi="Times New Roman"/>
          <w:b/>
          <w:color w:val="034EA2"/>
          <w:sz w:val="24"/>
          <w:u w:val="thick" w:color="034EA2"/>
        </w:rPr>
        <w:lastRenderedPageBreak/>
        <w:t>II. SECINĀJUMI</w:t>
      </w:r>
    </w:p>
    <w:p w14:paraId="454716D4" w14:textId="77777777" w:rsidR="006D7E33" w:rsidRDefault="006D7E33" w:rsidP="00AF5E78">
      <w:pPr>
        <w:pStyle w:val="BodyText"/>
        <w:keepNext/>
        <w:keepLines/>
        <w:widowControl/>
        <w:ind w:left="0"/>
        <w:jc w:val="both"/>
        <w:rPr>
          <w:rFonts w:ascii="Times New Roman" w:hAnsi="Times New Roman" w:cs="Times New Roman"/>
          <w:b/>
          <w:noProof/>
          <w:color w:val="231F20"/>
        </w:rPr>
      </w:pPr>
    </w:p>
    <w:p w14:paraId="4C7C2645" w14:textId="15B7B933" w:rsidR="000D62B0" w:rsidRPr="000D62B0" w:rsidRDefault="000D62B0" w:rsidP="00AF5E78">
      <w:pPr>
        <w:pStyle w:val="BodyText"/>
        <w:keepNext/>
        <w:keepLines/>
        <w:widowControl/>
        <w:ind w:left="0"/>
        <w:jc w:val="both"/>
        <w:rPr>
          <w:rFonts w:ascii="Times New Roman" w:hAnsi="Times New Roman" w:cs="Times New Roman"/>
          <w:noProof/>
          <w:color w:val="231F20"/>
        </w:rPr>
      </w:pPr>
      <w:r>
        <w:rPr>
          <w:rFonts w:ascii="Times New Roman" w:hAnsi="Times New Roman"/>
          <w:b/>
          <w:bCs/>
          <w:color w:val="231F20"/>
        </w:rPr>
        <w:t>Mēs, par pilsētu jautājumiem atbildīgie ministri,</w:t>
      </w:r>
      <w:r>
        <w:rPr>
          <w:rFonts w:ascii="Times New Roman" w:hAnsi="Times New Roman"/>
          <w:color w:val="231F20"/>
        </w:rPr>
        <w:t xml:space="preserve"> apņemamies ES pilsētprogrammā īstenot Jaunās Leipcigas hartas principus un uzturēt nepārtrauktu daudzlīmeņu pārvaldību un partnerības pieeju. Aicinām visus mūsu partnerus šajā nolūkā ar mums sadarboties atbilstoši savai kompetencei, pienākumiem un iespējām. It īpaši mēs</w:t>
      </w:r>
    </w:p>
    <w:p w14:paraId="51D50772" w14:textId="77777777" w:rsidR="000D62B0" w:rsidRPr="000D62B0" w:rsidRDefault="000D62B0" w:rsidP="000D62B0">
      <w:pPr>
        <w:widowControl/>
        <w:jc w:val="both"/>
        <w:rPr>
          <w:rFonts w:ascii="Times New Roman" w:hAnsi="Times New Roman" w:cs="Times New Roman"/>
          <w:noProof/>
          <w:color w:val="231F20"/>
        </w:rPr>
      </w:pPr>
    </w:p>
    <w:p w14:paraId="748B8D35"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AICINĀM Komisiju:</w:t>
      </w:r>
    </w:p>
    <w:p w14:paraId="28B52091" w14:textId="77777777" w:rsidR="000D62B0" w:rsidRPr="000D62B0" w:rsidRDefault="000D62B0" w:rsidP="000D62B0">
      <w:pPr>
        <w:widowControl/>
        <w:jc w:val="both"/>
        <w:rPr>
          <w:rFonts w:ascii="Times New Roman" w:eastAsia="Lucida Sans" w:hAnsi="Times New Roman" w:cs="Times New Roman"/>
          <w:noProof/>
          <w:sz w:val="24"/>
          <w:szCs w:val="24"/>
        </w:rPr>
      </w:pPr>
    </w:p>
    <w:p w14:paraId="47AF2D52" w14:textId="2DBDD7E4" w:rsidR="000D62B0" w:rsidRPr="000D62B0" w:rsidRDefault="006D7E33" w:rsidP="006D7E33">
      <w:pPr>
        <w:pStyle w:val="BodyText"/>
        <w:widowControl/>
        <w:tabs>
          <w:tab w:val="left" w:pos="1588"/>
        </w:tabs>
        <w:ind w:left="0"/>
        <w:jc w:val="both"/>
        <w:rPr>
          <w:rFonts w:ascii="Times New Roman" w:hAnsi="Times New Roman" w:cs="Times New Roman"/>
          <w:noProof/>
          <w:color w:val="231F20"/>
        </w:rPr>
      </w:pPr>
      <w:r>
        <w:rPr>
          <w:rFonts w:ascii="Times New Roman" w:hAnsi="Times New Roman"/>
          <w:color w:val="231F20"/>
        </w:rPr>
        <w:t>a) turpināt aktīvi piedalīties turpmākajā ES pilsētprogrammas izstrādē un īstenošanā saskaņā ar Jaunajā Leipcigas hartā noteiktajiem stratēģiskajiem principiem un ciešā sadarbībā ar ģenerāldirektoru sanāksmi pilsētpolitikas jautājumos, Pilsētattīstības grupu un visām citām ieinteresētajām pusēm;</w:t>
      </w:r>
    </w:p>
    <w:p w14:paraId="34A1E1A7" w14:textId="77777777" w:rsidR="006D7E33" w:rsidRDefault="006D7E33" w:rsidP="006D7E33">
      <w:pPr>
        <w:pStyle w:val="BodyText"/>
        <w:widowControl/>
        <w:tabs>
          <w:tab w:val="left" w:pos="1588"/>
        </w:tabs>
        <w:ind w:left="0"/>
        <w:jc w:val="both"/>
        <w:rPr>
          <w:rFonts w:ascii="Times New Roman" w:hAnsi="Times New Roman" w:cs="Times New Roman"/>
          <w:noProof/>
          <w:color w:val="231F20"/>
        </w:rPr>
      </w:pPr>
    </w:p>
    <w:p w14:paraId="266A8A0B" w14:textId="6EC729DF" w:rsidR="000D62B0" w:rsidRPr="000D62B0" w:rsidRDefault="006D7E33" w:rsidP="006D7E33">
      <w:pPr>
        <w:pStyle w:val="BodyText"/>
        <w:widowControl/>
        <w:tabs>
          <w:tab w:val="left" w:pos="1588"/>
        </w:tabs>
        <w:ind w:left="0"/>
        <w:jc w:val="both"/>
        <w:rPr>
          <w:rFonts w:ascii="Times New Roman" w:hAnsi="Times New Roman" w:cs="Times New Roman"/>
          <w:noProof/>
          <w:color w:val="231F20"/>
        </w:rPr>
      </w:pPr>
      <w:r>
        <w:rPr>
          <w:rFonts w:ascii="Times New Roman" w:hAnsi="Times New Roman"/>
          <w:color w:val="231F20"/>
        </w:rPr>
        <w:t>b) turpināt sekmēt ES pilsētprogrammas īstenošanu, sniedzot atbalstu Eiropas pilsētu iniciatīvai ciešā sadarbībā ar dalībvalstīm un nodrošinot attiecīgo ģenerāldirektorātu iesaistīšanos šajā procesā;</w:t>
      </w:r>
    </w:p>
    <w:p w14:paraId="79DCE5D2" w14:textId="77777777" w:rsidR="006D7E33" w:rsidRDefault="006D7E33" w:rsidP="006D7E33">
      <w:pPr>
        <w:pStyle w:val="BodyText"/>
        <w:widowControl/>
        <w:tabs>
          <w:tab w:val="left" w:pos="1588"/>
        </w:tabs>
        <w:ind w:left="0"/>
        <w:jc w:val="both"/>
        <w:rPr>
          <w:rFonts w:ascii="Times New Roman" w:hAnsi="Times New Roman" w:cs="Times New Roman"/>
          <w:noProof/>
          <w:color w:val="231F20"/>
        </w:rPr>
      </w:pPr>
    </w:p>
    <w:p w14:paraId="603E8702" w14:textId="5F2E1E02" w:rsidR="000D62B0" w:rsidRPr="000D62B0" w:rsidRDefault="006D7E33" w:rsidP="006D7E33">
      <w:pPr>
        <w:pStyle w:val="BodyText"/>
        <w:widowControl/>
        <w:tabs>
          <w:tab w:val="left" w:pos="1588"/>
        </w:tabs>
        <w:ind w:left="0"/>
        <w:jc w:val="both"/>
        <w:rPr>
          <w:rFonts w:ascii="Times New Roman" w:hAnsi="Times New Roman" w:cs="Times New Roman"/>
          <w:noProof/>
          <w:color w:val="231F20"/>
        </w:rPr>
      </w:pPr>
      <w:r>
        <w:rPr>
          <w:rFonts w:ascii="Times New Roman" w:hAnsi="Times New Roman"/>
          <w:color w:val="231F20"/>
        </w:rPr>
        <w:t>c) nodrošināt ES pilsētprogrammas nepārtrauktību, saskaņotību un koordināciju, nepieciešamības gadījumā atbalstot to darbību un ieteikumu kopuma īstenošanu, kas izriet no pašreizējām un turpmākām tematiskajām partnerībām vai citiem daudzlīmeņu un daudzu ieinteresēto pušu īstenošanas instrumentiem, kas ieviesti saskaņā ar ES pilsētprogrammu;</w:t>
      </w:r>
    </w:p>
    <w:p w14:paraId="07F48EFD" w14:textId="77777777" w:rsidR="006D7E33" w:rsidRDefault="006D7E33" w:rsidP="006D7E33">
      <w:pPr>
        <w:pStyle w:val="BodyText"/>
        <w:widowControl/>
        <w:tabs>
          <w:tab w:val="left" w:pos="1588"/>
        </w:tabs>
        <w:ind w:left="0"/>
        <w:jc w:val="both"/>
        <w:rPr>
          <w:rFonts w:ascii="Times New Roman" w:hAnsi="Times New Roman" w:cs="Times New Roman"/>
          <w:noProof/>
          <w:color w:val="231F20"/>
        </w:rPr>
      </w:pPr>
    </w:p>
    <w:p w14:paraId="747F6C30" w14:textId="5E762014" w:rsidR="000D62B0" w:rsidRPr="000D62B0" w:rsidRDefault="006D7E33" w:rsidP="006D7E33">
      <w:pPr>
        <w:pStyle w:val="BodyText"/>
        <w:widowControl/>
        <w:tabs>
          <w:tab w:val="left" w:pos="1588"/>
        </w:tabs>
        <w:ind w:left="0"/>
        <w:jc w:val="both"/>
        <w:rPr>
          <w:rFonts w:ascii="Times New Roman" w:hAnsi="Times New Roman" w:cs="Times New Roman"/>
          <w:noProof/>
          <w:color w:val="231F20"/>
        </w:rPr>
      </w:pPr>
      <w:r>
        <w:rPr>
          <w:rFonts w:ascii="Times New Roman" w:hAnsi="Times New Roman"/>
          <w:color w:val="231F20"/>
        </w:rPr>
        <w:t>d) turpināt centienus stiprināt to politikas virzienu koordinēšanu un racionalizēšanu, kas ietekmē pilsētu teritorijas, lai veicinātu politikas papildināmību un stiprinātu pilsētu dimensiju tajās, it īpaši attiecībā uz labāku regulējumu, labāku finansējumu un labākām zināšanām;</w:t>
      </w:r>
    </w:p>
    <w:p w14:paraId="0A597321"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57665A4F" w14:textId="117C3FCA"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e) saskaņot tās darbības ES politikas pilsētu dimensijas stiprināšanā ar ES pilsētprogrammu, it īpaši attiecībā uz politiskajām prioritātēm, darba programmu, likumdošanas darbu un plānotajām konsultācijām;</w:t>
      </w:r>
    </w:p>
    <w:p w14:paraId="50061295"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0CA35FB2" w14:textId="5335147E"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f) attiecīgā gadījumā atbilstoši ģenerāldirektoru sanāksmes pilsētpolitikas jautājumos norādījumiem ņemt vērā rezultātus un ieteikumus, ko sasniegušas un izteikušas tematiskās partnerības vai citi daudzlīmeņu un daudzu ieinteresēto pušu īstenošanas instrumenti, kas ieviesti saskaņā ar ES pilsētprogrammu, lai rosinātu iespējamas diskusijas attiecīgajās ekspertu grupās, kad tiek aplūkoti jauni un pašreizēji ES tiesību akti;</w:t>
      </w:r>
    </w:p>
    <w:p w14:paraId="3DE740AE"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729ADEB7" w14:textId="1F5BF37D"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g) nepieciešamības gadījumā ietekmes izvērtējumu ietvaros turpināt pētīt uzlabotus pilsētu un teritoriālo dimensiju novērtējumus;</w:t>
      </w:r>
    </w:p>
    <w:p w14:paraId="7FEA49AD"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3A5F1562" w14:textId="282A1B4B" w:rsidR="000D62B0" w:rsidRPr="006D7E33"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h) Eiropas pilsētu iniciatīvas kontekstā regulāri ziņot par ES pilsētprogrammas īstenošanu un tās rezultātiem;</w:t>
      </w:r>
    </w:p>
    <w:p w14:paraId="65681DF4"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6CC410AA" w14:textId="71DC50B9"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i) nodrošināt ES pilsētprogrammas nepārtrauktu ieguldījumu Jaunās pilsētprogrammas un Ilgtspējīgas attīstības mērķu, it īpaši to pilsētu dimensiju, īstenošanā;</w:t>
      </w:r>
    </w:p>
    <w:p w14:paraId="38C02F36" w14:textId="77777777" w:rsidR="000D62B0" w:rsidRPr="000D62B0" w:rsidRDefault="000D62B0" w:rsidP="000D62B0">
      <w:pPr>
        <w:widowControl/>
        <w:jc w:val="both"/>
        <w:rPr>
          <w:rFonts w:ascii="Times New Roman" w:eastAsia="Lucida Sans" w:hAnsi="Times New Roman" w:cs="Times New Roman"/>
          <w:noProof/>
          <w:sz w:val="24"/>
          <w:szCs w:val="24"/>
        </w:rPr>
      </w:pPr>
    </w:p>
    <w:p w14:paraId="3FE0025C"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AICINĀM dalībvalstis:</w:t>
      </w:r>
    </w:p>
    <w:p w14:paraId="0FC751CD" w14:textId="77777777" w:rsidR="000D62B0" w:rsidRPr="000D62B0" w:rsidRDefault="000D62B0" w:rsidP="000D62B0">
      <w:pPr>
        <w:widowControl/>
        <w:jc w:val="both"/>
        <w:rPr>
          <w:rFonts w:ascii="Times New Roman" w:eastAsia="Lucida Sans" w:hAnsi="Times New Roman" w:cs="Times New Roman"/>
          <w:noProof/>
          <w:sz w:val="24"/>
          <w:szCs w:val="24"/>
        </w:rPr>
      </w:pPr>
    </w:p>
    <w:p w14:paraId="6C99D8CC" w14:textId="41E42D68"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 xml:space="preserve">a) veikt atbilstošus pasākumus un iesaistīt attiecīgās iestādes visos pārvaldes līmeņos turpmākajā ES pilsētprogrammas izstrādē un īstenošanā saskaņā ar Jaunajā Leipcigas hartā </w:t>
      </w:r>
      <w:r>
        <w:rPr>
          <w:rFonts w:ascii="Times New Roman" w:hAnsi="Times New Roman"/>
          <w:color w:val="231F20"/>
        </w:rPr>
        <w:lastRenderedPageBreak/>
        <w:t>izklāstītajiem stratēģiskajiem principiem un atbilstoši attiecīgajām kompetencēm un subsidiaritātes un proporcionalitātes principiem;</w:t>
      </w:r>
    </w:p>
    <w:p w14:paraId="4BBCBA14"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651EF435" w14:textId="6FC97F26"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b) attiecīgā gadījumā atbalstīt to darbību un ieteikumu īstenošanu, kas līdz šim izriet no ES pilsētprogrammas, kā arī no turpmākām tematiskajām partnerībām vai citiem daudzlīmeņu un daudzu pušu īstenošanas instrumentiem, kas ieviesti saskaņā ar ES pilsētprogrammu;</w:t>
      </w:r>
    </w:p>
    <w:p w14:paraId="5226CFDE"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6F8B76E2" w14:textId="6CDBDCA2"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c) attiecīgā gadījumā pēc ģenerāldirektoru sanāksmes pilsētpolitikas jautājumos norādījumiem ņemt vērā rezultātus un ieteikumus, ko sasniegušas un izteikušas tematiskās partnerības vai citi daudzlīmeņu un daudzu ieinteresēto pušu īstenošanas instrumenti, kas ieviesti saskaņā ar ES pilsētprogrammu, lai rosinātu iespējamas diskusijas attiecīgajās Padomes darba grupās, kad tiek aplūkoti jauni un pašreizēji ES tiesību akti;</w:t>
      </w:r>
    </w:p>
    <w:p w14:paraId="1EA7D848"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545CAFF1" w14:textId="24E917F9"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d) ar valsts kontaktpunktu starpniecību sekmēt saikņu starp valstu pilsētu politikas satvariem un ES pilsētprogrammu uzlabošanu, lai atbalstītu attiecīgās izmantošanas, saziņas un izplatīšanas darbības;</w:t>
      </w:r>
    </w:p>
    <w:p w14:paraId="40A823D2"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02D68380" w14:textId="26B152A0"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e) nodrošināt nepārtrauktu ES pilsētprogrammas ieguldījumu Jaunās pilsētprogrammas un Ilgtspējīgas attīstības mērķu, it īpaši to pilsētu dimensiju, īstenošanā;</w:t>
      </w:r>
    </w:p>
    <w:p w14:paraId="02E4F345"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7A7F7BE5" w14:textId="64A5810F"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f) sekmēt augsta līmeņa atbalsta mobilizēšanu ES pilsētprogrammai, lai veicinātu progresu pilsētu jautājumos ES, informēt plašāku auditoriju par ES pilsētprogrammas metodēm un rezultātiem, kā arī iedvesmot stratēģisku un politisku starpnozaru programmu pilsētām un reģioniem;</w:t>
      </w:r>
    </w:p>
    <w:p w14:paraId="0CEC1C54" w14:textId="77777777" w:rsidR="000D62B0" w:rsidRDefault="000D62B0" w:rsidP="000D62B0">
      <w:pPr>
        <w:widowControl/>
        <w:jc w:val="both"/>
        <w:rPr>
          <w:rFonts w:ascii="Times New Roman" w:hAnsi="Times New Roman" w:cs="Times New Roman"/>
          <w:noProof/>
          <w:sz w:val="24"/>
          <w:szCs w:val="24"/>
        </w:rPr>
      </w:pPr>
    </w:p>
    <w:p w14:paraId="117B53E8" w14:textId="5907692D" w:rsidR="000D62B0" w:rsidRDefault="000D62B0" w:rsidP="000D62B0">
      <w:pPr>
        <w:widowControl/>
        <w:jc w:val="both"/>
        <w:rPr>
          <w:rFonts w:ascii="Times New Roman" w:hAnsi="Times New Roman" w:cs="Times New Roman"/>
          <w:noProof/>
          <w:sz w:val="24"/>
          <w:szCs w:val="24"/>
        </w:rPr>
      </w:pPr>
    </w:p>
    <w:p w14:paraId="61821F41"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MUDINĀM pašvaldības un reģionālās iestādes:</w:t>
      </w:r>
    </w:p>
    <w:p w14:paraId="434E98B0" w14:textId="77777777" w:rsidR="000D62B0" w:rsidRPr="000D62B0" w:rsidRDefault="000D62B0" w:rsidP="000D62B0">
      <w:pPr>
        <w:widowControl/>
        <w:jc w:val="both"/>
        <w:rPr>
          <w:rFonts w:ascii="Times New Roman" w:eastAsia="Lucida Sans" w:hAnsi="Times New Roman" w:cs="Times New Roman"/>
          <w:noProof/>
          <w:sz w:val="24"/>
          <w:szCs w:val="24"/>
        </w:rPr>
      </w:pPr>
    </w:p>
    <w:p w14:paraId="394474A0" w14:textId="027B2C28"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a) aktīvi piedalīties ES pilsētprogrammas izstrādē un īstenošanā saskaņā ar Jaunajā Leipcigas hartā izklāstītajiem stratēģiskajiem principiem un atbilstoši to attiecīgajām kompetencēm un subsidiaritātes principam;</w:t>
      </w:r>
    </w:p>
    <w:p w14:paraId="63FFEFC6"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123AEC0E" w14:textId="6CF6DA17"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 xml:space="preserve">b) izmantot savas zināšanas, kas būtiskas ES pilsētprogrammai, kā arī zināšanas, kas ir pilsētu intereses pārstāvošo Eiropas tīkliem, piemēram, Eiropas Pašvaldību un reģionu padomei un </w:t>
      </w:r>
      <w:r>
        <w:rPr>
          <w:rFonts w:ascii="Times New Roman" w:hAnsi="Times New Roman"/>
          <w:i/>
          <w:iCs/>
          <w:color w:val="231F20"/>
        </w:rPr>
        <w:t>EUROCITIES</w:t>
      </w:r>
      <w:r>
        <w:rPr>
          <w:rFonts w:ascii="Times New Roman" w:hAnsi="Times New Roman"/>
          <w:color w:val="231F20"/>
        </w:rPr>
        <w:t>, lai ar speciālām zināšanām piedalītos pašreiz notiekošajā ES likumdošanas un finanšu shēmas ietekmes novērtēšanā vietējā līmenī;</w:t>
      </w:r>
    </w:p>
    <w:p w14:paraId="765249A7"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797E84F6" w14:textId="58783339"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 xml:space="preserve">c) turpināt un stiprināt starppilsētu sadarbību Eiropas līmenī, tostarp, piemēram, izmantojot </w:t>
      </w:r>
      <w:r>
        <w:rPr>
          <w:rFonts w:ascii="Times New Roman" w:hAnsi="Times New Roman"/>
          <w:i/>
          <w:iCs/>
          <w:color w:val="231F20"/>
        </w:rPr>
        <w:t>URBACT</w:t>
      </w:r>
      <w:r>
        <w:rPr>
          <w:rFonts w:ascii="Times New Roman" w:hAnsi="Times New Roman"/>
          <w:color w:val="231F20"/>
        </w:rPr>
        <w:t xml:space="preserve"> programmu, lai atbalstītu zināšanu apmaiņu, spēju attīstīšanu un ieviešanu, kā arī saistībā ar ES pilsētprogrammas darbību;</w:t>
      </w:r>
    </w:p>
    <w:p w14:paraId="39E6E580"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05BFD432" w14:textId="7BE026D7"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d) ES pilsētprogrammas mērķu virzīšanā sadarboties ar citām visu lielumu pašvaldības un reģionālajām iestādēm, privāto sektoru, vietējām kopienām, zināšanu iestādēm un pilsonisko sabiedrību;</w:t>
      </w:r>
    </w:p>
    <w:p w14:paraId="2B3C3B56" w14:textId="77777777" w:rsidR="000D62B0" w:rsidRPr="000D62B0" w:rsidRDefault="000D62B0" w:rsidP="000D62B0">
      <w:pPr>
        <w:widowControl/>
        <w:jc w:val="both"/>
        <w:rPr>
          <w:rFonts w:ascii="Times New Roman" w:eastAsia="Lucida Sans" w:hAnsi="Times New Roman" w:cs="Times New Roman"/>
          <w:noProof/>
          <w:sz w:val="24"/>
          <w:szCs w:val="24"/>
        </w:rPr>
      </w:pPr>
    </w:p>
    <w:p w14:paraId="40BD1C6C"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LŪDZAM Eiropas Parlamentu:</w:t>
      </w:r>
    </w:p>
    <w:p w14:paraId="31F82E55" w14:textId="77777777" w:rsidR="000D62B0" w:rsidRPr="000D62B0" w:rsidRDefault="000D62B0" w:rsidP="000D62B0">
      <w:pPr>
        <w:widowControl/>
        <w:jc w:val="both"/>
        <w:rPr>
          <w:rFonts w:ascii="Times New Roman" w:eastAsia="Lucida Sans" w:hAnsi="Times New Roman" w:cs="Times New Roman"/>
          <w:noProof/>
          <w:sz w:val="24"/>
          <w:szCs w:val="24"/>
        </w:rPr>
      </w:pPr>
    </w:p>
    <w:p w14:paraId="19163737" w14:textId="67CC3E47"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 xml:space="preserve">a) attiecīgā gadījumā atbilstoši ģenerāldirektoru sanāksmes pilsētpolitikas jautājumos norādījumiem ņemt vērā rezultātus un ieteikumus, ko sasniegušas un izteikušas tematiskās partnerības vai citi daudzlīmeņu un daudzu ieinteresēto pušu īstenošanas instrumenti, kas </w:t>
      </w:r>
      <w:r>
        <w:rPr>
          <w:rFonts w:ascii="Times New Roman" w:hAnsi="Times New Roman"/>
          <w:color w:val="231F20"/>
        </w:rPr>
        <w:lastRenderedPageBreak/>
        <w:t>ieviesti saskaņā ar ES pilsētprogrammu, lai rosinātu iespējamas diskusijas attiecīgajās komitejās, kad tiek aplūkoti jauni un pašreizēji ES tiesību akti;</w:t>
      </w:r>
    </w:p>
    <w:p w14:paraId="03587AD2"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045105A3" w14:textId="7C6957FC"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b) izveidot nepārtrauktu saikni starp Apvienoto grupu pilsētu jautājumos un ES pilsētprogrammu;</w:t>
      </w:r>
    </w:p>
    <w:p w14:paraId="3351EAB9" w14:textId="77777777" w:rsidR="000D62B0" w:rsidRPr="000D62B0" w:rsidRDefault="000D62B0" w:rsidP="000D62B0">
      <w:pPr>
        <w:widowControl/>
        <w:jc w:val="both"/>
        <w:rPr>
          <w:rFonts w:ascii="Times New Roman" w:eastAsia="Lucida Sans" w:hAnsi="Times New Roman" w:cs="Times New Roman"/>
          <w:noProof/>
          <w:sz w:val="24"/>
          <w:szCs w:val="24"/>
        </w:rPr>
      </w:pPr>
    </w:p>
    <w:p w14:paraId="68A690FF" w14:textId="450B5FC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AICINĀM Eiropas Reģionu komiteju un Eiropas Ekonomikas un sociālo lietu komiteju:</w:t>
      </w:r>
    </w:p>
    <w:p w14:paraId="59158603" w14:textId="77777777" w:rsidR="000D62B0" w:rsidRPr="000D62B0" w:rsidRDefault="000D62B0" w:rsidP="000D62B0">
      <w:pPr>
        <w:widowControl/>
        <w:jc w:val="both"/>
        <w:rPr>
          <w:rFonts w:ascii="Times New Roman" w:eastAsia="Lucida Sans" w:hAnsi="Times New Roman" w:cs="Times New Roman"/>
          <w:noProof/>
          <w:sz w:val="24"/>
          <w:szCs w:val="24"/>
        </w:rPr>
      </w:pPr>
    </w:p>
    <w:p w14:paraId="29C31934" w14:textId="6AC924B6"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a) atbilstoši savām kompetencēm sniegt ieguldījumu un atbalstu turpmākajai ES pilsētprogrammas izstrādei un īstenošanai saskaņā ar Jaunajā Leipcigas hartā izklāstītajiem stratēģiskajiem principiem;</w:t>
      </w:r>
    </w:p>
    <w:p w14:paraId="79E5DC6A"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3CAA99E3" w14:textId="26778F59"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b) sekmēt labāka regulējuma, labāka finansējuma un labāku zināšanu mērķu sasniegšanu, atbalstot tematiskās partnerības vai citus daudzlīmeņu un daudzu ieinteresēto pušu īstenošanas instrumentus, kas ieviesti saskaņā ar ES pilsētprogrammu, sniedzot juridiskas un procesuālas zināšanas, kā arī veicot izplatīšanas darbības, lai procesā iesaistītu plašāku ieinteresēto pušu loku;</w:t>
      </w:r>
    </w:p>
    <w:p w14:paraId="77DE6391" w14:textId="77777777" w:rsidR="000D62B0" w:rsidRPr="000D62B0" w:rsidRDefault="000D62B0" w:rsidP="000D62B0">
      <w:pPr>
        <w:widowControl/>
        <w:jc w:val="both"/>
        <w:rPr>
          <w:rFonts w:ascii="Times New Roman" w:eastAsia="Lucida Sans" w:hAnsi="Times New Roman" w:cs="Times New Roman"/>
          <w:noProof/>
          <w:sz w:val="24"/>
          <w:szCs w:val="24"/>
        </w:rPr>
      </w:pPr>
    </w:p>
    <w:p w14:paraId="299EA42B" w14:textId="77777777" w:rsidR="000D62B0" w:rsidRPr="000D62B0" w:rsidRDefault="000D62B0" w:rsidP="000D62B0">
      <w:pPr>
        <w:pStyle w:val="BodyText"/>
        <w:widowControl/>
        <w:ind w:left="0"/>
        <w:jc w:val="both"/>
        <w:rPr>
          <w:rFonts w:ascii="Times New Roman" w:hAnsi="Times New Roman" w:cs="Times New Roman"/>
          <w:noProof/>
          <w:color w:val="231F20"/>
        </w:rPr>
      </w:pPr>
      <w:r>
        <w:rPr>
          <w:rFonts w:ascii="Times New Roman" w:hAnsi="Times New Roman"/>
          <w:color w:val="231F20"/>
        </w:rPr>
        <w:t>AICINĀM Eiropas Investīciju banku:</w:t>
      </w:r>
    </w:p>
    <w:p w14:paraId="460CCE14" w14:textId="77777777" w:rsidR="000D62B0" w:rsidRPr="000D62B0" w:rsidRDefault="000D62B0" w:rsidP="000D62B0">
      <w:pPr>
        <w:widowControl/>
        <w:jc w:val="both"/>
        <w:rPr>
          <w:rFonts w:ascii="Times New Roman" w:eastAsia="Lucida Sans" w:hAnsi="Times New Roman" w:cs="Times New Roman"/>
          <w:noProof/>
          <w:sz w:val="24"/>
          <w:szCs w:val="24"/>
        </w:rPr>
      </w:pPr>
    </w:p>
    <w:p w14:paraId="744AA18A" w14:textId="7E491640"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a) sekmēt darbu, ko veic tematiskās partnerības vai citi daudzlīmeņu un daudzu ieinteresēto pušu īstenošanas instrumenti, kas ieviesti saskaņā ar ES pilsētprogrammu, it īpaši attiecībā uz labāku finansējumu un labākām zināšanām, kā arī sniedzot kompetenci finanšu jomā;</w:t>
      </w:r>
    </w:p>
    <w:p w14:paraId="595EE1B0"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36BEEA60" w14:textId="5099DAE5"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b) attiecīgā gadījumā atspoguļot Jaunās Leipcigas hartas stratēģiskos principus un ES pilsētprogrammas mērķus pieejā aizdevumu izsniegšanai, subsīdiju un aizdevumu sapludināšanai, kā arī konsultāciju pakalpojumiem saistībā ar pilsētām, ņemot vērā nepieciešamību atbalstīt ilgtspējīgas pilsētu un reģionu attīstības stratēģijas;</w:t>
      </w:r>
    </w:p>
    <w:p w14:paraId="026D3545"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553224CA" w14:textId="15CBBA9B"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c) attīstīt finanšu instrumentus un finansēšanas pieejas Jaunās Leipcigas hartas stratēģisko principu atbalstam, sadarbojoties ar citām starptautiskām finanšu iestādēm un attīstību veicinošām bankām;</w:t>
      </w:r>
    </w:p>
    <w:p w14:paraId="2C61DF8A" w14:textId="77777777" w:rsidR="006D7E33" w:rsidRDefault="006D7E33" w:rsidP="006D7E33">
      <w:pPr>
        <w:pStyle w:val="BodyText"/>
        <w:widowControl/>
        <w:tabs>
          <w:tab w:val="left" w:pos="668"/>
        </w:tabs>
        <w:ind w:left="0"/>
        <w:jc w:val="both"/>
        <w:rPr>
          <w:rFonts w:ascii="Times New Roman" w:hAnsi="Times New Roman" w:cs="Times New Roman"/>
          <w:noProof/>
          <w:color w:val="231F20"/>
        </w:rPr>
      </w:pPr>
    </w:p>
    <w:p w14:paraId="7FBA30E5" w14:textId="52F2F9BF" w:rsidR="000D62B0" w:rsidRPr="000D62B0" w:rsidRDefault="006D7E33" w:rsidP="006D7E33">
      <w:pPr>
        <w:pStyle w:val="BodyText"/>
        <w:widowControl/>
        <w:tabs>
          <w:tab w:val="left" w:pos="668"/>
        </w:tabs>
        <w:ind w:left="0"/>
        <w:jc w:val="both"/>
        <w:rPr>
          <w:rFonts w:ascii="Times New Roman" w:hAnsi="Times New Roman" w:cs="Times New Roman"/>
          <w:noProof/>
          <w:color w:val="231F20"/>
        </w:rPr>
      </w:pPr>
      <w:r>
        <w:rPr>
          <w:rFonts w:ascii="Times New Roman" w:hAnsi="Times New Roman"/>
          <w:color w:val="231F20"/>
        </w:rPr>
        <w:t>d) sadarboties ar pilsētās ieinteresētām pusēm, lai izstrādātu un ieviestu novatoriskus aprites uzņēmējdarbības modeļus, kas nepieciešami, lai pilsētas padarītu par klimatneitrālām, sociāli ilgtspējīgām un produktīvām.</w:t>
      </w:r>
    </w:p>
    <w:p w14:paraId="5BE166E3" w14:textId="77777777" w:rsidR="000D62B0" w:rsidRDefault="000D62B0" w:rsidP="000D62B0">
      <w:pPr>
        <w:widowControl/>
        <w:jc w:val="both"/>
        <w:rPr>
          <w:rFonts w:ascii="Times New Roman" w:hAnsi="Times New Roman" w:cs="Times New Roman"/>
          <w:noProof/>
          <w:sz w:val="24"/>
          <w:szCs w:val="24"/>
        </w:rPr>
      </w:pPr>
    </w:p>
    <w:p w14:paraId="10D80718" w14:textId="22522543" w:rsidR="000D62B0" w:rsidRDefault="000D62B0" w:rsidP="000D62B0">
      <w:pPr>
        <w:widowControl/>
        <w:jc w:val="both"/>
        <w:rPr>
          <w:rFonts w:ascii="Times New Roman" w:hAnsi="Times New Roman" w:cs="Times New Roman"/>
          <w:noProof/>
          <w:sz w:val="24"/>
          <w:szCs w:val="24"/>
        </w:rPr>
      </w:pPr>
    </w:p>
    <w:p w14:paraId="57F5E158" w14:textId="77777777" w:rsidR="006D7E33" w:rsidRDefault="006D7E33">
      <w:pPr>
        <w:rPr>
          <w:rFonts w:ascii="Times New Roman" w:eastAsia="Lucida Sans" w:hAnsi="Times New Roman" w:cs="Times New Roman"/>
          <w:noProof/>
          <w:sz w:val="24"/>
          <w:szCs w:val="24"/>
        </w:rPr>
      </w:pPr>
      <w:r>
        <w:br w:type="page"/>
      </w:r>
    </w:p>
    <w:p w14:paraId="74B5A43E" w14:textId="688FF98E" w:rsidR="000D62B0" w:rsidRDefault="000D62B0" w:rsidP="00AF5E78">
      <w:pPr>
        <w:widowControl/>
        <w:rPr>
          <w:rFonts w:ascii="Times New Roman" w:eastAsia="Lucida Sans" w:hAnsi="Times New Roman" w:cs="Times New Roman"/>
          <w:noProof/>
          <w:sz w:val="24"/>
          <w:szCs w:val="24"/>
        </w:rPr>
      </w:pPr>
    </w:p>
    <w:p w14:paraId="7665A183" w14:textId="33F21221" w:rsidR="00380D04" w:rsidRDefault="00380D04" w:rsidP="00AF5E78">
      <w:pPr>
        <w:widowControl/>
        <w:rPr>
          <w:rFonts w:ascii="Times New Roman" w:eastAsia="Lucida Sans" w:hAnsi="Times New Roman" w:cs="Times New Roman"/>
          <w:noProof/>
          <w:sz w:val="24"/>
          <w:szCs w:val="24"/>
        </w:rPr>
      </w:pPr>
    </w:p>
    <w:p w14:paraId="68AE596C" w14:textId="03A9717C" w:rsidR="00380D04" w:rsidRDefault="00380D04" w:rsidP="00AF5E78">
      <w:pPr>
        <w:widowControl/>
        <w:rPr>
          <w:rFonts w:ascii="Times New Roman" w:eastAsia="Lucida Sans" w:hAnsi="Times New Roman" w:cs="Times New Roman"/>
          <w:noProof/>
          <w:sz w:val="24"/>
          <w:szCs w:val="24"/>
        </w:rPr>
      </w:pPr>
    </w:p>
    <w:p w14:paraId="16734F15" w14:textId="60AD9279" w:rsidR="00380D04" w:rsidRDefault="00380D04" w:rsidP="00AF5E78">
      <w:pPr>
        <w:widowControl/>
        <w:rPr>
          <w:rFonts w:ascii="Times New Roman" w:eastAsia="Lucida Sans" w:hAnsi="Times New Roman" w:cs="Times New Roman"/>
          <w:noProof/>
          <w:sz w:val="24"/>
          <w:szCs w:val="24"/>
        </w:rPr>
      </w:pPr>
    </w:p>
    <w:p w14:paraId="7DD90E7C" w14:textId="0B0DA5C8" w:rsidR="00380D04" w:rsidRDefault="00380D04" w:rsidP="00AF5E78">
      <w:pPr>
        <w:widowControl/>
        <w:rPr>
          <w:rFonts w:ascii="Times New Roman" w:eastAsia="Lucida Sans" w:hAnsi="Times New Roman" w:cs="Times New Roman"/>
          <w:noProof/>
          <w:sz w:val="24"/>
          <w:szCs w:val="24"/>
        </w:rPr>
      </w:pPr>
    </w:p>
    <w:p w14:paraId="259DB184" w14:textId="2DAFCFD9" w:rsidR="00380D04" w:rsidRDefault="00380D04" w:rsidP="00AF5E78">
      <w:pPr>
        <w:widowControl/>
        <w:rPr>
          <w:rFonts w:ascii="Times New Roman" w:eastAsia="Lucida Sans" w:hAnsi="Times New Roman" w:cs="Times New Roman"/>
          <w:noProof/>
          <w:sz w:val="24"/>
          <w:szCs w:val="24"/>
        </w:rPr>
      </w:pPr>
    </w:p>
    <w:p w14:paraId="4CC588D4" w14:textId="511F146A" w:rsidR="00380D04" w:rsidRDefault="00380D04" w:rsidP="00AF5E78">
      <w:pPr>
        <w:widowControl/>
        <w:rPr>
          <w:rFonts w:ascii="Times New Roman" w:eastAsia="Lucida Sans" w:hAnsi="Times New Roman" w:cs="Times New Roman"/>
          <w:noProof/>
          <w:sz w:val="24"/>
          <w:szCs w:val="24"/>
        </w:rPr>
      </w:pPr>
    </w:p>
    <w:p w14:paraId="305F19D3" w14:textId="4B6E7C08" w:rsidR="00380D04" w:rsidRDefault="00380D04" w:rsidP="00AF5E78">
      <w:pPr>
        <w:widowControl/>
        <w:rPr>
          <w:rFonts w:ascii="Times New Roman" w:eastAsia="Lucida Sans" w:hAnsi="Times New Roman" w:cs="Times New Roman"/>
          <w:noProof/>
          <w:sz w:val="24"/>
          <w:szCs w:val="24"/>
        </w:rPr>
      </w:pPr>
    </w:p>
    <w:p w14:paraId="68992A93" w14:textId="57034A47" w:rsidR="00380D04" w:rsidRDefault="00380D04" w:rsidP="00AF5E78">
      <w:pPr>
        <w:widowControl/>
        <w:rPr>
          <w:rFonts w:ascii="Times New Roman" w:eastAsia="Lucida Sans" w:hAnsi="Times New Roman" w:cs="Times New Roman"/>
          <w:noProof/>
          <w:sz w:val="24"/>
          <w:szCs w:val="24"/>
        </w:rPr>
      </w:pPr>
    </w:p>
    <w:p w14:paraId="34456FD1" w14:textId="66DF7F96" w:rsidR="00380D04" w:rsidRDefault="00380D04" w:rsidP="00AF5E78">
      <w:pPr>
        <w:widowControl/>
        <w:rPr>
          <w:rFonts w:ascii="Times New Roman" w:eastAsia="Lucida Sans" w:hAnsi="Times New Roman" w:cs="Times New Roman"/>
          <w:noProof/>
          <w:sz w:val="24"/>
          <w:szCs w:val="24"/>
        </w:rPr>
      </w:pPr>
    </w:p>
    <w:p w14:paraId="272E9574" w14:textId="41285590" w:rsidR="00380D04" w:rsidRDefault="00380D04" w:rsidP="00AF5E78">
      <w:pPr>
        <w:widowControl/>
        <w:rPr>
          <w:rFonts w:ascii="Times New Roman" w:eastAsia="Lucida Sans" w:hAnsi="Times New Roman" w:cs="Times New Roman"/>
          <w:noProof/>
          <w:sz w:val="24"/>
          <w:szCs w:val="24"/>
        </w:rPr>
      </w:pPr>
    </w:p>
    <w:p w14:paraId="436747A9" w14:textId="6C34E9C5" w:rsidR="00380D04" w:rsidRDefault="00380D04" w:rsidP="00AF5E78">
      <w:pPr>
        <w:widowControl/>
        <w:rPr>
          <w:rFonts w:ascii="Times New Roman" w:eastAsia="Lucida Sans" w:hAnsi="Times New Roman" w:cs="Times New Roman"/>
          <w:noProof/>
          <w:sz w:val="24"/>
          <w:szCs w:val="24"/>
        </w:rPr>
      </w:pPr>
    </w:p>
    <w:p w14:paraId="44F9206E" w14:textId="245DEB2A" w:rsidR="00380D04" w:rsidRDefault="00380D04" w:rsidP="00AF5E78">
      <w:pPr>
        <w:widowControl/>
        <w:rPr>
          <w:rFonts w:ascii="Times New Roman" w:eastAsia="Lucida Sans" w:hAnsi="Times New Roman" w:cs="Times New Roman"/>
          <w:noProof/>
          <w:sz w:val="24"/>
          <w:szCs w:val="24"/>
        </w:rPr>
      </w:pPr>
    </w:p>
    <w:p w14:paraId="42135D82" w14:textId="7BF7275A" w:rsidR="00380D04" w:rsidRDefault="00380D04" w:rsidP="00AF5E78">
      <w:pPr>
        <w:widowControl/>
        <w:rPr>
          <w:rFonts w:ascii="Times New Roman" w:eastAsia="Lucida Sans" w:hAnsi="Times New Roman" w:cs="Times New Roman"/>
          <w:noProof/>
          <w:sz w:val="24"/>
          <w:szCs w:val="24"/>
        </w:rPr>
      </w:pPr>
    </w:p>
    <w:p w14:paraId="53ADB3CF" w14:textId="49D7FFD0" w:rsidR="00380D04" w:rsidRDefault="00380D04" w:rsidP="00AF5E78">
      <w:pPr>
        <w:widowControl/>
        <w:rPr>
          <w:rFonts w:ascii="Times New Roman" w:eastAsia="Lucida Sans" w:hAnsi="Times New Roman" w:cs="Times New Roman"/>
          <w:noProof/>
          <w:sz w:val="24"/>
          <w:szCs w:val="24"/>
        </w:rPr>
      </w:pPr>
    </w:p>
    <w:p w14:paraId="7E7DB2D0" w14:textId="3741D71D" w:rsidR="00380D04" w:rsidRDefault="00380D04" w:rsidP="00AF5E78">
      <w:pPr>
        <w:widowControl/>
        <w:rPr>
          <w:rFonts w:ascii="Times New Roman" w:eastAsia="Lucida Sans" w:hAnsi="Times New Roman" w:cs="Times New Roman"/>
          <w:noProof/>
          <w:sz w:val="24"/>
          <w:szCs w:val="24"/>
        </w:rPr>
      </w:pPr>
    </w:p>
    <w:p w14:paraId="73E64F9F" w14:textId="658969AA" w:rsidR="00380D04" w:rsidRDefault="00380D04" w:rsidP="00AF5E78">
      <w:pPr>
        <w:widowControl/>
        <w:rPr>
          <w:rFonts w:ascii="Times New Roman" w:eastAsia="Lucida Sans" w:hAnsi="Times New Roman" w:cs="Times New Roman"/>
          <w:noProof/>
          <w:sz w:val="24"/>
          <w:szCs w:val="24"/>
        </w:rPr>
      </w:pPr>
    </w:p>
    <w:p w14:paraId="63A795F8" w14:textId="2F31248F" w:rsidR="00380D04" w:rsidRDefault="00380D04" w:rsidP="00AF5E78">
      <w:pPr>
        <w:widowControl/>
        <w:rPr>
          <w:rFonts w:ascii="Times New Roman" w:eastAsia="Lucida Sans" w:hAnsi="Times New Roman" w:cs="Times New Roman"/>
          <w:noProof/>
          <w:sz w:val="24"/>
          <w:szCs w:val="24"/>
        </w:rPr>
      </w:pPr>
    </w:p>
    <w:p w14:paraId="0B545725" w14:textId="3D9FEE13" w:rsidR="00380D04" w:rsidRDefault="00380D04" w:rsidP="00AF5E78">
      <w:pPr>
        <w:widowControl/>
        <w:rPr>
          <w:rFonts w:ascii="Times New Roman" w:eastAsia="Lucida Sans" w:hAnsi="Times New Roman" w:cs="Times New Roman"/>
          <w:noProof/>
          <w:sz w:val="24"/>
          <w:szCs w:val="24"/>
        </w:rPr>
      </w:pPr>
    </w:p>
    <w:p w14:paraId="3B7D1B41" w14:textId="498B69F9" w:rsidR="00380D04" w:rsidRDefault="00380D04" w:rsidP="00AF5E78">
      <w:pPr>
        <w:widowControl/>
        <w:rPr>
          <w:rFonts w:ascii="Times New Roman" w:eastAsia="Lucida Sans" w:hAnsi="Times New Roman" w:cs="Times New Roman"/>
          <w:noProof/>
          <w:sz w:val="24"/>
          <w:szCs w:val="24"/>
        </w:rPr>
      </w:pPr>
    </w:p>
    <w:p w14:paraId="046D5BBD" w14:textId="726512CF" w:rsidR="00380D04" w:rsidRDefault="00380D04" w:rsidP="00AF5E78">
      <w:pPr>
        <w:widowControl/>
        <w:rPr>
          <w:rFonts w:ascii="Times New Roman" w:eastAsia="Lucida Sans" w:hAnsi="Times New Roman" w:cs="Times New Roman"/>
          <w:noProof/>
          <w:sz w:val="24"/>
          <w:szCs w:val="24"/>
        </w:rPr>
      </w:pPr>
    </w:p>
    <w:p w14:paraId="2A8F9566" w14:textId="616329D1" w:rsidR="00380D04" w:rsidRDefault="00380D04" w:rsidP="00AF5E78">
      <w:pPr>
        <w:widowControl/>
        <w:rPr>
          <w:rFonts w:ascii="Times New Roman" w:eastAsia="Lucida Sans" w:hAnsi="Times New Roman" w:cs="Times New Roman"/>
          <w:noProof/>
          <w:sz w:val="24"/>
          <w:szCs w:val="24"/>
        </w:rPr>
      </w:pPr>
    </w:p>
    <w:p w14:paraId="344826DF" w14:textId="4F07FAB9" w:rsidR="00380D04" w:rsidRDefault="00380D04" w:rsidP="00AF5E78">
      <w:pPr>
        <w:widowControl/>
        <w:rPr>
          <w:rFonts w:ascii="Times New Roman" w:eastAsia="Lucida Sans" w:hAnsi="Times New Roman" w:cs="Times New Roman"/>
          <w:noProof/>
          <w:sz w:val="24"/>
          <w:szCs w:val="24"/>
        </w:rPr>
      </w:pPr>
    </w:p>
    <w:p w14:paraId="002A7084" w14:textId="772B1B3E" w:rsidR="00380D04" w:rsidRDefault="00380D04" w:rsidP="00AF5E78">
      <w:pPr>
        <w:widowControl/>
        <w:rPr>
          <w:rFonts w:ascii="Times New Roman" w:eastAsia="Lucida Sans" w:hAnsi="Times New Roman" w:cs="Times New Roman"/>
          <w:noProof/>
          <w:sz w:val="24"/>
          <w:szCs w:val="24"/>
        </w:rPr>
      </w:pPr>
    </w:p>
    <w:p w14:paraId="4BC10891" w14:textId="4772923E" w:rsidR="00380D04" w:rsidRDefault="00380D04" w:rsidP="00AF5E78">
      <w:pPr>
        <w:widowControl/>
        <w:rPr>
          <w:rFonts w:ascii="Times New Roman" w:eastAsia="Lucida Sans" w:hAnsi="Times New Roman" w:cs="Times New Roman"/>
          <w:noProof/>
          <w:sz w:val="24"/>
          <w:szCs w:val="24"/>
        </w:rPr>
      </w:pPr>
    </w:p>
    <w:p w14:paraId="11614020" w14:textId="5AE5B8CE" w:rsidR="00380D04" w:rsidRDefault="00380D04" w:rsidP="00AF5E78">
      <w:pPr>
        <w:widowControl/>
        <w:rPr>
          <w:rFonts w:ascii="Times New Roman" w:eastAsia="Lucida Sans" w:hAnsi="Times New Roman" w:cs="Times New Roman"/>
          <w:noProof/>
          <w:sz w:val="24"/>
          <w:szCs w:val="24"/>
        </w:rPr>
      </w:pPr>
    </w:p>
    <w:p w14:paraId="39EFA4FB" w14:textId="39990B79" w:rsidR="00380D04" w:rsidRDefault="00380D04" w:rsidP="00AF5E78">
      <w:pPr>
        <w:widowControl/>
        <w:rPr>
          <w:rFonts w:ascii="Times New Roman" w:eastAsia="Lucida Sans" w:hAnsi="Times New Roman" w:cs="Times New Roman"/>
          <w:noProof/>
          <w:sz w:val="24"/>
          <w:szCs w:val="24"/>
        </w:rPr>
      </w:pPr>
    </w:p>
    <w:p w14:paraId="3F59F613" w14:textId="79421DED" w:rsidR="00380D04" w:rsidRDefault="00380D04" w:rsidP="00AF5E78">
      <w:pPr>
        <w:widowControl/>
        <w:rPr>
          <w:rFonts w:ascii="Times New Roman" w:eastAsia="Lucida Sans" w:hAnsi="Times New Roman" w:cs="Times New Roman"/>
          <w:noProof/>
          <w:sz w:val="24"/>
          <w:szCs w:val="24"/>
        </w:rPr>
      </w:pPr>
    </w:p>
    <w:p w14:paraId="788303EE" w14:textId="553AC4F6" w:rsidR="00380D04" w:rsidRDefault="00380D04" w:rsidP="00AF5E78">
      <w:pPr>
        <w:widowControl/>
        <w:rPr>
          <w:rFonts w:ascii="Times New Roman" w:eastAsia="Lucida Sans" w:hAnsi="Times New Roman" w:cs="Times New Roman"/>
          <w:noProof/>
          <w:sz w:val="24"/>
          <w:szCs w:val="24"/>
        </w:rPr>
      </w:pPr>
    </w:p>
    <w:p w14:paraId="4AA2E2D0" w14:textId="65E43069" w:rsidR="00380D04" w:rsidRDefault="00380D04" w:rsidP="00AF5E78">
      <w:pPr>
        <w:widowControl/>
        <w:rPr>
          <w:rFonts w:ascii="Times New Roman" w:eastAsia="Lucida Sans" w:hAnsi="Times New Roman" w:cs="Times New Roman"/>
          <w:noProof/>
          <w:sz w:val="24"/>
          <w:szCs w:val="24"/>
        </w:rPr>
      </w:pPr>
    </w:p>
    <w:p w14:paraId="7E2206BB" w14:textId="7A6924EC" w:rsidR="00380D04" w:rsidRDefault="00380D04" w:rsidP="00AF5E78">
      <w:pPr>
        <w:widowControl/>
        <w:rPr>
          <w:rFonts w:ascii="Times New Roman" w:eastAsia="Lucida Sans" w:hAnsi="Times New Roman" w:cs="Times New Roman"/>
          <w:noProof/>
          <w:sz w:val="24"/>
          <w:szCs w:val="24"/>
        </w:rPr>
      </w:pPr>
    </w:p>
    <w:p w14:paraId="2EBA6EA4" w14:textId="41335BA0" w:rsidR="00380D04" w:rsidRDefault="00380D04" w:rsidP="00AF5E78">
      <w:pPr>
        <w:widowControl/>
        <w:rPr>
          <w:rFonts w:ascii="Times New Roman" w:eastAsia="Lucida Sans" w:hAnsi="Times New Roman" w:cs="Times New Roman"/>
          <w:noProof/>
          <w:sz w:val="24"/>
          <w:szCs w:val="24"/>
        </w:rPr>
      </w:pPr>
    </w:p>
    <w:p w14:paraId="6A4EDEFE" w14:textId="6ECD9641" w:rsidR="00380D04" w:rsidRDefault="00380D04" w:rsidP="00AF5E78">
      <w:pPr>
        <w:widowControl/>
        <w:rPr>
          <w:rFonts w:ascii="Times New Roman" w:eastAsia="Lucida Sans" w:hAnsi="Times New Roman" w:cs="Times New Roman"/>
          <w:noProof/>
          <w:sz w:val="24"/>
          <w:szCs w:val="24"/>
        </w:rPr>
      </w:pPr>
    </w:p>
    <w:p w14:paraId="600A2F9A" w14:textId="01D107AF" w:rsidR="00380D04" w:rsidRDefault="00380D04" w:rsidP="00AF5E78">
      <w:pPr>
        <w:widowControl/>
        <w:rPr>
          <w:rFonts w:ascii="Times New Roman" w:eastAsia="Lucida Sans" w:hAnsi="Times New Roman" w:cs="Times New Roman"/>
          <w:noProof/>
          <w:sz w:val="24"/>
          <w:szCs w:val="24"/>
        </w:rPr>
      </w:pPr>
    </w:p>
    <w:p w14:paraId="4B2064CB" w14:textId="34C79DA2" w:rsidR="00380D04" w:rsidRDefault="00380D04" w:rsidP="00AF5E78">
      <w:pPr>
        <w:widowControl/>
        <w:rPr>
          <w:rFonts w:ascii="Times New Roman" w:eastAsia="Lucida Sans" w:hAnsi="Times New Roman" w:cs="Times New Roman"/>
          <w:noProof/>
          <w:sz w:val="24"/>
          <w:szCs w:val="24"/>
        </w:rPr>
      </w:pPr>
    </w:p>
    <w:p w14:paraId="68F7312E" w14:textId="6E26B00A" w:rsidR="00380D04" w:rsidRDefault="00380D04" w:rsidP="00AF5E78">
      <w:pPr>
        <w:widowControl/>
        <w:rPr>
          <w:rFonts w:ascii="Times New Roman" w:eastAsia="Lucida Sans" w:hAnsi="Times New Roman" w:cs="Times New Roman"/>
          <w:noProof/>
          <w:sz w:val="24"/>
          <w:szCs w:val="24"/>
        </w:rPr>
      </w:pPr>
    </w:p>
    <w:p w14:paraId="5D3C52E9" w14:textId="6E45A868" w:rsidR="00380D04" w:rsidRDefault="00380D04" w:rsidP="00AF5E78">
      <w:pPr>
        <w:widowControl/>
        <w:rPr>
          <w:rFonts w:ascii="Times New Roman" w:eastAsia="Lucida Sans" w:hAnsi="Times New Roman" w:cs="Times New Roman"/>
          <w:noProof/>
          <w:sz w:val="24"/>
          <w:szCs w:val="24"/>
        </w:rPr>
      </w:pPr>
    </w:p>
    <w:p w14:paraId="015A8FFA" w14:textId="0A521668" w:rsidR="00380D04" w:rsidRDefault="00380D04" w:rsidP="00AF5E78">
      <w:pPr>
        <w:widowControl/>
        <w:rPr>
          <w:rFonts w:ascii="Times New Roman" w:eastAsia="Lucida Sans" w:hAnsi="Times New Roman" w:cs="Times New Roman"/>
          <w:noProof/>
          <w:sz w:val="24"/>
          <w:szCs w:val="24"/>
        </w:rPr>
      </w:pPr>
    </w:p>
    <w:p w14:paraId="0A324A2F" w14:textId="4654A71B" w:rsidR="00380D04" w:rsidRDefault="00380D04" w:rsidP="00AF5E78">
      <w:pPr>
        <w:widowControl/>
        <w:rPr>
          <w:rFonts w:ascii="Times New Roman" w:eastAsia="Lucida Sans" w:hAnsi="Times New Roman" w:cs="Times New Roman"/>
          <w:noProof/>
          <w:sz w:val="24"/>
          <w:szCs w:val="24"/>
        </w:rPr>
      </w:pPr>
    </w:p>
    <w:p w14:paraId="389B9794" w14:textId="4412E5FA" w:rsidR="00380D04" w:rsidRDefault="00380D04" w:rsidP="00AF5E78">
      <w:pPr>
        <w:widowControl/>
        <w:rPr>
          <w:rFonts w:ascii="Times New Roman" w:eastAsia="Lucida Sans" w:hAnsi="Times New Roman" w:cs="Times New Roman"/>
          <w:noProof/>
          <w:sz w:val="24"/>
          <w:szCs w:val="24"/>
        </w:rPr>
      </w:pPr>
    </w:p>
    <w:p w14:paraId="240D802A" w14:textId="77777777" w:rsidR="00380D04" w:rsidRPr="000D62B0" w:rsidRDefault="00380D04" w:rsidP="00AF5E78">
      <w:pPr>
        <w:widowControl/>
        <w:rPr>
          <w:rFonts w:ascii="Times New Roman" w:eastAsia="Lucida Sans" w:hAnsi="Times New Roman" w:cs="Times New Roman"/>
          <w:noProof/>
          <w:sz w:val="24"/>
          <w:szCs w:val="24"/>
        </w:rPr>
      </w:pPr>
    </w:p>
    <w:p w14:paraId="776AD069" w14:textId="77777777" w:rsidR="000D62B0" w:rsidRPr="000D62B0" w:rsidRDefault="000D62B0" w:rsidP="006D7E33">
      <w:pPr>
        <w:widowControl/>
        <w:jc w:val="center"/>
        <w:rPr>
          <w:rFonts w:ascii="Times New Roman" w:hAnsi="Times New Roman" w:cs="Times New Roman"/>
          <w:noProof/>
          <w:color w:val="231F20"/>
          <w:sz w:val="24"/>
          <w:szCs w:val="24"/>
        </w:rPr>
      </w:pPr>
      <w:r>
        <w:rPr>
          <w:rFonts w:ascii="Times New Roman" w:hAnsi="Times New Roman"/>
          <w:color w:val="231F20"/>
          <w:sz w:val="24"/>
        </w:rPr>
        <w:t>www.bmi.bund.de</w:t>
      </w:r>
    </w:p>
    <w:p w14:paraId="57CA4FF1" w14:textId="77777777" w:rsidR="000D62B0" w:rsidRPr="000D62B0" w:rsidRDefault="000D62B0" w:rsidP="006D7E33">
      <w:pPr>
        <w:widowControl/>
        <w:jc w:val="center"/>
        <w:rPr>
          <w:rFonts w:ascii="Times New Roman" w:eastAsia="Calibri" w:hAnsi="Times New Roman" w:cs="Times New Roman"/>
          <w:noProof/>
          <w:sz w:val="24"/>
          <w:szCs w:val="24"/>
        </w:rPr>
      </w:pPr>
    </w:p>
    <w:p w14:paraId="0769BDE0" w14:textId="074C8295" w:rsidR="000D62B0" w:rsidRDefault="000D62B0" w:rsidP="006D7E33">
      <w:pPr>
        <w:widowControl/>
        <w:jc w:val="center"/>
        <w:rPr>
          <w:rFonts w:ascii="Times New Roman" w:hAnsi="Times New Roman" w:cs="Times New Roman"/>
          <w:noProof/>
          <w:color w:val="231F20"/>
          <w:sz w:val="24"/>
          <w:szCs w:val="24"/>
        </w:rPr>
      </w:pPr>
      <w:r>
        <w:rPr>
          <w:rFonts w:ascii="Times New Roman" w:hAnsi="Times New Roman"/>
          <w:color w:val="231F20"/>
          <w:sz w:val="24"/>
        </w:rPr>
        <w:t>Attēlu autors Dominiks Breiers [</w:t>
      </w:r>
      <w:r>
        <w:rPr>
          <w:rFonts w:ascii="Times New Roman" w:hAnsi="Times New Roman"/>
          <w:i/>
          <w:iCs/>
          <w:color w:val="231F20"/>
          <w:sz w:val="24"/>
        </w:rPr>
        <w:t>Dominique Breier</w:t>
      </w:r>
      <w:r>
        <w:rPr>
          <w:rFonts w:ascii="Times New Roman" w:hAnsi="Times New Roman"/>
          <w:color w:val="231F20"/>
          <w:sz w:val="24"/>
        </w:rPr>
        <w:t>]</w:t>
      </w:r>
    </w:p>
    <w:p w14:paraId="1D3A3C83" w14:textId="5E3031C6" w:rsidR="006D7E33" w:rsidRDefault="006D7E33" w:rsidP="006D7E33">
      <w:pPr>
        <w:widowControl/>
        <w:jc w:val="center"/>
        <w:rPr>
          <w:rFonts w:ascii="Times New Roman" w:hAnsi="Times New Roman" w:cs="Times New Roman"/>
          <w:noProof/>
          <w:color w:val="231F20"/>
          <w:sz w:val="24"/>
          <w:szCs w:val="24"/>
        </w:rPr>
      </w:pPr>
    </w:p>
    <w:p w14:paraId="79F25E01" w14:textId="77777777" w:rsidR="006D7E33" w:rsidRPr="000D62B0" w:rsidRDefault="006D7E33" w:rsidP="00483CEC">
      <w:pPr>
        <w:widowControl/>
        <w:rPr>
          <w:rFonts w:ascii="Times New Roman" w:hAnsi="Times New Roman" w:cs="Times New Roman"/>
          <w:noProof/>
          <w:color w:val="231F20"/>
          <w:sz w:val="24"/>
          <w:szCs w:val="24"/>
        </w:rPr>
      </w:pPr>
    </w:p>
    <w:sectPr w:rsidR="006D7E33" w:rsidRPr="000D62B0" w:rsidSect="000D62B0">
      <w:headerReference w:type="default" r:id="rId11"/>
      <w:footerReference w:type="even"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3CCA" w14:textId="77777777" w:rsidR="00045C14" w:rsidRPr="000D62B0" w:rsidRDefault="00045C14">
      <w:pPr>
        <w:rPr>
          <w:noProof/>
        </w:rPr>
      </w:pPr>
      <w:r w:rsidRPr="000D62B0">
        <w:rPr>
          <w:noProof/>
        </w:rPr>
        <w:separator/>
      </w:r>
    </w:p>
  </w:endnote>
  <w:endnote w:type="continuationSeparator" w:id="0">
    <w:p w14:paraId="127CB721" w14:textId="77777777" w:rsidR="00045C14" w:rsidRPr="000D62B0" w:rsidRDefault="00045C14">
      <w:pPr>
        <w:rPr>
          <w:noProof/>
        </w:rPr>
      </w:pPr>
      <w:r w:rsidRPr="000D62B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9728" w14:textId="77777777" w:rsidR="0039552A" w:rsidRPr="000D62B0" w:rsidRDefault="0039552A">
    <w:pPr>
      <w:spacing w:line="14" w:lineRule="auto"/>
      <w:rPr>
        <w:noProo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090B" w14:textId="77777777" w:rsidR="00B36391" w:rsidRPr="00B36391" w:rsidRDefault="00B36391" w:rsidP="00B36391">
    <w:pPr>
      <w:tabs>
        <w:tab w:val="center" w:pos="4513"/>
        <w:tab w:val="right" w:pos="9026"/>
        <w:tab w:val="left" w:pos="9072"/>
      </w:tabs>
      <w:rPr>
        <w:rFonts w:ascii="Times New Roman" w:hAnsi="Times New Roman" w:cs="Times New Roman"/>
        <w:sz w:val="20"/>
        <w:szCs w:val="18"/>
      </w:rPr>
    </w:pPr>
  </w:p>
  <w:p w14:paraId="0F8CAF69" w14:textId="77777777" w:rsidR="00B36391" w:rsidRPr="00B36391" w:rsidRDefault="00B36391" w:rsidP="00B36391">
    <w:pPr>
      <w:tabs>
        <w:tab w:val="right" w:leader="underscore" w:pos="9072"/>
      </w:tabs>
      <w:rPr>
        <w:rFonts w:ascii="Times New Roman" w:hAnsi="Times New Roman" w:cs="Times New Roman"/>
        <w:sz w:val="20"/>
        <w:szCs w:val="18"/>
      </w:rPr>
    </w:pPr>
    <w:r w:rsidRPr="00B36391">
      <w:rPr>
        <w:rFonts w:ascii="Times New Roman" w:hAnsi="Times New Roman" w:cs="Times New Roman"/>
        <w:sz w:val="20"/>
        <w:szCs w:val="18"/>
      </w:rPr>
      <w:tab/>
    </w:r>
  </w:p>
  <w:p w14:paraId="2331FC67" w14:textId="77777777" w:rsidR="00B36391" w:rsidRPr="00B36391" w:rsidRDefault="00B36391" w:rsidP="00B36391">
    <w:pPr>
      <w:tabs>
        <w:tab w:val="center" w:pos="4513"/>
        <w:tab w:val="right" w:pos="9026"/>
        <w:tab w:val="right" w:pos="9072"/>
      </w:tabs>
      <w:rPr>
        <w:rFonts w:ascii="Times New Roman" w:hAnsi="Times New Roman" w:cs="Times New Roman"/>
        <w:sz w:val="20"/>
        <w:szCs w:val="18"/>
      </w:rPr>
    </w:pPr>
  </w:p>
  <w:p w14:paraId="4FACCA2B" w14:textId="77777777" w:rsidR="00B36391" w:rsidRPr="00B36391" w:rsidRDefault="00B36391" w:rsidP="00B36391">
    <w:pPr>
      <w:tabs>
        <w:tab w:val="right" w:pos="9072"/>
      </w:tabs>
      <w:rPr>
        <w:rFonts w:ascii="Times New Roman" w:hAnsi="Times New Roman" w:cs="Times New Roman"/>
        <w:sz w:val="20"/>
        <w:szCs w:val="18"/>
      </w:rPr>
    </w:pPr>
    <w:r w:rsidRPr="00B36391">
      <w:rPr>
        <w:rFonts w:ascii="Times New Roman" w:hAnsi="Times New Roman" w:cs="Times New Roman"/>
        <w:noProof/>
        <w:sz w:val="20"/>
        <w:szCs w:val="18"/>
      </w:rPr>
      <w:t xml:space="preserve">Tulkojums </w:t>
    </w:r>
    <w:r w:rsidRPr="00B36391">
      <w:rPr>
        <w:rFonts w:ascii="Times New Roman" w:hAnsi="Times New Roman" w:cs="Times New Roman"/>
        <w:noProof/>
        <w:sz w:val="20"/>
        <w:szCs w:val="18"/>
      </w:rPr>
      <w:fldChar w:fldCharType="begin"/>
    </w:r>
    <w:r w:rsidRPr="00B36391">
      <w:rPr>
        <w:rFonts w:ascii="Times New Roman" w:hAnsi="Times New Roman" w:cs="Times New Roman"/>
        <w:noProof/>
        <w:sz w:val="20"/>
        <w:szCs w:val="18"/>
      </w:rPr>
      <w:instrText>symbol 211 \f "Symbol" \s 9</w:instrText>
    </w:r>
    <w:r w:rsidRPr="00B36391">
      <w:rPr>
        <w:rFonts w:ascii="Times New Roman" w:hAnsi="Times New Roman" w:cs="Times New Roman"/>
        <w:noProof/>
        <w:sz w:val="20"/>
        <w:szCs w:val="18"/>
      </w:rPr>
      <w:fldChar w:fldCharType="separate"/>
    </w:r>
    <w:r w:rsidRPr="00B36391">
      <w:rPr>
        <w:rFonts w:ascii="Times New Roman" w:hAnsi="Times New Roman" w:cs="Times New Roman"/>
        <w:noProof/>
        <w:sz w:val="20"/>
        <w:szCs w:val="18"/>
      </w:rPr>
      <w:t>Ó</w:t>
    </w:r>
    <w:r w:rsidRPr="00B36391">
      <w:rPr>
        <w:rFonts w:ascii="Times New Roman" w:hAnsi="Times New Roman" w:cs="Times New Roman"/>
        <w:noProof/>
        <w:sz w:val="20"/>
        <w:szCs w:val="18"/>
      </w:rPr>
      <w:fldChar w:fldCharType="end"/>
    </w:r>
    <w:r w:rsidRPr="00B36391">
      <w:rPr>
        <w:rFonts w:ascii="Times New Roman" w:hAnsi="Times New Roman" w:cs="Times New Roman"/>
        <w:noProof/>
        <w:sz w:val="20"/>
        <w:szCs w:val="18"/>
      </w:rPr>
      <w:t xml:space="preserve"> Valsts valodas centrs, 2021</w:t>
    </w:r>
    <w:r w:rsidRPr="00B36391">
      <w:rPr>
        <w:rFonts w:ascii="Times New Roman" w:hAnsi="Times New Roman" w:cs="Times New Roman"/>
        <w:sz w:val="20"/>
        <w:szCs w:val="18"/>
      </w:rPr>
      <w:tab/>
    </w:r>
    <w:r w:rsidRPr="00B36391">
      <w:rPr>
        <w:rFonts w:ascii="Times New Roman" w:hAnsi="Times New Roman" w:cs="Times New Roman"/>
        <w:sz w:val="20"/>
        <w:szCs w:val="18"/>
      </w:rPr>
      <w:fldChar w:fldCharType="begin"/>
    </w:r>
    <w:r w:rsidRPr="00B36391">
      <w:rPr>
        <w:rFonts w:ascii="Times New Roman" w:hAnsi="Times New Roman" w:cs="Times New Roman"/>
        <w:sz w:val="20"/>
        <w:szCs w:val="18"/>
      </w:rPr>
      <w:instrText xml:space="preserve">page </w:instrText>
    </w:r>
    <w:r w:rsidRPr="00B36391">
      <w:rPr>
        <w:rFonts w:ascii="Times New Roman" w:hAnsi="Times New Roman" w:cs="Times New Roman"/>
        <w:sz w:val="20"/>
        <w:szCs w:val="18"/>
      </w:rPr>
      <w:fldChar w:fldCharType="separate"/>
    </w:r>
    <w:r w:rsidRPr="00B36391">
      <w:rPr>
        <w:rFonts w:ascii="Times New Roman" w:hAnsi="Times New Roman" w:cs="Times New Roman"/>
        <w:sz w:val="20"/>
        <w:szCs w:val="18"/>
      </w:rPr>
      <w:t>2</w:t>
    </w:r>
    <w:r w:rsidRPr="00B36391">
      <w:rP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EFB8" w14:textId="77777777" w:rsidR="00AF37F9" w:rsidRPr="00AF37F9" w:rsidRDefault="00AF37F9" w:rsidP="00AF37F9">
    <w:pPr>
      <w:tabs>
        <w:tab w:val="center" w:pos="4513"/>
        <w:tab w:val="right" w:pos="9026"/>
        <w:tab w:val="left" w:pos="9072"/>
      </w:tabs>
      <w:rP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5A0E2D66" w14:textId="77777777" w:rsidR="00AF37F9" w:rsidRPr="00AF37F9" w:rsidRDefault="00AF37F9" w:rsidP="00AF37F9">
    <w:pPr>
      <w:tabs>
        <w:tab w:val="left" w:leader="underscore" w:pos="9072"/>
      </w:tabs>
      <w:rPr>
        <w:rFonts w:ascii="Times New Roman" w:hAnsi="Times New Roman" w:cs="Times New Roman"/>
        <w:sz w:val="20"/>
        <w:szCs w:val="18"/>
      </w:rPr>
    </w:pPr>
    <w:r w:rsidRPr="00AF37F9">
      <w:rPr>
        <w:rFonts w:ascii="Times New Roman" w:hAnsi="Times New Roman" w:cs="Times New Roman"/>
        <w:sz w:val="20"/>
        <w:szCs w:val="18"/>
      </w:rPr>
      <w:tab/>
    </w:r>
  </w:p>
  <w:p w14:paraId="6CF08DCD" w14:textId="77777777" w:rsidR="00AF37F9" w:rsidRPr="00AF37F9" w:rsidRDefault="00AF37F9" w:rsidP="00AF37F9">
    <w:pPr>
      <w:tabs>
        <w:tab w:val="center" w:pos="4513"/>
        <w:tab w:val="right" w:pos="9026"/>
        <w:tab w:val="left" w:pos="9072"/>
      </w:tabs>
      <w:rPr>
        <w:rFonts w:ascii="Times New Roman" w:hAnsi="Times New Roman" w:cs="Times New Roman"/>
        <w:sz w:val="20"/>
        <w:szCs w:val="18"/>
      </w:rPr>
    </w:pPr>
  </w:p>
  <w:p w14:paraId="637CD2F4" w14:textId="77777777" w:rsidR="00AF37F9" w:rsidRPr="00AF37F9" w:rsidRDefault="00AF37F9" w:rsidP="00AF37F9">
    <w:pPr>
      <w:tabs>
        <w:tab w:val="center" w:pos="4513"/>
        <w:tab w:val="right" w:pos="9026"/>
      </w:tabs>
      <w:rPr>
        <w:rFonts w:ascii="Times New Roman" w:hAnsi="Times New Roman" w:cs="Times New Roman"/>
        <w:sz w:val="20"/>
        <w:szCs w:val="18"/>
      </w:rPr>
    </w:pPr>
    <w:r w:rsidRPr="00AF37F9">
      <w:rPr>
        <w:rFonts w:ascii="Times New Roman" w:hAnsi="Times New Roman" w:cs="Times New Roman"/>
        <w:noProof/>
        <w:sz w:val="20"/>
        <w:szCs w:val="18"/>
      </w:rPr>
      <w:t xml:space="preserve">Tulkojums </w:t>
    </w:r>
    <w:r w:rsidRPr="00AF37F9">
      <w:rPr>
        <w:rFonts w:ascii="Times New Roman" w:hAnsi="Times New Roman" w:cs="Times New Roman"/>
        <w:noProof/>
        <w:sz w:val="20"/>
        <w:szCs w:val="18"/>
      </w:rPr>
      <w:fldChar w:fldCharType="begin"/>
    </w:r>
    <w:r w:rsidRPr="00AF37F9">
      <w:rPr>
        <w:rFonts w:ascii="Times New Roman" w:hAnsi="Times New Roman" w:cs="Times New Roman"/>
        <w:noProof/>
        <w:sz w:val="20"/>
        <w:szCs w:val="18"/>
      </w:rPr>
      <w:instrText>symbol 211 \f "Symbol" \s 9</w:instrText>
    </w:r>
    <w:r w:rsidRPr="00AF37F9">
      <w:rPr>
        <w:rFonts w:ascii="Times New Roman" w:hAnsi="Times New Roman" w:cs="Times New Roman"/>
        <w:noProof/>
        <w:sz w:val="20"/>
        <w:szCs w:val="18"/>
      </w:rPr>
      <w:fldChar w:fldCharType="separate"/>
    </w:r>
    <w:r w:rsidRPr="00AF37F9">
      <w:rPr>
        <w:rFonts w:ascii="Times New Roman" w:hAnsi="Times New Roman" w:cs="Times New Roman"/>
        <w:noProof/>
        <w:sz w:val="20"/>
        <w:szCs w:val="18"/>
      </w:rPr>
      <w:t>Ó</w:t>
    </w:r>
    <w:r w:rsidRPr="00AF37F9">
      <w:rPr>
        <w:rFonts w:ascii="Times New Roman" w:hAnsi="Times New Roman" w:cs="Times New Roman"/>
        <w:noProof/>
        <w:sz w:val="20"/>
        <w:szCs w:val="18"/>
      </w:rPr>
      <w:fldChar w:fldCharType="end"/>
    </w:r>
    <w:r w:rsidRPr="00AF37F9">
      <w:rPr>
        <w:rFonts w:ascii="Times New Roman" w:hAnsi="Times New Roman" w:cs="Times New Roman"/>
        <w:noProof/>
        <w:sz w:val="20"/>
        <w:szCs w:val="18"/>
      </w:rPr>
      <w:t xml:space="preserve"> Valsts valodas centrs, 20</w:t>
    </w:r>
    <w:bookmarkEnd w:id="18"/>
    <w:bookmarkEnd w:id="19"/>
    <w:bookmarkEnd w:id="20"/>
    <w:r w:rsidRPr="00AF37F9">
      <w:rPr>
        <w:rFonts w:ascii="Times New Roman" w:hAnsi="Times New Roman" w:cs="Times New Roman"/>
        <w:noProof/>
        <w:sz w:val="20"/>
        <w:szCs w:val="18"/>
      </w:rPr>
      <w:t>2</w:t>
    </w:r>
    <w:bookmarkEnd w:id="21"/>
    <w:bookmarkEnd w:id="22"/>
    <w:r w:rsidRPr="00AF37F9">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8DFA" w14:textId="77777777" w:rsidR="00045C14" w:rsidRPr="000D62B0" w:rsidRDefault="00045C14">
      <w:pPr>
        <w:rPr>
          <w:noProof/>
        </w:rPr>
      </w:pPr>
      <w:r w:rsidRPr="000D62B0">
        <w:rPr>
          <w:noProof/>
        </w:rPr>
        <w:separator/>
      </w:r>
    </w:p>
  </w:footnote>
  <w:footnote w:type="continuationSeparator" w:id="0">
    <w:p w14:paraId="208B38D0" w14:textId="77777777" w:rsidR="00045C14" w:rsidRPr="000D62B0" w:rsidRDefault="00045C14">
      <w:pPr>
        <w:rPr>
          <w:noProof/>
        </w:rPr>
      </w:pPr>
      <w:r w:rsidRPr="000D62B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BC88" w14:textId="77777777" w:rsidR="009156C8" w:rsidRPr="009156C8" w:rsidRDefault="009156C8" w:rsidP="009156C8">
    <w:pPr>
      <w:tabs>
        <w:tab w:val="center" w:pos="4513"/>
        <w:tab w:val="right" w:pos="9026"/>
      </w:tabs>
      <w:rP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1B69B03C" w14:textId="77777777" w:rsidR="009156C8" w:rsidRPr="009156C8" w:rsidRDefault="009156C8" w:rsidP="009156C8">
    <w:pPr>
      <w:tabs>
        <w:tab w:val="right" w:leader="underscore" w:pos="9072"/>
      </w:tabs>
      <w:rPr>
        <w:rFonts w:ascii="Times New Roman" w:hAnsi="Times New Roman" w:cs="Times New Roman"/>
        <w:sz w:val="20"/>
        <w:szCs w:val="20"/>
      </w:rPr>
    </w:pPr>
    <w:r w:rsidRPr="009156C8">
      <w:rP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409AA6F8" w14:textId="77777777" w:rsidR="009156C8" w:rsidRPr="009156C8" w:rsidRDefault="009156C8" w:rsidP="009156C8">
    <w:pPr>
      <w:tabs>
        <w:tab w:val="center" w:pos="4513"/>
        <w:tab w:val="right" w:pos="9026"/>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D494" w14:textId="77777777" w:rsidR="00BB7AA9" w:rsidRPr="00864FDC" w:rsidRDefault="00BB7AA9" w:rsidP="00BB7AA9">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7DFA0B9A" w14:textId="77777777" w:rsidR="00BB7AA9" w:rsidRPr="00864FDC" w:rsidRDefault="00BB7AA9" w:rsidP="00BB7AA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9A2"/>
    <w:multiLevelType w:val="hybridMultilevel"/>
    <w:tmpl w:val="7A7EBA98"/>
    <w:lvl w:ilvl="0" w:tplc="C8DE6C5E">
      <w:start w:val="1"/>
      <w:numFmt w:val="lowerLetter"/>
      <w:lvlText w:val="%1)"/>
      <w:lvlJc w:val="left"/>
      <w:pPr>
        <w:ind w:left="667" w:hanging="495"/>
      </w:pPr>
      <w:rPr>
        <w:rFonts w:ascii="Lucida Sans" w:eastAsia="Lucida Sans" w:hAnsi="Lucida Sans" w:hint="default"/>
        <w:color w:val="231F20"/>
        <w:spacing w:val="-1"/>
        <w:sz w:val="24"/>
        <w:szCs w:val="24"/>
      </w:rPr>
    </w:lvl>
    <w:lvl w:ilvl="1" w:tplc="D6E6C500">
      <w:start w:val="1"/>
      <w:numFmt w:val="bullet"/>
      <w:lvlText w:val="•"/>
      <w:lvlJc w:val="left"/>
      <w:pPr>
        <w:ind w:left="1609" w:hanging="495"/>
      </w:pPr>
      <w:rPr>
        <w:rFonts w:hint="default"/>
      </w:rPr>
    </w:lvl>
    <w:lvl w:ilvl="2" w:tplc="3ACC0C56">
      <w:start w:val="1"/>
      <w:numFmt w:val="bullet"/>
      <w:lvlText w:val="•"/>
      <w:lvlJc w:val="left"/>
      <w:pPr>
        <w:ind w:left="2551" w:hanging="495"/>
      </w:pPr>
      <w:rPr>
        <w:rFonts w:hint="default"/>
      </w:rPr>
    </w:lvl>
    <w:lvl w:ilvl="3" w:tplc="864457A4">
      <w:start w:val="1"/>
      <w:numFmt w:val="bullet"/>
      <w:lvlText w:val="•"/>
      <w:lvlJc w:val="left"/>
      <w:pPr>
        <w:ind w:left="3492" w:hanging="495"/>
      </w:pPr>
      <w:rPr>
        <w:rFonts w:hint="default"/>
      </w:rPr>
    </w:lvl>
    <w:lvl w:ilvl="4" w:tplc="7FCA10A4">
      <w:start w:val="1"/>
      <w:numFmt w:val="bullet"/>
      <w:lvlText w:val="•"/>
      <w:lvlJc w:val="left"/>
      <w:pPr>
        <w:ind w:left="4434" w:hanging="495"/>
      </w:pPr>
      <w:rPr>
        <w:rFonts w:hint="default"/>
      </w:rPr>
    </w:lvl>
    <w:lvl w:ilvl="5" w:tplc="B3D8E10C">
      <w:start w:val="1"/>
      <w:numFmt w:val="bullet"/>
      <w:lvlText w:val="•"/>
      <w:lvlJc w:val="left"/>
      <w:pPr>
        <w:ind w:left="5376" w:hanging="495"/>
      </w:pPr>
      <w:rPr>
        <w:rFonts w:hint="default"/>
      </w:rPr>
    </w:lvl>
    <w:lvl w:ilvl="6" w:tplc="07B29AC2">
      <w:start w:val="1"/>
      <w:numFmt w:val="bullet"/>
      <w:lvlText w:val="•"/>
      <w:lvlJc w:val="left"/>
      <w:pPr>
        <w:ind w:left="6318" w:hanging="495"/>
      </w:pPr>
      <w:rPr>
        <w:rFonts w:hint="default"/>
      </w:rPr>
    </w:lvl>
    <w:lvl w:ilvl="7" w:tplc="8AFECBDC">
      <w:start w:val="1"/>
      <w:numFmt w:val="bullet"/>
      <w:lvlText w:val="•"/>
      <w:lvlJc w:val="left"/>
      <w:pPr>
        <w:ind w:left="7260" w:hanging="495"/>
      </w:pPr>
      <w:rPr>
        <w:rFonts w:hint="default"/>
      </w:rPr>
    </w:lvl>
    <w:lvl w:ilvl="8" w:tplc="2CB459FA">
      <w:start w:val="1"/>
      <w:numFmt w:val="bullet"/>
      <w:lvlText w:val="•"/>
      <w:lvlJc w:val="left"/>
      <w:pPr>
        <w:ind w:left="8201" w:hanging="495"/>
      </w:pPr>
      <w:rPr>
        <w:rFonts w:hint="default"/>
      </w:rPr>
    </w:lvl>
  </w:abstractNum>
  <w:abstractNum w:abstractNumId="1" w15:restartNumberingAfterBreak="0">
    <w:nsid w:val="21BB2FDF"/>
    <w:multiLevelType w:val="hybridMultilevel"/>
    <w:tmpl w:val="83502686"/>
    <w:lvl w:ilvl="0" w:tplc="34ECB260">
      <w:start w:val="1"/>
      <w:numFmt w:val="lowerLetter"/>
      <w:lvlText w:val="%1)"/>
      <w:lvlJc w:val="left"/>
      <w:pPr>
        <w:ind w:left="667" w:hanging="495"/>
      </w:pPr>
      <w:rPr>
        <w:rFonts w:ascii="Lucida Sans" w:eastAsia="Lucida Sans" w:hAnsi="Lucida Sans" w:hint="default"/>
        <w:color w:val="231F20"/>
        <w:spacing w:val="-1"/>
        <w:sz w:val="24"/>
        <w:szCs w:val="24"/>
      </w:rPr>
    </w:lvl>
    <w:lvl w:ilvl="1" w:tplc="AD48531E">
      <w:start w:val="1"/>
      <w:numFmt w:val="bullet"/>
      <w:lvlText w:val="•"/>
      <w:lvlJc w:val="left"/>
      <w:pPr>
        <w:ind w:left="1609" w:hanging="495"/>
      </w:pPr>
      <w:rPr>
        <w:rFonts w:hint="default"/>
      </w:rPr>
    </w:lvl>
    <w:lvl w:ilvl="2" w:tplc="328ED502">
      <w:start w:val="1"/>
      <w:numFmt w:val="bullet"/>
      <w:lvlText w:val="•"/>
      <w:lvlJc w:val="left"/>
      <w:pPr>
        <w:ind w:left="2551" w:hanging="495"/>
      </w:pPr>
      <w:rPr>
        <w:rFonts w:hint="default"/>
      </w:rPr>
    </w:lvl>
    <w:lvl w:ilvl="3" w:tplc="2A1E0CB2">
      <w:start w:val="1"/>
      <w:numFmt w:val="bullet"/>
      <w:lvlText w:val="•"/>
      <w:lvlJc w:val="left"/>
      <w:pPr>
        <w:ind w:left="3492" w:hanging="495"/>
      </w:pPr>
      <w:rPr>
        <w:rFonts w:hint="default"/>
      </w:rPr>
    </w:lvl>
    <w:lvl w:ilvl="4" w:tplc="75FE0354">
      <w:start w:val="1"/>
      <w:numFmt w:val="bullet"/>
      <w:lvlText w:val="•"/>
      <w:lvlJc w:val="left"/>
      <w:pPr>
        <w:ind w:left="4434" w:hanging="495"/>
      </w:pPr>
      <w:rPr>
        <w:rFonts w:hint="default"/>
      </w:rPr>
    </w:lvl>
    <w:lvl w:ilvl="5" w:tplc="FCCCA190">
      <w:start w:val="1"/>
      <w:numFmt w:val="bullet"/>
      <w:lvlText w:val="•"/>
      <w:lvlJc w:val="left"/>
      <w:pPr>
        <w:ind w:left="5376" w:hanging="495"/>
      </w:pPr>
      <w:rPr>
        <w:rFonts w:hint="default"/>
      </w:rPr>
    </w:lvl>
    <w:lvl w:ilvl="6" w:tplc="89C260E6">
      <w:start w:val="1"/>
      <w:numFmt w:val="bullet"/>
      <w:lvlText w:val="•"/>
      <w:lvlJc w:val="left"/>
      <w:pPr>
        <w:ind w:left="6318" w:hanging="495"/>
      </w:pPr>
      <w:rPr>
        <w:rFonts w:hint="default"/>
      </w:rPr>
    </w:lvl>
    <w:lvl w:ilvl="7" w:tplc="CDCEF206">
      <w:start w:val="1"/>
      <w:numFmt w:val="bullet"/>
      <w:lvlText w:val="•"/>
      <w:lvlJc w:val="left"/>
      <w:pPr>
        <w:ind w:left="7260" w:hanging="495"/>
      </w:pPr>
      <w:rPr>
        <w:rFonts w:hint="default"/>
      </w:rPr>
    </w:lvl>
    <w:lvl w:ilvl="8" w:tplc="63669626">
      <w:start w:val="1"/>
      <w:numFmt w:val="bullet"/>
      <w:lvlText w:val="•"/>
      <w:lvlJc w:val="left"/>
      <w:pPr>
        <w:ind w:left="8201" w:hanging="495"/>
      </w:pPr>
      <w:rPr>
        <w:rFonts w:hint="default"/>
      </w:rPr>
    </w:lvl>
  </w:abstractNum>
  <w:abstractNum w:abstractNumId="2" w15:restartNumberingAfterBreak="0">
    <w:nsid w:val="5EE715FC"/>
    <w:multiLevelType w:val="hybridMultilevel"/>
    <w:tmpl w:val="36A0E6FE"/>
    <w:lvl w:ilvl="0" w:tplc="2A36D4E4">
      <w:start w:val="1"/>
      <w:numFmt w:val="lowerLetter"/>
      <w:lvlText w:val="%1)"/>
      <w:lvlJc w:val="left"/>
      <w:pPr>
        <w:ind w:left="667" w:hanging="495"/>
      </w:pPr>
      <w:rPr>
        <w:rFonts w:ascii="Lucida Sans" w:eastAsia="Lucida Sans" w:hAnsi="Lucida Sans" w:hint="default"/>
        <w:color w:val="231F20"/>
        <w:spacing w:val="-1"/>
        <w:sz w:val="24"/>
        <w:szCs w:val="24"/>
      </w:rPr>
    </w:lvl>
    <w:lvl w:ilvl="1" w:tplc="C8620D48">
      <w:start w:val="1"/>
      <w:numFmt w:val="bullet"/>
      <w:lvlText w:val="•"/>
      <w:lvlJc w:val="left"/>
      <w:pPr>
        <w:ind w:left="1609" w:hanging="495"/>
      </w:pPr>
      <w:rPr>
        <w:rFonts w:hint="default"/>
      </w:rPr>
    </w:lvl>
    <w:lvl w:ilvl="2" w:tplc="EEC250C8">
      <w:start w:val="1"/>
      <w:numFmt w:val="bullet"/>
      <w:lvlText w:val="•"/>
      <w:lvlJc w:val="left"/>
      <w:pPr>
        <w:ind w:left="2551" w:hanging="495"/>
      </w:pPr>
      <w:rPr>
        <w:rFonts w:hint="default"/>
      </w:rPr>
    </w:lvl>
    <w:lvl w:ilvl="3" w:tplc="584E05B8">
      <w:start w:val="1"/>
      <w:numFmt w:val="bullet"/>
      <w:lvlText w:val="•"/>
      <w:lvlJc w:val="left"/>
      <w:pPr>
        <w:ind w:left="3492" w:hanging="495"/>
      </w:pPr>
      <w:rPr>
        <w:rFonts w:hint="default"/>
      </w:rPr>
    </w:lvl>
    <w:lvl w:ilvl="4" w:tplc="E4B229FA">
      <w:start w:val="1"/>
      <w:numFmt w:val="bullet"/>
      <w:lvlText w:val="•"/>
      <w:lvlJc w:val="left"/>
      <w:pPr>
        <w:ind w:left="4434" w:hanging="495"/>
      </w:pPr>
      <w:rPr>
        <w:rFonts w:hint="default"/>
      </w:rPr>
    </w:lvl>
    <w:lvl w:ilvl="5" w:tplc="C77672C2">
      <w:start w:val="1"/>
      <w:numFmt w:val="bullet"/>
      <w:lvlText w:val="•"/>
      <w:lvlJc w:val="left"/>
      <w:pPr>
        <w:ind w:left="5376" w:hanging="495"/>
      </w:pPr>
      <w:rPr>
        <w:rFonts w:hint="default"/>
      </w:rPr>
    </w:lvl>
    <w:lvl w:ilvl="6" w:tplc="08121FB6">
      <w:start w:val="1"/>
      <w:numFmt w:val="bullet"/>
      <w:lvlText w:val="•"/>
      <w:lvlJc w:val="left"/>
      <w:pPr>
        <w:ind w:left="6318" w:hanging="495"/>
      </w:pPr>
      <w:rPr>
        <w:rFonts w:hint="default"/>
      </w:rPr>
    </w:lvl>
    <w:lvl w:ilvl="7" w:tplc="D3BA07B0">
      <w:start w:val="1"/>
      <w:numFmt w:val="bullet"/>
      <w:lvlText w:val="•"/>
      <w:lvlJc w:val="left"/>
      <w:pPr>
        <w:ind w:left="7260" w:hanging="495"/>
      </w:pPr>
      <w:rPr>
        <w:rFonts w:hint="default"/>
      </w:rPr>
    </w:lvl>
    <w:lvl w:ilvl="8" w:tplc="68F64404">
      <w:start w:val="1"/>
      <w:numFmt w:val="bullet"/>
      <w:lvlText w:val="•"/>
      <w:lvlJc w:val="left"/>
      <w:pPr>
        <w:ind w:left="8201" w:hanging="495"/>
      </w:pPr>
      <w:rPr>
        <w:rFonts w:hint="default"/>
      </w:rPr>
    </w:lvl>
  </w:abstractNum>
  <w:abstractNum w:abstractNumId="3" w15:restartNumberingAfterBreak="0">
    <w:nsid w:val="6CB06968"/>
    <w:multiLevelType w:val="hybridMultilevel"/>
    <w:tmpl w:val="F90A9A0A"/>
    <w:lvl w:ilvl="0" w:tplc="0F684A78">
      <w:start w:val="1"/>
      <w:numFmt w:val="lowerLetter"/>
      <w:lvlText w:val="%1)"/>
      <w:lvlJc w:val="left"/>
      <w:pPr>
        <w:ind w:left="667" w:hanging="495"/>
      </w:pPr>
      <w:rPr>
        <w:rFonts w:ascii="Lucida Sans" w:eastAsia="Lucida Sans" w:hAnsi="Lucida Sans" w:hint="default"/>
        <w:color w:val="231F20"/>
        <w:spacing w:val="-1"/>
        <w:sz w:val="24"/>
        <w:szCs w:val="24"/>
      </w:rPr>
    </w:lvl>
    <w:lvl w:ilvl="1" w:tplc="31F28C8A">
      <w:start w:val="1"/>
      <w:numFmt w:val="bullet"/>
      <w:lvlText w:val="•"/>
      <w:lvlJc w:val="left"/>
      <w:pPr>
        <w:ind w:left="1609" w:hanging="495"/>
      </w:pPr>
      <w:rPr>
        <w:rFonts w:hint="default"/>
      </w:rPr>
    </w:lvl>
    <w:lvl w:ilvl="2" w:tplc="F962ACC6">
      <w:start w:val="1"/>
      <w:numFmt w:val="bullet"/>
      <w:lvlText w:val="•"/>
      <w:lvlJc w:val="left"/>
      <w:pPr>
        <w:ind w:left="2551" w:hanging="495"/>
      </w:pPr>
      <w:rPr>
        <w:rFonts w:hint="default"/>
      </w:rPr>
    </w:lvl>
    <w:lvl w:ilvl="3" w:tplc="D99A88BE">
      <w:start w:val="1"/>
      <w:numFmt w:val="bullet"/>
      <w:lvlText w:val="•"/>
      <w:lvlJc w:val="left"/>
      <w:pPr>
        <w:ind w:left="3492" w:hanging="495"/>
      </w:pPr>
      <w:rPr>
        <w:rFonts w:hint="default"/>
      </w:rPr>
    </w:lvl>
    <w:lvl w:ilvl="4" w:tplc="70AABE7C">
      <w:start w:val="1"/>
      <w:numFmt w:val="bullet"/>
      <w:lvlText w:val="•"/>
      <w:lvlJc w:val="left"/>
      <w:pPr>
        <w:ind w:left="4434" w:hanging="495"/>
      </w:pPr>
      <w:rPr>
        <w:rFonts w:hint="default"/>
      </w:rPr>
    </w:lvl>
    <w:lvl w:ilvl="5" w:tplc="38DA917E">
      <w:start w:val="1"/>
      <w:numFmt w:val="bullet"/>
      <w:lvlText w:val="•"/>
      <w:lvlJc w:val="left"/>
      <w:pPr>
        <w:ind w:left="5376" w:hanging="495"/>
      </w:pPr>
      <w:rPr>
        <w:rFonts w:hint="default"/>
      </w:rPr>
    </w:lvl>
    <w:lvl w:ilvl="6" w:tplc="12E43578">
      <w:start w:val="1"/>
      <w:numFmt w:val="bullet"/>
      <w:lvlText w:val="•"/>
      <w:lvlJc w:val="left"/>
      <w:pPr>
        <w:ind w:left="6318" w:hanging="495"/>
      </w:pPr>
      <w:rPr>
        <w:rFonts w:hint="default"/>
      </w:rPr>
    </w:lvl>
    <w:lvl w:ilvl="7" w:tplc="CAAA87D0">
      <w:start w:val="1"/>
      <w:numFmt w:val="bullet"/>
      <w:lvlText w:val="•"/>
      <w:lvlJc w:val="left"/>
      <w:pPr>
        <w:ind w:left="7260" w:hanging="495"/>
      </w:pPr>
      <w:rPr>
        <w:rFonts w:hint="default"/>
      </w:rPr>
    </w:lvl>
    <w:lvl w:ilvl="8" w:tplc="B98A73D8">
      <w:start w:val="1"/>
      <w:numFmt w:val="bullet"/>
      <w:lvlText w:val="•"/>
      <w:lvlJc w:val="left"/>
      <w:pPr>
        <w:ind w:left="8201" w:hanging="495"/>
      </w:pPr>
      <w:rPr>
        <w:rFonts w:hint="default"/>
      </w:rPr>
    </w:lvl>
  </w:abstractNum>
  <w:abstractNum w:abstractNumId="4" w15:restartNumberingAfterBreak="0">
    <w:nsid w:val="71A63AC9"/>
    <w:multiLevelType w:val="hybridMultilevel"/>
    <w:tmpl w:val="C0225A4C"/>
    <w:lvl w:ilvl="0" w:tplc="74E052FC">
      <w:start w:val="1"/>
      <w:numFmt w:val="decimal"/>
      <w:lvlText w:val="%1."/>
      <w:lvlJc w:val="left"/>
      <w:pPr>
        <w:ind w:left="520" w:hanging="429"/>
        <w:jc w:val="right"/>
      </w:pPr>
      <w:rPr>
        <w:rFonts w:ascii="Calibri" w:eastAsia="Calibri" w:hAnsi="Calibri" w:hint="default"/>
        <w:b/>
        <w:bCs/>
        <w:color w:val="034EA2"/>
        <w:w w:val="94"/>
        <w:sz w:val="24"/>
        <w:szCs w:val="24"/>
      </w:rPr>
    </w:lvl>
    <w:lvl w:ilvl="1" w:tplc="FE54A8A8">
      <w:start w:val="1"/>
      <w:numFmt w:val="lowerLetter"/>
      <w:lvlText w:val="%2)"/>
      <w:lvlJc w:val="left"/>
      <w:pPr>
        <w:ind w:left="1587" w:hanging="495"/>
        <w:jc w:val="right"/>
      </w:pPr>
      <w:rPr>
        <w:rFonts w:ascii="Lucida Sans" w:eastAsia="Lucida Sans" w:hAnsi="Lucida Sans" w:hint="default"/>
        <w:color w:val="231F20"/>
        <w:spacing w:val="-1"/>
        <w:sz w:val="24"/>
        <w:szCs w:val="24"/>
      </w:rPr>
    </w:lvl>
    <w:lvl w:ilvl="2" w:tplc="A77CF402">
      <w:start w:val="1"/>
      <w:numFmt w:val="bullet"/>
      <w:lvlText w:val="•"/>
      <w:lvlJc w:val="left"/>
      <w:pPr>
        <w:ind w:left="2633" w:hanging="495"/>
      </w:pPr>
      <w:rPr>
        <w:rFonts w:hint="default"/>
      </w:rPr>
    </w:lvl>
    <w:lvl w:ilvl="3" w:tplc="976C86F2">
      <w:start w:val="1"/>
      <w:numFmt w:val="bullet"/>
      <w:lvlText w:val="•"/>
      <w:lvlJc w:val="left"/>
      <w:pPr>
        <w:ind w:left="3680" w:hanging="495"/>
      </w:pPr>
      <w:rPr>
        <w:rFonts w:hint="default"/>
      </w:rPr>
    </w:lvl>
    <w:lvl w:ilvl="4" w:tplc="60089A18">
      <w:start w:val="1"/>
      <w:numFmt w:val="bullet"/>
      <w:lvlText w:val="•"/>
      <w:lvlJc w:val="left"/>
      <w:pPr>
        <w:ind w:left="4726" w:hanging="495"/>
      </w:pPr>
      <w:rPr>
        <w:rFonts w:hint="default"/>
      </w:rPr>
    </w:lvl>
    <w:lvl w:ilvl="5" w:tplc="22D0D2E8">
      <w:start w:val="1"/>
      <w:numFmt w:val="bullet"/>
      <w:lvlText w:val="•"/>
      <w:lvlJc w:val="left"/>
      <w:pPr>
        <w:ind w:left="5773" w:hanging="495"/>
      </w:pPr>
      <w:rPr>
        <w:rFonts w:hint="default"/>
      </w:rPr>
    </w:lvl>
    <w:lvl w:ilvl="6" w:tplc="BBBA4544">
      <w:start w:val="1"/>
      <w:numFmt w:val="bullet"/>
      <w:lvlText w:val="•"/>
      <w:lvlJc w:val="left"/>
      <w:pPr>
        <w:ind w:left="6819" w:hanging="495"/>
      </w:pPr>
      <w:rPr>
        <w:rFonts w:hint="default"/>
      </w:rPr>
    </w:lvl>
    <w:lvl w:ilvl="7" w:tplc="D62E48DA">
      <w:start w:val="1"/>
      <w:numFmt w:val="bullet"/>
      <w:lvlText w:val="•"/>
      <w:lvlJc w:val="left"/>
      <w:pPr>
        <w:ind w:left="7866" w:hanging="495"/>
      </w:pPr>
      <w:rPr>
        <w:rFonts w:hint="default"/>
      </w:rPr>
    </w:lvl>
    <w:lvl w:ilvl="8" w:tplc="64E418F4">
      <w:start w:val="1"/>
      <w:numFmt w:val="bullet"/>
      <w:lvlText w:val="•"/>
      <w:lvlJc w:val="left"/>
      <w:pPr>
        <w:ind w:left="8912" w:hanging="495"/>
      </w:pPr>
      <w:rPr>
        <w:rFonts w:hint="default"/>
      </w:rPr>
    </w:lvl>
  </w:abstractNum>
  <w:abstractNum w:abstractNumId="5" w15:restartNumberingAfterBreak="0">
    <w:nsid w:val="7E9B4943"/>
    <w:multiLevelType w:val="hybridMultilevel"/>
    <w:tmpl w:val="C19E7CB4"/>
    <w:lvl w:ilvl="0" w:tplc="ACE0A840">
      <w:start w:val="1"/>
      <w:numFmt w:val="lowerLetter"/>
      <w:lvlText w:val="%1)"/>
      <w:lvlJc w:val="left"/>
      <w:pPr>
        <w:ind w:left="667" w:hanging="495"/>
      </w:pPr>
      <w:rPr>
        <w:rFonts w:ascii="Lucida Sans" w:eastAsia="Lucida Sans" w:hAnsi="Lucida Sans" w:hint="default"/>
        <w:color w:val="231F20"/>
        <w:spacing w:val="-1"/>
        <w:sz w:val="24"/>
        <w:szCs w:val="24"/>
      </w:rPr>
    </w:lvl>
    <w:lvl w:ilvl="1" w:tplc="3364F3A2">
      <w:start w:val="1"/>
      <w:numFmt w:val="bullet"/>
      <w:lvlText w:val="•"/>
      <w:lvlJc w:val="left"/>
      <w:pPr>
        <w:ind w:left="1609" w:hanging="495"/>
      </w:pPr>
      <w:rPr>
        <w:rFonts w:hint="default"/>
      </w:rPr>
    </w:lvl>
    <w:lvl w:ilvl="2" w:tplc="36DC17CE">
      <w:start w:val="1"/>
      <w:numFmt w:val="bullet"/>
      <w:lvlText w:val="•"/>
      <w:lvlJc w:val="left"/>
      <w:pPr>
        <w:ind w:left="2551" w:hanging="495"/>
      </w:pPr>
      <w:rPr>
        <w:rFonts w:hint="default"/>
      </w:rPr>
    </w:lvl>
    <w:lvl w:ilvl="3" w:tplc="A71C83D2">
      <w:start w:val="1"/>
      <w:numFmt w:val="bullet"/>
      <w:lvlText w:val="•"/>
      <w:lvlJc w:val="left"/>
      <w:pPr>
        <w:ind w:left="3492" w:hanging="495"/>
      </w:pPr>
      <w:rPr>
        <w:rFonts w:hint="default"/>
      </w:rPr>
    </w:lvl>
    <w:lvl w:ilvl="4" w:tplc="9058150E">
      <w:start w:val="1"/>
      <w:numFmt w:val="bullet"/>
      <w:lvlText w:val="•"/>
      <w:lvlJc w:val="left"/>
      <w:pPr>
        <w:ind w:left="4434" w:hanging="495"/>
      </w:pPr>
      <w:rPr>
        <w:rFonts w:hint="default"/>
      </w:rPr>
    </w:lvl>
    <w:lvl w:ilvl="5" w:tplc="35627F52">
      <w:start w:val="1"/>
      <w:numFmt w:val="bullet"/>
      <w:lvlText w:val="•"/>
      <w:lvlJc w:val="left"/>
      <w:pPr>
        <w:ind w:left="5376" w:hanging="495"/>
      </w:pPr>
      <w:rPr>
        <w:rFonts w:hint="default"/>
      </w:rPr>
    </w:lvl>
    <w:lvl w:ilvl="6" w:tplc="E4623A2C">
      <w:start w:val="1"/>
      <w:numFmt w:val="bullet"/>
      <w:lvlText w:val="•"/>
      <w:lvlJc w:val="left"/>
      <w:pPr>
        <w:ind w:left="6318" w:hanging="495"/>
      </w:pPr>
      <w:rPr>
        <w:rFonts w:hint="default"/>
      </w:rPr>
    </w:lvl>
    <w:lvl w:ilvl="7" w:tplc="1FB23270">
      <w:start w:val="1"/>
      <w:numFmt w:val="bullet"/>
      <w:lvlText w:val="•"/>
      <w:lvlJc w:val="left"/>
      <w:pPr>
        <w:ind w:left="7260" w:hanging="495"/>
      </w:pPr>
      <w:rPr>
        <w:rFonts w:hint="default"/>
      </w:rPr>
    </w:lvl>
    <w:lvl w:ilvl="8" w:tplc="775686B4">
      <w:start w:val="1"/>
      <w:numFmt w:val="bullet"/>
      <w:lvlText w:val="•"/>
      <w:lvlJc w:val="left"/>
      <w:pPr>
        <w:ind w:left="8201" w:hanging="495"/>
      </w:pPr>
      <w:rPr>
        <w:rFont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9552A"/>
    <w:rsid w:val="00045C14"/>
    <w:rsid w:val="000D62B0"/>
    <w:rsid w:val="002D44A1"/>
    <w:rsid w:val="00380D04"/>
    <w:rsid w:val="0039552A"/>
    <w:rsid w:val="003D4BFB"/>
    <w:rsid w:val="00483CEC"/>
    <w:rsid w:val="00601FEA"/>
    <w:rsid w:val="006D7E33"/>
    <w:rsid w:val="00891BBE"/>
    <w:rsid w:val="009100E9"/>
    <w:rsid w:val="009156C8"/>
    <w:rsid w:val="00AF37F9"/>
    <w:rsid w:val="00AF5E78"/>
    <w:rsid w:val="00B36391"/>
    <w:rsid w:val="00BB7AA9"/>
    <w:rsid w:val="00C666BD"/>
    <w:rsid w:val="00F13C13"/>
    <w:rsid w:val="00FE4D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2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4"/>
      <w:ind w:left="520" w:hanging="416"/>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667"/>
    </w:pPr>
    <w:rPr>
      <w:rFonts w:ascii="Lucida Sans" w:eastAsia="Lucida Sans" w:hAnsi="Lucida San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D62B0"/>
    <w:pPr>
      <w:tabs>
        <w:tab w:val="center" w:pos="4153"/>
        <w:tab w:val="right" w:pos="8306"/>
      </w:tabs>
    </w:pPr>
  </w:style>
  <w:style w:type="character" w:customStyle="1" w:styleId="HeaderChar">
    <w:name w:val="Header Char"/>
    <w:basedOn w:val="DefaultParagraphFont"/>
    <w:link w:val="Header"/>
    <w:uiPriority w:val="99"/>
    <w:rsid w:val="000D62B0"/>
  </w:style>
  <w:style w:type="paragraph" w:styleId="Footer">
    <w:name w:val="footer"/>
    <w:basedOn w:val="Normal"/>
    <w:link w:val="FooterChar"/>
    <w:uiPriority w:val="99"/>
    <w:unhideWhenUsed/>
    <w:rsid w:val="000D62B0"/>
    <w:pPr>
      <w:tabs>
        <w:tab w:val="center" w:pos="4153"/>
        <w:tab w:val="right" w:pos="8306"/>
      </w:tabs>
    </w:pPr>
  </w:style>
  <w:style w:type="character" w:customStyle="1" w:styleId="FooterChar">
    <w:name w:val="Footer Char"/>
    <w:basedOn w:val="DefaultParagraphFont"/>
    <w:link w:val="Footer"/>
    <w:uiPriority w:val="99"/>
    <w:rsid w:val="000D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D0FEC-6725-41DB-9F67-5D45035E48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10DCC1-C73F-45C5-8853-1E8F300FFE7F}">
  <ds:schemaRefs>
    <ds:schemaRef ds:uri="http://schemas.microsoft.com/sharepoint/v3/contenttype/forms"/>
  </ds:schemaRefs>
</ds:datastoreItem>
</file>

<file path=customXml/itemProps3.xml><?xml version="1.0" encoding="utf-8"?>
<ds:datastoreItem xmlns:ds="http://schemas.openxmlformats.org/officeDocument/2006/customXml" ds:itemID="{C8D0D533-AFE9-49B9-9387-1CFDBE30FE87}">
  <ds:schemaRefs>
    <ds:schemaRef ds:uri="http://schemas.openxmlformats.org/officeDocument/2006/bibliography"/>
  </ds:schemaRefs>
</ds:datastoreItem>
</file>

<file path=customXml/itemProps4.xml><?xml version="1.0" encoding="utf-8"?>
<ds:datastoreItem xmlns:ds="http://schemas.openxmlformats.org/officeDocument/2006/customXml" ds:itemID="{147878C4-CF79-4805-9689-CAA9195A3BE5}"/>
</file>

<file path=docProps/app.xml><?xml version="1.0" encoding="utf-8"?>
<Properties xmlns="http://schemas.openxmlformats.org/officeDocument/2006/extended-properties" xmlns:vt="http://schemas.openxmlformats.org/officeDocument/2006/docPropsVTypes">
  <Template>Normal</Template>
  <TotalTime>0</TotalTime>
  <Pages>9</Pages>
  <Words>12924</Words>
  <Characters>7367</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2021-02-08T11:30:00Z</dcterms:created>
  <dcterms:modified xsi:type="dcterms:W3CDTF">2021-06-10T09:58:00Z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