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56CAF" w14:textId="77777777" w:rsidR="00321226" w:rsidRPr="004B0C5B" w:rsidRDefault="00321226" w:rsidP="00884E3D">
      <w:pPr>
        <w:jc w:val="both"/>
        <w:rPr>
          <w:rFonts w:ascii="Times New Roman" w:eastAsia="Times New Roman" w:hAnsi="Times New Roman" w:cs="Times New Roman"/>
          <w:noProof/>
          <w:sz w:val="24"/>
          <w:szCs w:val="20"/>
        </w:rPr>
      </w:pPr>
    </w:p>
    <w:p w14:paraId="20B9DC57" w14:textId="5D335532" w:rsidR="00321226" w:rsidRPr="004B0C5B" w:rsidRDefault="00321226" w:rsidP="00884E3D">
      <w:pPr>
        <w:jc w:val="both"/>
        <w:rPr>
          <w:rFonts w:ascii="Times New Roman" w:eastAsia="Times New Roman" w:hAnsi="Times New Roman" w:cs="Times New Roman"/>
          <w:noProof/>
          <w:sz w:val="24"/>
          <w:szCs w:val="29"/>
        </w:rPr>
      </w:pPr>
    </w:p>
    <w:p w14:paraId="15583542" w14:textId="77777777" w:rsidR="003D6ACC" w:rsidRPr="004B0C5B" w:rsidRDefault="003D6ACC" w:rsidP="00884E3D">
      <w:pPr>
        <w:jc w:val="both"/>
        <w:rPr>
          <w:rFonts w:ascii="Times New Roman" w:eastAsia="Times New Roman" w:hAnsi="Times New Roman" w:cs="Times New Roman"/>
          <w:noProof/>
          <w:sz w:val="24"/>
          <w:szCs w:val="29"/>
        </w:rPr>
      </w:pPr>
    </w:p>
    <w:p w14:paraId="2CE040BB" w14:textId="77777777" w:rsidR="004B0C5B" w:rsidRPr="004B0C5B" w:rsidRDefault="004B0C5B" w:rsidP="004B0C5B">
      <w:pPr>
        <w:jc w:val="both"/>
        <w:rPr>
          <w:rFonts w:ascii="Times New Roman" w:hAnsi="Times New Roman"/>
          <w:sz w:val="24"/>
        </w:rPr>
      </w:pPr>
    </w:p>
    <w:p w14:paraId="114B1053" w14:textId="77777777" w:rsidR="004B0C5B" w:rsidRPr="004B0C5B" w:rsidRDefault="004B0C5B" w:rsidP="004B0C5B">
      <w:pPr>
        <w:jc w:val="both"/>
        <w:rPr>
          <w:rFonts w:ascii="Times New Roman" w:hAnsi="Times New Roman"/>
          <w:sz w:val="24"/>
        </w:rPr>
      </w:pPr>
    </w:p>
    <w:p w14:paraId="20D2EFA6" w14:textId="77777777" w:rsidR="004B0C5B" w:rsidRPr="004B0C5B" w:rsidRDefault="004B0C5B" w:rsidP="004B0C5B">
      <w:pPr>
        <w:jc w:val="both"/>
        <w:rPr>
          <w:rFonts w:ascii="Times New Roman" w:hAnsi="Times New Roman"/>
          <w:sz w:val="24"/>
        </w:rPr>
      </w:pPr>
    </w:p>
    <w:p w14:paraId="5F9C56D5" w14:textId="77777777" w:rsidR="004B0C5B" w:rsidRPr="004B0C5B" w:rsidRDefault="004B0C5B" w:rsidP="004B0C5B">
      <w:pPr>
        <w:jc w:val="both"/>
        <w:rPr>
          <w:rFonts w:ascii="Times New Roman" w:hAnsi="Times New Roman"/>
          <w:sz w:val="24"/>
        </w:rPr>
      </w:pPr>
    </w:p>
    <w:p w14:paraId="47C8A206" w14:textId="1341DF57" w:rsidR="004B0C5B" w:rsidRDefault="004B0C5B" w:rsidP="004B0C5B">
      <w:pPr>
        <w:jc w:val="both"/>
        <w:rPr>
          <w:rFonts w:ascii="Times New Roman" w:hAnsi="Times New Roman"/>
          <w:sz w:val="24"/>
        </w:rPr>
      </w:pPr>
    </w:p>
    <w:p w14:paraId="6121BA3C" w14:textId="65F28163" w:rsidR="009D142F" w:rsidRDefault="009D142F" w:rsidP="004B0C5B">
      <w:pPr>
        <w:jc w:val="both"/>
        <w:rPr>
          <w:rFonts w:ascii="Times New Roman" w:hAnsi="Times New Roman"/>
          <w:sz w:val="24"/>
        </w:rPr>
      </w:pPr>
    </w:p>
    <w:p w14:paraId="235A9AE4" w14:textId="65F4F431" w:rsidR="009D142F" w:rsidRDefault="009D142F" w:rsidP="004B0C5B">
      <w:pPr>
        <w:jc w:val="both"/>
        <w:rPr>
          <w:rFonts w:ascii="Times New Roman" w:hAnsi="Times New Roman"/>
          <w:sz w:val="24"/>
        </w:rPr>
      </w:pPr>
    </w:p>
    <w:p w14:paraId="0148F411" w14:textId="77777777" w:rsidR="009D142F" w:rsidRPr="004B0C5B" w:rsidRDefault="009D142F" w:rsidP="004B0C5B">
      <w:pPr>
        <w:jc w:val="both"/>
        <w:rPr>
          <w:rFonts w:ascii="Times New Roman" w:hAnsi="Times New Roman"/>
          <w:sz w:val="24"/>
        </w:rPr>
      </w:pPr>
    </w:p>
    <w:p w14:paraId="54556AD7" w14:textId="0BBC0997" w:rsidR="00321226" w:rsidRPr="003D6ACC" w:rsidRDefault="00321226" w:rsidP="003D6ACC">
      <w:pPr>
        <w:jc w:val="right"/>
        <w:rPr>
          <w:rFonts w:ascii="Times New Roman" w:hAnsi="Times New Roman"/>
          <w:b/>
          <w:noProof/>
          <w:sz w:val="36"/>
          <w:szCs w:val="32"/>
        </w:rPr>
      </w:pPr>
      <w:r w:rsidRPr="003D6ACC">
        <w:rPr>
          <w:rFonts w:ascii="Times New Roman" w:hAnsi="Times New Roman"/>
          <w:b/>
          <w:sz w:val="36"/>
          <w:szCs w:val="32"/>
        </w:rPr>
        <w:t>JAUNĀ LEIPCIGAS HARTA</w:t>
      </w:r>
    </w:p>
    <w:p w14:paraId="0A343C63" w14:textId="134CD0AB" w:rsidR="00321226" w:rsidRPr="004B0C5B" w:rsidRDefault="00321226" w:rsidP="003D6ACC">
      <w:pPr>
        <w:jc w:val="right"/>
        <w:rPr>
          <w:rFonts w:ascii="Times New Roman" w:hAnsi="Times New Roman"/>
          <w:b/>
          <w:noProof/>
          <w:sz w:val="28"/>
          <w:szCs w:val="24"/>
        </w:rPr>
      </w:pPr>
      <w:r w:rsidRPr="004B0C5B">
        <w:rPr>
          <w:rFonts w:ascii="Times New Roman" w:hAnsi="Times New Roman"/>
          <w:b/>
          <w:sz w:val="28"/>
          <w:szCs w:val="24"/>
        </w:rPr>
        <w:t>Pilsētu pārveidojošais spēks kopīgam labumam</w:t>
      </w:r>
    </w:p>
    <w:p w14:paraId="10FD5EBC" w14:textId="77777777" w:rsidR="00321226" w:rsidRPr="00884E3D" w:rsidRDefault="00321226" w:rsidP="00E85E31">
      <w:pPr>
        <w:jc w:val="both"/>
        <w:rPr>
          <w:rFonts w:ascii="Times New Roman" w:eastAsia="Segoe UI" w:hAnsi="Times New Roman" w:cs="Segoe UI"/>
          <w:b/>
          <w:bCs/>
          <w:noProof/>
          <w:sz w:val="24"/>
          <w:szCs w:val="41"/>
        </w:rPr>
      </w:pPr>
    </w:p>
    <w:p w14:paraId="714DBDAD" w14:textId="77777777" w:rsidR="00E85E31" w:rsidRDefault="00E85E31" w:rsidP="00E85E31">
      <w:pPr>
        <w:jc w:val="both"/>
        <w:rPr>
          <w:rFonts w:ascii="Times New Roman" w:hAnsi="Times New Roman"/>
          <w:sz w:val="24"/>
        </w:rPr>
      </w:pPr>
    </w:p>
    <w:p w14:paraId="1ACE3B19" w14:textId="77777777" w:rsidR="00E85E31" w:rsidRDefault="00E85E31" w:rsidP="00E85E31">
      <w:pPr>
        <w:jc w:val="both"/>
        <w:rPr>
          <w:rFonts w:ascii="Times New Roman" w:hAnsi="Times New Roman"/>
          <w:sz w:val="24"/>
        </w:rPr>
      </w:pPr>
    </w:p>
    <w:p w14:paraId="366B7B20" w14:textId="77777777" w:rsidR="00E85E31" w:rsidRDefault="00E85E31" w:rsidP="00E85E31">
      <w:pPr>
        <w:jc w:val="both"/>
        <w:rPr>
          <w:rFonts w:ascii="Times New Roman" w:hAnsi="Times New Roman"/>
          <w:sz w:val="24"/>
        </w:rPr>
      </w:pPr>
    </w:p>
    <w:p w14:paraId="692F5FC7" w14:textId="77777777" w:rsidR="00E85E31" w:rsidRDefault="00E85E31" w:rsidP="00E85E31">
      <w:pPr>
        <w:jc w:val="both"/>
        <w:rPr>
          <w:rFonts w:ascii="Times New Roman" w:hAnsi="Times New Roman"/>
          <w:sz w:val="24"/>
        </w:rPr>
      </w:pPr>
    </w:p>
    <w:p w14:paraId="43BECB5D" w14:textId="77777777" w:rsidR="00E85E31" w:rsidRDefault="00E85E31" w:rsidP="00E85E31">
      <w:pPr>
        <w:jc w:val="both"/>
        <w:rPr>
          <w:rFonts w:ascii="Times New Roman" w:hAnsi="Times New Roman"/>
          <w:sz w:val="24"/>
        </w:rPr>
      </w:pPr>
    </w:p>
    <w:p w14:paraId="6DE10520" w14:textId="77777777" w:rsidR="00E85E31" w:rsidRDefault="00E85E31" w:rsidP="00E85E31">
      <w:pPr>
        <w:jc w:val="both"/>
        <w:rPr>
          <w:rFonts w:ascii="Times New Roman" w:hAnsi="Times New Roman"/>
          <w:sz w:val="24"/>
        </w:rPr>
      </w:pPr>
    </w:p>
    <w:p w14:paraId="3296EBA1" w14:textId="77777777" w:rsidR="00E85E31" w:rsidRDefault="00E85E31" w:rsidP="00E85E31">
      <w:pPr>
        <w:jc w:val="both"/>
        <w:rPr>
          <w:rFonts w:ascii="Times New Roman" w:hAnsi="Times New Roman"/>
          <w:sz w:val="24"/>
        </w:rPr>
      </w:pPr>
    </w:p>
    <w:p w14:paraId="6E4E356D" w14:textId="77777777" w:rsidR="00E85E31" w:rsidRDefault="00E85E31" w:rsidP="00E85E31">
      <w:pPr>
        <w:jc w:val="both"/>
        <w:rPr>
          <w:rFonts w:ascii="Times New Roman" w:hAnsi="Times New Roman"/>
          <w:sz w:val="24"/>
        </w:rPr>
      </w:pPr>
    </w:p>
    <w:p w14:paraId="3059667C" w14:textId="77777777" w:rsidR="00E85E31" w:rsidRDefault="00E85E31" w:rsidP="00E85E31">
      <w:pPr>
        <w:jc w:val="both"/>
        <w:rPr>
          <w:rFonts w:ascii="Times New Roman" w:hAnsi="Times New Roman"/>
          <w:sz w:val="24"/>
        </w:rPr>
      </w:pPr>
    </w:p>
    <w:p w14:paraId="2C70700D" w14:textId="77777777" w:rsidR="00E85E31" w:rsidRDefault="00E85E31" w:rsidP="00E85E31">
      <w:pPr>
        <w:jc w:val="both"/>
        <w:rPr>
          <w:rFonts w:ascii="Times New Roman" w:hAnsi="Times New Roman"/>
          <w:sz w:val="24"/>
        </w:rPr>
      </w:pPr>
    </w:p>
    <w:p w14:paraId="13BAABED" w14:textId="77777777" w:rsidR="00E85E31" w:rsidRDefault="00E85E31" w:rsidP="00E85E31">
      <w:pPr>
        <w:jc w:val="both"/>
        <w:rPr>
          <w:rFonts w:ascii="Times New Roman" w:hAnsi="Times New Roman"/>
          <w:sz w:val="24"/>
        </w:rPr>
      </w:pPr>
    </w:p>
    <w:p w14:paraId="074C8F52" w14:textId="77777777" w:rsidR="00E85E31" w:rsidRDefault="00E85E31" w:rsidP="00E85E31">
      <w:pPr>
        <w:jc w:val="both"/>
        <w:rPr>
          <w:rFonts w:ascii="Times New Roman" w:hAnsi="Times New Roman"/>
          <w:sz w:val="24"/>
        </w:rPr>
      </w:pPr>
    </w:p>
    <w:p w14:paraId="17CD5062" w14:textId="77777777" w:rsidR="00E85E31" w:rsidRDefault="00E85E31" w:rsidP="00E85E31">
      <w:pPr>
        <w:jc w:val="both"/>
        <w:rPr>
          <w:rFonts w:ascii="Times New Roman" w:hAnsi="Times New Roman"/>
          <w:sz w:val="24"/>
        </w:rPr>
      </w:pPr>
    </w:p>
    <w:p w14:paraId="78745DE2" w14:textId="77777777" w:rsidR="00E85E31" w:rsidRDefault="00E85E31" w:rsidP="00E85E31">
      <w:pPr>
        <w:jc w:val="both"/>
        <w:rPr>
          <w:rFonts w:ascii="Times New Roman" w:hAnsi="Times New Roman"/>
          <w:sz w:val="24"/>
        </w:rPr>
      </w:pPr>
    </w:p>
    <w:p w14:paraId="4EB1B1BD" w14:textId="77777777" w:rsidR="00E85E31" w:rsidRDefault="00E85E31" w:rsidP="00E85E31">
      <w:pPr>
        <w:jc w:val="both"/>
        <w:rPr>
          <w:rFonts w:ascii="Times New Roman" w:hAnsi="Times New Roman"/>
          <w:sz w:val="24"/>
        </w:rPr>
      </w:pPr>
    </w:p>
    <w:p w14:paraId="1E0492B8" w14:textId="77777777" w:rsidR="00E85E31" w:rsidRDefault="00E85E31" w:rsidP="00E85E31">
      <w:pPr>
        <w:jc w:val="both"/>
        <w:rPr>
          <w:rFonts w:ascii="Times New Roman" w:hAnsi="Times New Roman"/>
          <w:sz w:val="24"/>
        </w:rPr>
      </w:pPr>
    </w:p>
    <w:p w14:paraId="52318EF4" w14:textId="77777777" w:rsidR="00E85E31" w:rsidRDefault="00E85E31" w:rsidP="00E85E31">
      <w:pPr>
        <w:jc w:val="both"/>
        <w:rPr>
          <w:rFonts w:ascii="Times New Roman" w:hAnsi="Times New Roman"/>
          <w:sz w:val="24"/>
        </w:rPr>
      </w:pPr>
    </w:p>
    <w:p w14:paraId="61E967BA" w14:textId="77777777" w:rsidR="00E85E31" w:rsidRDefault="00E85E31" w:rsidP="00E85E31">
      <w:pPr>
        <w:jc w:val="both"/>
        <w:rPr>
          <w:rFonts w:ascii="Times New Roman" w:hAnsi="Times New Roman"/>
          <w:sz w:val="24"/>
        </w:rPr>
      </w:pPr>
    </w:p>
    <w:p w14:paraId="0F4E7A73" w14:textId="77777777" w:rsidR="00E85E31" w:rsidRDefault="00E85E31" w:rsidP="00E85E31">
      <w:pPr>
        <w:jc w:val="both"/>
        <w:rPr>
          <w:rFonts w:ascii="Times New Roman" w:hAnsi="Times New Roman"/>
          <w:sz w:val="24"/>
        </w:rPr>
      </w:pPr>
    </w:p>
    <w:p w14:paraId="6059D535" w14:textId="77777777" w:rsidR="00E85E31" w:rsidRDefault="00E85E31" w:rsidP="00E85E31">
      <w:pPr>
        <w:jc w:val="both"/>
        <w:rPr>
          <w:rFonts w:ascii="Times New Roman" w:hAnsi="Times New Roman"/>
          <w:sz w:val="24"/>
        </w:rPr>
      </w:pPr>
    </w:p>
    <w:p w14:paraId="6DD6ABE0" w14:textId="77777777" w:rsidR="00E85E31" w:rsidRDefault="00E85E31" w:rsidP="00E85E31">
      <w:pPr>
        <w:jc w:val="both"/>
        <w:rPr>
          <w:rFonts w:ascii="Times New Roman" w:hAnsi="Times New Roman"/>
          <w:sz w:val="24"/>
        </w:rPr>
      </w:pPr>
    </w:p>
    <w:p w14:paraId="3330F195" w14:textId="77777777" w:rsidR="00E85E31" w:rsidRDefault="00E85E31" w:rsidP="00E85E31">
      <w:pPr>
        <w:jc w:val="both"/>
        <w:rPr>
          <w:rFonts w:ascii="Times New Roman" w:hAnsi="Times New Roman"/>
          <w:sz w:val="24"/>
        </w:rPr>
      </w:pPr>
    </w:p>
    <w:p w14:paraId="515DB523" w14:textId="77777777" w:rsidR="00E85E31" w:rsidRDefault="00E85E31" w:rsidP="00E85E31">
      <w:pPr>
        <w:jc w:val="both"/>
        <w:rPr>
          <w:rFonts w:ascii="Times New Roman" w:hAnsi="Times New Roman"/>
          <w:sz w:val="24"/>
        </w:rPr>
      </w:pPr>
    </w:p>
    <w:p w14:paraId="3D1FA6C2" w14:textId="77777777" w:rsidR="00E85E31" w:rsidRDefault="00E85E31" w:rsidP="00E85E31">
      <w:pPr>
        <w:jc w:val="both"/>
        <w:rPr>
          <w:rFonts w:ascii="Times New Roman" w:hAnsi="Times New Roman"/>
          <w:sz w:val="24"/>
        </w:rPr>
      </w:pPr>
    </w:p>
    <w:p w14:paraId="665E9722" w14:textId="77777777" w:rsidR="00E85E31" w:rsidRDefault="00E85E31" w:rsidP="00E85E31">
      <w:pPr>
        <w:jc w:val="both"/>
        <w:rPr>
          <w:rFonts w:ascii="Times New Roman" w:hAnsi="Times New Roman"/>
          <w:sz w:val="24"/>
        </w:rPr>
      </w:pPr>
    </w:p>
    <w:p w14:paraId="7B0AE50A" w14:textId="77777777" w:rsidR="00E85E31" w:rsidRDefault="00E85E31" w:rsidP="00E85E31">
      <w:pPr>
        <w:jc w:val="both"/>
        <w:rPr>
          <w:rFonts w:ascii="Times New Roman" w:hAnsi="Times New Roman"/>
          <w:sz w:val="24"/>
        </w:rPr>
      </w:pPr>
    </w:p>
    <w:p w14:paraId="16A5022E" w14:textId="77777777" w:rsidR="00E85E31" w:rsidRDefault="00E85E31" w:rsidP="00E85E31">
      <w:pPr>
        <w:jc w:val="both"/>
        <w:rPr>
          <w:rFonts w:ascii="Times New Roman" w:hAnsi="Times New Roman"/>
          <w:sz w:val="24"/>
        </w:rPr>
      </w:pPr>
    </w:p>
    <w:p w14:paraId="749F2C84" w14:textId="77777777" w:rsidR="00E85E31" w:rsidRDefault="00E85E31" w:rsidP="00E85E31">
      <w:pPr>
        <w:jc w:val="both"/>
        <w:rPr>
          <w:rFonts w:ascii="Times New Roman" w:hAnsi="Times New Roman"/>
          <w:sz w:val="24"/>
        </w:rPr>
      </w:pPr>
    </w:p>
    <w:p w14:paraId="3BA849B6" w14:textId="77777777" w:rsidR="00E85E31" w:rsidRDefault="00E85E31" w:rsidP="00E85E31">
      <w:pPr>
        <w:jc w:val="both"/>
        <w:rPr>
          <w:rFonts w:ascii="Times New Roman" w:hAnsi="Times New Roman"/>
          <w:sz w:val="24"/>
        </w:rPr>
      </w:pPr>
    </w:p>
    <w:p w14:paraId="779091C1" w14:textId="77777777" w:rsidR="00E85E31" w:rsidRDefault="00E85E31" w:rsidP="00E85E31">
      <w:pPr>
        <w:jc w:val="both"/>
        <w:rPr>
          <w:rFonts w:ascii="Times New Roman" w:hAnsi="Times New Roman"/>
          <w:sz w:val="24"/>
        </w:rPr>
      </w:pPr>
    </w:p>
    <w:p w14:paraId="7A07CB7B" w14:textId="77777777" w:rsidR="00E85E31" w:rsidRDefault="00E85E31" w:rsidP="00E85E31">
      <w:pPr>
        <w:jc w:val="both"/>
        <w:rPr>
          <w:rFonts w:ascii="Times New Roman" w:hAnsi="Times New Roman"/>
          <w:sz w:val="24"/>
        </w:rPr>
      </w:pPr>
    </w:p>
    <w:p w14:paraId="25AEE03E" w14:textId="77777777" w:rsidR="00E85E31" w:rsidRDefault="00E85E31" w:rsidP="00E85E31">
      <w:pPr>
        <w:jc w:val="both"/>
        <w:rPr>
          <w:rFonts w:ascii="Times New Roman" w:hAnsi="Times New Roman"/>
          <w:sz w:val="24"/>
        </w:rPr>
      </w:pPr>
    </w:p>
    <w:p w14:paraId="081B4FC9" w14:textId="77777777" w:rsidR="00E85E31" w:rsidRDefault="00E85E31" w:rsidP="00E85E31">
      <w:pPr>
        <w:jc w:val="both"/>
        <w:rPr>
          <w:rFonts w:ascii="Times New Roman" w:hAnsi="Times New Roman"/>
          <w:sz w:val="24"/>
        </w:rPr>
      </w:pPr>
    </w:p>
    <w:p w14:paraId="4F1F2DF8" w14:textId="77777777" w:rsidR="00E85E31" w:rsidRDefault="00E85E31" w:rsidP="00E85E31">
      <w:pPr>
        <w:jc w:val="both"/>
        <w:rPr>
          <w:rFonts w:ascii="Times New Roman" w:hAnsi="Times New Roman"/>
          <w:sz w:val="24"/>
        </w:rPr>
      </w:pPr>
    </w:p>
    <w:p w14:paraId="632811AF" w14:textId="07C2FFBF" w:rsidR="00321226" w:rsidRPr="00884E3D" w:rsidRDefault="00321226" w:rsidP="00E85E31">
      <w:pPr>
        <w:jc w:val="right"/>
        <w:rPr>
          <w:rFonts w:ascii="Times New Roman" w:hAnsi="Times New Roman"/>
          <w:noProof/>
          <w:sz w:val="24"/>
        </w:rPr>
      </w:pPr>
      <w:r>
        <w:rPr>
          <w:rFonts w:ascii="Times New Roman" w:hAnsi="Times New Roman"/>
          <w:sz w:val="24"/>
        </w:rPr>
        <w:t>Pieņemta ministru neformālajā sanāksmē par pilsētu jautājumiem 2020. gada 30. novembrī</w:t>
      </w:r>
    </w:p>
    <w:p w14:paraId="04EDE2A0" w14:textId="579B7DD5" w:rsidR="00884E3D" w:rsidRDefault="00884E3D">
      <w:pPr>
        <w:rPr>
          <w:rFonts w:ascii="Times New Roman" w:eastAsia="Segoe UI" w:hAnsi="Times New Roman" w:cs="Segoe UI"/>
          <w:noProof/>
          <w:sz w:val="24"/>
          <w:szCs w:val="18"/>
        </w:rPr>
      </w:pPr>
      <w:r>
        <w:br w:type="page"/>
      </w:r>
    </w:p>
    <w:p w14:paraId="033743A7" w14:textId="77777777" w:rsidR="00884E3D" w:rsidRDefault="00884E3D" w:rsidP="00884E3D">
      <w:pPr>
        <w:jc w:val="both"/>
        <w:rPr>
          <w:rFonts w:ascii="Times New Roman" w:eastAsia="Segoe UI" w:hAnsi="Times New Roman" w:cs="Segoe UI"/>
          <w:noProof/>
          <w:sz w:val="24"/>
          <w:szCs w:val="18"/>
        </w:rPr>
      </w:pPr>
    </w:p>
    <w:p w14:paraId="66FA07F3" w14:textId="35B7E2C3" w:rsidR="00321226" w:rsidRPr="00884E3D" w:rsidRDefault="001209CA" w:rsidP="00884E3D">
      <w:pPr>
        <w:tabs>
          <w:tab w:val="left" w:pos="492"/>
          <w:tab w:val="left" w:pos="1020"/>
        </w:tabs>
        <w:jc w:val="both"/>
        <w:rPr>
          <w:rFonts w:ascii="Times New Roman" w:eastAsia="Calibri" w:hAnsi="Times New Roman" w:cs="Calibri"/>
          <w:noProof/>
          <w:sz w:val="24"/>
          <w:szCs w:val="28"/>
        </w:rPr>
      </w:pPr>
      <w:r>
        <w:rPr>
          <w:rFonts w:ascii="Times New Roman" w:hAnsi="Times New Roman"/>
          <w:b/>
          <w:color w:val="034EA2"/>
          <w:sz w:val="24"/>
          <w:u w:val="thick" w:color="034EA2"/>
        </w:rPr>
        <w:t>A. PREAMBULA</w:t>
      </w:r>
    </w:p>
    <w:p w14:paraId="58BAD319" w14:textId="77777777" w:rsidR="001209CA" w:rsidRDefault="001209CA" w:rsidP="00884E3D">
      <w:pPr>
        <w:pStyle w:val="BodyText"/>
        <w:ind w:left="0"/>
        <w:jc w:val="both"/>
        <w:rPr>
          <w:rFonts w:ascii="Times New Roman" w:hAnsi="Times New Roman"/>
          <w:noProof/>
          <w:color w:val="231F20"/>
        </w:rPr>
      </w:pPr>
    </w:p>
    <w:p w14:paraId="210FD8B6" w14:textId="32C4C8C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2007. gada Leipcigas harta ir iedvesmojusi pilsētu politiku Eiropā un aiz tās robežām. Tās galvenais vēstījums – veicināt integrētu un ilgtspējīgu pilsētu attīstību – šodien ir tikpat aktuāls kā 2007. gadā. Tomēr mūsdienās tād</w:t>
      </w:r>
      <w:r w:rsidR="003270B0">
        <w:rPr>
          <w:rFonts w:ascii="Times New Roman" w:hAnsi="Times New Roman"/>
          <w:color w:val="231F20"/>
        </w:rPr>
        <w:t>ie</w:t>
      </w:r>
      <w:r>
        <w:rPr>
          <w:rFonts w:ascii="Times New Roman" w:hAnsi="Times New Roman"/>
          <w:color w:val="231F20"/>
        </w:rPr>
        <w:t>m neatliekam</w:t>
      </w:r>
      <w:r w:rsidR="003270B0">
        <w:rPr>
          <w:rFonts w:ascii="Times New Roman" w:hAnsi="Times New Roman"/>
          <w:color w:val="231F20"/>
        </w:rPr>
        <w:t>ie</w:t>
      </w:r>
      <w:r>
        <w:rPr>
          <w:rFonts w:ascii="Times New Roman" w:hAnsi="Times New Roman"/>
          <w:color w:val="231F20"/>
        </w:rPr>
        <w:t>m globāl</w:t>
      </w:r>
      <w:r w:rsidR="003270B0">
        <w:rPr>
          <w:rFonts w:ascii="Times New Roman" w:hAnsi="Times New Roman"/>
          <w:color w:val="231F20"/>
        </w:rPr>
        <w:t>ie</w:t>
      </w:r>
      <w:r>
        <w:rPr>
          <w:rFonts w:ascii="Times New Roman" w:hAnsi="Times New Roman"/>
          <w:color w:val="231F20"/>
        </w:rPr>
        <w:t xml:space="preserve">m </w:t>
      </w:r>
      <w:r w:rsidR="003270B0">
        <w:rPr>
          <w:rFonts w:ascii="Times New Roman" w:hAnsi="Times New Roman"/>
          <w:color w:val="231F20"/>
        </w:rPr>
        <w:t>izaicinājumiem</w:t>
      </w:r>
      <w:r>
        <w:rPr>
          <w:rFonts w:ascii="Times New Roman" w:hAnsi="Times New Roman"/>
          <w:color w:val="231F20"/>
        </w:rPr>
        <w:t xml:space="preserve"> kā klimata pārmaiņas, bioloģiskās daudzveidības zudums, resursu nepietiekamība, migrācijas plūsmas, demogrāfiskās izmaiņas, pandēmijas un strauji mainīga ekonomika ir tieša un lokāla ietekme uz pilsētām un lielpilsētām visā Eiropā. T</w:t>
      </w:r>
      <w:r w:rsidR="00261511">
        <w:rPr>
          <w:rFonts w:ascii="Times New Roman" w:hAnsi="Times New Roman"/>
          <w:color w:val="231F20"/>
        </w:rPr>
        <w:t>ie</w:t>
      </w:r>
      <w:r>
        <w:rPr>
          <w:rFonts w:ascii="Times New Roman" w:hAnsi="Times New Roman"/>
          <w:color w:val="231F20"/>
        </w:rPr>
        <w:t xml:space="preserve"> var arī pastiprināt atšķirības mūsu sabiedrībā. Turklāt digitālās tehnoloģijas krasi maina sabiedrību, radot potenciālus politiskos, sociālos, ekoloģiskos un ekonomiskos ieguvumus. Tomēr šīs tehnoloģijas arī </w:t>
      </w:r>
      <w:r w:rsidR="00713471">
        <w:rPr>
          <w:rFonts w:ascii="Times New Roman" w:hAnsi="Times New Roman"/>
          <w:color w:val="231F20"/>
        </w:rPr>
        <w:t>rada</w:t>
      </w:r>
      <w:r>
        <w:rPr>
          <w:rFonts w:ascii="Times New Roman" w:hAnsi="Times New Roman"/>
          <w:color w:val="231F20"/>
        </w:rPr>
        <w:t xml:space="preserve"> jaun</w:t>
      </w:r>
      <w:r w:rsidR="00713471">
        <w:rPr>
          <w:rFonts w:ascii="Times New Roman" w:hAnsi="Times New Roman"/>
          <w:color w:val="231F20"/>
        </w:rPr>
        <w:t>u</w:t>
      </w:r>
      <w:r>
        <w:rPr>
          <w:rFonts w:ascii="Times New Roman" w:hAnsi="Times New Roman"/>
          <w:color w:val="231F20"/>
        </w:rPr>
        <w:t>s būtisk</w:t>
      </w:r>
      <w:r w:rsidR="00713471">
        <w:rPr>
          <w:rFonts w:ascii="Times New Roman" w:hAnsi="Times New Roman"/>
          <w:color w:val="231F20"/>
        </w:rPr>
        <w:t>u</w:t>
      </w:r>
      <w:r>
        <w:rPr>
          <w:rFonts w:ascii="Times New Roman" w:hAnsi="Times New Roman"/>
          <w:color w:val="231F20"/>
        </w:rPr>
        <w:t xml:space="preserve">s </w:t>
      </w:r>
      <w:r w:rsidR="00713471">
        <w:rPr>
          <w:rFonts w:ascii="Times New Roman" w:hAnsi="Times New Roman"/>
          <w:color w:val="231F20"/>
        </w:rPr>
        <w:t>izaicinājumus</w:t>
      </w:r>
      <w:r>
        <w:rPr>
          <w:rFonts w:ascii="Times New Roman" w:hAnsi="Times New Roman"/>
          <w:color w:val="231F20"/>
        </w:rPr>
        <w:t>, piemēram, digitālo plaisu, privātuma trūkumu, ar drošumu saistītus riskus un atkarību no tirgus. Reaģējot uz š</w:t>
      </w:r>
      <w:r w:rsidR="00713471">
        <w:rPr>
          <w:rFonts w:ascii="Times New Roman" w:hAnsi="Times New Roman"/>
          <w:color w:val="231F20"/>
        </w:rPr>
        <w:t>ie</w:t>
      </w:r>
      <w:r>
        <w:rPr>
          <w:rFonts w:ascii="Times New Roman" w:hAnsi="Times New Roman"/>
          <w:color w:val="231F20"/>
        </w:rPr>
        <w:t xml:space="preserve">m </w:t>
      </w:r>
      <w:r w:rsidR="00713471">
        <w:rPr>
          <w:rFonts w:ascii="Times New Roman" w:hAnsi="Times New Roman"/>
          <w:color w:val="231F20"/>
        </w:rPr>
        <w:t>izaicinājumiem</w:t>
      </w:r>
      <w:r>
        <w:rPr>
          <w:rFonts w:ascii="Times New Roman" w:hAnsi="Times New Roman"/>
          <w:color w:val="231F20"/>
        </w:rPr>
        <w:t>, sākotnējā Leipcigas harta ir jāpārstrādā.</w:t>
      </w:r>
    </w:p>
    <w:p w14:paraId="77F97303" w14:textId="77777777" w:rsidR="00321226" w:rsidRPr="00884E3D" w:rsidRDefault="00321226" w:rsidP="00884E3D">
      <w:pPr>
        <w:jc w:val="both"/>
        <w:rPr>
          <w:rFonts w:ascii="Times New Roman" w:eastAsia="Lucida Sans" w:hAnsi="Times New Roman" w:cs="Lucida Sans"/>
          <w:noProof/>
          <w:sz w:val="24"/>
          <w:szCs w:val="25"/>
        </w:rPr>
      </w:pPr>
    </w:p>
    <w:p w14:paraId="37BE436F" w14:textId="2A47736D"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Nepieciešamība pēc ilgtspējīgas pārveidošanas ir uzsvērta Ilgtspējīgas attīstības programmā 2030. gadam, it īpaši Ilgtspējīgas attīstības 11. mērķī, kas paredz pilsētas padarīt iekļaujošas, drošas, izturētspējīgas un ilgtspējīgas, Jaunajā pilsētprogrammā, Parīzes nolīgumā un Eiropas komisijas zaļajā kursā. Zaļā kursa mērķis ir padarīt Eiropu par pirmo klimatneitrālo kontinentu pasaulē, un Eiropa kopumā ir atbildīga par šā mērķa sasniegšanu, kā arī tai ir kolektīvā spēja to izdarīt. Jaunā Leipcigas harta sniedz politikas satvaru, kura mērķis ir paredzēt un īstenot šos Eiropas un pasaules nolīgumus pilsētu līmenī.</w:t>
      </w:r>
    </w:p>
    <w:p w14:paraId="192DD138" w14:textId="77777777" w:rsidR="00321226" w:rsidRPr="00884E3D" w:rsidRDefault="00321226" w:rsidP="00884E3D">
      <w:pPr>
        <w:jc w:val="both"/>
        <w:rPr>
          <w:rFonts w:ascii="Times New Roman" w:eastAsia="Lucida Sans" w:hAnsi="Times New Roman" w:cs="Lucida Sans"/>
          <w:noProof/>
          <w:sz w:val="24"/>
          <w:szCs w:val="25"/>
        </w:rPr>
      </w:pPr>
    </w:p>
    <w:p w14:paraId="0DC0074C" w14:textId="10148A45"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Mēs, par pilsētu jautājumiem atbildīgie ministri, vienojamies par</w:t>
      </w:r>
      <w:r>
        <w:rPr>
          <w:rFonts w:ascii="Times New Roman" w:hAnsi="Times New Roman"/>
          <w:color w:val="231F20"/>
        </w:rPr>
        <w:t xml:space="preserve"> jauno Leipcigas hartu, kurā uzsvērta virzība uz kopīgo labumu, izmantojot pilsētu pārveidojošo spēku. Tā ietver vispārējo labklājību, uzticamus vispārējus sabiedriskos pakalpojumus, kā arī jaunu sociālās, ekonomiskās, vides un teritoriālās nevienlīdzības veidu rašanās samazināšanu un novēršanu. Mūsu kopīgais mērķis ir aizsargāt un uzlabot dzīves kvalitāti visās Eiropas pilsētās un lielpilsētās, kā arī to funkcionālajās teritorijās. Nevienu nedrīkst atstāt novārtā.</w:t>
      </w:r>
    </w:p>
    <w:p w14:paraId="1AE499B2" w14:textId="77777777" w:rsidR="00321226" w:rsidRPr="00884E3D" w:rsidRDefault="00321226" w:rsidP="00884E3D">
      <w:pPr>
        <w:jc w:val="both"/>
        <w:rPr>
          <w:rFonts w:ascii="Times New Roman" w:hAnsi="Times New Roman"/>
          <w:noProof/>
          <w:color w:val="231F20"/>
          <w:sz w:val="24"/>
        </w:rPr>
      </w:pPr>
    </w:p>
    <w:p w14:paraId="4EE90626"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Mēs norādām,</w:t>
      </w:r>
      <w:r>
        <w:rPr>
          <w:rFonts w:ascii="Times New Roman" w:hAnsi="Times New Roman"/>
          <w:color w:val="231F20"/>
        </w:rPr>
        <w:t xml:space="preserve"> ka daudzas pilsētas jau uzņemas atbildību un virza pārveidošanos uz taisnīgu, zaļu un produktīvu sabiedrību. Tam ir nepieciešama laba līderība, stabila pilsētu pārvaldība un resursi. Pilsētām ir nepieciešams pilnīgs gan valstisko, gan nevalstisko galveno dalībnieku atbalsts visos valdības līmeņos.</w:t>
      </w:r>
    </w:p>
    <w:p w14:paraId="5C9DBA64" w14:textId="77777777" w:rsidR="00321226" w:rsidRPr="00884E3D" w:rsidRDefault="00321226" w:rsidP="00884E3D">
      <w:pPr>
        <w:jc w:val="both"/>
        <w:rPr>
          <w:rFonts w:ascii="Times New Roman" w:hAnsi="Times New Roman"/>
          <w:noProof/>
          <w:color w:val="231F20"/>
          <w:sz w:val="24"/>
        </w:rPr>
      </w:pPr>
    </w:p>
    <w:p w14:paraId="2A047F52" w14:textId="77777777"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Mēs atkārtoti apstiprinām</w:t>
      </w:r>
      <w:r>
        <w:rPr>
          <w:rFonts w:ascii="Times New Roman" w:hAnsi="Times New Roman"/>
          <w:color w:val="231F20"/>
        </w:rPr>
        <w:t xml:space="preserve"> atbalstu pārveidošanai caur integrētu pilsētu attīstību, ar konkrētai vietai atbilstošu, daudzlīmeņu un līdzdalībā balstītu pieeju.</w:t>
      </w:r>
    </w:p>
    <w:p w14:paraId="09954356" w14:textId="77777777" w:rsidR="00321226" w:rsidRPr="00884E3D" w:rsidRDefault="00321226" w:rsidP="00884E3D">
      <w:pPr>
        <w:jc w:val="both"/>
        <w:rPr>
          <w:rFonts w:ascii="Times New Roman" w:eastAsia="Lucida Sans" w:hAnsi="Times New Roman" w:cs="Lucida Sans"/>
          <w:noProof/>
          <w:sz w:val="24"/>
          <w:szCs w:val="25"/>
        </w:rPr>
      </w:pPr>
    </w:p>
    <w:p w14:paraId="3E44E5DA" w14:textId="77777777"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Mēs vēršam uzmanību uz</w:t>
      </w:r>
      <w:r>
        <w:rPr>
          <w:rFonts w:ascii="Times New Roman" w:hAnsi="Times New Roman"/>
          <w:color w:val="231F20"/>
        </w:rPr>
        <w:t xml:space="preserve"> būtisku Eiropas Savienības atbalstu integrētai pilsētu attīstībai, tajā skaitā kohēzijas politiku un citu ES politiku, kā arī pētījumu programmām un iniciatīvām pilsētu dimensijā.</w:t>
      </w:r>
    </w:p>
    <w:p w14:paraId="7432AB18" w14:textId="77777777" w:rsidR="00321226" w:rsidRPr="00884E3D" w:rsidRDefault="00321226" w:rsidP="00884E3D">
      <w:pPr>
        <w:jc w:val="both"/>
        <w:rPr>
          <w:rFonts w:ascii="Times New Roman" w:eastAsia="Lucida Sans" w:hAnsi="Times New Roman" w:cs="Lucida Sans"/>
          <w:noProof/>
          <w:sz w:val="24"/>
          <w:szCs w:val="25"/>
        </w:rPr>
      </w:pPr>
    </w:p>
    <w:p w14:paraId="56DA9BD2" w14:textId="21C476B7"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Mēs apliecinām,</w:t>
      </w:r>
      <w:r>
        <w:rPr>
          <w:rFonts w:ascii="Times New Roman" w:hAnsi="Times New Roman"/>
          <w:color w:val="231F20"/>
        </w:rPr>
        <w:t xml:space="preserve"> ka ES pilsētprogramma, kas dibināta ar Amsterdamas paktu, ir devusi būtisku ieguldījumu plaši novērtētajā daudzlīmeņu un daudzu ieinteresēto pušu pieejā pilsētu attīstībai.</w:t>
      </w:r>
    </w:p>
    <w:p w14:paraId="351BD7F0" w14:textId="77777777" w:rsidR="00884E3D" w:rsidRDefault="00884E3D" w:rsidP="00884E3D">
      <w:pPr>
        <w:jc w:val="both"/>
        <w:rPr>
          <w:rFonts w:ascii="Times New Roman" w:hAnsi="Times New Roman"/>
          <w:noProof/>
          <w:sz w:val="24"/>
        </w:rPr>
      </w:pPr>
    </w:p>
    <w:p w14:paraId="4D47142C" w14:textId="0AE7B630"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Mēs uzsveram</w:t>
      </w:r>
      <w:r>
        <w:rPr>
          <w:rFonts w:ascii="Times New Roman" w:hAnsi="Times New Roman"/>
          <w:color w:val="231F20"/>
        </w:rPr>
        <w:t xml:space="preserve"> mūsu atbalstu Teritoriālās attīstības programmas 2030. gadam mērķiem. Līdz ar Jauno Leipcigas hartu tā aizstāv konkrētai vietai atbilstošu pieeju kā dominējošu principu visām vietām un politikas sektoriem. Jaunā Leipcigas harta sniedz norādījumus, kā šo pieeju piemērot pilsētām un to funkcionālajām teritorijām. Tādēļ mēs atbalstām pastiprinātu sadarbību telpiskajos līmeņos un starp tiem.</w:t>
      </w:r>
    </w:p>
    <w:p w14:paraId="3ADDB72C" w14:textId="6A831A05" w:rsidR="00321226" w:rsidRDefault="00321226" w:rsidP="00884E3D">
      <w:pPr>
        <w:jc w:val="both"/>
        <w:rPr>
          <w:rFonts w:ascii="Times New Roman" w:hAnsi="Times New Roman"/>
          <w:noProof/>
          <w:color w:val="231F20"/>
          <w:sz w:val="24"/>
        </w:rPr>
      </w:pPr>
    </w:p>
    <w:p w14:paraId="428A2116" w14:textId="77777777" w:rsidR="009D2A81" w:rsidRPr="00884E3D" w:rsidRDefault="009D2A81" w:rsidP="00884E3D">
      <w:pPr>
        <w:jc w:val="both"/>
        <w:rPr>
          <w:rFonts w:ascii="Times New Roman" w:hAnsi="Times New Roman"/>
          <w:noProof/>
          <w:color w:val="231F20"/>
          <w:sz w:val="24"/>
        </w:rPr>
      </w:pPr>
    </w:p>
    <w:p w14:paraId="45858893" w14:textId="76F6FA8D" w:rsidR="00321226" w:rsidRPr="001209CA" w:rsidRDefault="001209CA" w:rsidP="001209CA">
      <w:pPr>
        <w:tabs>
          <w:tab w:val="left" w:pos="492"/>
          <w:tab w:val="left" w:pos="1020"/>
        </w:tabs>
        <w:jc w:val="both"/>
        <w:rPr>
          <w:rFonts w:ascii="Times New Roman" w:hAnsi="Times New Roman"/>
          <w:b/>
          <w:noProof/>
          <w:color w:val="034EA2"/>
          <w:sz w:val="24"/>
          <w:u w:val="thick" w:color="034EA2"/>
        </w:rPr>
      </w:pPr>
      <w:r>
        <w:rPr>
          <w:rFonts w:ascii="Times New Roman" w:hAnsi="Times New Roman"/>
          <w:b/>
          <w:color w:val="034EA2"/>
          <w:sz w:val="24"/>
          <w:u w:val="thick" w:color="034EA2"/>
        </w:rPr>
        <w:t>B. EIROPAS PILSĒTU PĀRVEIDOJOŠAIS SPĒKS</w:t>
      </w:r>
    </w:p>
    <w:p w14:paraId="216F9195" w14:textId="77777777" w:rsidR="001209CA" w:rsidRPr="001209CA" w:rsidRDefault="001209CA" w:rsidP="00884E3D">
      <w:pPr>
        <w:pStyle w:val="Heading1"/>
        <w:tabs>
          <w:tab w:val="left" w:pos="496"/>
          <w:tab w:val="left" w:pos="1020"/>
        </w:tabs>
        <w:spacing w:before="0"/>
        <w:jc w:val="both"/>
        <w:rPr>
          <w:rFonts w:ascii="Times New Roman" w:eastAsia="Lucida Sans" w:hAnsi="Times New Roman"/>
          <w:b w:val="0"/>
          <w:bCs w:val="0"/>
          <w:noProof/>
          <w:color w:val="231F20"/>
          <w:sz w:val="24"/>
          <w:szCs w:val="24"/>
          <w:u w:val="none"/>
        </w:rPr>
      </w:pPr>
    </w:p>
    <w:p w14:paraId="2ED5445F" w14:textId="53DAB6A8"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Eiropā ir daudz mazu, vidēju un lielu pilsētu. Kā daļa no policentriskas pilsētu sistēmas tās ir funkcionālas teritorijas ar dažādu potenciālu un izaicinājumiem. Eiropas pilsētas ir vairāk nekā tikai blīvi izkārtotas būvētas struktūras, tās arī ļauj notikt kultūras, sociālai, ekoloģiskai un ekonomiskai mijiedarbībai. Lielākā daļa pilsētu ir unikāli, vēsturiski izveidojušies izcilu kultūras vērtību centri, kas veido Eiropas pilsētu mantojumu un tās iedzīvotāju identitāti. Tādējādi kultūra ir centrālais elements ilgtspējīgā pilsētu attīstībā, tostarp būvētā un cita vēsturiskā mantojuma aizsardzībā un attīstībā.</w:t>
      </w:r>
    </w:p>
    <w:p w14:paraId="46ACC99A" w14:textId="77777777" w:rsidR="00321226" w:rsidRPr="00884E3D" w:rsidRDefault="00321226" w:rsidP="00884E3D">
      <w:pPr>
        <w:jc w:val="both"/>
        <w:rPr>
          <w:rFonts w:ascii="Times New Roman" w:eastAsia="Lucida Sans" w:hAnsi="Times New Roman" w:cs="Lucida Sans"/>
          <w:noProof/>
          <w:sz w:val="24"/>
          <w:szCs w:val="25"/>
        </w:rPr>
      </w:pPr>
    </w:p>
    <w:p w14:paraId="6DBEF1A8"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Pilsētas ir plurālisma, radošuma un solidaritātes vietas. Kultūras un politikas tradīcijas ir pilsētu attīstības pamats, kas atspoguļo demokrātiskās tiesības un vērtības. Pilsētas var uzlūkot arī kā laboratorijas, kurās rast jaunus veidus problēmu risināšanai, un sociālo inovāciju izmēģinājumu vietas.</w:t>
      </w:r>
    </w:p>
    <w:p w14:paraId="5149BCA1" w14:textId="77777777" w:rsidR="00321226" w:rsidRPr="00884E3D" w:rsidRDefault="00321226" w:rsidP="00884E3D">
      <w:pPr>
        <w:jc w:val="both"/>
        <w:rPr>
          <w:rFonts w:ascii="Times New Roman" w:eastAsia="Lucida Sans" w:hAnsi="Times New Roman" w:cs="Lucida Sans"/>
          <w:noProof/>
          <w:sz w:val="24"/>
          <w:szCs w:val="25"/>
        </w:rPr>
      </w:pPr>
    </w:p>
    <w:p w14:paraId="14D65D68" w14:textId="08CEB712"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Augstvērtīgas, atvērtas un drošas sabiedriskās telpas funkcionē kā dzīvīga pilsētas vide, kas ļauj cilvēkiem mijiedarboties, sazināties un integrēties sabiedrībā. Ir jāstiprina pārdomāts pilsētu plānojums un projekts, lai veicinātu kompaktas, sociālā un ekonomiskā ziņā daudzveidīgas pilsētas ar attīstītu infrastruktūru un veselīgu vidi, kā arī identificēšanas iespējas, kas sekmē kopīgu labklājību. Tam nepieciešama visaptveroša izpratne par augstvērtīgu būvkultūru, kas ir pamatā katra tāda objekta integrētai plānošanai un projektēšanai, ko Eiropas pilsētu apbūvētajās vidēs radījuši cilvēki. Tas ietver arī ēku pārvaldīšanu un pārveidošanu, kā arī mūsdienīgu ēku, infrastruktūras un sabiedrisko telpu projektēšanu un būvniecību.</w:t>
      </w:r>
    </w:p>
    <w:p w14:paraId="7ECA2E5A" w14:textId="77777777" w:rsidR="00321226" w:rsidRPr="00884E3D" w:rsidRDefault="00321226" w:rsidP="00884E3D">
      <w:pPr>
        <w:jc w:val="both"/>
        <w:rPr>
          <w:rFonts w:ascii="Times New Roman" w:eastAsia="Lucida Sans" w:hAnsi="Times New Roman" w:cs="Lucida Sans"/>
          <w:noProof/>
          <w:sz w:val="24"/>
          <w:szCs w:val="25"/>
        </w:rPr>
      </w:pPr>
    </w:p>
    <w:p w14:paraId="2DC7A9D9" w14:textId="48B3ADD1" w:rsidR="00321226" w:rsidRPr="001209CA" w:rsidRDefault="00321226" w:rsidP="001209CA">
      <w:pPr>
        <w:pStyle w:val="BodyText"/>
        <w:ind w:left="0"/>
        <w:jc w:val="both"/>
        <w:rPr>
          <w:rFonts w:ascii="Times New Roman" w:hAnsi="Times New Roman"/>
          <w:noProof/>
          <w:color w:val="231F20"/>
        </w:rPr>
      </w:pPr>
      <w:r>
        <w:rPr>
          <w:rFonts w:ascii="Times New Roman" w:hAnsi="Times New Roman"/>
          <w:color w:val="231F20"/>
        </w:rPr>
        <w:t>Pilsētām un pilsētu sistēmām jābūt elastīgām, kā arī jāspēj reaģēt uz graujošiem ārējiem notikumiem un nepārtrauktu slodzi. Pilsētu izturība, tām tiekot galā ar mainīgajiem pamatnosacījumiem, ir jāatbalsta ar spēju mācīties no pagātnes notikumiem un vienai no otras, ar elastīgu pilsētu pārvaldību kopīgam labumam, kā arī ar taisnīgu, zaļu un produktīvu pilsētu līdzsvarotu īstenošanu. Prognozējošajā un preventīvajā politikā, plānos un projektos jāietver dažādi scenāriji, lai paredzētu vides un klimata izaicinājumus un ekonomiskos riskus, kā arī sociālās pārveides un veselības jautājumus.</w:t>
      </w:r>
    </w:p>
    <w:p w14:paraId="0837D46E" w14:textId="77777777" w:rsidR="00884E3D" w:rsidRDefault="00884E3D" w:rsidP="00884E3D">
      <w:pPr>
        <w:jc w:val="both"/>
        <w:rPr>
          <w:rFonts w:ascii="Times New Roman" w:eastAsia="Lucida Sans" w:hAnsi="Times New Roman" w:cs="Lucida Sans"/>
          <w:noProof/>
          <w:sz w:val="24"/>
          <w:szCs w:val="26"/>
        </w:rPr>
      </w:pPr>
    </w:p>
    <w:p w14:paraId="0B829BE5" w14:textId="1742C11C" w:rsidR="00321226" w:rsidRPr="00185168" w:rsidRDefault="00321226" w:rsidP="001209CA">
      <w:pPr>
        <w:pStyle w:val="Heading2"/>
        <w:spacing w:before="0"/>
        <w:ind w:left="0"/>
        <w:jc w:val="both"/>
        <w:rPr>
          <w:rFonts w:ascii="Times New Roman" w:hAnsi="Times New Roman"/>
          <w:bCs w:val="0"/>
          <w:noProof/>
          <w:color w:val="034EA2"/>
        </w:rPr>
      </w:pPr>
      <w:r w:rsidRPr="00185168">
        <w:rPr>
          <w:rFonts w:ascii="Times New Roman" w:hAnsi="Times New Roman"/>
          <w:bCs w:val="0"/>
          <w:color w:val="034EA2"/>
        </w:rPr>
        <w:t>B.1. TRĪS TELPISKIE EIROPAS PILSĒTU LĪMEŅI</w:t>
      </w:r>
    </w:p>
    <w:p w14:paraId="2CA34E46" w14:textId="77777777" w:rsidR="00321226" w:rsidRPr="00884E3D" w:rsidRDefault="00321226" w:rsidP="00884E3D">
      <w:pPr>
        <w:jc w:val="both"/>
        <w:rPr>
          <w:rFonts w:ascii="Times New Roman" w:eastAsia="Calibri" w:hAnsi="Times New Roman" w:cs="Calibri"/>
          <w:b/>
          <w:bCs/>
          <w:noProof/>
          <w:sz w:val="24"/>
          <w:szCs w:val="24"/>
        </w:rPr>
      </w:pPr>
    </w:p>
    <w:p w14:paraId="5B35E757" w14:textId="242E114D"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Mūsdienās pilsētnieki ikdienā bieži mijiedarbojas dažādos telpiskos diapazonos. Tādēļ pasākumi, kas ir vērsti uz vietējā mēroga notikumiem, ir jāplāno atbilstošā telpiskajā mērogā. Turklāt oficiālā vietējā politika, konkrēti un neformāli pasākumi ir jāievieš citos līmeņos, tajā skaitā apkaimēs un plašākā funkcionālā, reģionālā un lielpilsētu mērogā. Tam ir nepieciešama visos telpiskajos līmeņos īstenoto pasākumu saskaņošana, lai nodrošinātu vienotību un izvairītos no neefektivitātes.</w:t>
      </w:r>
    </w:p>
    <w:p w14:paraId="3DF8D7BC" w14:textId="77777777" w:rsidR="00321226" w:rsidRPr="00884E3D" w:rsidRDefault="00321226" w:rsidP="00884E3D">
      <w:pPr>
        <w:jc w:val="both"/>
        <w:rPr>
          <w:rFonts w:ascii="Times New Roman" w:eastAsia="Lucida Sans" w:hAnsi="Times New Roman" w:cs="Lucida Sans"/>
          <w:noProof/>
          <w:sz w:val="24"/>
          <w:szCs w:val="25"/>
        </w:rPr>
      </w:pPr>
    </w:p>
    <w:p w14:paraId="0E792D0E" w14:textId="00EC1BAE" w:rsidR="00321226" w:rsidRPr="00884E3D" w:rsidRDefault="00321226" w:rsidP="001209CA">
      <w:pPr>
        <w:pStyle w:val="BodyText"/>
        <w:numPr>
          <w:ilvl w:val="0"/>
          <w:numId w:val="4"/>
        </w:numPr>
        <w:tabs>
          <w:tab w:val="left" w:pos="1021"/>
        </w:tabs>
        <w:ind w:left="426" w:hanging="426"/>
        <w:jc w:val="both"/>
        <w:rPr>
          <w:rFonts w:ascii="Times New Roman" w:hAnsi="Times New Roman"/>
          <w:noProof/>
          <w:color w:val="231F20"/>
        </w:rPr>
      </w:pPr>
      <w:r>
        <w:rPr>
          <w:rFonts w:ascii="Times New Roman" w:hAnsi="Times New Roman"/>
          <w:color w:val="231F20"/>
        </w:rPr>
        <w:t>Pilsētām raksturīg</w:t>
      </w:r>
      <w:r w:rsidR="00713471">
        <w:rPr>
          <w:rFonts w:ascii="Times New Roman" w:hAnsi="Times New Roman"/>
          <w:color w:val="231F20"/>
        </w:rPr>
        <w:t>ie</w:t>
      </w:r>
      <w:r>
        <w:rPr>
          <w:rFonts w:ascii="Times New Roman" w:hAnsi="Times New Roman"/>
          <w:color w:val="231F20"/>
        </w:rPr>
        <w:t xml:space="preserve"> </w:t>
      </w:r>
      <w:r w:rsidR="00713471">
        <w:rPr>
          <w:rFonts w:ascii="Times New Roman" w:hAnsi="Times New Roman"/>
          <w:color w:val="231F20"/>
        </w:rPr>
        <w:t>izaicinājumi</w:t>
      </w:r>
      <w:r>
        <w:rPr>
          <w:rFonts w:ascii="Times New Roman" w:hAnsi="Times New Roman"/>
          <w:color w:val="231F20"/>
        </w:rPr>
        <w:t xml:space="preserve"> bieži vien ir izteiktākas </w:t>
      </w:r>
      <w:r>
        <w:rPr>
          <w:rFonts w:ascii="Times New Roman" w:hAnsi="Times New Roman"/>
          <w:b/>
          <w:bCs/>
          <w:color w:val="231F20"/>
        </w:rPr>
        <w:t>apkaimju līmenī</w:t>
      </w:r>
      <w:r>
        <w:rPr>
          <w:rFonts w:ascii="Times New Roman" w:hAnsi="Times New Roman"/>
          <w:color w:val="231F20"/>
        </w:rPr>
        <w:t xml:space="preserve">. Dažas apkaimes atspoguļo sociālo spriedzi, nabadzību un slodzi uz vidi. Citās apkaimēs apmetas migranti, vai arī tās ir pakļautas ģentrifikācijai, sociālai mobilitātei, kā arī tajās trūkt mājokļu par pieejamām cenām. Tādēļ konkrētai apkaimju politikai jāveicina vietējā līmeņa apņemšanās sekmēt kopienu veidošanu un iekļaušanos. Apkaimēm, kam ir ļoti daudz sarežģītu socioekonomisku izaicinājumu, ir nepieciešamas piemērotas politikas programmas un finansējums situācijas stabilizēšanai ilgtermiņā. Turklāt apkaimes </w:t>
      </w:r>
      <w:r>
        <w:rPr>
          <w:rFonts w:ascii="Times New Roman" w:hAnsi="Times New Roman"/>
          <w:color w:val="231F20"/>
        </w:rPr>
        <w:lastRenderedPageBreak/>
        <w:t>jāuzlūko kā potenciālas laboratorijas inovatīvām pieejām, kas aptver visas pilsētu attīstības jomas.</w:t>
      </w:r>
    </w:p>
    <w:p w14:paraId="59C218D3" w14:textId="77777777" w:rsidR="00321226" w:rsidRPr="00884E3D" w:rsidRDefault="00321226" w:rsidP="001209CA">
      <w:pPr>
        <w:ind w:left="426" w:hanging="426"/>
        <w:jc w:val="both"/>
        <w:rPr>
          <w:rFonts w:ascii="Times New Roman" w:hAnsi="Times New Roman"/>
          <w:noProof/>
          <w:color w:val="231F20"/>
          <w:sz w:val="24"/>
        </w:rPr>
      </w:pPr>
    </w:p>
    <w:p w14:paraId="063F2CF9" w14:textId="77777777" w:rsidR="00321226" w:rsidRPr="00884E3D" w:rsidRDefault="00321226" w:rsidP="001209CA">
      <w:pPr>
        <w:pStyle w:val="BodyText"/>
        <w:numPr>
          <w:ilvl w:val="0"/>
          <w:numId w:val="4"/>
        </w:numPr>
        <w:tabs>
          <w:tab w:val="left" w:pos="1021"/>
        </w:tabs>
        <w:ind w:left="426" w:hanging="426"/>
        <w:jc w:val="both"/>
        <w:rPr>
          <w:rFonts w:ascii="Times New Roman" w:hAnsi="Times New Roman"/>
          <w:noProof/>
          <w:color w:val="231F20"/>
        </w:rPr>
      </w:pPr>
      <w:r>
        <w:rPr>
          <w:rFonts w:ascii="Times New Roman" w:hAnsi="Times New Roman"/>
          <w:b/>
          <w:bCs/>
          <w:color w:val="231F20"/>
        </w:rPr>
        <w:t>Vietējās pašvaldības</w:t>
      </w:r>
      <w:r>
        <w:rPr>
          <w:rFonts w:ascii="Times New Roman" w:hAnsi="Times New Roman"/>
          <w:color w:val="231F20"/>
        </w:rPr>
        <w:t xml:space="preserve"> to individuālajā nacionālajā kontekstā ir atbildīgas par vietējo pilsētu attīstību. Lēmumu pieņēmēji vietējās pašvaldībās izstrādā stratēģiskas vadlīnijas un konkrētas darbības visai pilsētas teritorijai. Tā ir kā formāla saikne starp nelielām apkaimēm un plašākām funkcionālajām teritorijām, kam ir izšķiroša loma gan apkārtējo teritoriju, gan plašāku lauku teritoriju stabilizēšanā. Īpaši ir jāapsver salīdzināmi pilsētnieku dzīves apstākļi mazās un vidējās pilsētās un lielpilsētu sarūkošajās teritorijās.</w:t>
      </w:r>
    </w:p>
    <w:p w14:paraId="40AD0986" w14:textId="77777777" w:rsidR="00321226" w:rsidRPr="00884E3D" w:rsidRDefault="00321226" w:rsidP="001209CA">
      <w:pPr>
        <w:ind w:left="426" w:hanging="426"/>
        <w:jc w:val="both"/>
        <w:rPr>
          <w:rFonts w:ascii="Times New Roman" w:hAnsi="Times New Roman"/>
          <w:noProof/>
          <w:color w:val="231F20"/>
          <w:sz w:val="24"/>
        </w:rPr>
      </w:pPr>
    </w:p>
    <w:p w14:paraId="495334F1" w14:textId="6F2DA415" w:rsidR="00321226" w:rsidRPr="00884E3D" w:rsidRDefault="00321226" w:rsidP="001209CA">
      <w:pPr>
        <w:pStyle w:val="BodyText"/>
        <w:numPr>
          <w:ilvl w:val="0"/>
          <w:numId w:val="4"/>
        </w:numPr>
        <w:tabs>
          <w:tab w:val="left" w:pos="1021"/>
        </w:tabs>
        <w:ind w:left="426" w:hanging="426"/>
        <w:jc w:val="both"/>
        <w:rPr>
          <w:rFonts w:ascii="Times New Roman" w:hAnsi="Times New Roman"/>
          <w:noProof/>
          <w:color w:val="231F20"/>
        </w:rPr>
      </w:pPr>
      <w:r>
        <w:rPr>
          <w:rFonts w:ascii="Times New Roman" w:hAnsi="Times New Roman"/>
          <w:color w:val="231F20"/>
        </w:rPr>
        <w:t>Ilgtspējīgu un izturētspējīgu pilsētu attīstība notiek reģionālā vai lielpilsētu kontekstā un balstās uz sarežģītu tīklu, ko veido funkcionālas savstarpējās atkarības un partnerības. Kā piemēru var minēt</w:t>
      </w:r>
      <w:r>
        <w:rPr>
          <w:rFonts w:ascii="Times New Roman" w:hAnsi="Times New Roman"/>
          <w:b/>
          <w:bCs/>
          <w:color w:val="231F20"/>
        </w:rPr>
        <w:t xml:space="preserve"> funkcionālo teritoriju</w:t>
      </w:r>
      <w:r>
        <w:rPr>
          <w:rFonts w:ascii="Times New Roman" w:hAnsi="Times New Roman"/>
          <w:color w:val="231F20"/>
        </w:rPr>
        <w:t>, kas minēta Teritoriālās attīstības programmā 2030. gadam. Daļēji tajā ietilpst lielpilsētu teritoriju vai citu teritoriālo vienību kombinācija. Lai pielāgotu pilsētu politiku cilvēku ikdienai, pilsētām un lielpilsētām jāsadarbojas un jāsaskaņo to politika un instrumenti ar apkārtējo priekšpilsētu un lauku rajonu politiku, tajā skaitā attiecībā uz mājokļiem, tirdzniecības teritorijām, mobilitāti, pakalpojumiem, zaļo un zilo infrastruktūru, materiālu plūsmām, vietējām un reģionālajām pārtikas sistēmām un energoapgādi.</w:t>
      </w:r>
    </w:p>
    <w:p w14:paraId="1E92BDD0" w14:textId="77777777" w:rsidR="00884E3D" w:rsidRDefault="00884E3D" w:rsidP="00884E3D">
      <w:pPr>
        <w:jc w:val="both"/>
        <w:rPr>
          <w:rFonts w:ascii="Times New Roman" w:hAnsi="Times New Roman"/>
          <w:noProof/>
          <w:color w:val="231F20"/>
          <w:sz w:val="24"/>
        </w:rPr>
      </w:pPr>
    </w:p>
    <w:p w14:paraId="02354A5C" w14:textId="5A29F903" w:rsidR="00321226" w:rsidRPr="00185168" w:rsidRDefault="00321226" w:rsidP="00F72995">
      <w:pPr>
        <w:pStyle w:val="Heading2"/>
        <w:spacing w:before="0"/>
        <w:ind w:left="0"/>
        <w:jc w:val="both"/>
        <w:rPr>
          <w:rFonts w:ascii="Times New Roman" w:hAnsi="Times New Roman"/>
          <w:bCs w:val="0"/>
          <w:noProof/>
          <w:color w:val="034EA2"/>
        </w:rPr>
      </w:pPr>
      <w:r w:rsidRPr="00185168">
        <w:rPr>
          <w:rFonts w:ascii="Times New Roman" w:hAnsi="Times New Roman"/>
          <w:bCs w:val="0"/>
          <w:color w:val="034EA2"/>
        </w:rPr>
        <w:t>B.2. EIROPAS PILSĒTU TRĪS DIMENSIJAS</w:t>
      </w:r>
    </w:p>
    <w:p w14:paraId="5172632B" w14:textId="77777777" w:rsidR="00321226" w:rsidRPr="00884E3D" w:rsidRDefault="00321226" w:rsidP="00884E3D">
      <w:pPr>
        <w:jc w:val="both"/>
        <w:rPr>
          <w:rFonts w:ascii="Times New Roman" w:eastAsia="Calibri" w:hAnsi="Times New Roman" w:cs="Calibri"/>
          <w:b/>
          <w:bCs/>
          <w:noProof/>
          <w:sz w:val="24"/>
          <w:szCs w:val="24"/>
        </w:rPr>
      </w:pPr>
    </w:p>
    <w:p w14:paraId="2C5347DC"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Pilsētu pārveidošana ir balstīta uz ilgtspējīgas attīstības sociālo, ekoloģisko un ekonomisko dimensiju integrāciju.</w:t>
      </w:r>
    </w:p>
    <w:p w14:paraId="11F8883C" w14:textId="77777777" w:rsidR="00321226" w:rsidRPr="00884E3D" w:rsidRDefault="00321226" w:rsidP="00884E3D">
      <w:pPr>
        <w:jc w:val="both"/>
        <w:rPr>
          <w:rFonts w:ascii="Times New Roman" w:eastAsia="Lucida Sans" w:hAnsi="Times New Roman" w:cs="Lucida Sans"/>
          <w:noProof/>
          <w:sz w:val="24"/>
          <w:szCs w:val="25"/>
        </w:rPr>
      </w:pPr>
    </w:p>
    <w:p w14:paraId="068F19F3" w14:textId="50FAA94B"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Mēs, ministri, atzīstam, ka pilsētu pārveidojošais spēks šīs dimensijas atspoguļo caur taisnīguma, zaļās domāšanas un produktivitātes dimensiju. Kopā šīs dimensijas līdzsvaroti un integrēti veicina izturētspējīgu pilsētu attīstību, kas spēj tikt galā ar sociāliem, ekonomiskiem un ekoloģiskiem izaicinājumiem, visiem nodrošinot augstvērtīgu dzīvi un tiecoties visiem šādu dzīvi garantēt.</w:t>
      </w:r>
    </w:p>
    <w:p w14:paraId="3AE342F0" w14:textId="77777777" w:rsidR="00321226" w:rsidRPr="00884E3D" w:rsidRDefault="00321226" w:rsidP="00884E3D">
      <w:pPr>
        <w:jc w:val="both"/>
        <w:rPr>
          <w:rFonts w:ascii="Times New Roman" w:eastAsia="Lucida Sans" w:hAnsi="Times New Roman" w:cs="Lucida Sans"/>
          <w:noProof/>
          <w:sz w:val="24"/>
          <w:szCs w:val="25"/>
        </w:rPr>
      </w:pPr>
    </w:p>
    <w:p w14:paraId="3B8BCBDA"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Taisnīga pilsēta</w:t>
      </w:r>
    </w:p>
    <w:p w14:paraId="7D183BCA" w14:textId="77777777" w:rsidR="00321226" w:rsidRPr="00884E3D" w:rsidRDefault="00321226" w:rsidP="00884E3D">
      <w:pPr>
        <w:jc w:val="both"/>
        <w:rPr>
          <w:rFonts w:ascii="Times New Roman" w:eastAsia="Lucida Sans" w:hAnsi="Times New Roman" w:cs="Lucida Sans"/>
          <w:b/>
          <w:bCs/>
          <w:noProof/>
          <w:sz w:val="24"/>
          <w:szCs w:val="27"/>
        </w:rPr>
      </w:pPr>
    </w:p>
    <w:p w14:paraId="516E2179" w14:textId="239049A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Pilsētu pārveidojošais spēks sniedz vienlīdzīgas iespējas un vides taisnīgumu visiem, neatkarīgi no viņu dzimuma, sociālekonomiskā stāvokļa, vecuma un izcelsmes – nevienu neatstājot bez ievērības. Taisnīga pilsēta visiem sniedz iespējas integrēties sabiedrībā.</w:t>
      </w:r>
    </w:p>
    <w:p w14:paraId="0906EE76" w14:textId="77777777" w:rsidR="00321226" w:rsidRPr="00884E3D" w:rsidRDefault="00321226" w:rsidP="00884E3D">
      <w:pPr>
        <w:jc w:val="both"/>
        <w:rPr>
          <w:rFonts w:ascii="Times New Roman" w:eastAsia="Lucida Sans" w:hAnsi="Times New Roman" w:cs="Lucida Sans"/>
          <w:noProof/>
          <w:sz w:val="24"/>
          <w:szCs w:val="26"/>
        </w:rPr>
      </w:pPr>
    </w:p>
    <w:p w14:paraId="69F6CDA0" w14:textId="42A2B496"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Visām sabiedrības grupām, tajā skaitā visneaizsargātākajām, ir jābūt vienlīdzīgai piekļuvei vispārējās nozīmes pakalpojumiem, tostarp izglītībai, sociālajiem pakalpojumiem, veselības aprūpei un kultūrai. Atbilstošam, pieejamam un drošam mājoklim un energoapgādei par pieejamām cenām jāatbilst dažādu sabiedrības grupu vajadzībām, tostarp novecojošai un daudzveidīgākai sabiedrībai, cilvēkiem ar invaliditāti, jauniešiem un ģimenēm. Sociāli līdzsvarotas, jauktas un drošas apkaimes veicina visu sociālo un etnisko grupu, kā arī paaudžu integrāciju. Pilsētas teritorijām, kurās ir procentuāli daudz migrantu, ir nepieciešama vispusīgas integrācijas politika, kas vērsta pret segregāciju.</w:t>
      </w:r>
    </w:p>
    <w:p w14:paraId="3C3B6C22" w14:textId="77777777" w:rsidR="00321226" w:rsidRPr="00884E3D" w:rsidRDefault="00321226" w:rsidP="00884E3D">
      <w:pPr>
        <w:jc w:val="both"/>
        <w:rPr>
          <w:rFonts w:ascii="Times New Roman" w:eastAsia="Lucida Sans" w:hAnsi="Times New Roman" w:cs="Lucida Sans"/>
          <w:noProof/>
          <w:sz w:val="24"/>
          <w:szCs w:val="25"/>
        </w:rPr>
      </w:pPr>
    </w:p>
    <w:p w14:paraId="4EB03B9A"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Visiem pilsētniekiem ir jābūt tiesībām iegūt jaunas prasmes un izglītību. Tam nepieciešama pieejama un augstvērtīga pirmsskolas un skolas izglītība, kvalifikācija un mācības par pieejamām cenām jauniešiem, kā arī mūžizglītības iespējas, it īpaši digitalizācijas un tehnoloģiju jomā.</w:t>
      </w:r>
    </w:p>
    <w:p w14:paraId="59EB6852" w14:textId="77777777" w:rsidR="00321226" w:rsidRPr="00884E3D" w:rsidRDefault="00321226" w:rsidP="00884E3D">
      <w:pPr>
        <w:jc w:val="both"/>
        <w:rPr>
          <w:rFonts w:ascii="Times New Roman" w:eastAsia="Lucida Sans" w:hAnsi="Times New Roman" w:cs="Lucida Sans"/>
          <w:noProof/>
          <w:sz w:val="24"/>
          <w:szCs w:val="25"/>
        </w:rPr>
      </w:pPr>
    </w:p>
    <w:p w14:paraId="370E08C7" w14:textId="77777777" w:rsidR="00321226" w:rsidRPr="00884E3D" w:rsidRDefault="00321226" w:rsidP="005601F3">
      <w:pPr>
        <w:pStyle w:val="BodyText"/>
        <w:keepNext/>
        <w:ind w:left="0"/>
        <w:jc w:val="both"/>
        <w:rPr>
          <w:rFonts w:ascii="Times New Roman" w:hAnsi="Times New Roman"/>
          <w:b/>
          <w:noProof/>
          <w:color w:val="231F20"/>
        </w:rPr>
      </w:pPr>
      <w:r>
        <w:rPr>
          <w:rFonts w:ascii="Times New Roman" w:hAnsi="Times New Roman"/>
          <w:b/>
          <w:color w:val="231F20"/>
        </w:rPr>
        <w:lastRenderedPageBreak/>
        <w:t>Zaļa pilsēta</w:t>
      </w:r>
    </w:p>
    <w:p w14:paraId="30737EDB" w14:textId="77777777" w:rsidR="00321226" w:rsidRPr="00884E3D" w:rsidRDefault="00321226" w:rsidP="005601F3">
      <w:pPr>
        <w:keepNext/>
        <w:jc w:val="both"/>
        <w:rPr>
          <w:rFonts w:ascii="Times New Roman" w:eastAsia="Lucida Sans" w:hAnsi="Times New Roman" w:cs="Lucida Sans"/>
          <w:b/>
          <w:bCs/>
          <w:noProof/>
          <w:sz w:val="24"/>
          <w:szCs w:val="27"/>
        </w:rPr>
      </w:pPr>
    </w:p>
    <w:p w14:paraId="59D652C0" w14:textId="6F0AE914"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Pilsētu pārveidojošais spēks atbalsta cīņu pret globālo sasilšanu un sekmē augstu gaisa, ūdens, augsnes un zemes izmantošanas kvalitāti. Visiem paredzētas augstvērtīgas pilsētas vides izveidošana ietver atbilstošu pieeju zaļām atpūtas vietām. Klimatneitrāla energoapgāde, atjaunojamie resursi, energoefektivitātes pasākumu īstenošana, kā arī klimatnoturīgas un oglekļneitrālas ēkas sekmēs siltumnīcefekta gāzu emisiju samazināšanu un palīdzēs Eiropas pilsētām pielāgoties klimata pārmaiņu ietekmei. Dažas vadošās Eiropas pilsētas jau šodien var sniegt plānu pilsētai bez oglekļa emisijām. Pārveidošanai ir nepieciešamas investīcijas novatoriskās un efektīvās tehnoloģijās, kā arī būtiskas pārmaiņas ražošanā un patērēšanā, ļaujot izveidot aprites ekonomiku, kas pārdefinē un nodrošina ilgtspējīgu resursu izmantošanu, vienlaikus jūtami samazinot atkritumu un oglekļa emisijas.</w:t>
      </w:r>
    </w:p>
    <w:p w14:paraId="0E317CA0" w14:textId="77777777" w:rsidR="00321226" w:rsidRPr="00884E3D" w:rsidRDefault="00321226" w:rsidP="00884E3D">
      <w:pPr>
        <w:jc w:val="both"/>
        <w:rPr>
          <w:rFonts w:ascii="Times New Roman" w:eastAsia="Lucida Sans" w:hAnsi="Times New Roman" w:cs="Lucida Sans"/>
          <w:noProof/>
          <w:sz w:val="24"/>
          <w:szCs w:val="25"/>
        </w:rPr>
      </w:pPr>
    </w:p>
    <w:p w14:paraId="1B86B6AE" w14:textId="1F3B1F74"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Pilsētas tiek aicinātas aizsargāt un atjaunot apdraudētās ekosistēmas un sugas, kā arī izmantot uz dabas resursiem balstītus risinājumus, kur augstvērtīga zaļā un zilā infrastruktūra var pielāgoties ekstrēmiem laika apstākļiem. Labi izplānotas, pārvaldītas un savienotas zaļās un zilās zonas ir tādas veselīgas dzīves vides priekšnoteikums, kas pielāgojas klimata pārmaiņām un kas saglabā un attīsta bioloģisko daudzveidību pilsētās.</w:t>
      </w:r>
    </w:p>
    <w:p w14:paraId="1A1AFFAA" w14:textId="77777777" w:rsidR="00321226" w:rsidRPr="00884E3D" w:rsidRDefault="00321226" w:rsidP="00884E3D">
      <w:pPr>
        <w:jc w:val="both"/>
        <w:rPr>
          <w:rFonts w:ascii="Times New Roman" w:eastAsia="Lucida Sans" w:hAnsi="Times New Roman" w:cs="Lucida Sans"/>
          <w:noProof/>
          <w:sz w:val="24"/>
          <w:szCs w:val="25"/>
        </w:rPr>
      </w:pPr>
    </w:p>
    <w:p w14:paraId="18CED70E"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Pilsētu transporta un mobilitātes sistēmām jābūt efektīvām, oglekļneitrālām, drošām un multimodālām. Jāveicina aktīvi, mazoglekļa mobilitātes un loģistikas veidi, tajā skaitā pārejot uz sabiedrisko transportu, kājāmiešanu un riteņbraukšanu. Sabiedriskajam transportam jābūt pieejamam, tostarp cenas ziņā, tīram, drošam un pievilcīgam visiem. Lai mazinātu vajadzību pēc transporta un mobilitātes, policentriskas apdzīvotas vietas struktūrai jābūt pēc iespējas kompaktākai un blīvākai, vienlaikus nodrošinot dažādu izmantojumu, tajā skaitā attiecībā uz mājokļiem, mazumtirdzniecību, ražošanu un transportu.</w:t>
      </w:r>
    </w:p>
    <w:p w14:paraId="5A69D02E" w14:textId="77777777" w:rsidR="00884E3D" w:rsidRDefault="00884E3D" w:rsidP="00884E3D">
      <w:pPr>
        <w:jc w:val="both"/>
        <w:rPr>
          <w:rFonts w:ascii="Times New Roman" w:hAnsi="Times New Roman"/>
          <w:noProof/>
          <w:sz w:val="24"/>
        </w:rPr>
      </w:pPr>
    </w:p>
    <w:p w14:paraId="3BBDFC09"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Produktīva pilsēta</w:t>
      </w:r>
    </w:p>
    <w:p w14:paraId="027AAF3A" w14:textId="77777777" w:rsidR="00321226" w:rsidRPr="00884E3D" w:rsidRDefault="00321226" w:rsidP="00884E3D">
      <w:pPr>
        <w:jc w:val="both"/>
        <w:rPr>
          <w:rFonts w:ascii="Times New Roman" w:eastAsia="Lucida Sans" w:hAnsi="Times New Roman" w:cs="Lucida Sans"/>
          <w:b/>
          <w:bCs/>
          <w:noProof/>
          <w:sz w:val="24"/>
          <w:szCs w:val="27"/>
        </w:rPr>
      </w:pPr>
    </w:p>
    <w:p w14:paraId="37A10243"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Pilsētu pārveidojošais spēks ir balstīts uz daudznozaru ekonomiku, kas sniedz darbavietas, vienlaikus nodrošinot stabilu finansiālo bāzi ilgtspējīgai pilsētas attīstībai. Pilsētām kā uzņēmējdarbībai pievilcīgām, inovatīvām un konkurētspējīgām vietām ir nepieciešams kvalificēts darbaspēks, sociālā, tehniskā un loģistikas infrastruktūra, kā arī vietas, kas ir pieejamas, tostarp par pieejamām cenām. Šo priekšnosacījumu, tajā skaitā labvēlīgas, novatoriskas vides, kā arī vietējās un reģionālās ražošanas iespēju nodrošināšanai jābūt neatņemamai pilsētas plānošanas sastāvdaļai.</w:t>
      </w:r>
    </w:p>
    <w:p w14:paraId="36E0950A" w14:textId="77777777" w:rsidR="00321226" w:rsidRPr="00884E3D" w:rsidRDefault="00321226" w:rsidP="00884E3D">
      <w:pPr>
        <w:jc w:val="both"/>
        <w:rPr>
          <w:rFonts w:ascii="Times New Roman" w:eastAsia="Lucida Sans" w:hAnsi="Times New Roman" w:cs="Lucida Sans"/>
          <w:noProof/>
          <w:sz w:val="24"/>
          <w:szCs w:val="25"/>
        </w:rPr>
      </w:pPr>
    </w:p>
    <w:p w14:paraId="60C28329" w14:textId="2936D2C8"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Papildus tradicionālajām rūpniecības nozarēm daudzas citas ekonomikas nozares aizvien vairāk pāriet uz ekonomiku, kas ir digitāla, uz pakalpojumiem orientēta un mazoglekļa un kas balstīta uz zināšanu sabiedrību un kultūras industrijām. Var stimulēt mazos uzņēmumus, ražošanu ar zemu emisiju līmeni un pilsētu zemkopību, lai pilsētās un to teritorijās atkal integrētu ražošanu, sekmējot un veicinot jaunus un dažādus apkaimju izmantošanas veidus.</w:t>
      </w:r>
    </w:p>
    <w:p w14:paraId="212EB6A1" w14:textId="77777777" w:rsidR="00321226" w:rsidRPr="00884E3D" w:rsidRDefault="00321226" w:rsidP="00884E3D">
      <w:pPr>
        <w:jc w:val="both"/>
        <w:rPr>
          <w:rFonts w:ascii="Times New Roman" w:eastAsia="Lucida Sans" w:hAnsi="Times New Roman" w:cs="Lucida Sans"/>
          <w:noProof/>
          <w:sz w:val="24"/>
          <w:szCs w:val="25"/>
        </w:rPr>
      </w:pPr>
    </w:p>
    <w:p w14:paraId="18210633" w14:textId="048AD613"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Mazumtirdzniecības nozare Eiropas pilsētās mainās tādēļ, ka tirdzniecībā pieaug digitalizācija. Tomēr pamatprecēm un it sevišķi pārtikai jābūt pieejamai uz vietas, lai piedāvātu labu dzīves kvalitāti un pretsvaru nelabvēlīgai demogrāfisko izmaiņu ietekmei. Centrālo pilsētu teritoriju pārveidošana par pievilcīgām daudzfunkcionālām vietām sniedz jaunas iespējas pilsētas attīstībai, šīs vietas daudzveidīgi izmantojot dzīvošanai, darbam un atpūtai, tajās līdzās mājokļiem, viesmīlības un atpūtas nozarei ir ražošana, mazumtirdzniecība un pakalpojumi.</w:t>
      </w:r>
    </w:p>
    <w:p w14:paraId="45F77F7C" w14:textId="77777777" w:rsidR="00321226" w:rsidRPr="00884E3D" w:rsidRDefault="00321226" w:rsidP="00884E3D">
      <w:pPr>
        <w:jc w:val="both"/>
        <w:rPr>
          <w:rFonts w:ascii="Times New Roman" w:eastAsia="Lucida Sans" w:hAnsi="Times New Roman" w:cs="Lucida Sans"/>
          <w:noProof/>
          <w:sz w:val="24"/>
          <w:szCs w:val="25"/>
        </w:rPr>
      </w:pPr>
    </w:p>
    <w:p w14:paraId="42E29149" w14:textId="2103A706"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lastRenderedPageBreak/>
        <w:t>Digitalizācija</w:t>
      </w:r>
      <w:r>
        <w:rPr>
          <w:rFonts w:ascii="Times New Roman" w:hAnsi="Times New Roman"/>
          <w:color w:val="231F20"/>
        </w:rPr>
        <w:t xml:space="preserve"> ir galvenā pārveidojošā, starpnozaru tendence, kas ietekmē visas ilgtspējīgās pilsētu attīstības dimensijas. Daudzējādā ziņā tā piedāvā pilsētu pārveidošanas iespēju. Digitālie risinājumi var sniegt novatoriskus un augstvērtīgus pakalpojumus sabiedrībai un uzņēmējdarbībai. Tie ietver viedo pilsētas mobilitāti, energoefektivitāti, ilgtspējīgus mājokļus, sabiedriskos pakalpojumus, mazumtirdzniecību, ikdienas preču piegādi un uz iedzīvotāju interesēm balstītu pārvaldību. Vienlaikus digitalizācija var radīt papildu telpisko un sociālo plaisu, radot riskus privātuma aizsardzībai. Digitalizācija jāvirza vides ziņā ilgtspējīgi, iekļaujoši un taisnīgi. Plašākā skatījumā Eiropas digitālā suverenitāte ir galvenais nosacījums ES konkurētspējai nākotnē. Pilsētas ar to spēju paplašināt digitālos risinājumus un pielāgot tos vietējiem apstākļiem var būtiski veicināt šā mērķa sasniegšanu.</w:t>
      </w:r>
    </w:p>
    <w:p w14:paraId="74975FFA" w14:textId="482418B7" w:rsidR="00321226" w:rsidRDefault="00321226" w:rsidP="00884E3D">
      <w:pPr>
        <w:jc w:val="both"/>
        <w:rPr>
          <w:rFonts w:ascii="Times New Roman" w:hAnsi="Times New Roman"/>
          <w:noProof/>
          <w:color w:val="231F20"/>
          <w:sz w:val="24"/>
        </w:rPr>
      </w:pPr>
    </w:p>
    <w:p w14:paraId="2BD50883" w14:textId="77777777" w:rsidR="009D2A81" w:rsidRPr="00884E3D" w:rsidRDefault="009D2A81" w:rsidP="00884E3D">
      <w:pPr>
        <w:jc w:val="both"/>
        <w:rPr>
          <w:rFonts w:ascii="Times New Roman" w:hAnsi="Times New Roman"/>
          <w:noProof/>
          <w:color w:val="231F20"/>
          <w:sz w:val="24"/>
        </w:rPr>
      </w:pPr>
    </w:p>
    <w:p w14:paraId="6E49EB69" w14:textId="343D13D1" w:rsidR="00321226" w:rsidRPr="00F72995" w:rsidRDefault="00F72995" w:rsidP="00F72995">
      <w:pPr>
        <w:tabs>
          <w:tab w:val="left" w:pos="492"/>
          <w:tab w:val="left" w:pos="1020"/>
        </w:tabs>
        <w:jc w:val="both"/>
        <w:rPr>
          <w:rFonts w:ascii="Times New Roman" w:hAnsi="Times New Roman"/>
          <w:b/>
          <w:noProof/>
          <w:color w:val="034EA2"/>
          <w:sz w:val="24"/>
          <w:u w:val="thick" w:color="034EA2"/>
        </w:rPr>
      </w:pPr>
      <w:r>
        <w:rPr>
          <w:rFonts w:ascii="Times New Roman" w:hAnsi="Times New Roman"/>
          <w:b/>
          <w:color w:val="034EA2"/>
          <w:sz w:val="24"/>
          <w:u w:val="thick" w:color="034EA2"/>
        </w:rPr>
        <w:t>C. GALVENIE LABAS PILSĒTU PĀRVALDĪBAS PRINCIPI</w:t>
      </w:r>
    </w:p>
    <w:p w14:paraId="3F70B007" w14:textId="77777777" w:rsidR="00F72995" w:rsidRDefault="00F72995" w:rsidP="00884E3D">
      <w:pPr>
        <w:pStyle w:val="BodyText"/>
        <w:ind w:left="0"/>
        <w:jc w:val="both"/>
        <w:rPr>
          <w:rFonts w:ascii="Times New Roman" w:hAnsi="Times New Roman"/>
          <w:noProof/>
          <w:color w:val="231F20"/>
        </w:rPr>
      </w:pPr>
    </w:p>
    <w:p w14:paraId="24D90312" w14:textId="4160F3AB"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Galvenie darba principi, kas ietverti 2007. gada Leipcigas hartā, joprojām ir aktuāli. Tomēr tie ir jāatjauno, lai ņemtu vērā šodienas globālos izaicinājumus, un jāīsteno visiem tiem, kas ir iesaistīti pilsētu attīstībā.</w:t>
      </w:r>
    </w:p>
    <w:p w14:paraId="3457A0FB" w14:textId="77777777" w:rsidR="00321226" w:rsidRPr="00884E3D" w:rsidRDefault="00321226" w:rsidP="00884E3D">
      <w:pPr>
        <w:jc w:val="both"/>
        <w:rPr>
          <w:rFonts w:ascii="Times New Roman" w:eastAsia="Lucida Sans" w:hAnsi="Times New Roman" w:cs="Lucida Sans"/>
          <w:noProof/>
          <w:sz w:val="24"/>
          <w:szCs w:val="25"/>
        </w:rPr>
      </w:pPr>
    </w:p>
    <w:p w14:paraId="1EF02E02" w14:textId="55F17728"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 xml:space="preserve">Mēs, ministri, apliecinām, </w:t>
      </w:r>
      <w:r>
        <w:rPr>
          <w:rFonts w:ascii="Times New Roman" w:hAnsi="Times New Roman"/>
          <w:color w:val="231F20"/>
        </w:rPr>
        <w:t>ka līdzsvarota, integrēta pilsētu un reģionu pārveidošana, lai sasniegtu Eiropas Savienības zaļā kursa Ilgtspējīgas attīstības mērķus, būs veiksmīga tikai tad, ja gan valstiskie, gan nevalstiskie visu līmeņu un nozaru dalībnieki strādās kopā, vienojoties par stratēģiskajiem principiem. Šie principi arī veido pamatelementus, uz kuru bāzes tālāk attīstīt un īstenot ES pilsētprogrammu, kā arī pilsētas un teritorijas dimensijas ES kohēzijas politikā. Mēs uzsveram, ka atbalstām Teritoriālās attīstības programmu 2030. gadam, kas balstīta uz kopīgu labas pārvaldības galveno principu izpratni.</w:t>
      </w:r>
    </w:p>
    <w:p w14:paraId="7F21CC14" w14:textId="77777777" w:rsidR="00321226" w:rsidRPr="00884E3D" w:rsidRDefault="00321226" w:rsidP="00884E3D">
      <w:pPr>
        <w:jc w:val="both"/>
        <w:rPr>
          <w:rFonts w:ascii="Times New Roman" w:eastAsia="Lucida Sans" w:hAnsi="Times New Roman" w:cs="Lucida Sans"/>
          <w:noProof/>
          <w:sz w:val="24"/>
          <w:szCs w:val="25"/>
        </w:rPr>
      </w:pPr>
    </w:p>
    <w:p w14:paraId="4E9F14CC"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Pilsētu politika kopīgam labumam</w:t>
      </w:r>
    </w:p>
    <w:p w14:paraId="47EDC7ED" w14:textId="77777777" w:rsidR="00321226" w:rsidRPr="00884E3D" w:rsidRDefault="00321226" w:rsidP="00884E3D">
      <w:pPr>
        <w:jc w:val="both"/>
        <w:rPr>
          <w:rFonts w:ascii="Times New Roman" w:eastAsia="Lucida Sans" w:hAnsi="Times New Roman" w:cs="Lucida Sans"/>
          <w:b/>
          <w:bCs/>
          <w:noProof/>
          <w:sz w:val="24"/>
          <w:szCs w:val="27"/>
        </w:rPr>
      </w:pPr>
    </w:p>
    <w:p w14:paraId="081BA592" w14:textId="6DE4DBDB"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Valsts iestādēm jārīkojas sabiedrības labklājības interesēs, nodrošinot pakalpojumus un infrastruktūru kopīgam labumam. Tiem jābūt iekļaujošiem, par pieejamām cenām, drošiem un pieejamiem visiem, tajā skaitā vājākajām un neaizsargātākajām sabiedrības grupām, it īpaši tiem, kas pilsētās un lielpilsētās dzīvo sarūkošās un attālās teritorijās. Tiem jāaptver veselības aprūpe, sociālie pakalpojumi, izglītība, kultūras pakalpojumi, mājokļi, ūdens un energoapgāde, atkritumu apsaimniekošana, sabiedriskais transports, digitālie tīkli un informācijas sistēmas. Turklāt svarīga ir sabiedriskās telpas, tostarp zaļās un zilās infrastruktūras kvalitāte, kā arī būvētā kultūras mantojuma saglabāšana un atdzīvināšana. Tādēļ visu pilsētās ieinteresēto pušu prasmes un spējas jāstiprina ar stratēģijām un rīkiem viņu iespēju veicināšanai. Laba pilsētu pārvaldība var līdzsvarot valsts un privātās intereses ar tirgus mehānismiem.</w:t>
      </w:r>
    </w:p>
    <w:p w14:paraId="27AB76AE" w14:textId="77777777" w:rsidR="00321226" w:rsidRPr="00884E3D" w:rsidRDefault="00321226" w:rsidP="00884E3D">
      <w:pPr>
        <w:jc w:val="both"/>
        <w:rPr>
          <w:rFonts w:ascii="Times New Roman" w:eastAsia="Lucida Sans" w:hAnsi="Times New Roman" w:cs="Lucida Sans"/>
          <w:noProof/>
          <w:sz w:val="24"/>
          <w:szCs w:val="25"/>
        </w:rPr>
      </w:pPr>
    </w:p>
    <w:p w14:paraId="77F4C43A"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Integrēta pieeja</w:t>
      </w:r>
    </w:p>
    <w:p w14:paraId="0418EF2B" w14:textId="77777777" w:rsidR="00321226" w:rsidRPr="00884E3D" w:rsidRDefault="00321226" w:rsidP="00884E3D">
      <w:pPr>
        <w:jc w:val="both"/>
        <w:rPr>
          <w:rFonts w:ascii="Times New Roman" w:eastAsia="Lucida Sans" w:hAnsi="Times New Roman" w:cs="Lucida Sans"/>
          <w:b/>
          <w:bCs/>
          <w:noProof/>
          <w:sz w:val="24"/>
          <w:szCs w:val="27"/>
        </w:rPr>
      </w:pPr>
    </w:p>
    <w:p w14:paraId="4B9BEF1B"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Visas pilsētu politikas jomas ir jāsaskaņo telpiskajā, nozaru un laika aspektā. Integrēta pieeja balstās uz to, ka visi pilsētas attīstībai nozīmīgi jautājumi un intereses tiek ņemtas vērā vienlaicīgi un taisnīgi. Tādēļ tai jāapvieno un jālīdzsvaro atšķirīgas, daļēji pretrunīgas intereses, kā arī dažādu iejaukšanos savstarpējā ietekme. Pilsētām jāievieš integrētas un ilgtspējīgas pilsētu attīstības stratēģijas un jānodrošina to īstenošana pilsētā kopumā, sākot no tās funkcionālajām teritorijām līdz apkaimēm.</w:t>
      </w:r>
    </w:p>
    <w:p w14:paraId="3830B846" w14:textId="77777777" w:rsidR="00321226" w:rsidRPr="00884E3D" w:rsidRDefault="00321226" w:rsidP="00884E3D">
      <w:pPr>
        <w:jc w:val="both"/>
        <w:rPr>
          <w:rFonts w:ascii="Times New Roman" w:eastAsia="Lucida Sans" w:hAnsi="Times New Roman" w:cs="Lucida Sans"/>
          <w:noProof/>
          <w:sz w:val="24"/>
          <w:szCs w:val="25"/>
        </w:rPr>
      </w:pPr>
    </w:p>
    <w:p w14:paraId="401A2AA0" w14:textId="77777777" w:rsidR="00321226" w:rsidRPr="00884E3D" w:rsidRDefault="00321226" w:rsidP="005601F3">
      <w:pPr>
        <w:pStyle w:val="BodyText"/>
        <w:keepNext/>
        <w:ind w:left="0"/>
        <w:jc w:val="both"/>
        <w:rPr>
          <w:rFonts w:ascii="Times New Roman" w:hAnsi="Times New Roman"/>
          <w:b/>
          <w:noProof/>
          <w:color w:val="231F20"/>
        </w:rPr>
      </w:pPr>
      <w:r>
        <w:rPr>
          <w:rFonts w:ascii="Times New Roman" w:hAnsi="Times New Roman"/>
          <w:b/>
          <w:color w:val="231F20"/>
        </w:rPr>
        <w:lastRenderedPageBreak/>
        <w:t>Līdzdalība un kopīga jaunrade</w:t>
      </w:r>
    </w:p>
    <w:p w14:paraId="46E203C2" w14:textId="77777777" w:rsidR="00321226" w:rsidRPr="00884E3D" w:rsidRDefault="00321226" w:rsidP="005601F3">
      <w:pPr>
        <w:keepNext/>
        <w:jc w:val="both"/>
        <w:rPr>
          <w:rFonts w:ascii="Times New Roman" w:eastAsia="Lucida Sans" w:hAnsi="Times New Roman" w:cs="Lucida Sans"/>
          <w:b/>
          <w:bCs/>
          <w:noProof/>
          <w:sz w:val="24"/>
          <w:szCs w:val="27"/>
        </w:rPr>
      </w:pPr>
    </w:p>
    <w:p w14:paraId="67B6F5D4" w14:textId="627B7711" w:rsidR="00321226" w:rsidRPr="00884E3D" w:rsidRDefault="00321226" w:rsidP="005601F3">
      <w:pPr>
        <w:pStyle w:val="BodyText"/>
        <w:keepNext/>
        <w:ind w:left="0"/>
        <w:jc w:val="both"/>
        <w:rPr>
          <w:rFonts w:ascii="Times New Roman" w:hAnsi="Times New Roman"/>
          <w:noProof/>
          <w:color w:val="231F20"/>
        </w:rPr>
      </w:pPr>
      <w:r>
        <w:rPr>
          <w:rFonts w:ascii="Times New Roman" w:hAnsi="Times New Roman"/>
          <w:color w:val="231F20"/>
        </w:rPr>
        <w:t>Integrētajai pieejai ir nepieciešama plašas sabiedrības, kā arī sociālo, ekonomisko un citu ieinteresēto pušu iesaistīšanās, lai apsvērtu viņu bažas un zināšanas. Sabiedrības līdzdalībai pilsētas attīstības procesos ir jāiesaista visi pilsētu dalībnieki; tas turklāt stiprina demokrātiju vietējā līmenī. Kad vien tas ir iespējams, iedzīvotājiem jāizsaka viedoklis par procesiem, kas ietekmē viņu ikdienu. Ir jāveicina un jāuzlabo jauni līdzdalības veidi, tajā skaitā kopīga jaunrade un izstrādāšana, sadarbojoties ar iedzīvotājiem, pilsoniskās sabiedrības tīkliem, kopienas organizācijām un privātiem uzņēmumiem. Eksperimenti ar jaunām līdzdalības formām var palīdzēt pilsētām pārvaldīt pretrunīgas intereses, sadalīt pienākumus un rast novatoriskus risinājumus, vienlaikus pārveidojot un uzturot pilsētas telpu un veidojot jaunas savienības, lai radītu integrētas pilsētas telpas. Sabiedrības līdzdalībai ir galvenā loma veiksmīgā augstvērtīgas apbūvētās vides nodrošināšanā.</w:t>
      </w:r>
    </w:p>
    <w:p w14:paraId="7101A360" w14:textId="77777777" w:rsidR="00321226" w:rsidRPr="00884E3D" w:rsidRDefault="00321226" w:rsidP="00884E3D">
      <w:pPr>
        <w:jc w:val="both"/>
        <w:rPr>
          <w:rFonts w:ascii="Times New Roman" w:eastAsia="Lucida Sans" w:hAnsi="Times New Roman" w:cs="Lucida Sans"/>
          <w:noProof/>
          <w:sz w:val="24"/>
          <w:szCs w:val="25"/>
        </w:rPr>
      </w:pPr>
    </w:p>
    <w:p w14:paraId="66E58026"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Daudzlīmeņu pārvaldība</w:t>
      </w:r>
    </w:p>
    <w:p w14:paraId="0D722FC3" w14:textId="77777777" w:rsidR="00321226" w:rsidRPr="00884E3D" w:rsidRDefault="00321226" w:rsidP="00884E3D">
      <w:pPr>
        <w:jc w:val="both"/>
        <w:rPr>
          <w:rFonts w:ascii="Times New Roman" w:eastAsia="Lucida Sans" w:hAnsi="Times New Roman" w:cs="Lucida Sans"/>
          <w:b/>
          <w:bCs/>
          <w:noProof/>
          <w:sz w:val="24"/>
          <w:szCs w:val="27"/>
        </w:rPr>
      </w:pPr>
    </w:p>
    <w:p w14:paraId="3D2E5FA2" w14:textId="65482CAA"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Katrā pārvaldības līmenī – vietējā, reģionālā, lielpilsētu, valsts, Eiropas un pasaules līmenī – ir konkrēta atbildība par mūsu pilsētu nākotni, kas balstās uz subsidiaritātes un proporcionalitātes principiem. Sarežģīt</w:t>
      </w:r>
      <w:r w:rsidR="00C339C7">
        <w:rPr>
          <w:rFonts w:ascii="Times New Roman" w:hAnsi="Times New Roman"/>
          <w:color w:val="231F20"/>
        </w:rPr>
        <w:t>i</w:t>
      </w:r>
      <w:r>
        <w:rPr>
          <w:rFonts w:ascii="Times New Roman" w:hAnsi="Times New Roman"/>
          <w:color w:val="231F20"/>
        </w:rPr>
        <w:t xml:space="preserve"> </w:t>
      </w:r>
      <w:r w:rsidR="00C339C7">
        <w:rPr>
          <w:rFonts w:ascii="Times New Roman" w:hAnsi="Times New Roman"/>
          <w:color w:val="231F20"/>
        </w:rPr>
        <w:t>izaicinājumi</w:t>
      </w:r>
      <w:r>
        <w:rPr>
          <w:rFonts w:ascii="Times New Roman" w:hAnsi="Times New Roman"/>
          <w:color w:val="231F20"/>
        </w:rPr>
        <w:t xml:space="preserve"> jārisina kopīgi visos pilsētu un telpiskās politikas līmeņos. Tam nepieciešama visu sabiedrības dalībnieku, tajā skaitā pilsoniskās sabiedrības un privātā sektora, sadarbība. Kā ieteikts Amsterdamas paktā un Jaunajā pilsētprogrammā, vertikāla un horizontāla, daudzlīmeņu, augšupejoša un lejupejoša sadarbība starp daudzām ieinteresētajām pusēm, ir labas pilsētu pārvaldības atslēga.</w:t>
      </w:r>
    </w:p>
    <w:p w14:paraId="37179322" w14:textId="77777777" w:rsidR="00321226" w:rsidRPr="00884E3D" w:rsidRDefault="00321226" w:rsidP="00884E3D">
      <w:pPr>
        <w:jc w:val="both"/>
        <w:rPr>
          <w:rFonts w:ascii="Times New Roman" w:eastAsia="Lucida Sans" w:hAnsi="Times New Roman" w:cs="Lucida Sans"/>
          <w:noProof/>
          <w:sz w:val="24"/>
          <w:szCs w:val="25"/>
        </w:rPr>
      </w:pPr>
    </w:p>
    <w:p w14:paraId="1E744B8E" w14:textId="77777777" w:rsidR="00321226" w:rsidRPr="00884E3D" w:rsidRDefault="00321226" w:rsidP="00884E3D">
      <w:pPr>
        <w:pStyle w:val="BodyText"/>
        <w:ind w:left="0"/>
        <w:jc w:val="both"/>
        <w:rPr>
          <w:rFonts w:ascii="Times New Roman" w:hAnsi="Times New Roman"/>
          <w:b/>
          <w:noProof/>
          <w:color w:val="231F20"/>
        </w:rPr>
      </w:pPr>
      <w:r>
        <w:rPr>
          <w:rFonts w:ascii="Times New Roman" w:hAnsi="Times New Roman"/>
          <w:b/>
          <w:color w:val="231F20"/>
        </w:rPr>
        <w:t>Uz vietu balstīta pieeja</w:t>
      </w:r>
    </w:p>
    <w:p w14:paraId="6E835602" w14:textId="77777777" w:rsidR="00321226" w:rsidRPr="00884E3D" w:rsidRDefault="00321226" w:rsidP="00884E3D">
      <w:pPr>
        <w:jc w:val="both"/>
        <w:rPr>
          <w:rFonts w:ascii="Times New Roman" w:eastAsia="Lucida Sans" w:hAnsi="Times New Roman" w:cs="Lucida Sans"/>
          <w:b/>
          <w:bCs/>
          <w:noProof/>
          <w:sz w:val="24"/>
          <w:szCs w:val="27"/>
        </w:rPr>
      </w:pPr>
    </w:p>
    <w:p w14:paraId="3F87793F" w14:textId="57174DE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Vietas ir jāaplūko kā integrētas horizontālās un vertikālās pieejas atskaites punkti. Pilsētu stratēģijām un pilsētu finansēšanas instrumentiem jābalstās uz rūpīgu konkrētas vietējās situācijas, īpaši potenciālo ieguvumu un risku, ieinteresēto pušu un ierobežojumu, analīzi, vienlaikus jāņem vērā attiecīgajai vietai paredzētie attīstības plāni. Tas ļaus īstenot pilsētas pārveidošanu, ko izraisījuši iekšēji cēloņi, un mazināt vietējo sociālekonomisko nevienlīdzību. Atbilstošiem formāliem un neformāliem instrumentiem ir jāaptver visi telpiskie līmeņi, sākot no apkaimēm līdz vietējām pašvaldībām un plašākām funkcionālajām teritorijām, ieskaitot lielpilsētu līmeni.</w:t>
      </w:r>
    </w:p>
    <w:p w14:paraId="6D7D996A" w14:textId="26B44FE0" w:rsidR="00321226" w:rsidRDefault="00321226" w:rsidP="00884E3D">
      <w:pPr>
        <w:jc w:val="both"/>
        <w:rPr>
          <w:rFonts w:ascii="Times New Roman" w:eastAsia="Lucida Sans" w:hAnsi="Times New Roman" w:cs="Lucida Sans"/>
          <w:noProof/>
          <w:sz w:val="24"/>
          <w:szCs w:val="23"/>
        </w:rPr>
      </w:pPr>
    </w:p>
    <w:p w14:paraId="6E690662" w14:textId="77777777" w:rsidR="009D2A81" w:rsidRPr="00884E3D" w:rsidRDefault="009D2A81" w:rsidP="00884E3D">
      <w:pPr>
        <w:jc w:val="both"/>
        <w:rPr>
          <w:rFonts w:ascii="Times New Roman" w:eastAsia="Lucida Sans" w:hAnsi="Times New Roman" w:cs="Lucida Sans"/>
          <w:noProof/>
          <w:sz w:val="24"/>
          <w:szCs w:val="23"/>
        </w:rPr>
      </w:pPr>
    </w:p>
    <w:p w14:paraId="06735C4A" w14:textId="02027B33" w:rsidR="00321226" w:rsidRPr="00884E3D" w:rsidRDefault="007D0BCC" w:rsidP="00884E3D">
      <w:pPr>
        <w:pStyle w:val="Heading1"/>
        <w:tabs>
          <w:tab w:val="left" w:pos="451"/>
          <w:tab w:val="left" w:pos="1020"/>
        </w:tabs>
        <w:spacing w:before="0"/>
        <w:jc w:val="both"/>
        <w:rPr>
          <w:rFonts w:ascii="Times New Roman" w:hAnsi="Times New Roman"/>
          <w:b w:val="0"/>
          <w:bCs w:val="0"/>
          <w:noProof/>
          <w:sz w:val="24"/>
          <w:u w:val="none"/>
        </w:rPr>
      </w:pPr>
      <w:r>
        <w:rPr>
          <w:rFonts w:ascii="Times New Roman" w:hAnsi="Times New Roman"/>
          <w:color w:val="034EA2"/>
          <w:sz w:val="24"/>
          <w:u w:val="thick" w:color="034EA2"/>
        </w:rPr>
        <w:t>D. IESPĒJA PILSĒTĀM PĀRVEIDOTIES</w:t>
      </w:r>
    </w:p>
    <w:p w14:paraId="32913617" w14:textId="77777777" w:rsidR="007D0BCC" w:rsidRDefault="007D0BCC" w:rsidP="00884E3D">
      <w:pPr>
        <w:pStyle w:val="BodyText"/>
        <w:ind w:left="0"/>
        <w:jc w:val="both"/>
        <w:rPr>
          <w:rFonts w:ascii="Times New Roman" w:hAnsi="Times New Roman"/>
          <w:noProof/>
          <w:color w:val="231F20"/>
        </w:rPr>
      </w:pPr>
    </w:p>
    <w:p w14:paraId="12A84233" w14:textId="1058E71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Vietējās pašvaldības ir vistuvāk pilsētniekiem un saskaras ar viņu ikdienas dzīvi un vajadzībām. Pilsētas ir atbildīgas par tādu sabiedrisko pakalpojumu piešķiršanu, kas ļauj iedzīvotājiem izmantot pamattiesības un piedalīties sabiedrībā. Turklāt pilsētas ir atbildīgas par atšķirīgu, dažreiz pretrunīgu aspektu un interešu līdzsvarošanu. Tādēļ vietējām pašvaldībām ir ļoti būtiska loma vispārējo sabiedrības interešu nodrošināšanā un pārstāvēšanā.</w:t>
      </w:r>
    </w:p>
    <w:p w14:paraId="5C0064A9" w14:textId="77777777" w:rsidR="00321226" w:rsidRPr="00884E3D" w:rsidRDefault="00321226" w:rsidP="00884E3D">
      <w:pPr>
        <w:jc w:val="both"/>
        <w:rPr>
          <w:rFonts w:ascii="Times New Roman" w:eastAsia="Lucida Sans" w:hAnsi="Times New Roman" w:cs="Lucida Sans"/>
          <w:noProof/>
          <w:sz w:val="24"/>
          <w:szCs w:val="25"/>
        </w:rPr>
      </w:pPr>
    </w:p>
    <w:p w14:paraId="162281D6" w14:textId="7CEF22D0"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Mēs, ministri, uzsveram</w:t>
      </w:r>
      <w:r>
        <w:rPr>
          <w:rFonts w:ascii="Times New Roman" w:hAnsi="Times New Roman"/>
          <w:color w:val="231F20"/>
        </w:rPr>
        <w:t xml:space="preserve"> to, cik svarīga ir pilsētu spēja atbrīvot savu pārveidojošo spēku, dinamiski reaģēt uz strauji mainīgiem apstākļiem un nodrošināt augstu dzīves kvalitāti. Pilsētām ir nepieciešams Eiropas, valsts un reģionālā līmeņa atbalsts, lai tās spētu rast vietējus risinājumus globāl</w:t>
      </w:r>
      <w:r w:rsidR="00E51ADE">
        <w:rPr>
          <w:rFonts w:ascii="Times New Roman" w:hAnsi="Times New Roman"/>
          <w:color w:val="231F20"/>
        </w:rPr>
        <w:t>ie</w:t>
      </w:r>
      <w:r>
        <w:rPr>
          <w:rFonts w:ascii="Times New Roman" w:hAnsi="Times New Roman"/>
          <w:color w:val="231F20"/>
        </w:rPr>
        <w:t xml:space="preserve">m </w:t>
      </w:r>
      <w:r w:rsidR="00E51ADE">
        <w:rPr>
          <w:rFonts w:ascii="Times New Roman" w:hAnsi="Times New Roman"/>
          <w:color w:val="231F20"/>
        </w:rPr>
        <w:t>izaicinājumiem</w:t>
      </w:r>
      <w:r>
        <w:rPr>
          <w:rFonts w:ascii="Times New Roman" w:hAnsi="Times New Roman"/>
          <w:color w:val="231F20"/>
        </w:rPr>
        <w:t>.</w:t>
      </w:r>
    </w:p>
    <w:p w14:paraId="0E92EC35" w14:textId="77777777" w:rsidR="00884E3D" w:rsidRDefault="00884E3D" w:rsidP="00884E3D">
      <w:pPr>
        <w:jc w:val="both"/>
        <w:rPr>
          <w:rFonts w:ascii="Times New Roman" w:hAnsi="Times New Roman"/>
          <w:noProof/>
          <w:color w:val="231F20"/>
          <w:sz w:val="24"/>
        </w:rPr>
      </w:pPr>
    </w:p>
    <w:p w14:paraId="082FC0CF" w14:textId="5D398079" w:rsidR="00321226" w:rsidRPr="00185168" w:rsidRDefault="00321226" w:rsidP="005601F3">
      <w:pPr>
        <w:pStyle w:val="Heading2"/>
        <w:keepNext/>
        <w:spacing w:before="0"/>
        <w:ind w:left="0"/>
        <w:jc w:val="both"/>
        <w:rPr>
          <w:rFonts w:ascii="Times New Roman" w:hAnsi="Times New Roman"/>
          <w:bCs w:val="0"/>
          <w:noProof/>
          <w:color w:val="034EA2"/>
        </w:rPr>
      </w:pPr>
      <w:r w:rsidRPr="00185168">
        <w:rPr>
          <w:rFonts w:ascii="Times New Roman" w:hAnsi="Times New Roman"/>
          <w:bCs w:val="0"/>
          <w:color w:val="034EA2"/>
        </w:rPr>
        <w:lastRenderedPageBreak/>
        <w:t>D.1. PILSĒTU PĀRVALDĪBAS STIPRINĀŠANA KOPĪGA LABUMA NODROŠINĀŠANAI</w:t>
      </w:r>
    </w:p>
    <w:p w14:paraId="2B046858" w14:textId="77777777" w:rsidR="00321226" w:rsidRPr="00884E3D" w:rsidRDefault="00321226" w:rsidP="005601F3">
      <w:pPr>
        <w:keepNext/>
        <w:jc w:val="both"/>
        <w:rPr>
          <w:rFonts w:ascii="Times New Roman" w:eastAsia="Calibri" w:hAnsi="Times New Roman" w:cs="Calibri"/>
          <w:b/>
          <w:bCs/>
          <w:noProof/>
          <w:sz w:val="24"/>
          <w:szCs w:val="24"/>
        </w:rPr>
      </w:pPr>
    </w:p>
    <w:p w14:paraId="6323B2B6" w14:textId="77777777"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Pilsētām nepieciešami:</w:t>
      </w:r>
    </w:p>
    <w:p w14:paraId="6B8BD98A" w14:textId="77777777" w:rsidR="00321226" w:rsidRPr="00884E3D" w:rsidRDefault="00321226" w:rsidP="00884E3D">
      <w:pPr>
        <w:jc w:val="both"/>
        <w:rPr>
          <w:rFonts w:ascii="Times New Roman" w:eastAsia="Lucida Sans" w:hAnsi="Times New Roman" w:cs="Lucida Sans"/>
          <w:noProof/>
          <w:sz w:val="24"/>
          <w:szCs w:val="26"/>
        </w:rPr>
      </w:pPr>
    </w:p>
    <w:p w14:paraId="6F2572C6" w14:textId="77777777" w:rsidR="00321226" w:rsidRPr="00884E3D" w:rsidRDefault="00321226" w:rsidP="007D0BCC">
      <w:pPr>
        <w:pStyle w:val="BodyText"/>
        <w:numPr>
          <w:ilvl w:val="0"/>
          <w:numId w:val="3"/>
        </w:numPr>
        <w:ind w:left="426" w:hanging="425"/>
        <w:jc w:val="both"/>
        <w:rPr>
          <w:rFonts w:ascii="Times New Roman" w:hAnsi="Times New Roman"/>
          <w:noProof/>
        </w:rPr>
      </w:pPr>
      <w:r>
        <w:rPr>
          <w:rFonts w:ascii="Times New Roman" w:hAnsi="Times New Roman"/>
          <w:b/>
          <w:bCs/>
          <w:color w:val="231F20"/>
        </w:rPr>
        <w:t>tiesiskā regulējuma nosacījumi</w:t>
      </w:r>
      <w:r>
        <w:rPr>
          <w:rFonts w:ascii="Times New Roman" w:hAnsi="Times New Roman"/>
          <w:color w:val="231F20"/>
        </w:rPr>
        <w:t xml:space="preserve"> visos administratīvajos un politiskajos līmeņos, balstīti uz partnerības principu un iekļauti daudzlīmeņu pārvaldības sistēmā;</w:t>
      </w:r>
    </w:p>
    <w:p w14:paraId="0AB108A6" w14:textId="77777777" w:rsidR="00321226" w:rsidRPr="00884E3D" w:rsidRDefault="00321226" w:rsidP="007D0BCC">
      <w:pPr>
        <w:pStyle w:val="BodyText"/>
        <w:numPr>
          <w:ilvl w:val="0"/>
          <w:numId w:val="3"/>
        </w:numPr>
        <w:ind w:left="426" w:hanging="425"/>
        <w:jc w:val="both"/>
        <w:rPr>
          <w:rFonts w:ascii="Times New Roman" w:hAnsi="Times New Roman"/>
          <w:noProof/>
        </w:rPr>
      </w:pPr>
      <w:r>
        <w:rPr>
          <w:rFonts w:ascii="Times New Roman" w:hAnsi="Times New Roman"/>
          <w:b/>
          <w:bCs/>
          <w:color w:val="231F20"/>
        </w:rPr>
        <w:t>ieguldījumu iespējas</w:t>
      </w:r>
      <w:r>
        <w:rPr>
          <w:rFonts w:ascii="Times New Roman" w:hAnsi="Times New Roman"/>
          <w:color w:val="231F20"/>
        </w:rPr>
        <w:t>, ko rada pašu ienākumi, valsts un reģionālā līmeņa piešķīrumi, kā arī īpašas ES, valsts un reģionālās finansēšanas programmas;</w:t>
      </w:r>
    </w:p>
    <w:p w14:paraId="44A57F61" w14:textId="0C5D2DC2" w:rsidR="00321226" w:rsidRPr="00884E3D" w:rsidRDefault="00321226" w:rsidP="007D0BCC">
      <w:pPr>
        <w:pStyle w:val="BodyText"/>
        <w:numPr>
          <w:ilvl w:val="0"/>
          <w:numId w:val="3"/>
        </w:numPr>
        <w:ind w:left="426" w:hanging="425"/>
        <w:jc w:val="both"/>
        <w:rPr>
          <w:rFonts w:ascii="Times New Roman" w:hAnsi="Times New Roman"/>
          <w:noProof/>
          <w:color w:val="231F20"/>
        </w:rPr>
      </w:pPr>
      <w:r>
        <w:rPr>
          <w:rFonts w:ascii="Times New Roman" w:hAnsi="Times New Roman"/>
          <w:b/>
          <w:bCs/>
          <w:color w:val="231F20"/>
        </w:rPr>
        <w:t xml:space="preserve">atbilstoši kvalificēti darbinieki, </w:t>
      </w:r>
      <w:r>
        <w:rPr>
          <w:rFonts w:ascii="Times New Roman" w:hAnsi="Times New Roman"/>
          <w:color w:val="231F20"/>
        </w:rPr>
        <w:t xml:space="preserve">kuru apmācība un kvalifikācijas celšana notiek nepārtraukti, lai viņi spētu tikt galā ar nākotnes </w:t>
      </w:r>
      <w:r w:rsidR="00E51ADE">
        <w:rPr>
          <w:rFonts w:ascii="Times New Roman" w:hAnsi="Times New Roman"/>
          <w:color w:val="231F20"/>
        </w:rPr>
        <w:t>izaicinājumi</w:t>
      </w:r>
      <w:r w:rsidR="00C205AE">
        <w:rPr>
          <w:rFonts w:ascii="Times New Roman" w:hAnsi="Times New Roman"/>
          <w:color w:val="231F20"/>
        </w:rPr>
        <w:t>em</w:t>
      </w:r>
      <w:r>
        <w:rPr>
          <w:rFonts w:ascii="Times New Roman" w:hAnsi="Times New Roman"/>
          <w:color w:val="231F20"/>
        </w:rPr>
        <w:t>, kā arī atbilstu plašākām tehnoloģiskajām un sabiedrības tendencēm. Arī vietējām pašvaldībām jāspēj integrēt dažādu nozaru politiku un plānus, kā arī veicināt un kontrolēt sarežģītus, līdzdalības un augšupējus procesus;</w:t>
      </w:r>
    </w:p>
    <w:p w14:paraId="7A43F03C" w14:textId="27ACA3DF" w:rsidR="00321226" w:rsidRPr="007D0BCC" w:rsidRDefault="00321226" w:rsidP="007D0BCC">
      <w:pPr>
        <w:pStyle w:val="BodyText"/>
        <w:numPr>
          <w:ilvl w:val="0"/>
          <w:numId w:val="3"/>
        </w:numPr>
        <w:ind w:left="426" w:hanging="425"/>
        <w:jc w:val="both"/>
        <w:rPr>
          <w:rFonts w:ascii="Times New Roman" w:hAnsi="Times New Roman"/>
          <w:noProof/>
          <w:color w:val="231F20"/>
        </w:rPr>
      </w:pPr>
      <w:r>
        <w:rPr>
          <w:rFonts w:ascii="Times New Roman" w:hAnsi="Times New Roman"/>
          <w:color w:val="231F20"/>
        </w:rPr>
        <w:t xml:space="preserve">infrastruktūras, sabiedrisko pakalpojumu un sabiedrības labklājības </w:t>
      </w:r>
      <w:r>
        <w:rPr>
          <w:rFonts w:ascii="Times New Roman" w:hAnsi="Times New Roman"/>
          <w:b/>
          <w:bCs/>
          <w:color w:val="231F20"/>
        </w:rPr>
        <w:t>vadāmība un veidošana</w:t>
      </w:r>
      <w:r>
        <w:rPr>
          <w:rFonts w:ascii="Times New Roman" w:hAnsi="Times New Roman"/>
          <w:color w:val="231F20"/>
        </w:rPr>
        <w:t>. Tas ietver veselības, sociālās aprūpes, izglītības, kultūras, ūdens un energoapgādes, atkritumu apsaimniekošanas, sabiedriskā transporta, digitālo tīklu, informācijas sistēmu un sabiedriskās telpas, kā arī zaļās un zilās infrastruktūras pakalpojumus. Turklāt droša, veselīga, cenas ziņā pieejama, labi pārdomāta un atbilstoša mājokļa nodrošināšana ir būtiska visu pilsētu politikā.</w:t>
      </w:r>
    </w:p>
    <w:p w14:paraId="1B6436B2" w14:textId="77777777" w:rsidR="00321226" w:rsidRPr="00884E3D" w:rsidRDefault="00321226" w:rsidP="00884E3D">
      <w:pPr>
        <w:jc w:val="both"/>
        <w:rPr>
          <w:rFonts w:ascii="Times New Roman" w:eastAsia="Lucida Sans" w:hAnsi="Times New Roman" w:cs="Lucida Sans"/>
          <w:noProof/>
          <w:sz w:val="24"/>
          <w:szCs w:val="25"/>
        </w:rPr>
      </w:pPr>
    </w:p>
    <w:p w14:paraId="6E92F8BE" w14:textId="7E98848D" w:rsidR="00321226" w:rsidRPr="00884E3D" w:rsidRDefault="00321226" w:rsidP="00884E3D">
      <w:pPr>
        <w:pStyle w:val="BodyText"/>
        <w:ind w:left="0"/>
        <w:jc w:val="both"/>
        <w:rPr>
          <w:rFonts w:ascii="Times New Roman" w:hAnsi="Times New Roman"/>
          <w:noProof/>
          <w:color w:val="231F20"/>
        </w:rPr>
      </w:pPr>
      <w:r>
        <w:rPr>
          <w:rFonts w:ascii="Times New Roman" w:hAnsi="Times New Roman"/>
          <w:b/>
          <w:color w:val="231F20"/>
        </w:rPr>
        <w:t>Mēs, ministri, uzsveram,</w:t>
      </w:r>
      <w:r>
        <w:rPr>
          <w:rFonts w:ascii="Times New Roman" w:hAnsi="Times New Roman"/>
          <w:color w:val="231F20"/>
        </w:rPr>
        <w:t xml:space="preserve"> ka ir nepieciešama stabila, uz kopīgu labumu vērsta pilsētu pārvaldība, lai visas pilsētas pārveidotu par taisnīgām, zaļām un produktīvām pilsētu sistēmām. Tāpēc visu līmeņu politiķi un pārvaldes tiek mudinātas nodrošināt finanšu un tiesiskā regulējuma nosacījumus, kas atbilst subsidiaritātes un proporcionalitātes principiem un ietver budžeta noteikumus, kas atbalsta turpmāk nosauktās darbības jomas.</w:t>
      </w:r>
    </w:p>
    <w:p w14:paraId="79ECE329" w14:textId="77777777" w:rsidR="00321226" w:rsidRPr="00884E3D" w:rsidRDefault="00321226" w:rsidP="00884E3D">
      <w:pPr>
        <w:jc w:val="both"/>
        <w:rPr>
          <w:rFonts w:ascii="Times New Roman" w:hAnsi="Times New Roman"/>
          <w:noProof/>
          <w:color w:val="231F20"/>
          <w:sz w:val="24"/>
        </w:rPr>
      </w:pPr>
    </w:p>
    <w:p w14:paraId="0FD38373" w14:textId="77777777" w:rsidR="00321226" w:rsidRPr="00884E3D" w:rsidRDefault="00321226" w:rsidP="00884E3D">
      <w:pPr>
        <w:pStyle w:val="Heading2"/>
        <w:spacing w:before="0"/>
        <w:ind w:left="0"/>
        <w:jc w:val="both"/>
        <w:rPr>
          <w:rFonts w:ascii="Times New Roman" w:hAnsi="Times New Roman"/>
          <w:noProof/>
          <w:color w:val="034EA2"/>
        </w:rPr>
      </w:pPr>
      <w:r>
        <w:rPr>
          <w:rFonts w:ascii="Times New Roman" w:hAnsi="Times New Roman"/>
          <w:color w:val="034EA2"/>
        </w:rPr>
        <w:t>D.1.1. Aktīva un stratēģiska zemes politika un zemes izmantošanas plānošana</w:t>
      </w:r>
    </w:p>
    <w:p w14:paraId="40668774" w14:textId="77777777" w:rsidR="00321226" w:rsidRPr="00884E3D" w:rsidRDefault="00321226" w:rsidP="00884E3D">
      <w:pPr>
        <w:jc w:val="both"/>
        <w:rPr>
          <w:rFonts w:ascii="Times New Roman" w:eastAsia="Calibri" w:hAnsi="Times New Roman" w:cs="Calibri"/>
          <w:b/>
          <w:bCs/>
          <w:noProof/>
          <w:sz w:val="24"/>
          <w:szCs w:val="24"/>
        </w:rPr>
      </w:pPr>
    </w:p>
    <w:p w14:paraId="38673B37" w14:textId="13AC1781"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Daudzās pilsētās telpa ir ierobežota, tādēļ bieži vien rodas interešu konflikti. Vietējām pašvaldībām jāievieš ilgtspējīga, pārredzama un taisnīga zemes izmantošanas plānošana un zemes politika, tajā skaitā vietējo pašvaldību zemes īpašumtiesības un kontrole. Lai nodrošinātu noturīgu ilgtermiņa attīstību, vietējām pašvaldībām jāņem vērā stratēģiskie un turpmākie notikumi un riski. Galvenie elementi minētā sasniegšanai ir šādi:</w:t>
      </w:r>
    </w:p>
    <w:p w14:paraId="6B579128" w14:textId="77777777" w:rsidR="00321226" w:rsidRPr="00884E3D" w:rsidRDefault="00321226" w:rsidP="00884E3D">
      <w:pPr>
        <w:jc w:val="both"/>
        <w:rPr>
          <w:rFonts w:ascii="Times New Roman" w:eastAsia="Lucida Sans" w:hAnsi="Times New Roman" w:cs="Lucida Sans"/>
          <w:noProof/>
          <w:sz w:val="24"/>
          <w:szCs w:val="25"/>
        </w:rPr>
      </w:pPr>
    </w:p>
    <w:p w14:paraId="1968A61E" w14:textId="77777777"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policentriskas apdzīvotu vietu struktūras ar atbilstošu kompaktumu un blīvumu pilsētās un laukos, ar optimālu sakaru tīklu pilsētās, lai samazinātu attālumus starp mājokļiem, darbu, atpūtu, izglītību, vietējiem veikaliem un pakalpojumiem. Tam jāmazina vajadzība pēc satiksmes un mobilitātes pilsētās un starp tām, tādējādi cīnoties pret pilsētu izplešanos un mazinot satiksmes zonas;</w:t>
      </w:r>
    </w:p>
    <w:p w14:paraId="5EB986AB" w14:textId="4974C779"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veicināt sadarbību pāri administratīvajām un valstu robežām un teritoriālās plānošanas koordinēšanu funkcionālās pilsētu teritorijās, ņemot vērā pilsētu un lauku saikni, lai novērstu un ierobežotu pilsētu izplešanos;</w:t>
      </w:r>
    </w:p>
    <w:p w14:paraId="0E7029B0" w14:textId="77777777"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samazināt zemes platību apguvi, par prioritāti izvirzot pilsētu teritoriju atjaunošanu un daudzpusīgu reģenerāciju, tostarp degradēto teritoriju atjaunošanu, lai ierobežotu augsnes sablīvēšanos;</w:t>
      </w:r>
    </w:p>
    <w:p w14:paraId="7FFBF710" w14:textId="69D70276"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zemes izmantošanai jālīdzsvaro pilsētu blīvums, veicinot zaļo un zilo infrastruktūru, lai palielinātu pilsētu bioloģisko daudzveidību un nodrošinātu klimatneitrālu, izturētspējīgu un videi nekaitīgu pilsētu attīstību, kā arī uzlabotu gaisa kvalitāti;</w:t>
      </w:r>
    </w:p>
    <w:p w14:paraId="00420E83" w14:textId="77777777"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 xml:space="preserve">izstrādāt un pārvaldīt drošas un pieejamas sabiedriskās telpas, kas nodrošina veselīgu </w:t>
      </w:r>
      <w:r>
        <w:rPr>
          <w:rFonts w:ascii="Times New Roman" w:hAnsi="Times New Roman"/>
          <w:color w:val="231F20"/>
        </w:rPr>
        <w:lastRenderedPageBreak/>
        <w:t>dzīves vidi visiem iedzīvotājiem;</w:t>
      </w:r>
    </w:p>
    <w:p w14:paraId="01336813" w14:textId="77777777"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pietiekama teritorija atbilstošam, drošam, labi izplānotam mājoklim par pieejamu cenu, lai nodrošinātu dzīvīgas un sociālā ziņā jauktas apkaimes un izvairītos no spekulatīvas zemes politikas;</w:t>
      </w:r>
    </w:p>
    <w:p w14:paraId="2C2C4206" w14:textId="5696936D" w:rsidR="00321226" w:rsidRPr="00884E3D" w:rsidRDefault="00321226" w:rsidP="007D149F">
      <w:pPr>
        <w:pStyle w:val="BodyText"/>
        <w:numPr>
          <w:ilvl w:val="0"/>
          <w:numId w:val="2"/>
        </w:numPr>
        <w:ind w:left="426" w:hanging="426"/>
        <w:jc w:val="both"/>
        <w:rPr>
          <w:rFonts w:ascii="Times New Roman" w:hAnsi="Times New Roman"/>
          <w:noProof/>
          <w:color w:val="231F20"/>
        </w:rPr>
      </w:pPr>
      <w:r>
        <w:rPr>
          <w:rFonts w:ascii="Times New Roman" w:hAnsi="Times New Roman"/>
          <w:color w:val="231F20"/>
        </w:rPr>
        <w:t>pilsētas telpas daudzveidīga izmantošana, lai veicinātu jaunus ražošanas un ekonomiskās darbības veidus zaļā, radošā, uz pakalpojumiem balstītā ekonomikā.</w:t>
      </w:r>
    </w:p>
    <w:p w14:paraId="11117B84" w14:textId="77777777" w:rsidR="00321226" w:rsidRPr="00884E3D" w:rsidRDefault="00321226" w:rsidP="00884E3D">
      <w:pPr>
        <w:jc w:val="both"/>
        <w:rPr>
          <w:rFonts w:ascii="Times New Roman" w:eastAsia="Lucida Sans" w:hAnsi="Times New Roman" w:cs="Lucida Sans"/>
          <w:noProof/>
          <w:sz w:val="24"/>
          <w:szCs w:val="27"/>
        </w:rPr>
      </w:pPr>
    </w:p>
    <w:p w14:paraId="66BC2D20" w14:textId="742F7F74" w:rsidR="00321226" w:rsidRPr="00884E3D" w:rsidRDefault="00321226" w:rsidP="00884E3D">
      <w:pPr>
        <w:pStyle w:val="Heading2"/>
        <w:spacing w:before="0"/>
        <w:ind w:left="0"/>
        <w:jc w:val="both"/>
        <w:rPr>
          <w:rFonts w:ascii="Times New Roman" w:hAnsi="Times New Roman"/>
          <w:noProof/>
          <w:color w:val="034EA2"/>
        </w:rPr>
      </w:pPr>
      <w:r>
        <w:rPr>
          <w:rFonts w:ascii="Times New Roman" w:hAnsi="Times New Roman"/>
          <w:color w:val="034EA2"/>
        </w:rPr>
        <w:t>D.1.2. Aktīva digitālās pārveidošanās virzīšana</w:t>
      </w:r>
    </w:p>
    <w:p w14:paraId="5C1C0AFA" w14:textId="77777777" w:rsidR="00321226" w:rsidRPr="00884E3D" w:rsidRDefault="00321226" w:rsidP="00884E3D">
      <w:pPr>
        <w:jc w:val="both"/>
        <w:rPr>
          <w:rFonts w:ascii="Times New Roman" w:eastAsia="Calibri" w:hAnsi="Times New Roman" w:cs="Calibri"/>
          <w:b/>
          <w:bCs/>
          <w:noProof/>
          <w:sz w:val="24"/>
          <w:szCs w:val="24"/>
        </w:rPr>
      </w:pPr>
    </w:p>
    <w:p w14:paraId="3ADDF74E" w14:textId="40F33FDD"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Mūsdienās procesu digitalizācija un to pārvaldība pilsētās, tajā skaitā strauji augošas lielapjoma datu plūsmas, ir galvenās integrētā pilsētu attīstībā. Digitalizācija nekad nav pašmērķis. Vietējām pašvaldībām kā publiskā sektora daļai jāvirza uz risinājumiem balstītas tehnoloģijas, kas atbilst sabiedrības vajadzībām. Lai nodrošinātu, ka neviens netiek atstāts novārtā, digitālā pārveidošanās un tās īstenošanai nepieciešamā sadarbība jābalsta uz kopīgām cilvēciskām vērtībām, piemēram, iekļaušanos, orientēšanos uz cilvēku un pārredzamību, kā arī tai jābūt saskaņā ar starptautisko tiesību aktiem, tostarp cilvēktiesību jomā. Pilsētām jāspēj virzīt digitālo pārveidošanos:</w:t>
      </w:r>
    </w:p>
    <w:p w14:paraId="7EA92256" w14:textId="77777777" w:rsidR="00884E3D" w:rsidRDefault="00884E3D" w:rsidP="00884E3D">
      <w:pPr>
        <w:jc w:val="both"/>
        <w:rPr>
          <w:rFonts w:ascii="Times New Roman" w:hAnsi="Times New Roman"/>
          <w:noProof/>
          <w:sz w:val="24"/>
        </w:rPr>
      </w:pPr>
    </w:p>
    <w:p w14:paraId="78637DC9" w14:textId="77777777" w:rsidR="00321226" w:rsidRPr="00884E3D" w:rsidRDefault="00321226" w:rsidP="00940D15">
      <w:pPr>
        <w:pStyle w:val="BodyText"/>
        <w:numPr>
          <w:ilvl w:val="1"/>
          <w:numId w:val="2"/>
        </w:numPr>
        <w:ind w:left="426" w:hanging="426"/>
        <w:jc w:val="both"/>
        <w:rPr>
          <w:rFonts w:ascii="Times New Roman" w:hAnsi="Times New Roman"/>
          <w:noProof/>
          <w:color w:val="231F20"/>
        </w:rPr>
      </w:pPr>
      <w:r>
        <w:rPr>
          <w:rFonts w:ascii="Times New Roman" w:hAnsi="Times New Roman"/>
          <w:color w:val="231F20"/>
        </w:rPr>
        <w:t>izstrādājot un ieviešot integrētas un iekļaujošas viedās pilsētas stratēģijas kopīgam labumam, tostarp ietekmes novērtējumus, kuros ņemtas vērā ilgtermiņa sekas;</w:t>
      </w:r>
    </w:p>
    <w:p w14:paraId="1BDD6D8D" w14:textId="77777777" w:rsidR="00321226" w:rsidRPr="00884E3D" w:rsidRDefault="00321226" w:rsidP="00940D15">
      <w:pPr>
        <w:pStyle w:val="BodyText"/>
        <w:numPr>
          <w:ilvl w:val="1"/>
          <w:numId w:val="2"/>
        </w:numPr>
        <w:ind w:left="426" w:hanging="426"/>
        <w:jc w:val="both"/>
        <w:rPr>
          <w:rFonts w:ascii="Times New Roman" w:hAnsi="Times New Roman"/>
          <w:noProof/>
          <w:color w:val="231F20"/>
        </w:rPr>
      </w:pPr>
      <w:r>
        <w:rPr>
          <w:rFonts w:ascii="Times New Roman" w:hAnsi="Times New Roman"/>
          <w:color w:val="231F20"/>
        </w:rPr>
        <w:t>uzlabojot lēmumu pieņemšanas procesu un digitālos sabiedriskos pakalpojumus. Dati jāizmanto kopīgam labumam, nodrošinot ētisku un sociāli atbildīgu piekļuvi, izmantošanu, koplietošanu un pārvaldību. Tajā pašā laikā šis datu lietojums ir rūpīgi jāizvērtē, ņemot vērā privātuma jautājumus;</w:t>
      </w:r>
    </w:p>
    <w:p w14:paraId="18C0727F" w14:textId="77777777" w:rsidR="00321226" w:rsidRPr="00884E3D" w:rsidRDefault="00321226" w:rsidP="00940D15">
      <w:pPr>
        <w:pStyle w:val="BodyText"/>
        <w:numPr>
          <w:ilvl w:val="1"/>
          <w:numId w:val="2"/>
        </w:numPr>
        <w:ind w:left="426" w:hanging="426"/>
        <w:jc w:val="both"/>
        <w:rPr>
          <w:rFonts w:ascii="Times New Roman" w:hAnsi="Times New Roman"/>
          <w:noProof/>
          <w:color w:val="231F20"/>
        </w:rPr>
      </w:pPr>
      <w:r>
        <w:rPr>
          <w:rFonts w:ascii="Times New Roman" w:hAnsi="Times New Roman"/>
          <w:color w:val="231F20"/>
        </w:rPr>
        <w:t>īstenojot visaptverošu, jaudīgu un noturīgu publisko datu infrastruktūru un pārvaldību. Pilsētām jābūt pieejai datiem, kas saistīti ar sabiedriskajiem uzdevumiem;</w:t>
      </w:r>
    </w:p>
    <w:p w14:paraId="29F5356D" w14:textId="77777777" w:rsidR="00321226" w:rsidRPr="00884E3D" w:rsidRDefault="00321226" w:rsidP="00940D15">
      <w:pPr>
        <w:pStyle w:val="BodyText"/>
        <w:numPr>
          <w:ilvl w:val="1"/>
          <w:numId w:val="2"/>
        </w:numPr>
        <w:ind w:left="426" w:hanging="426"/>
        <w:jc w:val="both"/>
        <w:rPr>
          <w:rFonts w:ascii="Times New Roman" w:hAnsi="Times New Roman"/>
          <w:noProof/>
          <w:color w:val="231F20"/>
        </w:rPr>
      </w:pPr>
      <w:r>
        <w:rPr>
          <w:rFonts w:ascii="Times New Roman" w:hAnsi="Times New Roman"/>
          <w:color w:val="231F20"/>
        </w:rPr>
        <w:t>veicinot mūžizglītības rīkus, lai pilsētu iedzīvotājiem un valsts pārvaldei piešķirtu lielākas iespējas, sekmētu digitālās prasmes un nodrošinātu digitālo kohēziju;</w:t>
      </w:r>
    </w:p>
    <w:p w14:paraId="3F0F4E6B" w14:textId="77777777" w:rsidR="00321226" w:rsidRPr="00884E3D" w:rsidRDefault="00321226" w:rsidP="00940D15">
      <w:pPr>
        <w:pStyle w:val="BodyText"/>
        <w:numPr>
          <w:ilvl w:val="1"/>
          <w:numId w:val="2"/>
        </w:numPr>
        <w:ind w:left="426" w:hanging="426"/>
        <w:jc w:val="both"/>
        <w:rPr>
          <w:rFonts w:ascii="Times New Roman" w:hAnsi="Times New Roman"/>
          <w:noProof/>
          <w:color w:val="231F20"/>
        </w:rPr>
      </w:pPr>
      <w:r>
        <w:rPr>
          <w:rFonts w:ascii="Times New Roman" w:hAnsi="Times New Roman"/>
          <w:color w:val="231F20"/>
        </w:rPr>
        <w:t>digitālie risinājumi, it īpaši krīzes laikā, var aizsargāt un veicināt vietējo pašvaldību rīcībspēju.</w:t>
      </w:r>
    </w:p>
    <w:p w14:paraId="399739C6" w14:textId="77777777" w:rsidR="00884E3D" w:rsidRDefault="00884E3D" w:rsidP="00884E3D">
      <w:pPr>
        <w:jc w:val="both"/>
        <w:rPr>
          <w:rFonts w:ascii="Times New Roman" w:eastAsia="Lucida Sans" w:hAnsi="Times New Roman" w:cs="Lucida Sans"/>
          <w:noProof/>
          <w:sz w:val="24"/>
          <w:szCs w:val="25"/>
        </w:rPr>
      </w:pPr>
    </w:p>
    <w:p w14:paraId="0BFEA52C" w14:textId="0C354F4A" w:rsidR="00321226" w:rsidRPr="00185168" w:rsidRDefault="00321226" w:rsidP="00574C18">
      <w:pPr>
        <w:pStyle w:val="Heading2"/>
        <w:spacing w:before="0"/>
        <w:ind w:left="0"/>
        <w:jc w:val="both"/>
        <w:rPr>
          <w:rFonts w:ascii="Times New Roman" w:hAnsi="Times New Roman"/>
          <w:bCs w:val="0"/>
          <w:noProof/>
          <w:color w:val="034EA2"/>
        </w:rPr>
      </w:pPr>
      <w:r w:rsidRPr="00185168">
        <w:rPr>
          <w:rFonts w:ascii="Times New Roman" w:hAnsi="Times New Roman"/>
          <w:bCs w:val="0"/>
          <w:color w:val="034EA2"/>
        </w:rPr>
        <w:t>D.2. ATBILSTOŠAS POLITIKAS UN PILSĒTU FINANSĒŠANAS NODROŠINĀŠANA</w:t>
      </w:r>
    </w:p>
    <w:p w14:paraId="43133D0F" w14:textId="77777777" w:rsidR="00321226" w:rsidRPr="00884E3D" w:rsidRDefault="00321226" w:rsidP="00884E3D">
      <w:pPr>
        <w:jc w:val="both"/>
        <w:rPr>
          <w:rFonts w:ascii="Times New Roman" w:eastAsia="Calibri" w:hAnsi="Times New Roman" w:cs="Calibri"/>
          <w:b/>
          <w:bCs/>
          <w:noProof/>
          <w:sz w:val="24"/>
          <w:szCs w:val="24"/>
        </w:rPr>
      </w:pPr>
    </w:p>
    <w:p w14:paraId="0FCF72A7" w14:textId="21E23AF4" w:rsidR="00321226" w:rsidRPr="00574C18" w:rsidRDefault="00321226" w:rsidP="00574C18">
      <w:pPr>
        <w:pStyle w:val="BodyText"/>
        <w:ind w:left="0"/>
        <w:jc w:val="both"/>
        <w:rPr>
          <w:rFonts w:ascii="Times New Roman" w:hAnsi="Times New Roman"/>
          <w:noProof/>
          <w:color w:val="231F20"/>
        </w:rPr>
      </w:pPr>
      <w:r>
        <w:rPr>
          <w:rFonts w:ascii="Times New Roman" w:hAnsi="Times New Roman"/>
          <w:color w:val="231F20"/>
        </w:rPr>
        <w:t>Lai sasniegtu šos mērķus, vietējām pašvaldībām ir nepieciešams veicinošs satvars, kurā iekļauti visi pārvaldes līmeņi un attiecīgās ieinteresētās puses. ES, valstu un reģionālajiem noteikumiem jāatbalsta integrētas pilsētvides politikas īstenošana kopīgā labuma sasniegšanai un jāveicina pilsētu pārveidošana, ievērojot subsidiaritātes principu un atbilstoši katra līmeņa kompetencei.</w:t>
      </w:r>
    </w:p>
    <w:p w14:paraId="246E1B87" w14:textId="77777777" w:rsidR="00321226" w:rsidRPr="00884E3D" w:rsidRDefault="00321226" w:rsidP="00884E3D">
      <w:pPr>
        <w:jc w:val="both"/>
        <w:rPr>
          <w:rFonts w:ascii="Times New Roman" w:eastAsia="Lucida Sans" w:hAnsi="Times New Roman" w:cs="Lucida Sans"/>
          <w:noProof/>
          <w:sz w:val="24"/>
          <w:szCs w:val="27"/>
        </w:rPr>
      </w:pPr>
    </w:p>
    <w:p w14:paraId="2F22DFFD" w14:textId="2553FB73" w:rsidR="00321226" w:rsidRPr="00884E3D" w:rsidRDefault="00574C18" w:rsidP="00574C18">
      <w:pPr>
        <w:pStyle w:val="Heading2"/>
        <w:spacing w:before="0"/>
        <w:ind w:left="0"/>
        <w:jc w:val="both"/>
        <w:rPr>
          <w:rFonts w:ascii="Times New Roman" w:hAnsi="Times New Roman"/>
          <w:noProof/>
          <w:color w:val="034EA2"/>
        </w:rPr>
      </w:pPr>
      <w:r>
        <w:rPr>
          <w:rFonts w:ascii="Times New Roman" w:hAnsi="Times New Roman"/>
          <w:color w:val="034EA2"/>
        </w:rPr>
        <w:t>D.2.1. Spēcīgs valsts pilsētu politikas satvars un finansējums</w:t>
      </w:r>
    </w:p>
    <w:p w14:paraId="67F7AD7F" w14:textId="77777777" w:rsidR="00321226" w:rsidRPr="00884E3D" w:rsidRDefault="00321226" w:rsidP="00884E3D">
      <w:pPr>
        <w:jc w:val="both"/>
        <w:rPr>
          <w:rFonts w:ascii="Times New Roman" w:eastAsia="Calibri" w:hAnsi="Times New Roman" w:cs="Calibri"/>
          <w:b/>
          <w:bCs/>
          <w:noProof/>
          <w:sz w:val="24"/>
          <w:szCs w:val="24"/>
        </w:rPr>
      </w:pPr>
    </w:p>
    <w:p w14:paraId="23C7D102" w14:textId="338BB709"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2007. gada Leipcigas harta un Jaunā pilsētprogramma nosaka, ka jāpastiprina valsts un reģionālā pilsētu politika, lai pilsētām dotu iespējas un palīdzētu konsekventi īstenot ilgtspējīgu pilsētu attīstību vietējā līmenī.</w:t>
      </w:r>
    </w:p>
    <w:p w14:paraId="43A9F478" w14:textId="77777777" w:rsidR="00321226" w:rsidRPr="00884E3D" w:rsidRDefault="00321226" w:rsidP="00884E3D">
      <w:pPr>
        <w:jc w:val="both"/>
        <w:rPr>
          <w:rFonts w:ascii="Times New Roman" w:eastAsia="Lucida Sans" w:hAnsi="Times New Roman" w:cs="Lucida Sans"/>
          <w:noProof/>
          <w:sz w:val="24"/>
          <w:szCs w:val="25"/>
        </w:rPr>
      </w:pPr>
    </w:p>
    <w:p w14:paraId="6A148904" w14:textId="77777777"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 xml:space="preserve">Mēs, ministri, </w:t>
      </w:r>
      <w:r>
        <w:rPr>
          <w:rFonts w:ascii="Times New Roman" w:hAnsi="Times New Roman"/>
          <w:color w:val="231F20"/>
        </w:rPr>
        <w:t xml:space="preserve">atbilstoši mūsu pienākumiem un iespējām attiecībā uz budžeta noteikumiem </w:t>
      </w:r>
      <w:r>
        <w:rPr>
          <w:rFonts w:ascii="Times New Roman" w:hAnsi="Times New Roman"/>
          <w:b/>
          <w:bCs/>
          <w:color w:val="231F20"/>
        </w:rPr>
        <w:t>piekrītam</w:t>
      </w:r>
      <w:r>
        <w:rPr>
          <w:rFonts w:ascii="Times New Roman" w:hAnsi="Times New Roman"/>
          <w:color w:val="231F20"/>
        </w:rPr>
        <w:t xml:space="preserve"> veicināt valsts vai reģionālās pilsētu politikas turpināšanu un izveidi, lai:</w:t>
      </w:r>
    </w:p>
    <w:p w14:paraId="30D94E19" w14:textId="77777777" w:rsidR="00321226" w:rsidRPr="00884E3D" w:rsidRDefault="00321226" w:rsidP="00884E3D">
      <w:pPr>
        <w:jc w:val="both"/>
        <w:rPr>
          <w:rFonts w:ascii="Times New Roman" w:eastAsia="Lucida Sans" w:hAnsi="Times New Roman" w:cs="Lucida Sans"/>
          <w:noProof/>
          <w:sz w:val="24"/>
          <w:szCs w:val="25"/>
        </w:rPr>
      </w:pPr>
    </w:p>
    <w:p w14:paraId="1B95E149" w14:textId="0615EAA0" w:rsidR="00321226" w:rsidRPr="00884E3D" w:rsidRDefault="00321226" w:rsidP="00574C18">
      <w:pPr>
        <w:pStyle w:val="BodyText"/>
        <w:numPr>
          <w:ilvl w:val="0"/>
          <w:numId w:val="2"/>
        </w:numPr>
        <w:ind w:left="426" w:hanging="426"/>
        <w:jc w:val="both"/>
        <w:rPr>
          <w:rFonts w:ascii="Times New Roman" w:hAnsi="Times New Roman"/>
          <w:noProof/>
        </w:rPr>
      </w:pPr>
      <w:r>
        <w:rPr>
          <w:rFonts w:ascii="Times New Roman" w:hAnsi="Times New Roman"/>
          <w:b/>
          <w:bCs/>
          <w:color w:val="231F20"/>
        </w:rPr>
        <w:t xml:space="preserve">sekmētu </w:t>
      </w:r>
      <w:r>
        <w:rPr>
          <w:rFonts w:ascii="Times New Roman" w:hAnsi="Times New Roman"/>
          <w:color w:val="231F20"/>
        </w:rPr>
        <w:t xml:space="preserve">pieredzes un zināšanu </w:t>
      </w:r>
      <w:r>
        <w:rPr>
          <w:rFonts w:ascii="Times New Roman" w:hAnsi="Times New Roman"/>
          <w:b/>
          <w:bCs/>
          <w:color w:val="231F20"/>
        </w:rPr>
        <w:t>apmaiņu</w:t>
      </w:r>
      <w:r>
        <w:rPr>
          <w:rFonts w:ascii="Times New Roman" w:hAnsi="Times New Roman"/>
          <w:color w:val="231F20"/>
        </w:rPr>
        <w:t xml:space="preserve"> starp pilsētām un citām ieinteresētajām pusēm reģionālā, valsts, transnacionālā un ES līmenī, lai stiprinātu spēju īstenot integrētas un </w:t>
      </w:r>
      <w:r>
        <w:rPr>
          <w:rFonts w:ascii="Times New Roman" w:hAnsi="Times New Roman"/>
          <w:color w:val="231F20"/>
        </w:rPr>
        <w:lastRenderedPageBreak/>
        <w:t>ilgtspējīgas pilsētu attīstības stratēģijas;</w:t>
      </w:r>
    </w:p>
    <w:p w14:paraId="5FF07CF1" w14:textId="76EFD806" w:rsidR="00321226" w:rsidRPr="00884E3D" w:rsidRDefault="00321226" w:rsidP="00574C18">
      <w:pPr>
        <w:pStyle w:val="BodyText"/>
        <w:numPr>
          <w:ilvl w:val="0"/>
          <w:numId w:val="2"/>
        </w:numPr>
        <w:ind w:left="426" w:hanging="426"/>
        <w:jc w:val="both"/>
        <w:rPr>
          <w:rFonts w:ascii="Times New Roman" w:hAnsi="Times New Roman"/>
          <w:noProof/>
        </w:rPr>
      </w:pPr>
      <w:r>
        <w:rPr>
          <w:rFonts w:ascii="Times New Roman" w:hAnsi="Times New Roman"/>
          <w:b/>
          <w:bCs/>
          <w:color w:val="231F20"/>
        </w:rPr>
        <w:t>darbotos kā platformas</w:t>
      </w:r>
      <w:r>
        <w:rPr>
          <w:rFonts w:ascii="Times New Roman" w:hAnsi="Times New Roman"/>
          <w:color w:val="231F20"/>
        </w:rPr>
        <w:t xml:space="preserve"> dialogam starp pilsētu un visiem citiem partneriem, lai nodrošinātu daudzlīmeņu pārvaldību, izmantojot dažādus līdzekļus, tostarp daudzlīmeņu partnerības;</w:t>
      </w:r>
    </w:p>
    <w:p w14:paraId="27F61812" w14:textId="2154C54E" w:rsidR="00321226" w:rsidRPr="00884E3D" w:rsidRDefault="00321226" w:rsidP="00574C18">
      <w:pPr>
        <w:pStyle w:val="BodyText"/>
        <w:numPr>
          <w:ilvl w:val="0"/>
          <w:numId w:val="2"/>
        </w:numPr>
        <w:ind w:left="426" w:hanging="426"/>
        <w:jc w:val="both"/>
        <w:rPr>
          <w:rFonts w:ascii="Times New Roman" w:hAnsi="Times New Roman"/>
          <w:noProof/>
        </w:rPr>
      </w:pPr>
      <w:r>
        <w:rPr>
          <w:rFonts w:ascii="Times New Roman" w:hAnsi="Times New Roman"/>
          <w:b/>
          <w:bCs/>
          <w:color w:val="231F20"/>
        </w:rPr>
        <w:t>atbalstītu valsts vai reģionālā finansējuma programmu izstrādi vai pārdali</w:t>
      </w:r>
      <w:r>
        <w:rPr>
          <w:rFonts w:ascii="Times New Roman" w:hAnsi="Times New Roman"/>
          <w:color w:val="231F20"/>
        </w:rPr>
        <w:t>, lai risinātu nozīmīg</w:t>
      </w:r>
      <w:r w:rsidR="00BA2066">
        <w:rPr>
          <w:rFonts w:ascii="Times New Roman" w:hAnsi="Times New Roman"/>
          <w:color w:val="231F20"/>
        </w:rPr>
        <w:t>u</w:t>
      </w:r>
      <w:r>
        <w:rPr>
          <w:rFonts w:ascii="Times New Roman" w:hAnsi="Times New Roman"/>
          <w:color w:val="231F20"/>
        </w:rPr>
        <w:t xml:space="preserve">s pilsētu </w:t>
      </w:r>
      <w:r w:rsidR="00BA2066">
        <w:rPr>
          <w:rFonts w:ascii="Times New Roman" w:hAnsi="Times New Roman"/>
          <w:color w:val="231F20"/>
        </w:rPr>
        <w:t>izaicinājumus</w:t>
      </w:r>
      <w:r>
        <w:rPr>
          <w:rFonts w:ascii="Times New Roman" w:hAnsi="Times New Roman"/>
          <w:color w:val="231F20"/>
        </w:rPr>
        <w:t>, un sekmētu līdzfinansējumu no Eiropas fondiem kā svarīgiem instrumentiem integrētas un ilgtspējīgas pilsētu attīstības stratēģiju un projektu nodrošināšanai;</w:t>
      </w:r>
    </w:p>
    <w:p w14:paraId="2706414F" w14:textId="43A1E399" w:rsidR="00321226" w:rsidRPr="00884E3D" w:rsidRDefault="00321226" w:rsidP="00574C18">
      <w:pPr>
        <w:pStyle w:val="BodyText"/>
        <w:numPr>
          <w:ilvl w:val="0"/>
          <w:numId w:val="2"/>
        </w:numPr>
        <w:ind w:left="426" w:hanging="426"/>
        <w:jc w:val="both"/>
        <w:rPr>
          <w:rFonts w:ascii="Times New Roman" w:hAnsi="Times New Roman"/>
          <w:noProof/>
        </w:rPr>
      </w:pPr>
      <w:r>
        <w:rPr>
          <w:rFonts w:ascii="Times New Roman" w:hAnsi="Times New Roman"/>
          <w:b/>
          <w:bCs/>
          <w:color w:val="231F20"/>
        </w:rPr>
        <w:t>stimulētu inovācijas</w:t>
      </w:r>
      <w:r>
        <w:rPr>
          <w:rFonts w:ascii="Times New Roman" w:hAnsi="Times New Roman"/>
          <w:color w:val="231F20"/>
        </w:rPr>
        <w:t xml:space="preserve"> un eksperimentālus projektus, kas risina pašreizēj</w:t>
      </w:r>
      <w:r w:rsidR="00BA2066">
        <w:rPr>
          <w:rFonts w:ascii="Times New Roman" w:hAnsi="Times New Roman"/>
          <w:color w:val="231F20"/>
        </w:rPr>
        <w:t>o</w:t>
      </w:r>
      <w:r>
        <w:rPr>
          <w:rFonts w:ascii="Times New Roman" w:hAnsi="Times New Roman"/>
          <w:color w:val="231F20"/>
        </w:rPr>
        <w:t xml:space="preserve">s un nākotnes </w:t>
      </w:r>
      <w:r w:rsidR="00BA2066">
        <w:rPr>
          <w:rFonts w:ascii="Times New Roman" w:hAnsi="Times New Roman"/>
          <w:color w:val="231F20"/>
        </w:rPr>
        <w:t>izaicinājumus</w:t>
      </w:r>
      <w:r>
        <w:rPr>
          <w:rFonts w:ascii="Times New Roman" w:hAnsi="Times New Roman"/>
          <w:color w:val="231F20"/>
        </w:rPr>
        <w:t xml:space="preserve"> ilgtspējīgā pilsētu attīstībā.</w:t>
      </w:r>
    </w:p>
    <w:p w14:paraId="79903692" w14:textId="77777777" w:rsidR="00884E3D" w:rsidRDefault="00884E3D" w:rsidP="00884E3D">
      <w:pPr>
        <w:jc w:val="both"/>
        <w:rPr>
          <w:rFonts w:ascii="Times New Roman" w:hAnsi="Times New Roman"/>
          <w:noProof/>
          <w:sz w:val="24"/>
        </w:rPr>
      </w:pPr>
    </w:p>
    <w:p w14:paraId="5A53E484" w14:textId="4223ECC9" w:rsidR="00321226" w:rsidRPr="00884E3D" w:rsidRDefault="003D496D" w:rsidP="003D496D">
      <w:pPr>
        <w:pStyle w:val="Heading2"/>
        <w:tabs>
          <w:tab w:val="left" w:pos="662"/>
        </w:tabs>
        <w:spacing w:before="0"/>
        <w:ind w:left="0"/>
        <w:jc w:val="both"/>
        <w:rPr>
          <w:rFonts w:ascii="Times New Roman" w:hAnsi="Times New Roman"/>
          <w:noProof/>
          <w:color w:val="034EA2"/>
        </w:rPr>
      </w:pPr>
      <w:r>
        <w:rPr>
          <w:rFonts w:ascii="Times New Roman" w:hAnsi="Times New Roman"/>
          <w:color w:val="034EA2"/>
        </w:rPr>
        <w:t>D.2.2. Saskaņots ES regulējums un finansēšanas instrumenti</w:t>
      </w:r>
    </w:p>
    <w:p w14:paraId="5F72812E" w14:textId="77777777" w:rsidR="00321226" w:rsidRPr="00884E3D" w:rsidRDefault="00321226" w:rsidP="00884E3D">
      <w:pPr>
        <w:jc w:val="both"/>
        <w:rPr>
          <w:rFonts w:ascii="Times New Roman" w:eastAsia="Calibri" w:hAnsi="Times New Roman" w:cs="Calibri"/>
          <w:b/>
          <w:bCs/>
          <w:noProof/>
          <w:sz w:val="24"/>
          <w:szCs w:val="24"/>
        </w:rPr>
      </w:pPr>
    </w:p>
    <w:p w14:paraId="46D2AAC3" w14:textId="0B453E68"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ES pilsētprogramma</w:t>
      </w:r>
      <w:r>
        <w:rPr>
          <w:rFonts w:ascii="Times New Roman" w:hAnsi="Times New Roman"/>
          <w:color w:val="231F20"/>
        </w:rPr>
        <w:t>, kas 2016. gadā tika uzsākta ar Amsterdamas paktu, sāka galveno daudzlīmeņu pārvaldības procesu, kas paredzēts, lai uzlabotu pilsētu stāvokli likumdošanā un politikas veidošanā. Mēs augstu vērtējam daudzlīmeņu partnerību darbu, kuru mērķis ir labāks regulējums, labāks finansējums un labākas zināšanas. Viņu darba dēļ ES normatīvais regulējums par jautājumiem, kas saistīti ar pilsētām, ir saskaņotāks un ir uzlabojusies ES politikas izstrādāšana pilsētu dimensijā. Tas ietver finansēšanas instrumentu pilnveidošanu un pielāgošanu, kā arī kopējās zināšanu bāzes par pilsētvides jautājumiem Eiropā uzlabošanu. ES pilsētprogramma ir nozīmīgākais process Eiropas iestāžu, dalībvalstu, reģionālo un pašvaldības iestāžu, kā arī jebkāda lieluma funkcionālo teritoriju atbalstam, lai īstenotu Leipcigas hartas stratēģiskos principus.</w:t>
      </w:r>
    </w:p>
    <w:p w14:paraId="1AEDC7A5" w14:textId="77777777" w:rsidR="00321226" w:rsidRPr="00884E3D" w:rsidRDefault="00321226" w:rsidP="00884E3D">
      <w:pPr>
        <w:jc w:val="both"/>
        <w:rPr>
          <w:rFonts w:ascii="Times New Roman" w:hAnsi="Times New Roman"/>
          <w:noProof/>
          <w:color w:val="231F20"/>
          <w:sz w:val="24"/>
        </w:rPr>
      </w:pPr>
    </w:p>
    <w:p w14:paraId="2F10BF63" w14:textId="5F8DDD36"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Tādēļ mēs, ministri, vienojamies</w:t>
      </w:r>
      <w:r>
        <w:rPr>
          <w:rFonts w:ascii="Times New Roman" w:hAnsi="Times New Roman"/>
          <w:color w:val="231F20"/>
        </w:rPr>
        <w:t xml:space="preserve"> turpināt, stiprināt un uzlabot ES pilsētprogrammu kā procesu, kas balstīts uz partnerības principu un pilnībā atbilst subsidiaritātes un proporcionalitātes principiem daudzlīmeņu pārvaldības pieejā. Turklāt mēs aicinām Eiropas iestādes savos ietekmes novērtējumos attiecīgos gadījumos ņemt vērā ar pilsētu teritorijām saistīto ES regulu un direktīvu ietekmi un sekas, kā arī aktīvi iesaistīt vietējās un reģionālās ieinteresētās puses konsultācijās par jaunajiem un pašreizējiem ES tiesību aktiem.</w:t>
      </w:r>
    </w:p>
    <w:p w14:paraId="308B0684" w14:textId="77777777" w:rsidR="00321226" w:rsidRPr="00884E3D" w:rsidRDefault="00321226" w:rsidP="00884E3D">
      <w:pPr>
        <w:jc w:val="both"/>
        <w:rPr>
          <w:rFonts w:ascii="Times New Roman" w:hAnsi="Times New Roman"/>
          <w:noProof/>
          <w:color w:val="231F20"/>
          <w:sz w:val="24"/>
        </w:rPr>
      </w:pPr>
    </w:p>
    <w:p w14:paraId="6085CFB7" w14:textId="3593A955"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Finansējumam, finanšu instrumentiem un ES programmām saistībā ar pilsētu jautājumiem</w:t>
      </w:r>
      <w:r>
        <w:rPr>
          <w:rFonts w:ascii="Times New Roman" w:hAnsi="Times New Roman"/>
          <w:color w:val="231F20"/>
        </w:rPr>
        <w:t>, ko nodrošina Eiropas iestādes, ir nozīmīga loma Eiropas pilsētu politikā, un līdz ar to tiem jāuztur spēcīga pilsētu dimensija. Līdz ar citām ES programmām, konsultatīvo atbalstu un finanšu instrumentiem kohēzijas politikai ir galvenā nozīme, lai īstenotu integrētas un ilgtspējīgas pilsētu attīstības stratēģijas un uz konkrētu vietu balstītas pieejas vietējos un reģionālos pilsētu projektos. Šīm programmām ar Eiropas pilsētu iniciatīvas palīdzību jāveicina integrētas, novatoriskas un līdzdalībā balstītas pieejas ilgtspējīgai pilsētu attīstībai, jāsekmē sociālekonomiskā un teritoriālā kohēzija, jāatbalsta policentriskas apdzīvotu vietu struktūras un jātuvina ES tās iedzīvotājiem.</w:t>
      </w:r>
    </w:p>
    <w:p w14:paraId="087E908D" w14:textId="77777777" w:rsidR="00321226" w:rsidRPr="00884E3D" w:rsidRDefault="00321226" w:rsidP="00884E3D">
      <w:pPr>
        <w:jc w:val="both"/>
        <w:rPr>
          <w:rFonts w:ascii="Times New Roman" w:hAnsi="Times New Roman"/>
          <w:noProof/>
          <w:color w:val="231F20"/>
          <w:sz w:val="24"/>
        </w:rPr>
      </w:pPr>
    </w:p>
    <w:p w14:paraId="7A7C285E" w14:textId="3372E785" w:rsidR="00321226" w:rsidRPr="00884E3D" w:rsidRDefault="00321226" w:rsidP="00884E3D">
      <w:pPr>
        <w:pStyle w:val="BodyText"/>
        <w:ind w:left="0"/>
        <w:jc w:val="both"/>
        <w:rPr>
          <w:rFonts w:ascii="Times New Roman" w:hAnsi="Times New Roman"/>
          <w:noProof/>
          <w:color w:val="231F20"/>
        </w:rPr>
      </w:pPr>
      <w:r>
        <w:rPr>
          <w:rFonts w:ascii="Times New Roman" w:hAnsi="Times New Roman"/>
          <w:color w:val="231F20"/>
        </w:rPr>
        <w:t xml:space="preserve">Jāturpina un jāstiprina </w:t>
      </w:r>
      <w:r>
        <w:rPr>
          <w:rFonts w:ascii="Times New Roman" w:hAnsi="Times New Roman"/>
          <w:b/>
          <w:bCs/>
          <w:color w:val="231F20"/>
        </w:rPr>
        <w:t>vertikālā un horizontālā zināšanu</w:t>
      </w:r>
      <w:r>
        <w:rPr>
          <w:rFonts w:ascii="Times New Roman" w:hAnsi="Times New Roman"/>
          <w:color w:val="231F20"/>
        </w:rPr>
        <w:t xml:space="preserve"> un kompetenču </w:t>
      </w:r>
      <w:r>
        <w:rPr>
          <w:rFonts w:ascii="Times New Roman" w:hAnsi="Times New Roman"/>
          <w:b/>
          <w:color w:val="231F20"/>
        </w:rPr>
        <w:t>apmaiņa</w:t>
      </w:r>
      <w:r>
        <w:rPr>
          <w:rFonts w:ascii="Times New Roman" w:hAnsi="Times New Roman"/>
          <w:color w:val="231F20"/>
        </w:rPr>
        <w:t xml:space="preserve"> starp visām daudzlīmeņu pārvaldības ieinteresētajām pusēm. Šo ideju var sekmēt ES finansētās pilsētu attīstības, pētniecības un izstrādes sadarbības programmas, tīkli un iniciatīvas. Tas sniedz iespēju mācīties no labās prakses un novatoriskām pieejām, kā arī galvenajiem darba principiem un instrumentiem. ES pilsētprogramma piedāvā apmaiņas platformu Eiropas, valstu, reģionālajām un vietējām pilsētās ieinteresētajām pusēm.</w:t>
      </w:r>
    </w:p>
    <w:p w14:paraId="0825925E" w14:textId="77777777" w:rsidR="00321226" w:rsidRPr="00884E3D" w:rsidRDefault="00321226" w:rsidP="00884E3D">
      <w:pPr>
        <w:jc w:val="both"/>
        <w:rPr>
          <w:rFonts w:ascii="Times New Roman" w:hAnsi="Times New Roman"/>
          <w:noProof/>
          <w:color w:val="231F20"/>
          <w:sz w:val="24"/>
        </w:rPr>
      </w:pPr>
    </w:p>
    <w:p w14:paraId="246CC923" w14:textId="67200F2F"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Mēs, ministri, aicinām</w:t>
      </w:r>
      <w:r>
        <w:rPr>
          <w:rFonts w:ascii="Times New Roman" w:hAnsi="Times New Roman"/>
          <w:color w:val="231F20"/>
        </w:rPr>
        <w:t xml:space="preserve"> Eiropas iestādes, dalībvalstis un partnervalstis, kā arī reģionālās un pašvaldību iestādes sekmēt metožu un mērķu saskaņotu koordinēšanu starp Eiropas </w:t>
      </w:r>
      <w:r>
        <w:rPr>
          <w:rFonts w:ascii="Times New Roman" w:hAnsi="Times New Roman"/>
          <w:color w:val="231F20"/>
        </w:rPr>
        <w:lastRenderedPageBreak/>
        <w:t xml:space="preserve">programmām un iniciatīvām, piemēram, ES pilsētprogrammu, </w:t>
      </w:r>
      <w:r>
        <w:rPr>
          <w:rFonts w:ascii="Times New Roman" w:hAnsi="Times New Roman"/>
          <w:i/>
          <w:iCs/>
          <w:color w:val="231F20"/>
        </w:rPr>
        <w:t>URBACT</w:t>
      </w:r>
      <w:r>
        <w:rPr>
          <w:rFonts w:ascii="Times New Roman" w:hAnsi="Times New Roman"/>
          <w:color w:val="231F20"/>
        </w:rPr>
        <w:t>, Eiropas pilsētu iniciatīvu, tostarp tās novatoriskajām darbībām un kohēzijas politikas programmām.</w:t>
      </w:r>
    </w:p>
    <w:p w14:paraId="2C8A707B" w14:textId="4E26DEC7" w:rsidR="00884E3D" w:rsidRDefault="00884E3D" w:rsidP="00884E3D">
      <w:pPr>
        <w:jc w:val="both"/>
        <w:rPr>
          <w:rFonts w:ascii="Times New Roman" w:hAnsi="Times New Roman"/>
          <w:noProof/>
          <w:sz w:val="24"/>
        </w:rPr>
      </w:pPr>
    </w:p>
    <w:p w14:paraId="443D57D4" w14:textId="77777777" w:rsidR="009D2A81" w:rsidRDefault="009D2A81" w:rsidP="00884E3D">
      <w:pPr>
        <w:jc w:val="both"/>
        <w:rPr>
          <w:rFonts w:ascii="Times New Roman" w:hAnsi="Times New Roman"/>
          <w:noProof/>
          <w:sz w:val="24"/>
        </w:rPr>
      </w:pPr>
    </w:p>
    <w:p w14:paraId="7D61ECCD" w14:textId="39BFBFFE" w:rsidR="00321226" w:rsidRPr="00884E3D" w:rsidRDefault="000462AD" w:rsidP="00884E3D">
      <w:pPr>
        <w:tabs>
          <w:tab w:val="left" w:pos="516"/>
          <w:tab w:val="left" w:pos="1020"/>
        </w:tabs>
        <w:jc w:val="both"/>
        <w:rPr>
          <w:rFonts w:ascii="Times New Roman" w:eastAsia="Calibri" w:hAnsi="Times New Roman" w:cs="Calibri"/>
          <w:noProof/>
          <w:sz w:val="24"/>
          <w:szCs w:val="28"/>
        </w:rPr>
      </w:pPr>
      <w:r>
        <w:rPr>
          <w:rFonts w:ascii="Times New Roman" w:hAnsi="Times New Roman"/>
          <w:b/>
          <w:color w:val="034EA2"/>
          <w:sz w:val="24"/>
          <w:u w:val="thick" w:color="034EA2"/>
        </w:rPr>
        <w:t>E. NOSLĒGUMA AICINĀJUMS</w:t>
      </w:r>
    </w:p>
    <w:p w14:paraId="30C6816A" w14:textId="77777777" w:rsidR="00321226" w:rsidRPr="00884E3D" w:rsidRDefault="00321226" w:rsidP="00884E3D">
      <w:pPr>
        <w:jc w:val="both"/>
        <w:rPr>
          <w:rFonts w:ascii="Times New Roman" w:eastAsia="Calibri" w:hAnsi="Times New Roman" w:cs="Calibri"/>
          <w:b/>
          <w:bCs/>
          <w:noProof/>
          <w:sz w:val="24"/>
          <w:szCs w:val="11"/>
        </w:rPr>
      </w:pPr>
    </w:p>
    <w:p w14:paraId="4A5F8C9C" w14:textId="6F35DA10" w:rsidR="00321226" w:rsidRPr="00884E3D" w:rsidRDefault="00321226" w:rsidP="00884E3D">
      <w:pPr>
        <w:pStyle w:val="BodyText"/>
        <w:ind w:left="0"/>
        <w:jc w:val="both"/>
        <w:rPr>
          <w:rFonts w:ascii="Times New Roman" w:hAnsi="Times New Roman"/>
          <w:noProof/>
          <w:color w:val="231F20"/>
        </w:rPr>
      </w:pPr>
      <w:r>
        <w:rPr>
          <w:rFonts w:ascii="Times New Roman" w:hAnsi="Times New Roman"/>
          <w:b/>
          <w:bCs/>
          <w:color w:val="231F20"/>
        </w:rPr>
        <w:t>Mēs, ministri, esam pārliecināti,</w:t>
      </w:r>
      <w:r>
        <w:rPr>
          <w:rFonts w:ascii="Times New Roman" w:hAnsi="Times New Roman"/>
          <w:color w:val="231F20"/>
        </w:rPr>
        <w:t xml:space="preserve"> ka Jaunā Leipcigas harta sniedz stabilu satvaru labai un ilgtspējīgai pilsētu pārvaldībai. Tā uzsver pilsētu pārveidojošo spēku kopīgā labuma gūšanai, izmantojot galvenos principus, galvenās dimensijas un konkrētas darbības jomas.</w:t>
      </w:r>
    </w:p>
    <w:p w14:paraId="4EA212FD" w14:textId="77777777" w:rsidR="00321226" w:rsidRPr="00884E3D" w:rsidRDefault="00321226" w:rsidP="00884E3D">
      <w:pPr>
        <w:jc w:val="both"/>
        <w:rPr>
          <w:rFonts w:ascii="Times New Roman" w:hAnsi="Times New Roman"/>
          <w:noProof/>
          <w:color w:val="231F20"/>
          <w:sz w:val="24"/>
        </w:rPr>
      </w:pPr>
    </w:p>
    <w:p w14:paraId="3ABF5757" w14:textId="77777777"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Mēs aicinām</w:t>
      </w:r>
      <w:r>
        <w:rPr>
          <w:rFonts w:ascii="Times New Roman" w:hAnsi="Times New Roman"/>
          <w:color w:val="231F20"/>
        </w:rPr>
        <w:t xml:space="preserve"> ES iestādes, dalībvalstis un partnervalstis, kā arī pašvaldību un reģionālās iestādes un pilsētu ieinteresētās puses visos pārvaldes līmeņos apņemties īstenot saskaņoto satvaru, izmantojot Eiropas, valsts, reģionālās un vietējās iniciatīvas un programmas, kā arī sekmēt šo īstenošanu.</w:t>
      </w:r>
    </w:p>
    <w:p w14:paraId="59867FDE" w14:textId="77777777" w:rsidR="00321226" w:rsidRPr="00884E3D" w:rsidRDefault="00321226" w:rsidP="00884E3D">
      <w:pPr>
        <w:jc w:val="both"/>
        <w:rPr>
          <w:rFonts w:ascii="Times New Roman" w:eastAsia="Lucida Sans" w:hAnsi="Times New Roman" w:cs="Lucida Sans"/>
          <w:noProof/>
          <w:sz w:val="24"/>
          <w:szCs w:val="25"/>
        </w:rPr>
      </w:pPr>
    </w:p>
    <w:p w14:paraId="17E44AA2" w14:textId="708DF402" w:rsidR="00321226" w:rsidRPr="00884E3D" w:rsidRDefault="00321226" w:rsidP="00884E3D">
      <w:pPr>
        <w:pStyle w:val="BodyText"/>
        <w:ind w:left="0"/>
        <w:jc w:val="both"/>
        <w:rPr>
          <w:rFonts w:ascii="Times New Roman" w:hAnsi="Times New Roman"/>
          <w:noProof/>
        </w:rPr>
      </w:pPr>
      <w:r>
        <w:rPr>
          <w:rFonts w:ascii="Times New Roman" w:hAnsi="Times New Roman"/>
          <w:b/>
          <w:bCs/>
          <w:color w:val="231F20"/>
        </w:rPr>
        <w:t>Tāpēc mēs apstiprinām</w:t>
      </w:r>
      <w:r>
        <w:rPr>
          <w:rFonts w:ascii="Times New Roman" w:hAnsi="Times New Roman"/>
          <w:color w:val="231F20"/>
        </w:rPr>
        <w:t xml:space="preserve"> dokumentu “Jaunās Leipcigas hartas īstenošana, izmantojot daudzlīmeņu pārvaldību: ES pilsētprogrammas nākamie soļi”, kas īsteno un vienlīdzīgi sasaista Jaunās Leipcigas hartas stratēģiskos principus ar ES pilsētprogrammas turpināšanu.</w:t>
      </w:r>
    </w:p>
    <w:p w14:paraId="5609F8D2" w14:textId="77777777" w:rsidR="00884E3D" w:rsidRDefault="00884E3D" w:rsidP="00884E3D">
      <w:pPr>
        <w:jc w:val="both"/>
        <w:rPr>
          <w:rFonts w:ascii="Times New Roman" w:hAnsi="Times New Roman"/>
          <w:noProof/>
          <w:sz w:val="24"/>
        </w:rPr>
      </w:pPr>
    </w:p>
    <w:p w14:paraId="7736B7AD" w14:textId="10D6F62D" w:rsidR="000462AD" w:rsidRDefault="000462AD">
      <w:pPr>
        <w:rPr>
          <w:rFonts w:ascii="Times New Roman" w:eastAsia="Lucida Sans" w:hAnsi="Times New Roman" w:cs="Lucida Sans"/>
          <w:noProof/>
          <w:sz w:val="24"/>
          <w:szCs w:val="20"/>
        </w:rPr>
      </w:pPr>
      <w:r>
        <w:br w:type="page"/>
      </w:r>
    </w:p>
    <w:p w14:paraId="33C30406" w14:textId="77777777" w:rsidR="006E293E" w:rsidRDefault="006E293E" w:rsidP="006E293E">
      <w:pPr>
        <w:jc w:val="both"/>
        <w:rPr>
          <w:rFonts w:ascii="Times New Roman" w:hAnsi="Times New Roman"/>
          <w:color w:val="231F20"/>
          <w:sz w:val="24"/>
        </w:rPr>
      </w:pPr>
    </w:p>
    <w:p w14:paraId="12DAFE49" w14:textId="77777777" w:rsidR="006E293E" w:rsidRDefault="006E293E" w:rsidP="006E293E">
      <w:pPr>
        <w:jc w:val="both"/>
        <w:rPr>
          <w:rFonts w:ascii="Times New Roman" w:hAnsi="Times New Roman"/>
          <w:color w:val="231F20"/>
          <w:sz w:val="24"/>
        </w:rPr>
      </w:pPr>
    </w:p>
    <w:p w14:paraId="7421D9E8" w14:textId="77777777" w:rsidR="006E293E" w:rsidRDefault="006E293E" w:rsidP="006E293E">
      <w:pPr>
        <w:jc w:val="both"/>
        <w:rPr>
          <w:rFonts w:ascii="Times New Roman" w:hAnsi="Times New Roman"/>
          <w:color w:val="231F20"/>
          <w:sz w:val="24"/>
        </w:rPr>
      </w:pPr>
    </w:p>
    <w:p w14:paraId="24A20413" w14:textId="77777777" w:rsidR="006E293E" w:rsidRDefault="006E293E" w:rsidP="006E293E">
      <w:pPr>
        <w:jc w:val="both"/>
        <w:rPr>
          <w:rFonts w:ascii="Times New Roman" w:hAnsi="Times New Roman"/>
          <w:color w:val="231F20"/>
          <w:sz w:val="24"/>
        </w:rPr>
      </w:pPr>
    </w:p>
    <w:p w14:paraId="1AF477F0" w14:textId="77777777" w:rsidR="006E293E" w:rsidRDefault="006E293E" w:rsidP="006E293E">
      <w:pPr>
        <w:jc w:val="both"/>
        <w:rPr>
          <w:rFonts w:ascii="Times New Roman" w:hAnsi="Times New Roman"/>
          <w:color w:val="231F20"/>
          <w:sz w:val="24"/>
        </w:rPr>
      </w:pPr>
    </w:p>
    <w:p w14:paraId="26D91A08" w14:textId="77777777" w:rsidR="006E293E" w:rsidRDefault="006E293E" w:rsidP="006E293E">
      <w:pPr>
        <w:jc w:val="both"/>
        <w:rPr>
          <w:rFonts w:ascii="Times New Roman" w:hAnsi="Times New Roman"/>
          <w:color w:val="231F20"/>
          <w:sz w:val="24"/>
        </w:rPr>
      </w:pPr>
    </w:p>
    <w:p w14:paraId="3054DDDC" w14:textId="77777777" w:rsidR="006E293E" w:rsidRDefault="006E293E" w:rsidP="006E293E">
      <w:pPr>
        <w:jc w:val="both"/>
        <w:rPr>
          <w:rFonts w:ascii="Times New Roman" w:hAnsi="Times New Roman"/>
          <w:color w:val="231F20"/>
          <w:sz w:val="24"/>
        </w:rPr>
      </w:pPr>
    </w:p>
    <w:p w14:paraId="4021B03E" w14:textId="77777777" w:rsidR="006E293E" w:rsidRDefault="006E293E" w:rsidP="006E293E">
      <w:pPr>
        <w:jc w:val="both"/>
        <w:rPr>
          <w:rFonts w:ascii="Times New Roman" w:hAnsi="Times New Roman"/>
          <w:color w:val="231F20"/>
          <w:sz w:val="24"/>
        </w:rPr>
      </w:pPr>
    </w:p>
    <w:p w14:paraId="44A1C84D" w14:textId="0D8E194D" w:rsidR="006E293E" w:rsidRDefault="006E293E" w:rsidP="006E293E">
      <w:pPr>
        <w:jc w:val="both"/>
        <w:rPr>
          <w:rFonts w:ascii="Times New Roman" w:hAnsi="Times New Roman"/>
          <w:color w:val="231F20"/>
          <w:sz w:val="24"/>
        </w:rPr>
      </w:pPr>
    </w:p>
    <w:p w14:paraId="1F6D64F5" w14:textId="42C6D781" w:rsidR="006E293E" w:rsidRDefault="006E293E" w:rsidP="006E293E">
      <w:pPr>
        <w:jc w:val="both"/>
        <w:rPr>
          <w:rFonts w:ascii="Times New Roman" w:hAnsi="Times New Roman"/>
          <w:color w:val="231F20"/>
          <w:sz w:val="24"/>
        </w:rPr>
      </w:pPr>
    </w:p>
    <w:p w14:paraId="61465B29" w14:textId="632411ED" w:rsidR="006E293E" w:rsidRDefault="006E293E" w:rsidP="006E293E">
      <w:pPr>
        <w:jc w:val="both"/>
        <w:rPr>
          <w:rFonts w:ascii="Times New Roman" w:hAnsi="Times New Roman"/>
          <w:color w:val="231F20"/>
          <w:sz w:val="24"/>
        </w:rPr>
      </w:pPr>
    </w:p>
    <w:p w14:paraId="79D0AFB9" w14:textId="55F24B5C" w:rsidR="006E293E" w:rsidRDefault="006E293E" w:rsidP="006E293E">
      <w:pPr>
        <w:jc w:val="both"/>
        <w:rPr>
          <w:rFonts w:ascii="Times New Roman" w:hAnsi="Times New Roman"/>
          <w:color w:val="231F20"/>
          <w:sz w:val="24"/>
        </w:rPr>
      </w:pPr>
    </w:p>
    <w:p w14:paraId="4B41EBB4" w14:textId="3AFC25B8" w:rsidR="006E293E" w:rsidRDefault="006E293E" w:rsidP="006E293E">
      <w:pPr>
        <w:jc w:val="both"/>
        <w:rPr>
          <w:rFonts w:ascii="Times New Roman" w:hAnsi="Times New Roman"/>
          <w:color w:val="231F20"/>
          <w:sz w:val="24"/>
        </w:rPr>
      </w:pPr>
    </w:p>
    <w:p w14:paraId="763FC8B3" w14:textId="08037876" w:rsidR="006E293E" w:rsidRDefault="006E293E" w:rsidP="006E293E">
      <w:pPr>
        <w:jc w:val="both"/>
        <w:rPr>
          <w:rFonts w:ascii="Times New Roman" w:hAnsi="Times New Roman"/>
          <w:color w:val="231F20"/>
          <w:sz w:val="24"/>
        </w:rPr>
      </w:pPr>
    </w:p>
    <w:p w14:paraId="0830FD0B" w14:textId="5A684EFC" w:rsidR="006E293E" w:rsidRDefault="006E293E" w:rsidP="006E293E">
      <w:pPr>
        <w:jc w:val="both"/>
        <w:rPr>
          <w:rFonts w:ascii="Times New Roman" w:hAnsi="Times New Roman"/>
          <w:color w:val="231F20"/>
          <w:sz w:val="24"/>
        </w:rPr>
      </w:pPr>
    </w:p>
    <w:p w14:paraId="6EAAF807" w14:textId="2FFA269F" w:rsidR="006E293E" w:rsidRDefault="006E293E" w:rsidP="006E293E">
      <w:pPr>
        <w:jc w:val="both"/>
        <w:rPr>
          <w:rFonts w:ascii="Times New Roman" w:hAnsi="Times New Roman"/>
          <w:color w:val="231F20"/>
          <w:sz w:val="24"/>
        </w:rPr>
      </w:pPr>
    </w:p>
    <w:p w14:paraId="2AA861D4" w14:textId="18BDC11C" w:rsidR="006E293E" w:rsidRDefault="006E293E" w:rsidP="006E293E">
      <w:pPr>
        <w:jc w:val="both"/>
        <w:rPr>
          <w:rFonts w:ascii="Times New Roman" w:hAnsi="Times New Roman"/>
          <w:color w:val="231F20"/>
          <w:sz w:val="24"/>
        </w:rPr>
      </w:pPr>
    </w:p>
    <w:p w14:paraId="42A60066" w14:textId="756A2FDA" w:rsidR="006E293E" w:rsidRDefault="006E293E" w:rsidP="006E293E">
      <w:pPr>
        <w:jc w:val="both"/>
        <w:rPr>
          <w:rFonts w:ascii="Times New Roman" w:hAnsi="Times New Roman"/>
          <w:color w:val="231F20"/>
          <w:sz w:val="24"/>
        </w:rPr>
      </w:pPr>
    </w:p>
    <w:p w14:paraId="05BAC67E" w14:textId="695D92D5" w:rsidR="006E293E" w:rsidRDefault="006E293E" w:rsidP="006E293E">
      <w:pPr>
        <w:jc w:val="both"/>
        <w:rPr>
          <w:rFonts w:ascii="Times New Roman" w:hAnsi="Times New Roman"/>
          <w:color w:val="231F20"/>
          <w:sz w:val="24"/>
        </w:rPr>
      </w:pPr>
    </w:p>
    <w:p w14:paraId="45D6E506" w14:textId="601CE361" w:rsidR="006E293E" w:rsidRDefault="006E293E" w:rsidP="006E293E">
      <w:pPr>
        <w:jc w:val="both"/>
        <w:rPr>
          <w:rFonts w:ascii="Times New Roman" w:hAnsi="Times New Roman"/>
          <w:color w:val="231F20"/>
          <w:sz w:val="24"/>
        </w:rPr>
      </w:pPr>
    </w:p>
    <w:p w14:paraId="4F4BF606" w14:textId="302A32B3" w:rsidR="006E293E" w:rsidRDefault="006E293E" w:rsidP="006E293E">
      <w:pPr>
        <w:jc w:val="both"/>
        <w:rPr>
          <w:rFonts w:ascii="Times New Roman" w:hAnsi="Times New Roman"/>
          <w:color w:val="231F20"/>
          <w:sz w:val="24"/>
        </w:rPr>
      </w:pPr>
    </w:p>
    <w:p w14:paraId="5DE7D3CB" w14:textId="21B4F9A0" w:rsidR="006E293E" w:rsidRDefault="006E293E" w:rsidP="006E293E">
      <w:pPr>
        <w:jc w:val="both"/>
        <w:rPr>
          <w:rFonts w:ascii="Times New Roman" w:hAnsi="Times New Roman"/>
          <w:color w:val="231F20"/>
          <w:sz w:val="24"/>
        </w:rPr>
      </w:pPr>
    </w:p>
    <w:p w14:paraId="36D931AA" w14:textId="4553059F" w:rsidR="006E293E" w:rsidRDefault="006E293E" w:rsidP="006E293E">
      <w:pPr>
        <w:jc w:val="both"/>
        <w:rPr>
          <w:rFonts w:ascii="Times New Roman" w:hAnsi="Times New Roman"/>
          <w:color w:val="231F20"/>
          <w:sz w:val="24"/>
        </w:rPr>
      </w:pPr>
    </w:p>
    <w:p w14:paraId="1D0B8DD0" w14:textId="5F4C315D" w:rsidR="006E293E" w:rsidRDefault="006E293E" w:rsidP="006E293E">
      <w:pPr>
        <w:jc w:val="both"/>
        <w:rPr>
          <w:rFonts w:ascii="Times New Roman" w:hAnsi="Times New Roman"/>
          <w:color w:val="231F20"/>
          <w:sz w:val="24"/>
        </w:rPr>
      </w:pPr>
    </w:p>
    <w:p w14:paraId="090E9D99" w14:textId="10C09DC6" w:rsidR="006E293E" w:rsidRDefault="006E293E" w:rsidP="006E293E">
      <w:pPr>
        <w:jc w:val="both"/>
        <w:rPr>
          <w:rFonts w:ascii="Times New Roman" w:hAnsi="Times New Roman"/>
          <w:color w:val="231F20"/>
          <w:sz w:val="24"/>
        </w:rPr>
      </w:pPr>
    </w:p>
    <w:p w14:paraId="48716855" w14:textId="41BC4F95" w:rsidR="006E293E" w:rsidRDefault="006E293E" w:rsidP="006E293E">
      <w:pPr>
        <w:jc w:val="both"/>
        <w:rPr>
          <w:rFonts w:ascii="Times New Roman" w:hAnsi="Times New Roman"/>
          <w:color w:val="231F20"/>
          <w:sz w:val="24"/>
        </w:rPr>
      </w:pPr>
    </w:p>
    <w:p w14:paraId="7045E4A3" w14:textId="4461356E" w:rsidR="006E293E" w:rsidRDefault="006E293E" w:rsidP="006E293E">
      <w:pPr>
        <w:jc w:val="both"/>
        <w:rPr>
          <w:rFonts w:ascii="Times New Roman" w:hAnsi="Times New Roman"/>
          <w:color w:val="231F20"/>
          <w:sz w:val="24"/>
        </w:rPr>
      </w:pPr>
    </w:p>
    <w:p w14:paraId="604B8C4F" w14:textId="4D529A40" w:rsidR="006E293E" w:rsidRDefault="006E293E" w:rsidP="006E293E">
      <w:pPr>
        <w:jc w:val="both"/>
        <w:rPr>
          <w:rFonts w:ascii="Times New Roman" w:hAnsi="Times New Roman"/>
          <w:color w:val="231F20"/>
          <w:sz w:val="24"/>
        </w:rPr>
      </w:pPr>
    </w:p>
    <w:p w14:paraId="74F46423" w14:textId="5EB27937" w:rsidR="006E293E" w:rsidRDefault="006E293E" w:rsidP="006E293E">
      <w:pPr>
        <w:jc w:val="both"/>
        <w:rPr>
          <w:rFonts w:ascii="Times New Roman" w:hAnsi="Times New Roman"/>
          <w:color w:val="231F20"/>
          <w:sz w:val="24"/>
        </w:rPr>
      </w:pPr>
    </w:p>
    <w:p w14:paraId="7FE11F66" w14:textId="7A7E85E3" w:rsidR="006E293E" w:rsidRDefault="006E293E" w:rsidP="006E293E">
      <w:pPr>
        <w:jc w:val="both"/>
        <w:rPr>
          <w:rFonts w:ascii="Times New Roman" w:hAnsi="Times New Roman"/>
          <w:color w:val="231F20"/>
          <w:sz w:val="24"/>
        </w:rPr>
      </w:pPr>
    </w:p>
    <w:p w14:paraId="62E33CCA" w14:textId="429FFDCE" w:rsidR="006E293E" w:rsidRDefault="006E293E" w:rsidP="006E293E">
      <w:pPr>
        <w:jc w:val="both"/>
        <w:rPr>
          <w:rFonts w:ascii="Times New Roman" w:hAnsi="Times New Roman"/>
          <w:color w:val="231F20"/>
          <w:sz w:val="24"/>
        </w:rPr>
      </w:pPr>
    </w:p>
    <w:p w14:paraId="0ED89B4F" w14:textId="26CAE684" w:rsidR="006E293E" w:rsidRDefault="006E293E" w:rsidP="006E293E">
      <w:pPr>
        <w:jc w:val="both"/>
        <w:rPr>
          <w:rFonts w:ascii="Times New Roman" w:hAnsi="Times New Roman"/>
          <w:color w:val="231F20"/>
          <w:sz w:val="24"/>
        </w:rPr>
      </w:pPr>
    </w:p>
    <w:p w14:paraId="50FA0E00" w14:textId="23F7EABF" w:rsidR="006E293E" w:rsidRDefault="006E293E" w:rsidP="006E293E">
      <w:pPr>
        <w:jc w:val="both"/>
        <w:rPr>
          <w:rFonts w:ascii="Times New Roman" w:hAnsi="Times New Roman"/>
          <w:color w:val="231F20"/>
          <w:sz w:val="24"/>
        </w:rPr>
      </w:pPr>
    </w:p>
    <w:p w14:paraId="78F56591" w14:textId="7946771D" w:rsidR="006E293E" w:rsidRDefault="006E293E" w:rsidP="006E293E">
      <w:pPr>
        <w:jc w:val="both"/>
        <w:rPr>
          <w:rFonts w:ascii="Times New Roman" w:hAnsi="Times New Roman"/>
          <w:color w:val="231F20"/>
          <w:sz w:val="24"/>
        </w:rPr>
      </w:pPr>
    </w:p>
    <w:p w14:paraId="1F549517" w14:textId="0AE84915" w:rsidR="006E293E" w:rsidRDefault="006E293E" w:rsidP="006E293E">
      <w:pPr>
        <w:jc w:val="both"/>
        <w:rPr>
          <w:rFonts w:ascii="Times New Roman" w:hAnsi="Times New Roman"/>
          <w:color w:val="231F20"/>
          <w:sz w:val="24"/>
        </w:rPr>
      </w:pPr>
    </w:p>
    <w:p w14:paraId="0C48672D" w14:textId="50AAD3D5" w:rsidR="006E293E" w:rsidRDefault="006E293E" w:rsidP="006E293E">
      <w:pPr>
        <w:jc w:val="both"/>
        <w:rPr>
          <w:rFonts w:ascii="Times New Roman" w:hAnsi="Times New Roman"/>
          <w:color w:val="231F20"/>
          <w:sz w:val="24"/>
        </w:rPr>
      </w:pPr>
    </w:p>
    <w:p w14:paraId="448D6BD8" w14:textId="006F12AB" w:rsidR="006E293E" w:rsidRDefault="006E293E" w:rsidP="006E293E">
      <w:pPr>
        <w:jc w:val="both"/>
        <w:rPr>
          <w:rFonts w:ascii="Times New Roman" w:hAnsi="Times New Roman"/>
          <w:color w:val="231F20"/>
          <w:sz w:val="24"/>
        </w:rPr>
      </w:pPr>
    </w:p>
    <w:p w14:paraId="402BCB64" w14:textId="6B2687AE" w:rsidR="006E293E" w:rsidRDefault="006E293E" w:rsidP="006E293E">
      <w:pPr>
        <w:jc w:val="both"/>
        <w:rPr>
          <w:rFonts w:ascii="Times New Roman" w:hAnsi="Times New Roman"/>
          <w:color w:val="231F20"/>
          <w:sz w:val="24"/>
        </w:rPr>
      </w:pPr>
    </w:p>
    <w:p w14:paraId="40300709" w14:textId="0D8AC29C" w:rsidR="006E293E" w:rsidRDefault="006E293E" w:rsidP="006E293E">
      <w:pPr>
        <w:jc w:val="both"/>
        <w:rPr>
          <w:rFonts w:ascii="Times New Roman" w:hAnsi="Times New Roman"/>
          <w:color w:val="231F20"/>
          <w:sz w:val="24"/>
        </w:rPr>
      </w:pPr>
    </w:p>
    <w:p w14:paraId="1F588216" w14:textId="21834E4D" w:rsidR="006E293E" w:rsidRDefault="006E293E" w:rsidP="006E293E">
      <w:pPr>
        <w:jc w:val="both"/>
        <w:rPr>
          <w:rFonts w:ascii="Times New Roman" w:hAnsi="Times New Roman"/>
          <w:color w:val="231F20"/>
          <w:sz w:val="24"/>
        </w:rPr>
      </w:pPr>
    </w:p>
    <w:p w14:paraId="455F9E50" w14:textId="004941B3" w:rsidR="006E293E" w:rsidRDefault="006E293E" w:rsidP="006E293E">
      <w:pPr>
        <w:jc w:val="both"/>
        <w:rPr>
          <w:rFonts w:ascii="Times New Roman" w:hAnsi="Times New Roman"/>
          <w:color w:val="231F20"/>
          <w:sz w:val="24"/>
        </w:rPr>
      </w:pPr>
    </w:p>
    <w:p w14:paraId="156A3351" w14:textId="263F6240" w:rsidR="006E293E" w:rsidRDefault="006E293E" w:rsidP="006E293E">
      <w:pPr>
        <w:jc w:val="both"/>
        <w:rPr>
          <w:rFonts w:ascii="Times New Roman" w:hAnsi="Times New Roman"/>
          <w:color w:val="231F20"/>
          <w:sz w:val="24"/>
        </w:rPr>
      </w:pPr>
    </w:p>
    <w:p w14:paraId="68A8FF74" w14:textId="77777777" w:rsidR="006E293E" w:rsidRDefault="006E293E" w:rsidP="006E293E">
      <w:pPr>
        <w:jc w:val="both"/>
        <w:rPr>
          <w:rFonts w:ascii="Times New Roman" w:hAnsi="Times New Roman"/>
          <w:color w:val="231F20"/>
          <w:sz w:val="24"/>
        </w:rPr>
      </w:pPr>
    </w:p>
    <w:p w14:paraId="150D8EF2" w14:textId="677312B6" w:rsidR="00321226" w:rsidRPr="00884E3D" w:rsidRDefault="00321226" w:rsidP="000462AD">
      <w:pPr>
        <w:jc w:val="center"/>
        <w:rPr>
          <w:rFonts w:ascii="Times New Roman" w:hAnsi="Times New Roman"/>
          <w:noProof/>
          <w:color w:val="231F20"/>
          <w:sz w:val="24"/>
        </w:rPr>
      </w:pPr>
      <w:r>
        <w:rPr>
          <w:rFonts w:ascii="Times New Roman" w:hAnsi="Times New Roman"/>
          <w:color w:val="231F20"/>
          <w:sz w:val="24"/>
        </w:rPr>
        <w:t>www.bmi.bund.de</w:t>
      </w:r>
    </w:p>
    <w:p w14:paraId="44319E40" w14:textId="77777777" w:rsidR="00321226" w:rsidRPr="00884E3D" w:rsidRDefault="00321226" w:rsidP="00884E3D">
      <w:pPr>
        <w:jc w:val="both"/>
        <w:rPr>
          <w:rFonts w:ascii="Times New Roman" w:eastAsia="Calibri" w:hAnsi="Times New Roman" w:cs="Calibri"/>
          <w:noProof/>
          <w:sz w:val="24"/>
          <w:szCs w:val="19"/>
        </w:rPr>
      </w:pPr>
    </w:p>
    <w:p w14:paraId="3E90C9E7" w14:textId="77777777" w:rsidR="00321226" w:rsidRPr="00884E3D" w:rsidRDefault="00321226" w:rsidP="000462AD">
      <w:pPr>
        <w:jc w:val="center"/>
        <w:rPr>
          <w:rFonts w:ascii="Times New Roman" w:hAnsi="Times New Roman"/>
          <w:noProof/>
          <w:color w:val="231F20"/>
          <w:sz w:val="24"/>
        </w:rPr>
      </w:pPr>
      <w:r>
        <w:rPr>
          <w:rFonts w:ascii="Times New Roman" w:hAnsi="Times New Roman"/>
          <w:color w:val="231F20"/>
          <w:sz w:val="24"/>
        </w:rPr>
        <w:t>Attēlu autori</w:t>
      </w:r>
    </w:p>
    <w:p w14:paraId="26496BB4" w14:textId="77777777" w:rsidR="000462AD" w:rsidRDefault="00321226" w:rsidP="000462AD">
      <w:pPr>
        <w:jc w:val="center"/>
        <w:rPr>
          <w:rFonts w:ascii="Times New Roman" w:hAnsi="Times New Roman"/>
          <w:noProof/>
          <w:color w:val="231F20"/>
          <w:sz w:val="24"/>
        </w:rPr>
      </w:pPr>
      <w:r>
        <w:rPr>
          <w:rFonts w:ascii="Times New Roman" w:hAnsi="Times New Roman"/>
          <w:color w:val="231F20"/>
          <w:sz w:val="24"/>
        </w:rPr>
        <w:t>Toms Tīls [</w:t>
      </w:r>
      <w:r>
        <w:rPr>
          <w:rFonts w:ascii="Times New Roman" w:hAnsi="Times New Roman"/>
          <w:i/>
          <w:iCs/>
          <w:color w:val="231F20"/>
          <w:sz w:val="24"/>
        </w:rPr>
        <w:t>Tom Thiele</w:t>
      </w:r>
      <w:r>
        <w:rPr>
          <w:rFonts w:ascii="Times New Roman" w:hAnsi="Times New Roman"/>
          <w:color w:val="231F20"/>
          <w:sz w:val="24"/>
        </w:rPr>
        <w:t>] (mobilitāte Leipcigas centrā)</w:t>
      </w:r>
    </w:p>
    <w:p w14:paraId="539E75CA" w14:textId="384ABD35" w:rsidR="00321226" w:rsidRPr="00884E3D" w:rsidRDefault="00321226" w:rsidP="000462AD">
      <w:pPr>
        <w:jc w:val="center"/>
        <w:rPr>
          <w:rFonts w:ascii="Times New Roman" w:hAnsi="Times New Roman"/>
          <w:noProof/>
          <w:color w:val="231F20"/>
          <w:sz w:val="24"/>
        </w:rPr>
      </w:pPr>
      <w:r>
        <w:rPr>
          <w:rFonts w:ascii="Times New Roman" w:hAnsi="Times New Roman"/>
          <w:color w:val="231F20"/>
          <w:sz w:val="24"/>
        </w:rPr>
        <w:t>Andreass Šmits [</w:t>
      </w:r>
      <w:r>
        <w:rPr>
          <w:rFonts w:ascii="Times New Roman" w:hAnsi="Times New Roman"/>
          <w:i/>
          <w:iCs/>
          <w:color w:val="231F20"/>
          <w:sz w:val="24"/>
        </w:rPr>
        <w:t>Andreas Schmidt</w:t>
      </w:r>
      <w:r>
        <w:rPr>
          <w:rFonts w:ascii="Times New Roman" w:hAnsi="Times New Roman"/>
          <w:color w:val="231F20"/>
          <w:sz w:val="24"/>
        </w:rPr>
        <w:t>] (diegu ražotnes “Buntgarnwerke” un Johannas parks Leipcigā)</w:t>
      </w:r>
    </w:p>
    <w:p w14:paraId="12C5F70A" w14:textId="77777777" w:rsidR="000462AD" w:rsidRDefault="00321226" w:rsidP="000462AD">
      <w:pPr>
        <w:jc w:val="center"/>
        <w:rPr>
          <w:rFonts w:ascii="Times New Roman" w:hAnsi="Times New Roman"/>
          <w:noProof/>
          <w:color w:val="231F20"/>
          <w:sz w:val="24"/>
        </w:rPr>
      </w:pPr>
      <w:r>
        <w:rPr>
          <w:rFonts w:ascii="Times New Roman" w:hAnsi="Times New Roman"/>
          <w:color w:val="231F20"/>
          <w:sz w:val="24"/>
        </w:rPr>
        <w:t>Pīters Eihlers [</w:t>
      </w:r>
      <w:r>
        <w:rPr>
          <w:rFonts w:ascii="Times New Roman" w:hAnsi="Times New Roman"/>
          <w:i/>
          <w:iCs/>
          <w:color w:val="231F20"/>
          <w:sz w:val="24"/>
        </w:rPr>
        <w:t>Peter Eichler</w:t>
      </w:r>
      <w:r>
        <w:rPr>
          <w:rFonts w:ascii="Times New Roman" w:hAnsi="Times New Roman"/>
          <w:color w:val="231F20"/>
          <w:sz w:val="24"/>
        </w:rPr>
        <w:t>] (dienas aprūpes centrs Leipcigā)</w:t>
      </w:r>
    </w:p>
    <w:p w14:paraId="01199C2E" w14:textId="27E83856" w:rsidR="00321226" w:rsidRPr="00884E3D" w:rsidRDefault="00321226" w:rsidP="000462AD">
      <w:pPr>
        <w:jc w:val="center"/>
        <w:rPr>
          <w:rFonts w:ascii="Times New Roman" w:hAnsi="Times New Roman"/>
          <w:noProof/>
          <w:color w:val="231F20"/>
          <w:sz w:val="24"/>
        </w:rPr>
      </w:pPr>
      <w:r>
        <w:rPr>
          <w:rFonts w:ascii="Times New Roman" w:hAnsi="Times New Roman"/>
          <w:color w:val="231F20"/>
          <w:sz w:val="24"/>
        </w:rPr>
        <w:t>Leipcigas pilsēta (mājokļi Leipcigā)</w:t>
      </w:r>
    </w:p>
    <w:sectPr w:rsidR="00321226" w:rsidRPr="00884E3D" w:rsidSect="00884E3D">
      <w:headerReference w:type="even" r:id="rId10"/>
      <w:footerReference w:type="even"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399C" w14:textId="77777777" w:rsidR="00411400" w:rsidRPr="00321226" w:rsidRDefault="00411400">
      <w:pPr>
        <w:rPr>
          <w:noProof/>
        </w:rPr>
      </w:pPr>
      <w:r w:rsidRPr="00321226">
        <w:rPr>
          <w:noProof/>
        </w:rPr>
        <w:separator/>
      </w:r>
    </w:p>
  </w:endnote>
  <w:endnote w:type="continuationSeparator" w:id="0">
    <w:p w14:paraId="510604F8" w14:textId="77777777" w:rsidR="00411400" w:rsidRPr="00321226" w:rsidRDefault="00411400">
      <w:pPr>
        <w:rPr>
          <w:noProof/>
        </w:rPr>
      </w:pPr>
      <w:r w:rsidRPr="00321226">
        <w:rPr>
          <w:noProof/>
        </w:rPr>
        <w:continuationSeparator/>
      </w:r>
    </w:p>
  </w:endnote>
  <w:endnote w:type="continuationNotice" w:id="1">
    <w:p w14:paraId="4F8277E0" w14:textId="77777777" w:rsidR="005C4077" w:rsidRDefault="005C4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ucida Sans">
    <w:altName w:val="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D729" w14:textId="77777777" w:rsidR="00200944" w:rsidRPr="00200944" w:rsidRDefault="00200944" w:rsidP="00200944">
    <w:pPr>
      <w:tabs>
        <w:tab w:val="center" w:pos="4513"/>
        <w:tab w:val="right" w:pos="9026"/>
        <w:tab w:val="left" w:pos="9072"/>
      </w:tabs>
      <w:rPr>
        <w:rFonts w:ascii="Times New Roman" w:hAnsi="Times New Roman" w:cs="Times New Roman"/>
        <w:sz w:val="20"/>
        <w:szCs w:val="18"/>
      </w:rPr>
    </w:pPr>
  </w:p>
  <w:p w14:paraId="5EE71C0E" w14:textId="77777777" w:rsidR="00200944" w:rsidRPr="00200944" w:rsidRDefault="00200944" w:rsidP="00200944">
    <w:pPr>
      <w:tabs>
        <w:tab w:val="right" w:leader="underscore" w:pos="9072"/>
      </w:tabs>
      <w:rPr>
        <w:rFonts w:ascii="Times New Roman" w:hAnsi="Times New Roman" w:cs="Times New Roman"/>
        <w:sz w:val="20"/>
        <w:szCs w:val="18"/>
      </w:rPr>
    </w:pPr>
    <w:r w:rsidRPr="00200944">
      <w:rPr>
        <w:rFonts w:ascii="Times New Roman" w:hAnsi="Times New Roman" w:cs="Times New Roman"/>
        <w:sz w:val="20"/>
        <w:szCs w:val="18"/>
      </w:rPr>
      <w:tab/>
    </w:r>
  </w:p>
  <w:p w14:paraId="632C2EF5" w14:textId="77777777" w:rsidR="00200944" w:rsidRPr="00200944" w:rsidRDefault="00200944" w:rsidP="00200944">
    <w:pPr>
      <w:tabs>
        <w:tab w:val="center" w:pos="4513"/>
        <w:tab w:val="right" w:pos="9026"/>
        <w:tab w:val="right" w:pos="9072"/>
      </w:tabs>
      <w:rPr>
        <w:rFonts w:ascii="Times New Roman" w:hAnsi="Times New Roman" w:cs="Times New Roman"/>
        <w:sz w:val="20"/>
        <w:szCs w:val="18"/>
      </w:rPr>
    </w:pPr>
  </w:p>
  <w:p w14:paraId="31126018" w14:textId="77777777" w:rsidR="00200944" w:rsidRPr="00200944" w:rsidRDefault="00200944" w:rsidP="00200944">
    <w:pPr>
      <w:tabs>
        <w:tab w:val="right" w:pos="9072"/>
      </w:tabs>
      <w:rPr>
        <w:rFonts w:ascii="Times New Roman" w:hAnsi="Times New Roman" w:cs="Times New Roman"/>
        <w:sz w:val="20"/>
        <w:szCs w:val="18"/>
      </w:rPr>
    </w:pPr>
    <w:r w:rsidRPr="00200944">
      <w:rPr>
        <w:rFonts w:ascii="Times New Roman" w:hAnsi="Times New Roman" w:cs="Times New Roman"/>
        <w:noProof/>
        <w:sz w:val="20"/>
        <w:szCs w:val="18"/>
      </w:rPr>
      <w:t xml:space="preserve">Tulkojums </w:t>
    </w:r>
    <w:r w:rsidRPr="00200944">
      <w:rPr>
        <w:rFonts w:ascii="Times New Roman" w:hAnsi="Times New Roman" w:cs="Times New Roman"/>
        <w:noProof/>
        <w:sz w:val="20"/>
        <w:szCs w:val="18"/>
      </w:rPr>
      <w:fldChar w:fldCharType="begin"/>
    </w:r>
    <w:r w:rsidRPr="00200944">
      <w:rPr>
        <w:rFonts w:ascii="Times New Roman" w:hAnsi="Times New Roman" w:cs="Times New Roman"/>
        <w:noProof/>
        <w:sz w:val="20"/>
        <w:szCs w:val="18"/>
      </w:rPr>
      <w:instrText>symbol 211 \f "Symbol" \s 9</w:instrText>
    </w:r>
    <w:r w:rsidRPr="00200944">
      <w:rPr>
        <w:rFonts w:ascii="Times New Roman" w:hAnsi="Times New Roman" w:cs="Times New Roman"/>
        <w:noProof/>
        <w:sz w:val="20"/>
        <w:szCs w:val="18"/>
      </w:rPr>
      <w:fldChar w:fldCharType="separate"/>
    </w:r>
    <w:r w:rsidRPr="00200944">
      <w:rPr>
        <w:rFonts w:ascii="Times New Roman" w:hAnsi="Times New Roman" w:cs="Times New Roman"/>
        <w:noProof/>
        <w:sz w:val="20"/>
        <w:szCs w:val="18"/>
      </w:rPr>
      <w:t>Ó</w:t>
    </w:r>
    <w:r w:rsidRPr="00200944">
      <w:rPr>
        <w:rFonts w:ascii="Times New Roman" w:hAnsi="Times New Roman" w:cs="Times New Roman"/>
        <w:noProof/>
        <w:sz w:val="20"/>
        <w:szCs w:val="18"/>
      </w:rPr>
      <w:fldChar w:fldCharType="end"/>
    </w:r>
    <w:r w:rsidRPr="00200944">
      <w:rPr>
        <w:rFonts w:ascii="Times New Roman" w:hAnsi="Times New Roman" w:cs="Times New Roman"/>
        <w:noProof/>
        <w:sz w:val="20"/>
        <w:szCs w:val="18"/>
      </w:rPr>
      <w:t xml:space="preserve"> Valsts valodas centrs, 2021</w:t>
    </w:r>
    <w:r w:rsidRPr="00200944">
      <w:rPr>
        <w:rFonts w:ascii="Times New Roman" w:hAnsi="Times New Roman" w:cs="Times New Roman"/>
        <w:sz w:val="20"/>
        <w:szCs w:val="18"/>
      </w:rPr>
      <w:tab/>
    </w:r>
    <w:r w:rsidRPr="00200944">
      <w:rPr>
        <w:rFonts w:ascii="Times New Roman" w:hAnsi="Times New Roman" w:cs="Times New Roman"/>
        <w:sz w:val="20"/>
        <w:szCs w:val="18"/>
      </w:rPr>
      <w:fldChar w:fldCharType="begin"/>
    </w:r>
    <w:r w:rsidRPr="00200944">
      <w:rPr>
        <w:rFonts w:ascii="Times New Roman" w:hAnsi="Times New Roman" w:cs="Times New Roman"/>
        <w:sz w:val="20"/>
        <w:szCs w:val="18"/>
      </w:rPr>
      <w:instrText xml:space="preserve">page </w:instrText>
    </w:r>
    <w:r w:rsidRPr="00200944">
      <w:rPr>
        <w:rFonts w:ascii="Times New Roman" w:hAnsi="Times New Roman" w:cs="Times New Roman"/>
        <w:sz w:val="20"/>
        <w:szCs w:val="18"/>
      </w:rPr>
      <w:fldChar w:fldCharType="separate"/>
    </w:r>
    <w:r w:rsidRPr="00200944">
      <w:rPr>
        <w:rFonts w:ascii="Times New Roman" w:hAnsi="Times New Roman" w:cs="Times New Roman"/>
        <w:sz w:val="20"/>
        <w:szCs w:val="18"/>
      </w:rPr>
      <w:t>2</w:t>
    </w:r>
    <w:r w:rsidRPr="00200944">
      <w:rP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4F7A7" w14:textId="77777777" w:rsidR="005601F3" w:rsidRPr="00200944" w:rsidRDefault="005601F3" w:rsidP="005601F3">
    <w:pPr>
      <w:tabs>
        <w:tab w:val="center" w:pos="4513"/>
        <w:tab w:val="right" w:pos="9026"/>
        <w:tab w:val="left" w:pos="9072"/>
      </w:tabs>
      <w:rPr>
        <w:rFonts w:ascii="Times New Roman" w:hAnsi="Times New Roman" w:cs="Times New Roman"/>
        <w:sz w:val="20"/>
        <w:szCs w:val="18"/>
      </w:rPr>
    </w:pPr>
  </w:p>
  <w:p w14:paraId="040DB1EA" w14:textId="77777777" w:rsidR="005601F3" w:rsidRPr="00200944" w:rsidRDefault="005601F3" w:rsidP="005601F3">
    <w:pPr>
      <w:tabs>
        <w:tab w:val="right" w:leader="underscore" w:pos="9072"/>
      </w:tabs>
      <w:rPr>
        <w:rFonts w:ascii="Times New Roman" w:hAnsi="Times New Roman" w:cs="Times New Roman"/>
        <w:sz w:val="20"/>
        <w:szCs w:val="18"/>
      </w:rPr>
    </w:pPr>
    <w:r w:rsidRPr="00200944">
      <w:rPr>
        <w:rFonts w:ascii="Times New Roman" w:hAnsi="Times New Roman" w:cs="Times New Roman"/>
        <w:sz w:val="20"/>
        <w:szCs w:val="18"/>
      </w:rPr>
      <w:tab/>
    </w:r>
  </w:p>
  <w:p w14:paraId="1C6F153C" w14:textId="77777777" w:rsidR="005601F3" w:rsidRPr="00200944" w:rsidRDefault="005601F3" w:rsidP="005601F3">
    <w:pPr>
      <w:tabs>
        <w:tab w:val="center" w:pos="4513"/>
        <w:tab w:val="right" w:pos="9026"/>
        <w:tab w:val="right" w:pos="9072"/>
      </w:tabs>
      <w:rPr>
        <w:rFonts w:ascii="Times New Roman" w:hAnsi="Times New Roman" w:cs="Times New Roman"/>
        <w:sz w:val="20"/>
        <w:szCs w:val="18"/>
      </w:rPr>
    </w:pPr>
  </w:p>
  <w:p w14:paraId="6C8E4D40" w14:textId="77777777" w:rsidR="005601F3" w:rsidRPr="00200944" w:rsidRDefault="005601F3" w:rsidP="005601F3">
    <w:pPr>
      <w:tabs>
        <w:tab w:val="right" w:pos="9072"/>
      </w:tabs>
      <w:rPr>
        <w:rFonts w:ascii="Times New Roman" w:hAnsi="Times New Roman" w:cs="Times New Roman"/>
        <w:sz w:val="20"/>
        <w:szCs w:val="18"/>
      </w:rPr>
    </w:pPr>
    <w:r w:rsidRPr="00200944">
      <w:rPr>
        <w:rFonts w:ascii="Times New Roman" w:hAnsi="Times New Roman" w:cs="Times New Roman"/>
        <w:noProof/>
        <w:sz w:val="20"/>
        <w:szCs w:val="18"/>
      </w:rPr>
      <w:t xml:space="preserve">Tulkojums </w:t>
    </w:r>
    <w:r w:rsidRPr="00200944">
      <w:rPr>
        <w:rFonts w:ascii="Times New Roman" w:hAnsi="Times New Roman" w:cs="Times New Roman"/>
        <w:noProof/>
        <w:sz w:val="20"/>
        <w:szCs w:val="18"/>
      </w:rPr>
      <w:fldChar w:fldCharType="begin"/>
    </w:r>
    <w:r w:rsidRPr="00200944">
      <w:rPr>
        <w:rFonts w:ascii="Times New Roman" w:hAnsi="Times New Roman" w:cs="Times New Roman"/>
        <w:noProof/>
        <w:sz w:val="20"/>
        <w:szCs w:val="18"/>
      </w:rPr>
      <w:instrText>symbol 211 \f "Symbol" \s 9</w:instrText>
    </w:r>
    <w:r w:rsidRPr="00200944">
      <w:rPr>
        <w:rFonts w:ascii="Times New Roman" w:hAnsi="Times New Roman" w:cs="Times New Roman"/>
        <w:noProof/>
        <w:sz w:val="20"/>
        <w:szCs w:val="18"/>
      </w:rPr>
      <w:fldChar w:fldCharType="separate"/>
    </w:r>
    <w:r w:rsidRPr="00200944">
      <w:rPr>
        <w:rFonts w:ascii="Times New Roman" w:hAnsi="Times New Roman" w:cs="Times New Roman"/>
        <w:noProof/>
        <w:sz w:val="20"/>
        <w:szCs w:val="18"/>
      </w:rPr>
      <w:t>Ó</w:t>
    </w:r>
    <w:r w:rsidRPr="00200944">
      <w:rPr>
        <w:rFonts w:ascii="Times New Roman" w:hAnsi="Times New Roman" w:cs="Times New Roman"/>
        <w:noProof/>
        <w:sz w:val="20"/>
        <w:szCs w:val="18"/>
      </w:rPr>
      <w:fldChar w:fldCharType="end"/>
    </w:r>
    <w:r w:rsidRPr="00200944">
      <w:rPr>
        <w:rFonts w:ascii="Times New Roman" w:hAnsi="Times New Roman" w:cs="Times New Roman"/>
        <w:noProof/>
        <w:sz w:val="20"/>
        <w:szCs w:val="18"/>
      </w:rPr>
      <w:t xml:space="preserve"> Valsts valodas centrs, 2021</w:t>
    </w:r>
    <w:r w:rsidRPr="00200944">
      <w:rPr>
        <w:rFonts w:ascii="Times New Roman" w:hAnsi="Times New Roman" w:cs="Times New Roman"/>
        <w:sz w:val="20"/>
        <w:szCs w:val="18"/>
      </w:rPr>
      <w:tab/>
    </w:r>
    <w:r w:rsidRPr="00200944">
      <w:rPr>
        <w:rFonts w:ascii="Times New Roman" w:hAnsi="Times New Roman" w:cs="Times New Roman"/>
        <w:sz w:val="20"/>
        <w:szCs w:val="18"/>
      </w:rPr>
      <w:fldChar w:fldCharType="begin"/>
    </w:r>
    <w:r w:rsidRPr="00200944">
      <w:rPr>
        <w:rFonts w:ascii="Times New Roman" w:hAnsi="Times New Roman" w:cs="Times New Roman"/>
        <w:sz w:val="20"/>
        <w:szCs w:val="18"/>
      </w:rPr>
      <w:instrText xml:space="preserve">page </w:instrText>
    </w:r>
    <w:r w:rsidRPr="00200944">
      <w:rPr>
        <w:rFonts w:ascii="Times New Roman" w:hAnsi="Times New Roman" w:cs="Times New Roman"/>
        <w:sz w:val="20"/>
        <w:szCs w:val="18"/>
      </w:rPr>
      <w:fldChar w:fldCharType="separate"/>
    </w:r>
    <w:r>
      <w:rPr>
        <w:rFonts w:ascii="Times New Roman" w:hAnsi="Times New Roman" w:cs="Times New Roman"/>
        <w:sz w:val="20"/>
        <w:szCs w:val="18"/>
      </w:rPr>
      <w:t>2</w:t>
    </w:r>
    <w:r w:rsidRPr="00200944">
      <w:rPr>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DFCF7" w14:textId="77777777" w:rsidR="00F37BB4" w:rsidRPr="00F37BB4" w:rsidRDefault="00F37BB4" w:rsidP="00F37BB4">
    <w:pPr>
      <w:tabs>
        <w:tab w:val="center" w:pos="4513"/>
        <w:tab w:val="right" w:pos="9026"/>
        <w:tab w:val="left" w:pos="9072"/>
      </w:tabs>
      <w:rPr>
        <w:rFonts w:ascii="Times New Roman" w:hAnsi="Times New Roman" w:cs="Times New Roman"/>
        <w:sz w:val="20"/>
        <w:szCs w:val="18"/>
      </w:rPr>
    </w:pPr>
    <w:bookmarkStart w:id="18" w:name="_Hlk496261764"/>
    <w:bookmarkStart w:id="19" w:name="_Hlk496261765"/>
    <w:bookmarkStart w:id="20" w:name="_Hlk496261766"/>
    <w:bookmarkStart w:id="21" w:name="_Hlk30491075"/>
    <w:bookmarkStart w:id="22" w:name="_Hlk30491076"/>
  </w:p>
  <w:p w14:paraId="2A6E7722" w14:textId="77777777" w:rsidR="00F37BB4" w:rsidRPr="00F37BB4" w:rsidRDefault="00F37BB4" w:rsidP="00F37BB4">
    <w:pPr>
      <w:tabs>
        <w:tab w:val="left" w:leader="underscore" w:pos="9072"/>
      </w:tabs>
      <w:rPr>
        <w:rFonts w:ascii="Times New Roman" w:hAnsi="Times New Roman" w:cs="Times New Roman"/>
        <w:sz w:val="20"/>
        <w:szCs w:val="18"/>
      </w:rPr>
    </w:pPr>
    <w:r w:rsidRPr="00F37BB4">
      <w:rPr>
        <w:rFonts w:ascii="Times New Roman" w:hAnsi="Times New Roman" w:cs="Times New Roman"/>
        <w:sz w:val="20"/>
        <w:szCs w:val="18"/>
      </w:rPr>
      <w:tab/>
    </w:r>
  </w:p>
  <w:p w14:paraId="6ADD204D" w14:textId="77777777" w:rsidR="00F37BB4" w:rsidRPr="00F37BB4" w:rsidRDefault="00F37BB4" w:rsidP="00F37BB4">
    <w:pPr>
      <w:tabs>
        <w:tab w:val="center" w:pos="4513"/>
        <w:tab w:val="right" w:pos="9026"/>
        <w:tab w:val="left" w:pos="9072"/>
      </w:tabs>
      <w:rPr>
        <w:rFonts w:ascii="Times New Roman" w:hAnsi="Times New Roman" w:cs="Times New Roman"/>
        <w:sz w:val="20"/>
        <w:szCs w:val="18"/>
      </w:rPr>
    </w:pPr>
  </w:p>
  <w:p w14:paraId="402D18B8" w14:textId="77777777" w:rsidR="00F37BB4" w:rsidRPr="00F37BB4" w:rsidRDefault="00F37BB4" w:rsidP="00F37BB4">
    <w:pPr>
      <w:tabs>
        <w:tab w:val="center" w:pos="4513"/>
        <w:tab w:val="right" w:pos="9026"/>
      </w:tabs>
      <w:rPr>
        <w:rFonts w:ascii="Times New Roman" w:hAnsi="Times New Roman" w:cs="Times New Roman"/>
        <w:sz w:val="20"/>
        <w:szCs w:val="18"/>
      </w:rPr>
    </w:pPr>
    <w:r w:rsidRPr="00F37BB4">
      <w:rPr>
        <w:rFonts w:ascii="Times New Roman" w:hAnsi="Times New Roman" w:cs="Times New Roman"/>
        <w:noProof/>
        <w:sz w:val="20"/>
        <w:szCs w:val="18"/>
      </w:rPr>
      <w:t xml:space="preserve">Tulkojums </w:t>
    </w:r>
    <w:r w:rsidRPr="00F37BB4">
      <w:rPr>
        <w:rFonts w:ascii="Times New Roman" w:hAnsi="Times New Roman" w:cs="Times New Roman"/>
        <w:noProof/>
        <w:sz w:val="20"/>
        <w:szCs w:val="18"/>
      </w:rPr>
      <w:fldChar w:fldCharType="begin"/>
    </w:r>
    <w:r w:rsidRPr="00F37BB4">
      <w:rPr>
        <w:rFonts w:ascii="Times New Roman" w:hAnsi="Times New Roman" w:cs="Times New Roman"/>
        <w:noProof/>
        <w:sz w:val="20"/>
        <w:szCs w:val="18"/>
      </w:rPr>
      <w:instrText>symbol 211 \f "Symbol" \s 9</w:instrText>
    </w:r>
    <w:r w:rsidRPr="00F37BB4">
      <w:rPr>
        <w:rFonts w:ascii="Times New Roman" w:hAnsi="Times New Roman" w:cs="Times New Roman"/>
        <w:noProof/>
        <w:sz w:val="20"/>
        <w:szCs w:val="18"/>
      </w:rPr>
      <w:fldChar w:fldCharType="separate"/>
    </w:r>
    <w:r w:rsidRPr="00F37BB4">
      <w:rPr>
        <w:rFonts w:ascii="Times New Roman" w:hAnsi="Times New Roman" w:cs="Times New Roman"/>
        <w:noProof/>
        <w:sz w:val="20"/>
        <w:szCs w:val="18"/>
      </w:rPr>
      <w:t>Ó</w:t>
    </w:r>
    <w:r w:rsidRPr="00F37BB4">
      <w:rPr>
        <w:rFonts w:ascii="Times New Roman" w:hAnsi="Times New Roman" w:cs="Times New Roman"/>
        <w:noProof/>
        <w:sz w:val="20"/>
        <w:szCs w:val="18"/>
      </w:rPr>
      <w:fldChar w:fldCharType="end"/>
    </w:r>
    <w:r w:rsidRPr="00F37BB4">
      <w:rPr>
        <w:rFonts w:ascii="Times New Roman" w:hAnsi="Times New Roman" w:cs="Times New Roman"/>
        <w:noProof/>
        <w:sz w:val="20"/>
        <w:szCs w:val="18"/>
      </w:rPr>
      <w:t xml:space="preserve"> Valsts valodas centrs, 20</w:t>
    </w:r>
    <w:bookmarkEnd w:id="18"/>
    <w:bookmarkEnd w:id="19"/>
    <w:bookmarkEnd w:id="20"/>
    <w:r w:rsidRPr="00F37BB4">
      <w:rPr>
        <w:rFonts w:ascii="Times New Roman" w:hAnsi="Times New Roman" w:cs="Times New Roman"/>
        <w:noProof/>
        <w:sz w:val="20"/>
        <w:szCs w:val="18"/>
      </w:rPr>
      <w:t>2</w:t>
    </w:r>
    <w:bookmarkEnd w:id="21"/>
    <w:bookmarkEnd w:id="22"/>
    <w:r w:rsidRPr="00F37BB4">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AF15D" w14:textId="77777777" w:rsidR="00411400" w:rsidRPr="00321226" w:rsidRDefault="00411400">
      <w:pPr>
        <w:rPr>
          <w:noProof/>
        </w:rPr>
      </w:pPr>
      <w:r w:rsidRPr="00321226">
        <w:rPr>
          <w:noProof/>
        </w:rPr>
        <w:separator/>
      </w:r>
    </w:p>
  </w:footnote>
  <w:footnote w:type="continuationSeparator" w:id="0">
    <w:p w14:paraId="1EE2949B" w14:textId="77777777" w:rsidR="00411400" w:rsidRPr="00321226" w:rsidRDefault="00411400">
      <w:pPr>
        <w:rPr>
          <w:noProof/>
        </w:rPr>
      </w:pPr>
      <w:r w:rsidRPr="00321226">
        <w:rPr>
          <w:noProof/>
        </w:rPr>
        <w:continuationSeparator/>
      </w:r>
    </w:p>
  </w:footnote>
  <w:footnote w:type="continuationNotice" w:id="1">
    <w:p w14:paraId="7E1E7AAE" w14:textId="77777777" w:rsidR="005C4077" w:rsidRDefault="005C4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E6B59" w14:textId="77777777" w:rsidR="000F1A30" w:rsidRPr="000F1A30" w:rsidRDefault="000F1A30" w:rsidP="000F1A30">
    <w:pPr>
      <w:tabs>
        <w:tab w:val="center" w:pos="4513"/>
        <w:tab w:val="right" w:pos="9026"/>
      </w:tabs>
      <w:rP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bookmarkStart w:id="9" w:name="_Hlk63344778"/>
    <w:bookmarkStart w:id="10" w:name="_Hlk63344779"/>
    <w:bookmarkStart w:id="11" w:name="_Hlk63344780"/>
    <w:bookmarkStart w:id="12" w:name="_Hlk63344781"/>
  </w:p>
  <w:p w14:paraId="7AE91037" w14:textId="77777777" w:rsidR="000F1A30" w:rsidRPr="000F1A30" w:rsidRDefault="000F1A30" w:rsidP="000F1A30">
    <w:pPr>
      <w:tabs>
        <w:tab w:val="right" w:leader="underscore" w:pos="9072"/>
      </w:tabs>
      <w:rPr>
        <w:rFonts w:ascii="Times New Roman" w:hAnsi="Times New Roman" w:cs="Times New Roman"/>
        <w:sz w:val="20"/>
        <w:szCs w:val="20"/>
      </w:rPr>
    </w:pPr>
    <w:r w:rsidRPr="000F1A30">
      <w:rPr>
        <w:rFonts w:ascii="Times New Roman" w:hAnsi="Times New Roman" w:cs="Times New Roman"/>
        <w:sz w:val="20"/>
        <w:szCs w:val="20"/>
      </w:rPr>
      <w:tab/>
    </w:r>
  </w:p>
  <w:bookmarkEnd w:id="0"/>
  <w:bookmarkEnd w:id="1"/>
  <w:bookmarkEnd w:id="2"/>
  <w:bookmarkEnd w:id="3"/>
  <w:bookmarkEnd w:id="4"/>
  <w:bookmarkEnd w:id="5"/>
  <w:bookmarkEnd w:id="6"/>
  <w:bookmarkEnd w:id="7"/>
  <w:bookmarkEnd w:id="8"/>
  <w:bookmarkEnd w:id="9"/>
  <w:bookmarkEnd w:id="10"/>
  <w:bookmarkEnd w:id="11"/>
  <w:bookmarkEnd w:id="12"/>
  <w:p w14:paraId="5A201AD8" w14:textId="77777777" w:rsidR="000F1A30" w:rsidRPr="000F1A30" w:rsidRDefault="000F1A30" w:rsidP="000F1A30">
    <w:pPr>
      <w:tabs>
        <w:tab w:val="center" w:pos="4513"/>
        <w:tab w:val="right" w:pos="9026"/>
      </w:tabs>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654FF" w14:textId="77777777" w:rsidR="00FF7D36" w:rsidRPr="00864FDC" w:rsidRDefault="00FF7D36" w:rsidP="00FF7D36">
    <w:pPr>
      <w:pBdr>
        <w:bottom w:val="single" w:sz="12" w:space="5" w:color="auto"/>
      </w:pBdr>
      <w:rPr>
        <w:rFonts w:ascii="Times New Roman" w:hAnsi="Times New Roman" w:cs="Times New Roman"/>
        <w:spacing w:val="-2"/>
        <w:sz w:val="20"/>
        <w:szCs w:val="20"/>
      </w:rPr>
    </w:pPr>
    <w:bookmarkStart w:id="13" w:name="_Hlk496261745"/>
    <w:bookmarkStart w:id="14" w:name="_Hlk496261746"/>
    <w:bookmarkStart w:id="15" w:name="_Hlk496261747"/>
    <w:bookmarkStart w:id="16" w:name="_Hlk30491063"/>
    <w:bookmarkStart w:id="17" w:name="_Hlk30491064"/>
  </w:p>
  <w:bookmarkEnd w:id="13"/>
  <w:bookmarkEnd w:id="14"/>
  <w:bookmarkEnd w:id="15"/>
  <w:bookmarkEnd w:id="16"/>
  <w:bookmarkEnd w:id="17"/>
  <w:p w14:paraId="315792D4" w14:textId="77777777" w:rsidR="00FF7D36" w:rsidRPr="00864FDC" w:rsidRDefault="00FF7D36" w:rsidP="00FF7D36">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327F9"/>
    <w:multiLevelType w:val="hybridMultilevel"/>
    <w:tmpl w:val="4CB66A0C"/>
    <w:lvl w:ilvl="0" w:tplc="C09A8B4E">
      <w:start w:val="1"/>
      <w:numFmt w:val="bullet"/>
      <w:lvlText w:val="—"/>
      <w:lvlJc w:val="left"/>
      <w:pPr>
        <w:ind w:left="1020" w:hanging="360"/>
      </w:pPr>
      <w:rPr>
        <w:rFonts w:ascii="Lucida Sans" w:eastAsia="Lucida Sans" w:hAnsi="Lucida Sans" w:hint="default"/>
        <w:color w:val="231F20"/>
        <w:sz w:val="24"/>
        <w:szCs w:val="24"/>
      </w:rPr>
    </w:lvl>
    <w:lvl w:ilvl="1" w:tplc="BB36A392">
      <w:start w:val="1"/>
      <w:numFmt w:val="bullet"/>
      <w:lvlText w:val="•"/>
      <w:lvlJc w:val="left"/>
      <w:pPr>
        <w:ind w:left="1982" w:hanging="360"/>
      </w:pPr>
      <w:rPr>
        <w:rFonts w:hint="default"/>
      </w:rPr>
    </w:lvl>
    <w:lvl w:ilvl="2" w:tplc="BF06E678">
      <w:start w:val="1"/>
      <w:numFmt w:val="bullet"/>
      <w:lvlText w:val="•"/>
      <w:lvlJc w:val="left"/>
      <w:pPr>
        <w:ind w:left="2945" w:hanging="360"/>
      </w:pPr>
      <w:rPr>
        <w:rFonts w:hint="default"/>
      </w:rPr>
    </w:lvl>
    <w:lvl w:ilvl="3" w:tplc="0D32A0EA">
      <w:start w:val="1"/>
      <w:numFmt w:val="bullet"/>
      <w:lvlText w:val="•"/>
      <w:lvlJc w:val="left"/>
      <w:pPr>
        <w:ind w:left="3908" w:hanging="360"/>
      </w:pPr>
      <w:rPr>
        <w:rFonts w:hint="default"/>
      </w:rPr>
    </w:lvl>
    <w:lvl w:ilvl="4" w:tplc="B02C0438">
      <w:start w:val="1"/>
      <w:numFmt w:val="bullet"/>
      <w:lvlText w:val="•"/>
      <w:lvlJc w:val="left"/>
      <w:pPr>
        <w:ind w:left="4870" w:hanging="360"/>
      </w:pPr>
      <w:rPr>
        <w:rFonts w:hint="default"/>
      </w:rPr>
    </w:lvl>
    <w:lvl w:ilvl="5" w:tplc="4076499E">
      <w:start w:val="1"/>
      <w:numFmt w:val="bullet"/>
      <w:lvlText w:val="•"/>
      <w:lvlJc w:val="left"/>
      <w:pPr>
        <w:ind w:left="5833" w:hanging="360"/>
      </w:pPr>
      <w:rPr>
        <w:rFonts w:hint="default"/>
      </w:rPr>
    </w:lvl>
    <w:lvl w:ilvl="6" w:tplc="A90A9600">
      <w:start w:val="1"/>
      <w:numFmt w:val="bullet"/>
      <w:lvlText w:val="•"/>
      <w:lvlJc w:val="left"/>
      <w:pPr>
        <w:ind w:left="6795" w:hanging="360"/>
      </w:pPr>
      <w:rPr>
        <w:rFonts w:hint="default"/>
      </w:rPr>
    </w:lvl>
    <w:lvl w:ilvl="7" w:tplc="E564E014">
      <w:start w:val="1"/>
      <w:numFmt w:val="bullet"/>
      <w:lvlText w:val="•"/>
      <w:lvlJc w:val="left"/>
      <w:pPr>
        <w:ind w:left="7758" w:hanging="360"/>
      </w:pPr>
      <w:rPr>
        <w:rFonts w:hint="default"/>
      </w:rPr>
    </w:lvl>
    <w:lvl w:ilvl="8" w:tplc="08C6E7B8">
      <w:start w:val="1"/>
      <w:numFmt w:val="bullet"/>
      <w:lvlText w:val="•"/>
      <w:lvlJc w:val="left"/>
      <w:pPr>
        <w:ind w:left="8720" w:hanging="360"/>
      </w:pPr>
      <w:rPr>
        <w:rFonts w:hint="default"/>
      </w:rPr>
    </w:lvl>
  </w:abstractNum>
  <w:abstractNum w:abstractNumId="1" w15:restartNumberingAfterBreak="0">
    <w:nsid w:val="215C75C9"/>
    <w:multiLevelType w:val="hybridMultilevel"/>
    <w:tmpl w:val="C0FACD18"/>
    <w:lvl w:ilvl="0" w:tplc="A8EC093E">
      <w:start w:val="1"/>
      <w:numFmt w:val="bullet"/>
      <w:lvlText w:val="—"/>
      <w:lvlJc w:val="left"/>
      <w:pPr>
        <w:ind w:left="460" w:hanging="360"/>
      </w:pPr>
      <w:rPr>
        <w:rFonts w:ascii="Lucida Sans" w:eastAsia="Lucida Sans" w:hAnsi="Lucida Sans" w:hint="default"/>
        <w:color w:val="231F20"/>
        <w:sz w:val="24"/>
        <w:szCs w:val="24"/>
      </w:rPr>
    </w:lvl>
    <w:lvl w:ilvl="1" w:tplc="E2D6F116">
      <w:start w:val="1"/>
      <w:numFmt w:val="bullet"/>
      <w:lvlText w:val="—"/>
      <w:lvlJc w:val="left"/>
      <w:pPr>
        <w:ind w:left="1000" w:hanging="360"/>
      </w:pPr>
      <w:rPr>
        <w:rFonts w:ascii="Lucida Sans" w:eastAsia="Lucida Sans" w:hAnsi="Lucida Sans" w:hint="default"/>
        <w:color w:val="231F20"/>
        <w:sz w:val="24"/>
        <w:szCs w:val="24"/>
      </w:rPr>
    </w:lvl>
    <w:lvl w:ilvl="2" w:tplc="707238D0">
      <w:start w:val="1"/>
      <w:numFmt w:val="bullet"/>
      <w:lvlText w:val="•"/>
      <w:lvlJc w:val="left"/>
      <w:pPr>
        <w:ind w:left="2009" w:hanging="360"/>
      </w:pPr>
      <w:rPr>
        <w:rFonts w:hint="default"/>
      </w:rPr>
    </w:lvl>
    <w:lvl w:ilvl="3" w:tplc="E83041D4">
      <w:start w:val="1"/>
      <w:numFmt w:val="bullet"/>
      <w:lvlText w:val="•"/>
      <w:lvlJc w:val="left"/>
      <w:pPr>
        <w:ind w:left="3019" w:hanging="360"/>
      </w:pPr>
      <w:rPr>
        <w:rFonts w:hint="default"/>
      </w:rPr>
    </w:lvl>
    <w:lvl w:ilvl="4" w:tplc="EFF07CF8">
      <w:start w:val="1"/>
      <w:numFmt w:val="bullet"/>
      <w:lvlText w:val="•"/>
      <w:lvlJc w:val="left"/>
      <w:pPr>
        <w:ind w:left="4028" w:hanging="360"/>
      </w:pPr>
      <w:rPr>
        <w:rFonts w:hint="default"/>
      </w:rPr>
    </w:lvl>
    <w:lvl w:ilvl="5" w:tplc="9DA8A30C">
      <w:start w:val="1"/>
      <w:numFmt w:val="bullet"/>
      <w:lvlText w:val="•"/>
      <w:lvlJc w:val="left"/>
      <w:pPr>
        <w:ind w:left="5038" w:hanging="360"/>
      </w:pPr>
      <w:rPr>
        <w:rFonts w:hint="default"/>
      </w:rPr>
    </w:lvl>
    <w:lvl w:ilvl="6" w:tplc="B44AFA24">
      <w:start w:val="1"/>
      <w:numFmt w:val="bullet"/>
      <w:lvlText w:val="•"/>
      <w:lvlJc w:val="left"/>
      <w:pPr>
        <w:ind w:left="6047" w:hanging="360"/>
      </w:pPr>
      <w:rPr>
        <w:rFonts w:hint="default"/>
      </w:rPr>
    </w:lvl>
    <w:lvl w:ilvl="7" w:tplc="C30073AC">
      <w:start w:val="1"/>
      <w:numFmt w:val="bullet"/>
      <w:lvlText w:val="•"/>
      <w:lvlJc w:val="left"/>
      <w:pPr>
        <w:ind w:left="7057" w:hanging="360"/>
      </w:pPr>
      <w:rPr>
        <w:rFonts w:hint="default"/>
      </w:rPr>
    </w:lvl>
    <w:lvl w:ilvl="8" w:tplc="23443A08">
      <w:start w:val="1"/>
      <w:numFmt w:val="bullet"/>
      <w:lvlText w:val="•"/>
      <w:lvlJc w:val="left"/>
      <w:pPr>
        <w:ind w:left="8066" w:hanging="360"/>
      </w:pPr>
      <w:rPr>
        <w:rFonts w:hint="default"/>
      </w:rPr>
    </w:lvl>
  </w:abstractNum>
  <w:abstractNum w:abstractNumId="2" w15:restartNumberingAfterBreak="0">
    <w:nsid w:val="5DA7203D"/>
    <w:multiLevelType w:val="hybridMultilevel"/>
    <w:tmpl w:val="15C225E6"/>
    <w:lvl w:ilvl="0" w:tplc="69C667EE">
      <w:start w:val="1"/>
      <w:numFmt w:val="bullet"/>
      <w:lvlText w:val="—"/>
      <w:lvlJc w:val="left"/>
      <w:pPr>
        <w:ind w:left="563" w:hanging="360"/>
      </w:pPr>
      <w:rPr>
        <w:rFonts w:ascii="Lucida Sans" w:eastAsia="Lucida Sans" w:hAnsi="Lucida Sans" w:hint="default"/>
        <w:color w:val="231F20"/>
        <w:sz w:val="24"/>
        <w:szCs w:val="24"/>
      </w:rPr>
    </w:lvl>
    <w:lvl w:ilvl="1" w:tplc="B420C4E8">
      <w:start w:val="1"/>
      <w:numFmt w:val="bullet"/>
      <w:lvlText w:val="•"/>
      <w:lvlJc w:val="left"/>
      <w:pPr>
        <w:ind w:left="1526" w:hanging="360"/>
      </w:pPr>
      <w:rPr>
        <w:rFonts w:hint="default"/>
      </w:rPr>
    </w:lvl>
    <w:lvl w:ilvl="2" w:tplc="718A1B84">
      <w:start w:val="1"/>
      <w:numFmt w:val="bullet"/>
      <w:lvlText w:val="•"/>
      <w:lvlJc w:val="left"/>
      <w:pPr>
        <w:ind w:left="2488" w:hanging="360"/>
      </w:pPr>
      <w:rPr>
        <w:rFonts w:hint="default"/>
      </w:rPr>
    </w:lvl>
    <w:lvl w:ilvl="3" w:tplc="10A29A20">
      <w:start w:val="1"/>
      <w:numFmt w:val="bullet"/>
      <w:lvlText w:val="•"/>
      <w:lvlJc w:val="left"/>
      <w:pPr>
        <w:ind w:left="3451" w:hanging="360"/>
      </w:pPr>
      <w:rPr>
        <w:rFonts w:hint="default"/>
      </w:rPr>
    </w:lvl>
    <w:lvl w:ilvl="4" w:tplc="2500EA0A">
      <w:start w:val="1"/>
      <w:numFmt w:val="bullet"/>
      <w:lvlText w:val="•"/>
      <w:lvlJc w:val="left"/>
      <w:pPr>
        <w:ind w:left="4413" w:hanging="360"/>
      </w:pPr>
      <w:rPr>
        <w:rFonts w:hint="default"/>
      </w:rPr>
    </w:lvl>
    <w:lvl w:ilvl="5" w:tplc="34BEDDC0">
      <w:start w:val="1"/>
      <w:numFmt w:val="bullet"/>
      <w:lvlText w:val="•"/>
      <w:lvlJc w:val="left"/>
      <w:pPr>
        <w:ind w:left="5376" w:hanging="360"/>
      </w:pPr>
      <w:rPr>
        <w:rFonts w:hint="default"/>
      </w:rPr>
    </w:lvl>
    <w:lvl w:ilvl="6" w:tplc="B0E85B86">
      <w:start w:val="1"/>
      <w:numFmt w:val="bullet"/>
      <w:lvlText w:val="•"/>
      <w:lvlJc w:val="left"/>
      <w:pPr>
        <w:ind w:left="6338" w:hanging="360"/>
      </w:pPr>
      <w:rPr>
        <w:rFonts w:hint="default"/>
      </w:rPr>
    </w:lvl>
    <w:lvl w:ilvl="7" w:tplc="7C7414EA">
      <w:start w:val="1"/>
      <w:numFmt w:val="bullet"/>
      <w:lvlText w:val="•"/>
      <w:lvlJc w:val="left"/>
      <w:pPr>
        <w:ind w:left="7301" w:hanging="360"/>
      </w:pPr>
      <w:rPr>
        <w:rFonts w:hint="default"/>
      </w:rPr>
    </w:lvl>
    <w:lvl w:ilvl="8" w:tplc="9D36AF06">
      <w:start w:val="1"/>
      <w:numFmt w:val="bullet"/>
      <w:lvlText w:val="•"/>
      <w:lvlJc w:val="left"/>
      <w:pPr>
        <w:ind w:left="8263" w:hanging="360"/>
      </w:pPr>
      <w:rPr>
        <w:rFonts w:hint="default"/>
      </w:rPr>
    </w:lvl>
  </w:abstractNum>
  <w:abstractNum w:abstractNumId="3" w15:restartNumberingAfterBreak="0">
    <w:nsid w:val="71A05D87"/>
    <w:multiLevelType w:val="hybridMultilevel"/>
    <w:tmpl w:val="BE80AD9E"/>
    <w:lvl w:ilvl="0" w:tplc="11845074">
      <w:start w:val="4"/>
      <w:numFmt w:val="upperLetter"/>
      <w:lvlText w:val="%1"/>
      <w:lvlJc w:val="left"/>
      <w:pPr>
        <w:ind w:left="668" w:hanging="562"/>
      </w:pPr>
      <w:rPr>
        <w:rFonts w:hint="default"/>
      </w:rPr>
    </w:lvl>
    <w:lvl w:ilvl="1" w:tplc="F438C004">
      <w:start w:val="2"/>
      <w:numFmt w:val="decimal"/>
      <w:lvlText w:val="%1.%2"/>
      <w:lvlJc w:val="left"/>
      <w:pPr>
        <w:ind w:left="668" w:hanging="562"/>
      </w:pPr>
      <w:rPr>
        <w:rFonts w:hint="default"/>
      </w:rPr>
    </w:lvl>
    <w:lvl w:ilvl="2" w:tplc="0DA4D0DC">
      <w:start w:val="1"/>
      <w:numFmt w:val="decimal"/>
      <w:lvlText w:val="%1.%2.%3"/>
      <w:lvlJc w:val="left"/>
      <w:pPr>
        <w:ind w:left="668" w:hanging="562"/>
      </w:pPr>
      <w:rPr>
        <w:rFonts w:ascii="Calibri" w:eastAsia="Calibri" w:hAnsi="Calibri" w:hint="default"/>
        <w:b/>
        <w:bCs/>
        <w:color w:val="034EA2"/>
        <w:spacing w:val="-4"/>
        <w:w w:val="107"/>
        <w:sz w:val="24"/>
        <w:szCs w:val="24"/>
      </w:rPr>
    </w:lvl>
    <w:lvl w:ilvl="3" w:tplc="0BF29B84">
      <w:start w:val="1"/>
      <w:numFmt w:val="bullet"/>
      <w:lvlText w:val="•"/>
      <w:lvlJc w:val="left"/>
      <w:pPr>
        <w:ind w:left="3495" w:hanging="562"/>
      </w:pPr>
      <w:rPr>
        <w:rFonts w:hint="default"/>
      </w:rPr>
    </w:lvl>
    <w:lvl w:ilvl="4" w:tplc="C0D8BF06">
      <w:start w:val="1"/>
      <w:numFmt w:val="bullet"/>
      <w:lvlText w:val="•"/>
      <w:lvlJc w:val="left"/>
      <w:pPr>
        <w:ind w:left="4437" w:hanging="562"/>
      </w:pPr>
      <w:rPr>
        <w:rFonts w:hint="default"/>
      </w:rPr>
    </w:lvl>
    <w:lvl w:ilvl="5" w:tplc="04E2A0C4">
      <w:start w:val="1"/>
      <w:numFmt w:val="bullet"/>
      <w:lvlText w:val="•"/>
      <w:lvlJc w:val="left"/>
      <w:pPr>
        <w:ind w:left="5380" w:hanging="562"/>
      </w:pPr>
      <w:rPr>
        <w:rFonts w:hint="default"/>
      </w:rPr>
    </w:lvl>
    <w:lvl w:ilvl="6" w:tplc="06F64ACE">
      <w:start w:val="1"/>
      <w:numFmt w:val="bullet"/>
      <w:lvlText w:val="•"/>
      <w:lvlJc w:val="left"/>
      <w:pPr>
        <w:ind w:left="6322" w:hanging="562"/>
      </w:pPr>
      <w:rPr>
        <w:rFonts w:hint="default"/>
      </w:rPr>
    </w:lvl>
    <w:lvl w:ilvl="7" w:tplc="14D46F24">
      <w:start w:val="1"/>
      <w:numFmt w:val="bullet"/>
      <w:lvlText w:val="•"/>
      <w:lvlJc w:val="left"/>
      <w:pPr>
        <w:ind w:left="7264" w:hanging="562"/>
      </w:pPr>
      <w:rPr>
        <w:rFonts w:hint="default"/>
      </w:rPr>
    </w:lvl>
    <w:lvl w:ilvl="8" w:tplc="27AC57A2">
      <w:start w:val="1"/>
      <w:numFmt w:val="bullet"/>
      <w:lvlText w:val="•"/>
      <w:lvlJc w:val="left"/>
      <w:pPr>
        <w:ind w:left="8207" w:hanging="562"/>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evenAndOddHeaders/>
  <w:drawingGridHorizontalSpacing w:val="110"/>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lTrailSpace/>
    <w:compatSetting w:name="compatibilityMode" w:uri="http://schemas.microsoft.com/office/word" w:val="12"/>
    <w:compatSetting w:name="useWord2013TrackBottomHyphenation" w:uri="http://schemas.microsoft.com/office/word" w:val="1"/>
  </w:compat>
  <w:rsids>
    <w:rsidRoot w:val="00F656A0"/>
    <w:rsid w:val="000462AD"/>
    <w:rsid w:val="000B0D67"/>
    <w:rsid w:val="000F1A30"/>
    <w:rsid w:val="001209CA"/>
    <w:rsid w:val="00163B61"/>
    <w:rsid w:val="00185168"/>
    <w:rsid w:val="00200944"/>
    <w:rsid w:val="00261511"/>
    <w:rsid w:val="002F2D2E"/>
    <w:rsid w:val="00321226"/>
    <w:rsid w:val="003270B0"/>
    <w:rsid w:val="003D496D"/>
    <w:rsid w:val="003D6ACC"/>
    <w:rsid w:val="00411400"/>
    <w:rsid w:val="004A6841"/>
    <w:rsid w:val="004B0C5B"/>
    <w:rsid w:val="00525EF6"/>
    <w:rsid w:val="005303F3"/>
    <w:rsid w:val="005601F3"/>
    <w:rsid w:val="00574C18"/>
    <w:rsid w:val="005C4077"/>
    <w:rsid w:val="006E293E"/>
    <w:rsid w:val="00713471"/>
    <w:rsid w:val="007C1454"/>
    <w:rsid w:val="007D0BCC"/>
    <w:rsid w:val="007D149F"/>
    <w:rsid w:val="008463C1"/>
    <w:rsid w:val="00884E3D"/>
    <w:rsid w:val="00940D15"/>
    <w:rsid w:val="009D142F"/>
    <w:rsid w:val="009D2A81"/>
    <w:rsid w:val="00A3291C"/>
    <w:rsid w:val="00BA2066"/>
    <w:rsid w:val="00C205AE"/>
    <w:rsid w:val="00C339C7"/>
    <w:rsid w:val="00D3704F"/>
    <w:rsid w:val="00E433C8"/>
    <w:rsid w:val="00E51ADE"/>
    <w:rsid w:val="00E709DE"/>
    <w:rsid w:val="00E85E31"/>
    <w:rsid w:val="00EB2CEC"/>
    <w:rsid w:val="00F37BB4"/>
    <w:rsid w:val="00F609FB"/>
    <w:rsid w:val="00F656A0"/>
    <w:rsid w:val="00F72995"/>
    <w:rsid w:val="00FF7D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0D28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spacing w:before="24"/>
      <w:outlineLvl w:val="0"/>
    </w:pPr>
    <w:rPr>
      <w:rFonts w:ascii="Calibri" w:eastAsia="Calibri" w:hAnsi="Calibri"/>
      <w:b/>
      <w:bCs/>
      <w:sz w:val="28"/>
      <w:szCs w:val="28"/>
      <w:u w:val="single"/>
    </w:rPr>
  </w:style>
  <w:style w:type="paragraph" w:styleId="Heading2">
    <w:name w:val="heading 2"/>
    <w:basedOn w:val="Normal"/>
    <w:uiPriority w:val="9"/>
    <w:unhideWhenUsed/>
    <w:qFormat/>
    <w:pPr>
      <w:spacing w:before="62"/>
      <w:ind w:left="100"/>
      <w:outlineLvl w:val="1"/>
    </w:pPr>
    <w:rPr>
      <w:rFonts w:ascii="Calibri" w:eastAsia="Calibri" w:hAnsi="Calibri"/>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100"/>
    </w:pPr>
    <w:rPr>
      <w:rFonts w:ascii="Lucida Sans" w:eastAsia="Lucida Sans" w:hAnsi="Lucida Sans"/>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321226"/>
    <w:pPr>
      <w:tabs>
        <w:tab w:val="center" w:pos="4153"/>
        <w:tab w:val="right" w:pos="8306"/>
      </w:tabs>
    </w:pPr>
  </w:style>
  <w:style w:type="character" w:customStyle="1" w:styleId="HeaderChar">
    <w:name w:val="Header Char"/>
    <w:basedOn w:val="DefaultParagraphFont"/>
    <w:link w:val="Header"/>
    <w:uiPriority w:val="99"/>
    <w:rsid w:val="00321226"/>
  </w:style>
  <w:style w:type="paragraph" w:styleId="Footer">
    <w:name w:val="footer"/>
    <w:basedOn w:val="Normal"/>
    <w:link w:val="FooterChar"/>
    <w:uiPriority w:val="99"/>
    <w:unhideWhenUsed/>
    <w:rsid w:val="00321226"/>
    <w:pPr>
      <w:tabs>
        <w:tab w:val="center" w:pos="4153"/>
        <w:tab w:val="right" w:pos="8306"/>
      </w:tabs>
    </w:pPr>
  </w:style>
  <w:style w:type="character" w:customStyle="1" w:styleId="FooterChar">
    <w:name w:val="Footer Char"/>
    <w:basedOn w:val="DefaultParagraphFont"/>
    <w:link w:val="Footer"/>
    <w:uiPriority w:val="99"/>
    <w:rsid w:val="00321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47409639620A48BB08F713A1AC624B" ma:contentTypeVersion="8" ma:contentTypeDescription="Create a new document." ma:contentTypeScope="" ma:versionID="c01e3ee80a278af17bd1cb207621c6fc">
  <xsd:schema xmlns:xsd="http://www.w3.org/2001/XMLSchema" xmlns:xs="http://www.w3.org/2001/XMLSchema" xmlns:p="http://schemas.microsoft.com/office/2006/metadata/properties" xmlns:ns2="1d57a815-79e8-498e-8f04-9c2e9221b678" targetNamespace="http://schemas.microsoft.com/office/2006/metadata/properties" ma:root="true" ma:fieldsID="f9bc4856e7bc64d3e0f82af37302a80f"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FDF7D-7D0A-41D5-92C4-2D70DA8D7001}">
  <ds:schemaRefs>
    <ds:schemaRef ds:uri="http://schemas.microsoft.com/sharepoint/v3/contenttype/forms"/>
  </ds:schemaRefs>
</ds:datastoreItem>
</file>

<file path=customXml/itemProps2.xml><?xml version="1.0" encoding="utf-8"?>
<ds:datastoreItem xmlns:ds="http://schemas.openxmlformats.org/officeDocument/2006/customXml" ds:itemID="{F04E0C01-B450-44A3-9BE9-51DF1013D0E4}"/>
</file>

<file path=customXml/itemProps3.xml><?xml version="1.0" encoding="utf-8"?>
<ds:datastoreItem xmlns:ds="http://schemas.openxmlformats.org/officeDocument/2006/customXml" ds:itemID="{9D4F6B6C-80D4-4A08-A0C7-B27AA727341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19992</Words>
  <Characters>11396</Characters>
  <Application>Microsoft Office Word</Application>
  <DocSecurity>0</DocSecurity>
  <Lines>94</Lines>
  <Paragraphs>62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2021-02-01T11:58:00Z</dcterms:created>
  <dcterms:modified xsi:type="dcterms:W3CDTF">2021-06-10T10:54:00Z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1421200</vt:r8>
  </property>
  <property fmtid="{D5CDD505-2E9C-101B-9397-08002B2CF9AE}" pid="3" name="ContentTypeId">
    <vt:lpwstr>0x0101006747409639620A48BB08F713A1AC624B</vt:lpwstr>
  </property>
</Properties>
</file>