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1B342" w14:textId="005FAFB8" w:rsidR="00660BEC" w:rsidRDefault="00660BEC" w:rsidP="00B03E01">
      <w:pPr>
        <w:jc w:val="both"/>
        <w:rPr>
          <w:rFonts w:ascii="Times New Roman" w:eastAsia="Times New Roman" w:hAnsi="Times New Roman" w:cs="Times New Roman"/>
          <w:noProof/>
          <w:sz w:val="24"/>
          <w:szCs w:val="12"/>
        </w:rPr>
      </w:pPr>
    </w:p>
    <w:p w14:paraId="71E4C41D" w14:textId="35F49DA8" w:rsidR="00B03E01" w:rsidRPr="00B03E01" w:rsidRDefault="00B03E01" w:rsidP="00B03E01">
      <w:pPr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12"/>
        </w:rPr>
      </w:pPr>
      <w:r>
        <w:rPr>
          <w:rFonts w:ascii="Times New Roman" w:hAnsi="Times New Roman"/>
          <w:b/>
          <w:i/>
          <w:iCs/>
          <w:sz w:val="24"/>
        </w:rPr>
        <w:t>WADA</w:t>
      </w:r>
      <w:r>
        <w:rPr>
          <w:rFonts w:ascii="Times New Roman" w:hAnsi="Times New Roman"/>
          <w:b/>
          <w:sz w:val="24"/>
        </w:rPr>
        <w:t xml:space="preserve"> tehniskais dokuments – TD2014EPO</w:t>
      </w:r>
    </w:p>
    <w:p w14:paraId="0D4BB7AA" w14:textId="77777777" w:rsidR="00B03E01" w:rsidRPr="00B03E01" w:rsidRDefault="00B03E01" w:rsidP="00B03E01">
      <w:pPr>
        <w:jc w:val="both"/>
        <w:rPr>
          <w:rFonts w:ascii="Times New Roman" w:eastAsia="Times New Roman" w:hAnsi="Times New Roman" w:cs="Times New Roman"/>
          <w:noProof/>
          <w:sz w:val="24"/>
          <w:szCs w:val="12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8"/>
        <w:gridCol w:w="2496"/>
        <w:gridCol w:w="1986"/>
        <w:gridCol w:w="2718"/>
      </w:tblGrid>
      <w:tr w:rsidR="00660BEC" w:rsidRPr="00B03E01" w14:paraId="0CECCB0C" w14:textId="77777777" w:rsidTr="00EF52DF"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6C21E" w14:textId="77777777" w:rsidR="00660BEC" w:rsidRPr="00B03E01" w:rsidRDefault="00660BEC" w:rsidP="00B03E01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Dokumenta numurs:</w:t>
            </w:r>
          </w:p>
        </w:tc>
        <w:tc>
          <w:tcPr>
            <w:tcW w:w="13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1DC41" w14:textId="77777777" w:rsidR="00660BEC" w:rsidRPr="00B03E01" w:rsidRDefault="00660BEC" w:rsidP="00B03E01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TD2014EPO</w:t>
            </w:r>
          </w:p>
        </w:tc>
        <w:tc>
          <w:tcPr>
            <w:tcW w:w="10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B7DE9" w14:textId="77777777" w:rsidR="00660BEC" w:rsidRPr="00B03E01" w:rsidRDefault="00660BEC" w:rsidP="00B03E01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Kārtas numurs:</w:t>
            </w:r>
          </w:p>
        </w:tc>
        <w:tc>
          <w:tcPr>
            <w:tcW w:w="1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A1462" w14:textId="77777777" w:rsidR="00660BEC" w:rsidRPr="00B03E01" w:rsidRDefault="00660BEC" w:rsidP="00B03E01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1.0</w:t>
            </w:r>
          </w:p>
        </w:tc>
      </w:tr>
      <w:tr w:rsidR="00660BEC" w:rsidRPr="00B03E01" w14:paraId="70C14681" w14:textId="77777777" w:rsidTr="00EF52DF"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63DDC" w14:textId="77777777" w:rsidR="00660BEC" w:rsidRPr="00B03E01" w:rsidRDefault="00660BEC" w:rsidP="00B03E01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Sarakstījusi:</w:t>
            </w:r>
          </w:p>
        </w:tc>
        <w:tc>
          <w:tcPr>
            <w:tcW w:w="13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00B19" w14:textId="77777777" w:rsidR="00660BEC" w:rsidRPr="00B03E01" w:rsidRDefault="00660BEC" w:rsidP="00B03E01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WADA EPO</w:t>
            </w:r>
            <w:r>
              <w:rPr>
                <w:rFonts w:ascii="Times New Roman" w:hAnsi="Times New Roman"/>
                <w:sz w:val="20"/>
              </w:rPr>
              <w:t xml:space="preserve"> darba grupa</w:t>
            </w:r>
          </w:p>
        </w:tc>
        <w:tc>
          <w:tcPr>
            <w:tcW w:w="10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68065" w14:textId="77777777" w:rsidR="00660BEC" w:rsidRPr="00B03E01" w:rsidRDefault="00660BEC" w:rsidP="00B03E01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Apstiprinājusi:</w:t>
            </w:r>
          </w:p>
        </w:tc>
        <w:tc>
          <w:tcPr>
            <w:tcW w:w="1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87305" w14:textId="77777777" w:rsidR="00660BEC" w:rsidRPr="00B03E01" w:rsidRDefault="00660BEC" w:rsidP="00B03E01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WADA</w:t>
            </w:r>
            <w:r>
              <w:rPr>
                <w:rFonts w:ascii="Times New Roman" w:hAnsi="Times New Roman"/>
                <w:sz w:val="20"/>
              </w:rPr>
              <w:t> izpildkomiteja</w:t>
            </w:r>
          </w:p>
        </w:tc>
      </w:tr>
      <w:tr w:rsidR="00660BEC" w:rsidRPr="00B03E01" w14:paraId="6D70EA63" w14:textId="77777777" w:rsidTr="00EF52DF">
        <w:tc>
          <w:tcPr>
            <w:tcW w:w="10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AABD7" w14:textId="77777777" w:rsidR="00660BEC" w:rsidRPr="00B03E01" w:rsidRDefault="00660BEC" w:rsidP="00B03E01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Datums:</w:t>
            </w:r>
          </w:p>
        </w:tc>
        <w:tc>
          <w:tcPr>
            <w:tcW w:w="13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F1D04" w14:textId="77777777" w:rsidR="00660BEC" w:rsidRPr="00B03E01" w:rsidRDefault="00660BEC" w:rsidP="00B03E01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2014. gada 17. maijs</w:t>
            </w:r>
          </w:p>
        </w:tc>
        <w:tc>
          <w:tcPr>
            <w:tcW w:w="10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8E7FD" w14:textId="77777777" w:rsidR="00660BEC" w:rsidRPr="00B03E01" w:rsidRDefault="00660BEC" w:rsidP="00B03E01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Spēkā stāšanās diena:</w:t>
            </w:r>
          </w:p>
        </w:tc>
        <w:tc>
          <w:tcPr>
            <w:tcW w:w="1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89DF8" w14:textId="77777777" w:rsidR="00660BEC" w:rsidRPr="00B03E01" w:rsidRDefault="00660BEC" w:rsidP="00B03E01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2014. gada 1. septembris</w:t>
            </w:r>
          </w:p>
        </w:tc>
      </w:tr>
    </w:tbl>
    <w:p w14:paraId="1FDCDA1E" w14:textId="77777777" w:rsidR="00660BEC" w:rsidRPr="00B03E01" w:rsidRDefault="00660BEC" w:rsidP="00B03E01">
      <w:pPr>
        <w:jc w:val="both"/>
        <w:rPr>
          <w:rFonts w:ascii="Times New Roman" w:eastAsia="Times New Roman" w:hAnsi="Times New Roman" w:cs="Times New Roman"/>
          <w:noProof/>
          <w:sz w:val="24"/>
        </w:rPr>
      </w:pPr>
    </w:p>
    <w:p w14:paraId="76A87801" w14:textId="77777777" w:rsidR="00660BEC" w:rsidRPr="00B03E01" w:rsidRDefault="00660BEC" w:rsidP="00B03E01">
      <w:pPr>
        <w:pStyle w:val="Heading4"/>
        <w:ind w:left="0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ERITROPOĒZI STIMULĒJOŠU LĪDZEKĻU (</w:t>
      </w:r>
      <w:r>
        <w:rPr>
          <w:rFonts w:ascii="Times New Roman" w:hAnsi="Times New Roman"/>
          <w:i/>
          <w:iCs/>
          <w:sz w:val="24"/>
        </w:rPr>
        <w:t>ESA</w:t>
      </w:r>
      <w:r>
        <w:rPr>
          <w:rFonts w:ascii="Times New Roman" w:hAnsi="Times New Roman"/>
          <w:sz w:val="24"/>
        </w:rPr>
        <w:t>) ANALĪŽU AR ELEKTROFORĒTISKAJĀM METODĒM VEIKŠANAS UN ZIŅOŠANAS SASKAŅOŠANA</w:t>
      </w:r>
    </w:p>
    <w:p w14:paraId="3810A6AA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b/>
          <w:bCs/>
          <w:noProof/>
          <w:sz w:val="24"/>
        </w:rPr>
      </w:pPr>
    </w:p>
    <w:p w14:paraId="511C4699" w14:textId="112AD98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1.0. </w:t>
      </w:r>
      <w:r>
        <w:rPr>
          <w:rFonts w:ascii="Times New Roman" w:hAnsi="Times New Roman"/>
          <w:b/>
          <w:sz w:val="24"/>
          <w:u w:val="thick" w:color="000000"/>
        </w:rPr>
        <w:t>Ievads</w:t>
      </w:r>
    </w:p>
    <w:p w14:paraId="024F421E" w14:textId="77777777" w:rsidR="00B03E01" w:rsidRDefault="00B03E01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</w:p>
    <w:p w14:paraId="44CD4BE6" w14:textId="4F8A28E2" w:rsidR="00660BEC" w:rsidRPr="00B03E01" w:rsidRDefault="00660BEC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Šis dokuments ir izstrādāts, lai saskaņotu </w:t>
      </w:r>
      <w:r>
        <w:rPr>
          <w:rFonts w:ascii="Times New Roman" w:hAnsi="Times New Roman"/>
          <w:sz w:val="24"/>
          <w:u w:val="single"/>
        </w:rPr>
        <w:t>laboratoriju</w:t>
      </w:r>
      <w:r>
        <w:rPr>
          <w:rFonts w:ascii="Times New Roman" w:hAnsi="Times New Roman"/>
          <w:sz w:val="24"/>
        </w:rPr>
        <w:t xml:space="preserve"> īstenotu rekombinanto eritropoetīnu (</w:t>
      </w:r>
      <w:r>
        <w:rPr>
          <w:rFonts w:ascii="Times New Roman" w:hAnsi="Times New Roman"/>
          <w:i/>
          <w:iCs/>
          <w:sz w:val="24"/>
        </w:rPr>
        <w:t>t. i.</w:t>
      </w:r>
      <w:r>
        <w:rPr>
          <w:rFonts w:ascii="Times New Roman" w:hAnsi="Times New Roman"/>
          <w:sz w:val="24"/>
        </w:rPr>
        <w:t>, epoetīnu) un to analogu (</w:t>
      </w:r>
      <w:r>
        <w:rPr>
          <w:rFonts w:ascii="Times New Roman" w:hAnsi="Times New Roman"/>
          <w:i/>
          <w:iCs/>
          <w:sz w:val="24"/>
        </w:rPr>
        <w:t>piemēram</w:t>
      </w:r>
      <w:r>
        <w:rPr>
          <w:rFonts w:ascii="Times New Roman" w:hAnsi="Times New Roman"/>
          <w:sz w:val="24"/>
        </w:rPr>
        <w:t xml:space="preserve">, darbepoetīna, pegserpoetīna, peginesatīda, </w:t>
      </w:r>
      <w:r>
        <w:rPr>
          <w:rFonts w:ascii="Times New Roman" w:hAnsi="Times New Roman"/>
          <w:i/>
          <w:iCs/>
          <w:sz w:val="24"/>
        </w:rPr>
        <w:t>EPO-Fc</w:t>
      </w:r>
      <w:r>
        <w:rPr>
          <w:rFonts w:ascii="Times New Roman" w:hAnsi="Times New Roman"/>
          <w:sz w:val="24"/>
        </w:rPr>
        <w:t>) noteikšanu un paziņošanu, analizējot tos ar elektroforēzes metodēm. Ikreiz, kad ir pieejamas citas metodes (</w:t>
      </w:r>
      <w:r>
        <w:rPr>
          <w:rFonts w:ascii="Times New Roman" w:hAnsi="Times New Roman"/>
          <w:i/>
          <w:iCs/>
          <w:sz w:val="24"/>
        </w:rPr>
        <w:t>piemēram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ELISA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LC/MS</w:t>
      </w:r>
      <w:r>
        <w:rPr>
          <w:rFonts w:ascii="Times New Roman" w:hAnsi="Times New Roman"/>
          <w:sz w:val="24"/>
        </w:rPr>
        <w:t>), tiek sniegta atsauce arī uz piemērojamajiem tehniskajiem dokumentiem.</w:t>
      </w:r>
    </w:p>
    <w:p w14:paraId="12E59B1D" w14:textId="77777777" w:rsidR="00660BEC" w:rsidRPr="00B03E01" w:rsidRDefault="00660BEC" w:rsidP="00B03E01">
      <w:pPr>
        <w:jc w:val="both"/>
        <w:rPr>
          <w:rFonts w:ascii="Times New Roman" w:hAnsi="Times New Roman"/>
          <w:noProof/>
          <w:sz w:val="24"/>
        </w:rPr>
      </w:pPr>
    </w:p>
    <w:p w14:paraId="0D7C51E0" w14:textId="77777777" w:rsidR="00660BEC" w:rsidRPr="00B03E01" w:rsidRDefault="00660BEC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Visām </w:t>
      </w:r>
      <w:r>
        <w:rPr>
          <w:rFonts w:ascii="Times New Roman" w:hAnsi="Times New Roman"/>
          <w:sz w:val="24"/>
          <w:u w:val="single"/>
        </w:rPr>
        <w:t>laboratorijām</w:t>
      </w:r>
      <w:r>
        <w:rPr>
          <w:rFonts w:ascii="Times New Roman" w:hAnsi="Times New Roman"/>
          <w:sz w:val="24"/>
        </w:rPr>
        <w:t xml:space="preserve"> ir jāpiemēro šie kritēriji, ikdienā veicot pārbaudes, lai identificētu minētās vielas.</w:t>
      </w:r>
    </w:p>
    <w:p w14:paraId="755DA389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21"/>
        </w:rPr>
      </w:pPr>
    </w:p>
    <w:p w14:paraId="2457C292" w14:textId="35A82E79" w:rsidR="00660BEC" w:rsidRDefault="00660BEC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Šajā dokumentā tiek izmantoti turpmāk minētie saīsinājumi, akronīmi un preču zīmes.</w:t>
      </w:r>
    </w:p>
    <w:p w14:paraId="100BACEE" w14:textId="77777777" w:rsidR="00B03E01" w:rsidRPr="00B03E01" w:rsidRDefault="00B03E01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</w:p>
    <w:p w14:paraId="55D021FF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b/>
          <w:i/>
          <w:iCs/>
          <w:sz w:val="24"/>
        </w:rPr>
        <w:t>CERA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iCs/>
          <w:sz w:val="24"/>
        </w:rPr>
        <w:t>Mircera</w:t>
      </w:r>
      <w:r>
        <w:rPr>
          <w:rFonts w:ascii="Times New Roman" w:hAnsi="Times New Roman"/>
          <w:i/>
          <w:iCs/>
          <w:sz w:val="24"/>
          <w:vertAlign w:val="superscript"/>
        </w:rPr>
        <w:t>®</w:t>
      </w:r>
      <w:r>
        <w:rPr>
          <w:rFonts w:ascii="Times New Roman" w:hAnsi="Times New Roman"/>
          <w:i/>
          <w:iCs/>
          <w:sz w:val="24"/>
        </w:rPr>
        <w:t>, Roche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sz w:val="24"/>
        </w:rPr>
        <w:t>pastāvīgs eritropoetīna receptoru aktivators, eritropoetīna analogs, kas pazīstams ar starptautisko nepatentēto nosaukumu (SNN) kā pegserpoetīns, pegilēts epoetīna-β atvasinājums.</w:t>
      </w:r>
    </w:p>
    <w:p w14:paraId="2CB50E00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b/>
          <w:i/>
          <w:iCs/>
          <w:sz w:val="24"/>
        </w:rPr>
        <w:t>EPO</w:t>
      </w:r>
      <w:r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sz w:val="24"/>
        </w:rPr>
        <w:t>eritropoetīns.</w:t>
      </w:r>
    </w:p>
    <w:p w14:paraId="38E6F216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b/>
          <w:i/>
          <w:iCs/>
          <w:sz w:val="24"/>
        </w:rPr>
        <w:t>EPO-Fc</w:t>
      </w:r>
      <w:r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EPO</w:t>
      </w:r>
      <w:r>
        <w:rPr>
          <w:rFonts w:ascii="Times New Roman" w:hAnsi="Times New Roman"/>
          <w:sz w:val="24"/>
        </w:rPr>
        <w:t xml:space="preserve"> sapludinātais proteīns, saplūstot ar cilvēka imūnglobulīna smagās ķēdes </w:t>
      </w:r>
      <w:r>
        <w:rPr>
          <w:rFonts w:ascii="Times New Roman" w:hAnsi="Times New Roman"/>
          <w:i/>
          <w:iCs/>
          <w:sz w:val="24"/>
        </w:rPr>
        <w:t>Fc</w:t>
      </w:r>
      <w:r>
        <w:rPr>
          <w:rFonts w:ascii="Times New Roman" w:hAnsi="Times New Roman"/>
          <w:sz w:val="24"/>
        </w:rPr>
        <w:t xml:space="preserve"> (fragments, kristalizējams) apgabalu.</w:t>
      </w:r>
    </w:p>
    <w:p w14:paraId="0EE218E7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b/>
          <w:i/>
          <w:iCs/>
          <w:sz w:val="24"/>
        </w:rPr>
        <w:t>bEPO</w:t>
      </w:r>
      <w:r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sz w:val="24"/>
        </w:rPr>
        <w:t>endogēnais eritropoetīns (ko dabiski izdala paša sportista audi), kas atrodams asinīs (serumā vai plazmā).</w:t>
      </w:r>
    </w:p>
    <w:p w14:paraId="12E20068" w14:textId="05241D1E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b/>
          <w:i/>
          <w:iCs/>
          <w:sz w:val="24"/>
        </w:rPr>
        <w:t>rEPO</w:t>
      </w:r>
      <w:r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sz w:val="24"/>
        </w:rPr>
        <w:t>rekombinantais eritropoetīns. Šīs farmaceitiskās vielas pēc to SNN ir pazīstamas kā “epoetīns”. Dažādos preparātus identificē ar grieķu alfabēta burtu, piemēram, epoetīns-α, -β, -ω, -</w:t>
      </w:r>
      <w:r>
        <w:rPr>
          <w:rFonts w:ascii="Times New Roman" w:hAnsi="Times New Roman"/>
          <w:sz w:val="24"/>
        </w:rPr>
        <w:sym w:font="Symbol" w:char="F064"/>
      </w:r>
      <w:r>
        <w:rPr>
          <w:rFonts w:ascii="Times New Roman" w:hAnsi="Times New Roman"/>
          <w:sz w:val="24"/>
        </w:rPr>
        <w:t>. Citiem preparātiem (piemēram, nepatentētajiem preparātiem vai kopijām), kurus kopā dēvē par “</w:t>
      </w:r>
      <w:r>
        <w:rPr>
          <w:rFonts w:ascii="Times New Roman" w:hAnsi="Times New Roman"/>
          <w:i/>
          <w:iCs/>
          <w:sz w:val="24"/>
        </w:rPr>
        <w:t>rEPO</w:t>
      </w:r>
      <w:r>
        <w:rPr>
          <w:rFonts w:ascii="Times New Roman" w:hAnsi="Times New Roman"/>
          <w:sz w:val="24"/>
        </w:rPr>
        <w:t xml:space="preserve"> biolīdziniekiem”, var būt atšķirīgi izoformu profili, kas precīzi neatbilst jau norādītajiem.</w:t>
      </w:r>
    </w:p>
    <w:p w14:paraId="033648E3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b/>
          <w:i/>
          <w:iCs/>
          <w:sz w:val="24"/>
        </w:rPr>
        <w:t>uEPO</w:t>
      </w:r>
      <w:r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sz w:val="24"/>
        </w:rPr>
        <w:t>endogēnais eritropoetīns (ko dabiski izdala paša sportista audi), kas izdalās ar urīnu.</w:t>
      </w:r>
    </w:p>
    <w:p w14:paraId="5496DB4B" w14:textId="77777777" w:rsidR="00660BEC" w:rsidRPr="00B03E01" w:rsidRDefault="00660BEC" w:rsidP="00B03E01">
      <w:pPr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b/>
          <w:i/>
          <w:iCs/>
          <w:sz w:val="24"/>
        </w:rPr>
        <w:t>ESA</w:t>
      </w:r>
      <w:r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eritropoēzi stimulējoši līdzekļi, kuru struktūra vai nu ir saistīta ar </w:t>
      </w:r>
      <w:r>
        <w:rPr>
          <w:rFonts w:ascii="Times New Roman" w:hAnsi="Times New Roman"/>
          <w:i/>
          <w:iCs/>
          <w:sz w:val="24"/>
        </w:rPr>
        <w:t>EPO</w:t>
      </w:r>
      <w:r>
        <w:rPr>
          <w:rFonts w:ascii="Times New Roman" w:hAnsi="Times New Roman"/>
          <w:sz w:val="24"/>
        </w:rPr>
        <w:t xml:space="preserve"> (piemēram, </w:t>
      </w:r>
      <w:r>
        <w:rPr>
          <w:rFonts w:ascii="Times New Roman" w:hAnsi="Times New Roman"/>
          <w:i/>
          <w:iCs/>
          <w:sz w:val="24"/>
        </w:rPr>
        <w:t>NESP, CERA, EPO-Fc</w:t>
      </w:r>
      <w:r>
        <w:rPr>
          <w:rFonts w:ascii="Times New Roman" w:hAnsi="Times New Roman"/>
          <w:sz w:val="24"/>
        </w:rPr>
        <w:t>), vai nav (</w:t>
      </w:r>
      <w:r>
        <w:rPr>
          <w:rFonts w:ascii="Times New Roman" w:hAnsi="Times New Roman"/>
          <w:i/>
          <w:iCs/>
          <w:sz w:val="24"/>
        </w:rPr>
        <w:t>piemēram</w:t>
      </w:r>
      <w:r>
        <w:rPr>
          <w:rFonts w:ascii="Times New Roman" w:hAnsi="Times New Roman"/>
          <w:sz w:val="24"/>
        </w:rPr>
        <w:t>, peginesatīds).</w:t>
      </w:r>
    </w:p>
    <w:p w14:paraId="3A67BA3E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b/>
          <w:sz w:val="24"/>
        </w:rPr>
        <w:t>IEF</w:t>
      </w:r>
      <w:r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sz w:val="24"/>
        </w:rPr>
        <w:t xml:space="preserve"> izoelektriskā fokusēšana.</w:t>
      </w:r>
    </w:p>
    <w:p w14:paraId="3860BFE1" w14:textId="357F2C52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b/>
          <w:i/>
          <w:iCs/>
          <w:sz w:val="24"/>
        </w:rPr>
        <w:t>NESP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iCs/>
          <w:sz w:val="24"/>
        </w:rPr>
        <w:t>piemēram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Aranesp</w:t>
      </w:r>
      <w:r>
        <w:rPr>
          <w:rFonts w:ascii="Times New Roman" w:hAnsi="Times New Roman"/>
          <w:i/>
          <w:iCs/>
          <w:sz w:val="24"/>
          <w:vertAlign w:val="superscript"/>
        </w:rPr>
        <w:t>®</w:t>
      </w:r>
      <w:r>
        <w:rPr>
          <w:rFonts w:ascii="Times New Roman" w:hAnsi="Times New Roman"/>
          <w:i/>
          <w:iCs/>
          <w:sz w:val="24"/>
        </w:rPr>
        <w:t>, Amgen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sz w:val="24"/>
        </w:rPr>
        <w:t>jauns eritropoēzi stimulējošs proteīns, eritropoetīna analogs, ko pēc tā SNN pazīst kā darbepoetīnu-α (</w:t>
      </w:r>
      <w:r>
        <w:rPr>
          <w:rFonts w:ascii="Times New Roman" w:hAnsi="Times New Roman"/>
          <w:i/>
          <w:iCs/>
          <w:sz w:val="24"/>
        </w:rPr>
        <w:t>dEPO</w:t>
      </w:r>
      <w:r>
        <w:rPr>
          <w:rFonts w:ascii="Times New Roman" w:hAnsi="Times New Roman"/>
          <w:sz w:val="24"/>
        </w:rPr>
        <w:t>).</w:t>
      </w:r>
    </w:p>
    <w:p w14:paraId="72ADEF08" w14:textId="77777777" w:rsidR="00660BEC" w:rsidRPr="00B03E01" w:rsidRDefault="00660BEC" w:rsidP="00B03E01">
      <w:pPr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b/>
          <w:sz w:val="24"/>
        </w:rPr>
        <w:t xml:space="preserve">Peginesatīds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iCs/>
          <w:sz w:val="24"/>
        </w:rPr>
        <w:t>Omontys</w:t>
      </w:r>
      <w:r>
        <w:rPr>
          <w:rFonts w:ascii="Times New Roman" w:hAnsi="Times New Roman"/>
          <w:i/>
          <w:iCs/>
          <w:sz w:val="24"/>
          <w:vertAlign w:val="superscript"/>
        </w:rPr>
        <w:t>®</w:t>
      </w:r>
      <w:r>
        <w:rPr>
          <w:rFonts w:ascii="Times New Roman" w:hAnsi="Times New Roman"/>
          <w:i/>
          <w:iCs/>
          <w:sz w:val="24"/>
        </w:rPr>
        <w:t>, Affymax Inc.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sz w:val="24"/>
        </w:rPr>
        <w:t xml:space="preserve"> pegilēts homodimēra peptīds bez strukturālas saistības ar </w:t>
      </w:r>
      <w:r>
        <w:rPr>
          <w:rFonts w:ascii="Times New Roman" w:hAnsi="Times New Roman"/>
          <w:i/>
          <w:iCs/>
          <w:sz w:val="24"/>
        </w:rPr>
        <w:t>EPO</w:t>
      </w:r>
      <w:r>
        <w:rPr>
          <w:rFonts w:ascii="Times New Roman" w:hAnsi="Times New Roman"/>
          <w:sz w:val="24"/>
        </w:rPr>
        <w:t>.</w:t>
      </w:r>
    </w:p>
    <w:p w14:paraId="15B7ED03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b/>
          <w:i/>
          <w:iCs/>
          <w:sz w:val="24"/>
        </w:rPr>
        <w:t>SAR-PAGE</w:t>
      </w:r>
      <w:r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sz w:val="24"/>
        </w:rPr>
        <w:t xml:space="preserve"> nātrija </w:t>
      </w:r>
      <w:r>
        <w:rPr>
          <w:rFonts w:ascii="Times New Roman" w:hAnsi="Times New Roman"/>
          <w:i/>
          <w:iCs/>
          <w:sz w:val="24"/>
        </w:rPr>
        <w:t>N</w:t>
      </w:r>
      <w:r>
        <w:rPr>
          <w:rFonts w:ascii="Times New Roman" w:hAnsi="Times New Roman"/>
          <w:sz w:val="24"/>
        </w:rPr>
        <w:t>-lauroilsarkozināta (“sarkozil-”) poliakrilamīda gela elektroforēze.</w:t>
      </w:r>
    </w:p>
    <w:p w14:paraId="4C0C3D2B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b/>
          <w:i/>
          <w:iCs/>
          <w:sz w:val="24"/>
        </w:rPr>
        <w:t>SDS-PAGE</w:t>
      </w:r>
      <w:r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sz w:val="24"/>
        </w:rPr>
        <w:t xml:space="preserve"> nātrija dodecilsulfāta poliakrilamīda gela elektroforēze.</w:t>
      </w:r>
    </w:p>
    <w:p w14:paraId="14648B24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21"/>
        </w:rPr>
      </w:pPr>
    </w:p>
    <w:p w14:paraId="703AAA95" w14:textId="5EF6A375" w:rsidR="00660BEC" w:rsidRPr="00B03E01" w:rsidRDefault="00660BEC" w:rsidP="00B03E01">
      <w:pPr>
        <w:pStyle w:val="Heading2"/>
        <w:ind w:left="0"/>
        <w:jc w:val="both"/>
        <w:rPr>
          <w:rFonts w:ascii="Times New Roman" w:hAnsi="Times New Roman"/>
          <w:b w:val="0"/>
          <w:bCs w:val="0"/>
          <w:noProof/>
          <w:u w:val="none"/>
        </w:rPr>
      </w:pPr>
      <w:r>
        <w:rPr>
          <w:rFonts w:ascii="Times New Roman" w:hAnsi="Times New Roman"/>
          <w:u w:val="none"/>
        </w:rPr>
        <w:t xml:space="preserve">2.0. </w:t>
      </w:r>
      <w:r>
        <w:rPr>
          <w:rFonts w:ascii="Times New Roman" w:hAnsi="Times New Roman"/>
          <w:u w:val="thick" w:color="000000"/>
        </w:rPr>
        <w:t>Analīze</w:t>
      </w:r>
    </w:p>
    <w:p w14:paraId="66EDD3BC" w14:textId="77777777" w:rsidR="00E911B8" w:rsidRDefault="00E911B8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</w:p>
    <w:p w14:paraId="15AF1369" w14:textId="6AD42073" w:rsidR="00660BEC" w:rsidRPr="00B03E01" w:rsidRDefault="00660BEC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  <w:u w:val="single"/>
        </w:rPr>
        <w:t>Laboratorija</w:t>
      </w:r>
      <w:r>
        <w:rPr>
          <w:rFonts w:ascii="Times New Roman" w:hAnsi="Times New Roman"/>
          <w:sz w:val="24"/>
        </w:rPr>
        <w:t xml:space="preserve"> izmanto apstiprinātas un nolūkam atbilstīgas metodes, lai noteiktu </w:t>
      </w:r>
      <w:r>
        <w:rPr>
          <w:rFonts w:ascii="Times New Roman" w:hAnsi="Times New Roman"/>
          <w:i/>
          <w:iCs/>
          <w:sz w:val="24"/>
        </w:rPr>
        <w:t>ESA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lastRenderedPageBreak/>
        <w:t>ievadīšanu urīnā vai plazmā/serumā.</w:t>
      </w:r>
    </w:p>
    <w:p w14:paraId="257AB4E1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21"/>
        </w:rPr>
      </w:pPr>
    </w:p>
    <w:p w14:paraId="6F79DB80" w14:textId="2EAC25AD" w:rsidR="00660BEC" w:rsidRPr="00B03E01" w:rsidRDefault="00E911B8" w:rsidP="00E911B8">
      <w:pPr>
        <w:pStyle w:val="Heading3"/>
        <w:tabs>
          <w:tab w:val="left" w:pos="691"/>
        </w:tabs>
        <w:ind w:left="0" w:firstLine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2.1. Elektroforēzes metodes</w:t>
      </w:r>
    </w:p>
    <w:p w14:paraId="50B74C79" w14:textId="77777777" w:rsidR="00E911B8" w:rsidRDefault="00E911B8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</w:p>
    <w:p w14:paraId="30E6AD72" w14:textId="41AE2467" w:rsidR="00660BEC" w:rsidRPr="00B03E01" w:rsidRDefault="00660BEC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Analītiskā stratēģija, kas jāievēro, izmantojot 1. tabulā apkopotās elektroforēzes metodes, ir aprakstīta turpmāk.</w:t>
      </w:r>
    </w:p>
    <w:p w14:paraId="28AF60AC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21"/>
        </w:rPr>
      </w:pPr>
    </w:p>
    <w:p w14:paraId="6B1C67E5" w14:textId="62A2A13E" w:rsidR="00660BEC" w:rsidRPr="00B03E01" w:rsidRDefault="00E911B8" w:rsidP="00E911B8">
      <w:pPr>
        <w:pStyle w:val="Heading4"/>
        <w:tabs>
          <w:tab w:val="left" w:pos="911"/>
        </w:tabs>
        <w:ind w:left="0"/>
        <w:jc w:val="both"/>
        <w:rPr>
          <w:rFonts w:ascii="Times New Roman" w:hAnsi="Times New Roman"/>
          <w:noProof/>
          <w:sz w:val="24"/>
          <w:u w:val="thick" w:color="000000"/>
        </w:rPr>
      </w:pPr>
      <w:r>
        <w:rPr>
          <w:rFonts w:ascii="Times New Roman" w:hAnsi="Times New Roman"/>
          <w:sz w:val="24"/>
          <w:u w:color="000000"/>
        </w:rPr>
        <w:t xml:space="preserve">2.1.1. </w:t>
      </w:r>
      <w:r>
        <w:rPr>
          <w:rFonts w:ascii="Times New Roman" w:hAnsi="Times New Roman"/>
          <w:sz w:val="24"/>
          <w:u w:val="thick" w:color="000000"/>
        </w:rPr>
        <w:t>Sākotnējā pārbaudes procedūra</w:t>
      </w:r>
    </w:p>
    <w:p w14:paraId="3FE0C612" w14:textId="77777777" w:rsidR="00E911B8" w:rsidRDefault="00E911B8" w:rsidP="00E911B8">
      <w:pPr>
        <w:pStyle w:val="BodyText"/>
        <w:tabs>
          <w:tab w:val="left" w:pos="650"/>
        </w:tabs>
        <w:ind w:left="0"/>
        <w:jc w:val="both"/>
        <w:rPr>
          <w:rFonts w:ascii="Times New Roman" w:hAnsi="Times New Roman"/>
          <w:noProof/>
          <w:sz w:val="24"/>
        </w:rPr>
      </w:pPr>
    </w:p>
    <w:p w14:paraId="3BCAABFC" w14:textId="3E73611D" w:rsidR="00660BEC" w:rsidRPr="00B03E01" w:rsidRDefault="00660BEC" w:rsidP="00E531C5">
      <w:pPr>
        <w:pStyle w:val="BodyText"/>
        <w:numPr>
          <w:ilvl w:val="3"/>
          <w:numId w:val="22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Analizējot </w:t>
      </w:r>
      <w:r>
        <w:rPr>
          <w:rFonts w:ascii="Times New Roman" w:hAnsi="Times New Roman"/>
          <w:i/>
          <w:iCs/>
          <w:sz w:val="24"/>
        </w:rPr>
        <w:t>ESA</w:t>
      </w:r>
      <w:r>
        <w:rPr>
          <w:rFonts w:ascii="Times New Roman" w:hAnsi="Times New Roman"/>
          <w:sz w:val="24"/>
        </w:rPr>
        <w:t xml:space="preserve">, kuru struktūra ir saistīta ar </w:t>
      </w:r>
      <w:r>
        <w:rPr>
          <w:rFonts w:ascii="Times New Roman" w:hAnsi="Times New Roman"/>
          <w:i/>
          <w:iCs/>
          <w:sz w:val="24"/>
        </w:rPr>
        <w:t>EPO</w:t>
      </w:r>
      <w:r>
        <w:rPr>
          <w:rFonts w:ascii="Times New Roman" w:hAnsi="Times New Roman"/>
          <w:sz w:val="24"/>
        </w:rPr>
        <w:t xml:space="preserve"> (piemēram, </w:t>
      </w:r>
      <w:r>
        <w:rPr>
          <w:rFonts w:ascii="Times New Roman" w:hAnsi="Times New Roman"/>
          <w:i/>
          <w:iCs/>
          <w:sz w:val="24"/>
        </w:rPr>
        <w:t>rEPO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NESP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CERA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EPO-Fc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  <w:u w:val="single"/>
        </w:rPr>
        <w:t>laboratorija</w:t>
      </w:r>
      <w:r>
        <w:rPr>
          <w:rFonts w:ascii="Times New Roman" w:hAnsi="Times New Roman"/>
          <w:sz w:val="24"/>
        </w:rPr>
        <w:t xml:space="preserve"> pēc </w:t>
      </w:r>
      <w:r>
        <w:rPr>
          <w:rFonts w:ascii="Times New Roman" w:hAnsi="Times New Roman"/>
          <w:i/>
          <w:iCs/>
          <w:sz w:val="24"/>
        </w:rPr>
        <w:t>EPO</w:t>
      </w:r>
      <w:r>
        <w:rPr>
          <w:rFonts w:ascii="Times New Roman" w:hAnsi="Times New Roman"/>
          <w:sz w:val="24"/>
        </w:rPr>
        <w:t xml:space="preserve"> un/vai tā analogu bagātināšanas piemēro IEF [1] un/vai </w:t>
      </w:r>
      <w:r>
        <w:rPr>
          <w:rFonts w:ascii="Times New Roman" w:hAnsi="Times New Roman"/>
          <w:i/>
          <w:iCs/>
          <w:sz w:val="24"/>
        </w:rPr>
        <w:t xml:space="preserve">SAR-PAGE </w:t>
      </w:r>
      <w:r>
        <w:rPr>
          <w:rFonts w:ascii="Times New Roman" w:hAnsi="Times New Roman"/>
          <w:sz w:val="24"/>
        </w:rPr>
        <w:t>[2, 3], izmantojot nespecifiskas metodes (</w:t>
      </w:r>
      <w:r>
        <w:rPr>
          <w:rFonts w:ascii="Times New Roman" w:hAnsi="Times New Roman"/>
          <w:i/>
          <w:iCs/>
          <w:sz w:val="24"/>
        </w:rPr>
        <w:t>piemēram</w:t>
      </w:r>
      <w:r>
        <w:rPr>
          <w:rFonts w:ascii="Times New Roman" w:hAnsi="Times New Roman"/>
          <w:sz w:val="24"/>
        </w:rPr>
        <w:t>, ultrafiltrāciju [1], selektīvu proteīna izpārslošanos [4]) vai pēc imūnafinitātes attīrīšanas</w:t>
      </w:r>
      <w:r w:rsidR="00E911B8">
        <w:rPr>
          <w:rStyle w:val="FootnoteReference"/>
          <w:rFonts w:ascii="Times New Roman" w:hAnsi="Times New Roman"/>
          <w:noProof/>
          <w:sz w:val="24"/>
        </w:rPr>
        <w:footnoteReference w:id="1"/>
      </w:r>
      <w:r>
        <w:rPr>
          <w:rFonts w:ascii="Times New Roman" w:hAnsi="Times New Roman"/>
          <w:sz w:val="24"/>
        </w:rPr>
        <w:t xml:space="preserve"> [5-10].</w:t>
      </w:r>
    </w:p>
    <w:p w14:paraId="6934BCAF" w14:textId="77777777" w:rsidR="00660BEC" w:rsidRPr="00B03E01" w:rsidRDefault="00660BEC" w:rsidP="00E531C5">
      <w:pPr>
        <w:pStyle w:val="BodyText"/>
        <w:numPr>
          <w:ilvl w:val="3"/>
          <w:numId w:val="22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  <w:u w:val="single"/>
        </w:rPr>
        <w:t>Laboratorija</w:t>
      </w:r>
      <w:r>
        <w:rPr>
          <w:rFonts w:ascii="Times New Roman" w:hAnsi="Times New Roman"/>
          <w:sz w:val="24"/>
        </w:rPr>
        <w:t xml:space="preserve">, veicot metodes validāciju, pierāda, ka izmantotā bagātināšanas metodika nemaina IEF izoformu profilus vai analizējamo endogēno </w:t>
      </w:r>
      <w:r>
        <w:rPr>
          <w:rFonts w:ascii="Times New Roman" w:hAnsi="Times New Roman"/>
          <w:i/>
          <w:iCs/>
          <w:sz w:val="24"/>
        </w:rPr>
        <w:t>EPO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ESA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SDS/SAR-PAGE</w:t>
      </w:r>
      <w:r>
        <w:rPr>
          <w:rFonts w:ascii="Times New Roman" w:hAnsi="Times New Roman"/>
          <w:sz w:val="24"/>
        </w:rPr>
        <w:t xml:space="preserve"> uzvedību.</w:t>
      </w:r>
    </w:p>
    <w:p w14:paraId="2737731F" w14:textId="77777777" w:rsidR="00660BEC" w:rsidRPr="00B03E01" w:rsidRDefault="00660BEC" w:rsidP="00E531C5">
      <w:pPr>
        <w:pStyle w:val="BodyText"/>
        <w:numPr>
          <w:ilvl w:val="3"/>
          <w:numId w:val="22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Veicot analīzi attiecībā uz peginesatīdu,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piemēro </w:t>
      </w:r>
      <w:r>
        <w:rPr>
          <w:rFonts w:ascii="Times New Roman" w:hAnsi="Times New Roman"/>
          <w:i/>
          <w:iCs/>
          <w:sz w:val="24"/>
        </w:rPr>
        <w:t>SDS-PAGE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</w:rPr>
        <w:t>SAR-PAGE</w:t>
      </w:r>
      <w:r>
        <w:rPr>
          <w:rFonts w:ascii="Times New Roman" w:hAnsi="Times New Roman"/>
          <w:sz w:val="24"/>
        </w:rPr>
        <w:t xml:space="preserve"> [11].</w:t>
      </w:r>
    </w:p>
    <w:p w14:paraId="0E2C8259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19"/>
        </w:rPr>
      </w:pPr>
    </w:p>
    <w:p w14:paraId="5C914DFF" w14:textId="5CB6ACED" w:rsidR="00660BEC" w:rsidRPr="00B03E01" w:rsidRDefault="00E911B8" w:rsidP="00E911B8">
      <w:pPr>
        <w:pStyle w:val="Heading4"/>
        <w:tabs>
          <w:tab w:val="left" w:pos="911"/>
        </w:tabs>
        <w:ind w:left="0"/>
        <w:jc w:val="both"/>
        <w:rPr>
          <w:rFonts w:ascii="Times New Roman" w:hAnsi="Times New Roman"/>
          <w:noProof/>
          <w:sz w:val="24"/>
          <w:u w:val="thick" w:color="000000"/>
        </w:rPr>
      </w:pPr>
      <w:r>
        <w:rPr>
          <w:rFonts w:ascii="Times New Roman" w:hAnsi="Times New Roman"/>
          <w:sz w:val="24"/>
          <w:u w:color="000000"/>
        </w:rPr>
        <w:t xml:space="preserve">2.1.2. </w:t>
      </w:r>
      <w:r>
        <w:rPr>
          <w:rFonts w:ascii="Times New Roman" w:hAnsi="Times New Roman"/>
          <w:sz w:val="24"/>
          <w:u w:val="thick" w:color="000000"/>
        </w:rPr>
        <w:t>Apstiprināšanas procedūra</w:t>
      </w:r>
    </w:p>
    <w:p w14:paraId="0D767B87" w14:textId="77777777" w:rsidR="00E911B8" w:rsidRDefault="00E911B8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</w:p>
    <w:p w14:paraId="4D6A1C48" w14:textId="156DA6F6" w:rsidR="00660BEC" w:rsidRDefault="00660BEC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  <w:u w:val="single"/>
        </w:rPr>
        <w:t>Apstiprināšanas procedūra</w:t>
      </w:r>
      <w:r>
        <w:rPr>
          <w:rFonts w:ascii="Times New Roman" w:hAnsi="Times New Roman"/>
          <w:sz w:val="24"/>
        </w:rPr>
        <w:t xml:space="preserve"> ir atkarīga no iespējami konstatētā </w:t>
      </w:r>
      <w:r>
        <w:rPr>
          <w:rFonts w:ascii="Times New Roman" w:hAnsi="Times New Roman"/>
          <w:i/>
          <w:iCs/>
          <w:sz w:val="24"/>
        </w:rPr>
        <w:t>rEPO</w:t>
      </w:r>
      <w:r>
        <w:rPr>
          <w:rFonts w:ascii="Times New Roman" w:hAnsi="Times New Roman"/>
          <w:sz w:val="24"/>
        </w:rPr>
        <w:t xml:space="preserve"> vai tā analoga un no </w:t>
      </w:r>
      <w:r>
        <w:rPr>
          <w:rFonts w:ascii="Times New Roman" w:hAnsi="Times New Roman"/>
          <w:sz w:val="24"/>
          <w:u w:val="single"/>
        </w:rPr>
        <w:t>sākotnējās pārbaudes procedūrā</w:t>
      </w:r>
      <w:r>
        <w:rPr>
          <w:rFonts w:ascii="Times New Roman" w:hAnsi="Times New Roman"/>
          <w:sz w:val="24"/>
        </w:rPr>
        <w:t xml:space="preserve"> izmantotās metodikas.</w:t>
      </w:r>
    </w:p>
    <w:p w14:paraId="2AAAF8B2" w14:textId="77777777" w:rsidR="00E911B8" w:rsidRPr="00B03E01" w:rsidRDefault="00E911B8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</w:p>
    <w:p w14:paraId="7A24E237" w14:textId="4E1AD655" w:rsidR="00660BEC" w:rsidRPr="00E911B8" w:rsidRDefault="00660BEC" w:rsidP="00E531C5">
      <w:pPr>
        <w:pStyle w:val="BodyText"/>
        <w:numPr>
          <w:ilvl w:val="3"/>
          <w:numId w:val="22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Pirms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apstiprināšanas analīzes ar elektroforēzes metodēm [5–10] veic visu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alikvotu</w:t>
      </w:r>
      <w:r>
        <w:rPr>
          <w:rFonts w:ascii="Times New Roman" w:hAnsi="Times New Roman"/>
          <w:sz w:val="24"/>
        </w:rPr>
        <w:t xml:space="preserve"> imūnafinitātes attīrīšanu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.</w:t>
      </w:r>
    </w:p>
    <w:p w14:paraId="59A94AFE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19"/>
        </w:rPr>
      </w:pPr>
    </w:p>
    <w:p w14:paraId="4EAECC69" w14:textId="1F3EDB18" w:rsidR="00660BEC" w:rsidRPr="00B03E01" w:rsidRDefault="00E531C5" w:rsidP="00E531C5">
      <w:pPr>
        <w:pStyle w:val="Heading5"/>
        <w:tabs>
          <w:tab w:val="left" w:pos="1871"/>
        </w:tabs>
        <w:spacing w:before="0"/>
        <w:ind w:left="0" w:firstLine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2.1.2.1. rEPO</w:t>
      </w:r>
    </w:p>
    <w:p w14:paraId="4CD71BF5" w14:textId="77777777" w:rsidR="00E531C5" w:rsidRPr="00E531C5" w:rsidRDefault="00E531C5" w:rsidP="00E531C5">
      <w:pPr>
        <w:pStyle w:val="BodyText"/>
        <w:tabs>
          <w:tab w:val="left" w:pos="650"/>
        </w:tabs>
        <w:ind w:left="0"/>
        <w:jc w:val="both"/>
        <w:rPr>
          <w:rFonts w:ascii="Times New Roman" w:hAnsi="Times New Roman" w:cs="Verdana"/>
          <w:noProof/>
          <w:sz w:val="24"/>
        </w:rPr>
      </w:pPr>
    </w:p>
    <w:p w14:paraId="22E4C5B1" w14:textId="16797701" w:rsidR="00660BEC" w:rsidRPr="00B03E01" w:rsidRDefault="00660BEC" w:rsidP="00E531C5">
      <w:pPr>
        <w:pStyle w:val="BodyText"/>
        <w:numPr>
          <w:ilvl w:val="3"/>
          <w:numId w:val="22"/>
        </w:numPr>
        <w:ind w:left="426" w:hanging="426"/>
        <w:jc w:val="both"/>
        <w:rPr>
          <w:rFonts w:ascii="Times New Roman" w:hAnsi="Times New Roman" w:cs="Verdana"/>
          <w:noProof/>
          <w:sz w:val="24"/>
        </w:rPr>
      </w:pPr>
      <w:r>
        <w:rPr>
          <w:rFonts w:ascii="Times New Roman" w:hAnsi="Times New Roman"/>
          <w:sz w:val="24"/>
        </w:rPr>
        <w:t xml:space="preserve">Neatkarīgi no izmantotās </w:t>
      </w:r>
      <w:r>
        <w:rPr>
          <w:rFonts w:ascii="Times New Roman" w:hAnsi="Times New Roman"/>
          <w:sz w:val="24"/>
          <w:u w:val="single"/>
        </w:rPr>
        <w:t>sākotnējās pārbaudes procedūras</w:t>
      </w:r>
      <w:r>
        <w:rPr>
          <w:rFonts w:ascii="Times New Roman" w:hAnsi="Times New Roman"/>
          <w:sz w:val="24"/>
        </w:rPr>
        <w:t xml:space="preserve"> (IEF un/vai </w:t>
      </w:r>
      <w:r>
        <w:rPr>
          <w:rFonts w:ascii="Times New Roman" w:hAnsi="Times New Roman"/>
          <w:i/>
          <w:iCs/>
          <w:sz w:val="24"/>
        </w:rPr>
        <w:t>SAR-PAGE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i/>
          <w:iCs/>
          <w:sz w:val="24"/>
        </w:rPr>
        <w:t>rEPO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apstiprināšanas procedūra</w:t>
      </w:r>
      <w:r>
        <w:rPr>
          <w:rFonts w:ascii="Times New Roman" w:hAnsi="Times New Roman"/>
          <w:sz w:val="24"/>
        </w:rPr>
        <w:t xml:space="preserve"> jāveic, izmantojot </w:t>
      </w:r>
      <w:r>
        <w:rPr>
          <w:rFonts w:ascii="Times New Roman" w:hAnsi="Times New Roman"/>
          <w:i/>
          <w:iCs/>
          <w:sz w:val="24"/>
        </w:rPr>
        <w:t>SDS-PAGE</w:t>
      </w:r>
      <w:r>
        <w:rPr>
          <w:rFonts w:ascii="Times New Roman" w:hAnsi="Times New Roman"/>
          <w:sz w:val="24"/>
        </w:rPr>
        <w:t xml:space="preserve"> [12, 13] vai </w:t>
      </w:r>
      <w:r>
        <w:rPr>
          <w:rFonts w:ascii="Times New Roman" w:hAnsi="Times New Roman"/>
          <w:i/>
          <w:iCs/>
          <w:sz w:val="24"/>
        </w:rPr>
        <w:t>SAR-PAGE</w:t>
      </w:r>
      <w:r>
        <w:rPr>
          <w:rFonts w:ascii="Times New Roman" w:hAnsi="Times New Roman"/>
          <w:sz w:val="24"/>
        </w:rPr>
        <w:t xml:space="preserve"> [2, 3] “A”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jaunajai(-ām) </w:t>
      </w:r>
      <w:r>
        <w:rPr>
          <w:rFonts w:ascii="Times New Roman" w:hAnsi="Times New Roman"/>
          <w:sz w:val="24"/>
          <w:u w:val="single"/>
        </w:rPr>
        <w:t>alikvotai(-ām)</w:t>
      </w:r>
      <w:r>
        <w:rPr>
          <w:rFonts w:ascii="Times New Roman" w:hAnsi="Times New Roman"/>
          <w:sz w:val="24"/>
        </w:rPr>
        <w:t>.</w:t>
      </w:r>
    </w:p>
    <w:p w14:paraId="3D80E035" w14:textId="77777777" w:rsidR="00660BEC" w:rsidRPr="00B03E01" w:rsidRDefault="00660BEC" w:rsidP="00E531C5">
      <w:pPr>
        <w:pStyle w:val="BodyText"/>
        <w:numPr>
          <w:ilvl w:val="3"/>
          <w:numId w:val="22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SAR-PAGE</w:t>
      </w:r>
      <w:r>
        <w:rPr>
          <w:rFonts w:ascii="Times New Roman" w:hAnsi="Times New Roman"/>
          <w:sz w:val="24"/>
        </w:rPr>
        <w:t xml:space="preserve"> var piemērot gan </w:t>
      </w:r>
      <w:r>
        <w:rPr>
          <w:rFonts w:ascii="Times New Roman" w:hAnsi="Times New Roman"/>
          <w:sz w:val="24"/>
          <w:u w:val="single"/>
        </w:rPr>
        <w:t>sākotnējās pārbaudes procedūrai</w:t>
      </w:r>
      <w:r>
        <w:rPr>
          <w:rFonts w:ascii="Times New Roman" w:hAnsi="Times New Roman"/>
          <w:sz w:val="24"/>
        </w:rPr>
        <w:t xml:space="preserve">, gan </w:t>
      </w:r>
      <w:r>
        <w:rPr>
          <w:rFonts w:ascii="Times New Roman" w:hAnsi="Times New Roman"/>
          <w:sz w:val="24"/>
          <w:u w:val="single"/>
        </w:rPr>
        <w:t>apstiprināšanas procedūrai</w:t>
      </w:r>
      <w:r>
        <w:rPr>
          <w:rFonts w:ascii="Times New Roman" w:hAnsi="Times New Roman"/>
          <w:sz w:val="24"/>
        </w:rPr>
        <w:t>.</w:t>
      </w:r>
    </w:p>
    <w:p w14:paraId="3CBB0D4F" w14:textId="77777777" w:rsidR="00660BEC" w:rsidRPr="00B03E01" w:rsidRDefault="00660BEC" w:rsidP="00B03E01">
      <w:pPr>
        <w:jc w:val="both"/>
        <w:rPr>
          <w:rFonts w:ascii="Times New Roman" w:eastAsia="Times New Roman" w:hAnsi="Times New Roman" w:cs="Times New Roman"/>
          <w:noProof/>
          <w:sz w:val="24"/>
        </w:rPr>
      </w:pPr>
    </w:p>
    <w:p w14:paraId="6EFA5455" w14:textId="7361D619" w:rsidR="00660BEC" w:rsidRPr="00B03E01" w:rsidRDefault="00E531C5" w:rsidP="00E531C5">
      <w:pPr>
        <w:pStyle w:val="Heading5"/>
        <w:tabs>
          <w:tab w:val="left" w:pos="1879"/>
        </w:tabs>
        <w:spacing w:before="0"/>
        <w:ind w:left="0" w:firstLine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2.1.2.2. NESP</w:t>
      </w:r>
    </w:p>
    <w:p w14:paraId="12E26515" w14:textId="77777777" w:rsidR="00E531C5" w:rsidRDefault="00E531C5" w:rsidP="00E531C5">
      <w:pPr>
        <w:pStyle w:val="BodyText"/>
        <w:tabs>
          <w:tab w:val="left" w:pos="650"/>
        </w:tabs>
        <w:ind w:left="0"/>
        <w:jc w:val="both"/>
        <w:rPr>
          <w:rFonts w:ascii="Times New Roman" w:hAnsi="Times New Roman"/>
          <w:noProof/>
          <w:sz w:val="24"/>
        </w:rPr>
      </w:pPr>
    </w:p>
    <w:p w14:paraId="14822968" w14:textId="32877D65" w:rsidR="00660BEC" w:rsidRPr="00B03E01" w:rsidRDefault="00660BEC" w:rsidP="00E531C5">
      <w:pPr>
        <w:pStyle w:val="BodyTex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Neatkarīgi no izmantotās </w:t>
      </w:r>
      <w:r>
        <w:rPr>
          <w:rFonts w:ascii="Times New Roman" w:hAnsi="Times New Roman"/>
          <w:sz w:val="24"/>
          <w:u w:val="single"/>
        </w:rPr>
        <w:t>sākotnējās pārbaudes procedūras</w:t>
      </w:r>
      <w:r>
        <w:rPr>
          <w:rFonts w:ascii="Times New Roman" w:hAnsi="Times New Roman"/>
          <w:sz w:val="24"/>
        </w:rPr>
        <w:t xml:space="preserve"> (IEF vai </w:t>
      </w:r>
      <w:r>
        <w:rPr>
          <w:rFonts w:ascii="Times New Roman" w:hAnsi="Times New Roman"/>
          <w:i/>
          <w:iCs/>
          <w:sz w:val="24"/>
        </w:rPr>
        <w:t>SAR-PAGE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i/>
          <w:iCs/>
          <w:sz w:val="24"/>
        </w:rPr>
        <w:t>NESP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apstiprināšanas procedūrai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laboratorija</w:t>
      </w:r>
      <w:r>
        <w:rPr>
          <w:rFonts w:ascii="Times New Roman" w:hAnsi="Times New Roman"/>
          <w:sz w:val="24"/>
        </w:rPr>
        <w:t xml:space="preserve"> var izvēlēties piemērot IEF vai </w:t>
      </w:r>
      <w:r>
        <w:rPr>
          <w:rFonts w:ascii="Times New Roman" w:hAnsi="Times New Roman"/>
          <w:i/>
          <w:iCs/>
          <w:sz w:val="24"/>
        </w:rPr>
        <w:t>SDS-PAGE</w:t>
      </w:r>
      <w:r>
        <w:rPr>
          <w:rFonts w:ascii="Times New Roman" w:hAnsi="Times New Roman"/>
          <w:sz w:val="24"/>
        </w:rPr>
        <w:t xml:space="preserve">, vai </w:t>
      </w:r>
      <w:r>
        <w:rPr>
          <w:rFonts w:ascii="Times New Roman" w:hAnsi="Times New Roman"/>
          <w:i/>
          <w:iCs/>
          <w:sz w:val="24"/>
        </w:rPr>
        <w:t>SAR-PAGE</w:t>
      </w:r>
      <w:r>
        <w:rPr>
          <w:rFonts w:ascii="Times New Roman" w:hAnsi="Times New Roman"/>
          <w:sz w:val="24"/>
        </w:rPr>
        <w:t xml:space="preserve"> “A”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jaunajai(-ām) </w:t>
      </w:r>
      <w:r>
        <w:rPr>
          <w:rFonts w:ascii="Times New Roman" w:hAnsi="Times New Roman"/>
          <w:sz w:val="24"/>
          <w:u w:val="single"/>
        </w:rPr>
        <w:t>alikvotai(-ām)</w:t>
      </w:r>
      <w:r>
        <w:rPr>
          <w:rFonts w:ascii="Times New Roman" w:hAnsi="Times New Roman"/>
          <w:sz w:val="24"/>
        </w:rPr>
        <w:t xml:space="preserve">. Pēc saviem ieskatiem </w:t>
      </w:r>
      <w:r>
        <w:rPr>
          <w:rFonts w:ascii="Times New Roman" w:hAnsi="Times New Roman"/>
          <w:sz w:val="24"/>
          <w:u w:val="single"/>
        </w:rPr>
        <w:t>laboratorija</w:t>
      </w:r>
      <w:r>
        <w:rPr>
          <w:rFonts w:ascii="Times New Roman" w:hAnsi="Times New Roman"/>
          <w:sz w:val="24"/>
        </w:rPr>
        <w:t xml:space="preserve"> var izmantot arī IEF un </w:t>
      </w:r>
      <w:r>
        <w:rPr>
          <w:rFonts w:ascii="Times New Roman" w:hAnsi="Times New Roman"/>
          <w:i/>
          <w:iCs/>
          <w:sz w:val="24"/>
        </w:rPr>
        <w:t>SDS-PAGE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</w:rPr>
        <w:t>SAR-PAGE</w:t>
      </w:r>
      <w:r>
        <w:rPr>
          <w:rFonts w:ascii="Times New Roman" w:hAnsi="Times New Roman"/>
          <w:sz w:val="24"/>
        </w:rPr>
        <w:t xml:space="preserve"> kombināciju.</w:t>
      </w:r>
    </w:p>
    <w:p w14:paraId="607B3D3E" w14:textId="77777777" w:rsidR="00660BEC" w:rsidRPr="00B03E01" w:rsidRDefault="00660BEC" w:rsidP="00E531C5">
      <w:pPr>
        <w:pStyle w:val="BodyTex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To pašu metodi (</w:t>
      </w:r>
      <w:r>
        <w:rPr>
          <w:rFonts w:ascii="Times New Roman" w:hAnsi="Times New Roman"/>
          <w:i/>
          <w:iCs/>
          <w:sz w:val="24"/>
        </w:rPr>
        <w:t>IEF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</w:rPr>
        <w:t>SAR-PAGE</w:t>
      </w:r>
      <w:r>
        <w:rPr>
          <w:rFonts w:ascii="Times New Roman" w:hAnsi="Times New Roman"/>
          <w:sz w:val="24"/>
        </w:rPr>
        <w:t xml:space="preserve">) var piemērot gan </w:t>
      </w:r>
      <w:r>
        <w:rPr>
          <w:rFonts w:ascii="Times New Roman" w:hAnsi="Times New Roman"/>
          <w:sz w:val="24"/>
          <w:u w:val="single"/>
        </w:rPr>
        <w:t>sākotnējās pārbaudes procedūrai</w:t>
      </w:r>
      <w:r>
        <w:rPr>
          <w:rFonts w:ascii="Times New Roman" w:hAnsi="Times New Roman"/>
          <w:sz w:val="24"/>
        </w:rPr>
        <w:t xml:space="preserve">, gan </w:t>
      </w:r>
      <w:r>
        <w:rPr>
          <w:rFonts w:ascii="Times New Roman" w:hAnsi="Times New Roman"/>
          <w:sz w:val="24"/>
          <w:u w:val="single"/>
        </w:rPr>
        <w:t>apstiprināšanas procedūrai</w:t>
      </w:r>
      <w:r>
        <w:rPr>
          <w:rFonts w:ascii="Times New Roman" w:hAnsi="Times New Roman"/>
          <w:sz w:val="24"/>
        </w:rPr>
        <w:t>.</w:t>
      </w:r>
    </w:p>
    <w:p w14:paraId="7BF352D3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16"/>
        </w:rPr>
      </w:pPr>
    </w:p>
    <w:p w14:paraId="40BD5B85" w14:textId="392AA78F" w:rsidR="00660BEC" w:rsidRPr="00B03E01" w:rsidRDefault="00E531C5" w:rsidP="00E531C5">
      <w:pPr>
        <w:pStyle w:val="Heading5"/>
        <w:tabs>
          <w:tab w:val="left" w:pos="1871"/>
        </w:tabs>
        <w:spacing w:before="0"/>
        <w:ind w:left="0" w:firstLine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2.1.2.3. CERA</w:t>
      </w:r>
    </w:p>
    <w:p w14:paraId="5ADE622A" w14:textId="77777777" w:rsidR="00E531C5" w:rsidRPr="00E531C5" w:rsidRDefault="00E531C5" w:rsidP="00E531C5">
      <w:pPr>
        <w:pStyle w:val="BodyText"/>
        <w:tabs>
          <w:tab w:val="left" w:pos="650"/>
        </w:tabs>
        <w:ind w:left="0"/>
        <w:jc w:val="both"/>
        <w:rPr>
          <w:rFonts w:ascii="Times New Roman" w:hAnsi="Times New Roman" w:cs="Verdana"/>
          <w:noProof/>
          <w:sz w:val="24"/>
        </w:rPr>
      </w:pPr>
    </w:p>
    <w:p w14:paraId="3B6CC253" w14:textId="77D8FFE8" w:rsidR="00660BEC" w:rsidRPr="00B03E01" w:rsidRDefault="00660BEC" w:rsidP="00E531C5">
      <w:pPr>
        <w:pStyle w:val="BodyText"/>
        <w:numPr>
          <w:ilvl w:val="0"/>
          <w:numId w:val="2"/>
        </w:numPr>
        <w:ind w:left="426" w:hanging="426"/>
        <w:jc w:val="both"/>
        <w:rPr>
          <w:rFonts w:ascii="Times New Roman" w:hAnsi="Times New Roman" w:cs="Verdana"/>
          <w:noProof/>
          <w:sz w:val="24"/>
        </w:rPr>
      </w:pPr>
      <w:r>
        <w:rPr>
          <w:rFonts w:ascii="Times New Roman" w:hAnsi="Times New Roman"/>
          <w:sz w:val="24"/>
        </w:rPr>
        <w:t xml:space="preserve">Neatkarīgi no izmantotās </w:t>
      </w:r>
      <w:r>
        <w:rPr>
          <w:rFonts w:ascii="Times New Roman" w:hAnsi="Times New Roman"/>
          <w:sz w:val="24"/>
          <w:u w:val="single"/>
        </w:rPr>
        <w:t>sākotnējās pārbaudes procedūras</w:t>
      </w:r>
      <w:r>
        <w:rPr>
          <w:rFonts w:ascii="Times New Roman" w:hAnsi="Times New Roman"/>
          <w:sz w:val="24"/>
        </w:rPr>
        <w:t xml:space="preserve"> (IEF vai </w:t>
      </w:r>
      <w:r>
        <w:rPr>
          <w:rFonts w:ascii="Times New Roman" w:hAnsi="Times New Roman"/>
          <w:i/>
          <w:iCs/>
          <w:sz w:val="24"/>
        </w:rPr>
        <w:t>SAR-PAGE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i/>
          <w:iCs/>
          <w:sz w:val="24"/>
        </w:rPr>
        <w:t>CERA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apstiprināšanas procedūrai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laboratorija</w:t>
      </w:r>
      <w:r>
        <w:rPr>
          <w:rFonts w:ascii="Times New Roman" w:hAnsi="Times New Roman"/>
          <w:sz w:val="24"/>
        </w:rPr>
        <w:t xml:space="preserve"> var izvēlēties piemērot IEF vai </w:t>
      </w:r>
      <w:r>
        <w:rPr>
          <w:rFonts w:ascii="Times New Roman" w:hAnsi="Times New Roman"/>
          <w:i/>
          <w:iCs/>
          <w:sz w:val="24"/>
        </w:rPr>
        <w:t>SAR-PAGE</w:t>
      </w:r>
      <w:r>
        <w:rPr>
          <w:rFonts w:ascii="Times New Roman" w:hAnsi="Times New Roman"/>
          <w:sz w:val="24"/>
        </w:rPr>
        <w:t xml:space="preserve">, vai pēc </w:t>
      </w:r>
      <w:r>
        <w:rPr>
          <w:rFonts w:ascii="Times New Roman" w:hAnsi="Times New Roman"/>
          <w:sz w:val="24"/>
          <w:u w:val="single"/>
        </w:rPr>
        <w:t>laboratorijas</w:t>
      </w:r>
      <w:r>
        <w:rPr>
          <w:rFonts w:ascii="Times New Roman" w:hAnsi="Times New Roman"/>
          <w:sz w:val="24"/>
        </w:rPr>
        <w:t xml:space="preserve"> ieskatiem šo metožu kombināciju “A”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jaunajai(-ām) </w:t>
      </w:r>
      <w:r>
        <w:rPr>
          <w:rFonts w:ascii="Times New Roman" w:hAnsi="Times New Roman"/>
          <w:sz w:val="24"/>
          <w:u w:val="single"/>
        </w:rPr>
        <w:t>alikvotai(-</w:t>
      </w:r>
      <w:r>
        <w:rPr>
          <w:rFonts w:ascii="Times New Roman" w:hAnsi="Times New Roman"/>
          <w:sz w:val="24"/>
          <w:u w:val="single"/>
        </w:rPr>
        <w:lastRenderedPageBreak/>
        <w:t>ām)</w:t>
      </w:r>
      <w:r>
        <w:rPr>
          <w:rFonts w:ascii="Times New Roman" w:hAnsi="Times New Roman"/>
          <w:sz w:val="24"/>
        </w:rPr>
        <w:t>.</w:t>
      </w:r>
    </w:p>
    <w:p w14:paraId="5667CF28" w14:textId="77777777" w:rsidR="00660BEC" w:rsidRPr="00B03E01" w:rsidRDefault="00660BEC" w:rsidP="00E531C5">
      <w:pPr>
        <w:pStyle w:val="BodyTex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To pašu metodi (IEF vai </w:t>
      </w:r>
      <w:r>
        <w:rPr>
          <w:rFonts w:ascii="Times New Roman" w:hAnsi="Times New Roman"/>
          <w:i/>
          <w:iCs/>
          <w:sz w:val="24"/>
        </w:rPr>
        <w:t>SAR-PAGE</w:t>
      </w:r>
      <w:r>
        <w:rPr>
          <w:rFonts w:ascii="Times New Roman" w:hAnsi="Times New Roman"/>
          <w:sz w:val="24"/>
        </w:rPr>
        <w:t xml:space="preserve">) var piemērot gan </w:t>
      </w:r>
      <w:r>
        <w:rPr>
          <w:rFonts w:ascii="Times New Roman" w:hAnsi="Times New Roman"/>
          <w:sz w:val="24"/>
          <w:u w:val="single"/>
        </w:rPr>
        <w:t>sākotnējās pārbaudes procedūrai</w:t>
      </w:r>
      <w:r>
        <w:rPr>
          <w:rFonts w:ascii="Times New Roman" w:hAnsi="Times New Roman"/>
          <w:sz w:val="24"/>
        </w:rPr>
        <w:t xml:space="preserve">, gan </w:t>
      </w:r>
      <w:r>
        <w:rPr>
          <w:rFonts w:ascii="Times New Roman" w:hAnsi="Times New Roman"/>
          <w:sz w:val="24"/>
          <w:u w:val="single"/>
        </w:rPr>
        <w:t>apstiprināšanas procedūrai</w:t>
      </w:r>
      <w:r>
        <w:rPr>
          <w:rFonts w:ascii="Times New Roman" w:hAnsi="Times New Roman"/>
          <w:sz w:val="24"/>
        </w:rPr>
        <w:t>.</w:t>
      </w:r>
    </w:p>
    <w:p w14:paraId="287D9704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16"/>
        </w:rPr>
      </w:pPr>
    </w:p>
    <w:p w14:paraId="75172DC5" w14:textId="1041A612" w:rsidR="00660BEC" w:rsidRPr="00B03E01" w:rsidRDefault="00E531C5" w:rsidP="00E531C5">
      <w:pPr>
        <w:pStyle w:val="Heading5"/>
        <w:tabs>
          <w:tab w:val="left" w:pos="1867"/>
        </w:tabs>
        <w:spacing w:before="0"/>
        <w:ind w:left="0" w:firstLine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2.1.2.4. EPO-Fc</w:t>
      </w:r>
    </w:p>
    <w:p w14:paraId="467111B9" w14:textId="77777777" w:rsidR="00E531C5" w:rsidRPr="00E531C5" w:rsidRDefault="00E531C5" w:rsidP="00E531C5">
      <w:pPr>
        <w:pStyle w:val="BodyText"/>
        <w:tabs>
          <w:tab w:val="left" w:pos="650"/>
        </w:tabs>
        <w:ind w:left="0"/>
        <w:jc w:val="both"/>
        <w:rPr>
          <w:rFonts w:ascii="Times New Roman" w:hAnsi="Times New Roman" w:cs="Verdana"/>
          <w:noProof/>
          <w:sz w:val="24"/>
        </w:rPr>
      </w:pPr>
    </w:p>
    <w:p w14:paraId="1543DD0C" w14:textId="7E560E57" w:rsidR="00660BEC" w:rsidRPr="00B03E01" w:rsidRDefault="00660BEC" w:rsidP="00E531C5">
      <w:pPr>
        <w:pStyle w:val="BodyText"/>
        <w:numPr>
          <w:ilvl w:val="0"/>
          <w:numId w:val="2"/>
        </w:numPr>
        <w:ind w:left="426" w:hanging="426"/>
        <w:jc w:val="both"/>
        <w:rPr>
          <w:rFonts w:ascii="Times New Roman" w:hAnsi="Times New Roman" w:cs="Verdana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EPO-Fc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apstiprināšanas procedūrai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laboratorija</w:t>
      </w:r>
      <w:r>
        <w:rPr>
          <w:rFonts w:ascii="Times New Roman" w:hAnsi="Times New Roman"/>
          <w:sz w:val="24"/>
        </w:rPr>
        <w:t xml:space="preserve"> var izvēlēties piemērot </w:t>
      </w:r>
      <w:r>
        <w:rPr>
          <w:rFonts w:ascii="Times New Roman" w:hAnsi="Times New Roman"/>
          <w:i/>
          <w:iCs/>
          <w:sz w:val="24"/>
        </w:rPr>
        <w:t>SDS-PAGE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</w:rPr>
        <w:t>SAR-PAGE</w:t>
      </w:r>
      <w:r>
        <w:rPr>
          <w:rFonts w:ascii="Times New Roman" w:hAnsi="Times New Roman"/>
          <w:sz w:val="24"/>
        </w:rPr>
        <w:t xml:space="preserve"> “A”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jaunajai(-ām) </w:t>
      </w:r>
      <w:r>
        <w:rPr>
          <w:rFonts w:ascii="Times New Roman" w:hAnsi="Times New Roman"/>
          <w:sz w:val="24"/>
          <w:u w:val="single"/>
        </w:rPr>
        <w:t>alikvotai(-ām)</w:t>
      </w:r>
      <w:r>
        <w:rPr>
          <w:rFonts w:ascii="Times New Roman" w:hAnsi="Times New Roman"/>
          <w:sz w:val="24"/>
        </w:rPr>
        <w:t>.</w:t>
      </w:r>
    </w:p>
    <w:p w14:paraId="6783E036" w14:textId="77777777" w:rsidR="00660BEC" w:rsidRPr="00B03E01" w:rsidRDefault="00660BEC" w:rsidP="00E531C5">
      <w:pPr>
        <w:pStyle w:val="BodyTex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SAR-PAGE</w:t>
      </w:r>
      <w:r>
        <w:rPr>
          <w:rFonts w:ascii="Times New Roman" w:hAnsi="Times New Roman"/>
          <w:sz w:val="24"/>
        </w:rPr>
        <w:t xml:space="preserve"> var piemērot gan </w:t>
      </w:r>
      <w:r>
        <w:rPr>
          <w:rFonts w:ascii="Times New Roman" w:hAnsi="Times New Roman"/>
          <w:sz w:val="24"/>
          <w:u w:val="single"/>
        </w:rPr>
        <w:t>sākotnējās pārbaudes procedūrai</w:t>
      </w:r>
      <w:r>
        <w:rPr>
          <w:rFonts w:ascii="Times New Roman" w:hAnsi="Times New Roman"/>
          <w:sz w:val="24"/>
        </w:rPr>
        <w:t xml:space="preserve">, gan </w:t>
      </w:r>
      <w:r>
        <w:rPr>
          <w:rFonts w:ascii="Times New Roman" w:hAnsi="Times New Roman"/>
          <w:sz w:val="24"/>
          <w:u w:val="single"/>
        </w:rPr>
        <w:t>apstiprināšanas procedūrai</w:t>
      </w:r>
      <w:r>
        <w:rPr>
          <w:rFonts w:ascii="Times New Roman" w:hAnsi="Times New Roman"/>
          <w:sz w:val="24"/>
        </w:rPr>
        <w:t>.</w:t>
      </w:r>
    </w:p>
    <w:p w14:paraId="530E48C9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16"/>
        </w:rPr>
      </w:pPr>
    </w:p>
    <w:p w14:paraId="660B170A" w14:textId="067F533A" w:rsidR="00660BEC" w:rsidRPr="00B03E01" w:rsidRDefault="00E531C5" w:rsidP="00E531C5">
      <w:pPr>
        <w:pStyle w:val="Heading5"/>
        <w:tabs>
          <w:tab w:val="left" w:pos="1869"/>
        </w:tabs>
        <w:spacing w:before="0"/>
        <w:ind w:left="0" w:firstLine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2.1.2.5. Peginesatīds</w:t>
      </w:r>
    </w:p>
    <w:p w14:paraId="5708D79F" w14:textId="77777777" w:rsidR="00E531C5" w:rsidRDefault="00E531C5" w:rsidP="00E531C5">
      <w:pPr>
        <w:pStyle w:val="BodyText"/>
        <w:tabs>
          <w:tab w:val="left" w:pos="654"/>
        </w:tabs>
        <w:ind w:left="0"/>
        <w:jc w:val="both"/>
        <w:rPr>
          <w:rFonts w:ascii="Times New Roman" w:hAnsi="Times New Roman"/>
          <w:noProof/>
          <w:sz w:val="24"/>
        </w:rPr>
      </w:pPr>
    </w:p>
    <w:p w14:paraId="527FDA89" w14:textId="0C73F19D" w:rsidR="00660BEC" w:rsidRPr="00B03E01" w:rsidRDefault="00660BEC" w:rsidP="00B03E01">
      <w:pPr>
        <w:pStyle w:val="BodyText"/>
        <w:numPr>
          <w:ilvl w:val="0"/>
          <w:numId w:val="2"/>
        </w:numPr>
        <w:tabs>
          <w:tab w:val="left" w:pos="654"/>
        </w:tabs>
        <w:ind w:left="0" w:firstLine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Neatkarīgi no izmantotās </w:t>
      </w:r>
      <w:r>
        <w:rPr>
          <w:rFonts w:ascii="Times New Roman" w:hAnsi="Times New Roman"/>
          <w:sz w:val="24"/>
          <w:u w:val="single"/>
        </w:rPr>
        <w:t>sākotnējās pārbaudes procedūras</w:t>
      </w:r>
      <w:r>
        <w:rPr>
          <w:rFonts w:ascii="Times New Roman" w:hAnsi="Times New Roman"/>
          <w:sz w:val="24"/>
        </w:rPr>
        <w:t xml:space="preserve"> peginesatīda </w:t>
      </w:r>
      <w:r>
        <w:rPr>
          <w:rFonts w:ascii="Times New Roman" w:hAnsi="Times New Roman"/>
          <w:sz w:val="24"/>
          <w:u w:val="single"/>
        </w:rPr>
        <w:t>apstiprināšanas procedūrai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laboratorija</w:t>
      </w:r>
      <w:r>
        <w:rPr>
          <w:rFonts w:ascii="Times New Roman" w:hAnsi="Times New Roman"/>
          <w:sz w:val="24"/>
        </w:rPr>
        <w:t xml:space="preserve"> var izvēlēties piemērot </w:t>
      </w:r>
      <w:r>
        <w:rPr>
          <w:rFonts w:ascii="Times New Roman" w:hAnsi="Times New Roman"/>
          <w:i/>
          <w:iCs/>
          <w:sz w:val="24"/>
        </w:rPr>
        <w:t>SDS-PAGE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</w:rPr>
        <w:t>SAR-PAGE</w:t>
      </w:r>
      <w:r>
        <w:rPr>
          <w:rFonts w:ascii="Times New Roman" w:hAnsi="Times New Roman"/>
          <w:sz w:val="24"/>
        </w:rPr>
        <w:t>.</w:t>
      </w:r>
    </w:p>
    <w:p w14:paraId="0DEF95EF" w14:textId="77777777" w:rsidR="00660BEC" w:rsidRPr="00B03E01" w:rsidRDefault="00660BEC" w:rsidP="00B03E01">
      <w:pPr>
        <w:pStyle w:val="BodyText"/>
        <w:numPr>
          <w:ilvl w:val="0"/>
          <w:numId w:val="2"/>
        </w:numPr>
        <w:tabs>
          <w:tab w:val="left" w:pos="654"/>
        </w:tabs>
        <w:ind w:left="0" w:firstLine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To pašu metodi (</w:t>
      </w:r>
      <w:r>
        <w:rPr>
          <w:rFonts w:ascii="Times New Roman" w:hAnsi="Times New Roman"/>
          <w:i/>
          <w:iCs/>
          <w:sz w:val="24"/>
        </w:rPr>
        <w:t>SDS-PAGE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</w:rPr>
        <w:t>SAR-PAGE</w:t>
      </w:r>
      <w:r>
        <w:rPr>
          <w:rFonts w:ascii="Times New Roman" w:hAnsi="Times New Roman"/>
          <w:sz w:val="24"/>
        </w:rPr>
        <w:t xml:space="preserve">) var piemērot gan </w:t>
      </w:r>
      <w:r>
        <w:rPr>
          <w:rFonts w:ascii="Times New Roman" w:hAnsi="Times New Roman"/>
          <w:sz w:val="24"/>
          <w:u w:val="single"/>
        </w:rPr>
        <w:t>sākotnējās pārbaudes procedūrai</w:t>
      </w:r>
      <w:r>
        <w:rPr>
          <w:rFonts w:ascii="Times New Roman" w:hAnsi="Times New Roman"/>
          <w:sz w:val="24"/>
        </w:rPr>
        <w:t xml:space="preserve">, gan </w:t>
      </w:r>
      <w:r>
        <w:rPr>
          <w:rFonts w:ascii="Times New Roman" w:hAnsi="Times New Roman"/>
          <w:sz w:val="24"/>
          <w:u w:val="single"/>
        </w:rPr>
        <w:t>apstiprināšanas procedūrai</w:t>
      </w:r>
      <w:r>
        <w:rPr>
          <w:rFonts w:ascii="Times New Roman" w:hAnsi="Times New Roman"/>
          <w:sz w:val="24"/>
        </w:rPr>
        <w:t>.</w:t>
      </w:r>
    </w:p>
    <w:p w14:paraId="43365209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</w:p>
    <w:p w14:paraId="15F5EAE7" w14:textId="2B3E8E7E" w:rsidR="00660BEC" w:rsidRPr="00B03E01" w:rsidRDefault="00660BEC" w:rsidP="00B03E01">
      <w:pPr>
        <w:pStyle w:val="BodyText"/>
        <w:tabs>
          <w:tab w:val="left" w:pos="1145"/>
          <w:tab w:val="left" w:pos="1594"/>
          <w:tab w:val="left" w:pos="2646"/>
          <w:tab w:val="left" w:pos="3198"/>
          <w:tab w:val="left" w:pos="4002"/>
          <w:tab w:val="left" w:pos="4446"/>
          <w:tab w:val="left" w:pos="5257"/>
          <w:tab w:val="left" w:pos="5912"/>
          <w:tab w:val="left" w:pos="6761"/>
          <w:tab w:val="left" w:pos="8791"/>
        </w:tabs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b/>
          <w:bCs/>
          <w:sz w:val="24"/>
        </w:rPr>
        <w:t>1. tabula.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Pārbaude</w:t>
      </w:r>
      <w:r>
        <w:rPr>
          <w:rFonts w:ascii="Times New Roman" w:hAnsi="Times New Roman"/>
          <w:sz w:val="24"/>
        </w:rPr>
        <w:t xml:space="preserve"> attiecībā uz </w:t>
      </w:r>
      <w:r>
        <w:rPr>
          <w:rFonts w:ascii="Times New Roman" w:hAnsi="Times New Roman"/>
          <w:i/>
          <w:iCs/>
          <w:sz w:val="24"/>
        </w:rPr>
        <w:t>ESA</w:t>
      </w:r>
      <w:r>
        <w:rPr>
          <w:rFonts w:ascii="Times New Roman" w:hAnsi="Times New Roman"/>
          <w:sz w:val="24"/>
        </w:rPr>
        <w:t xml:space="preserve"> urīnā un asinīs (serumā/plazmā), izmantojot elektroforēzes metodes</w:t>
      </w:r>
    </w:p>
    <w:p w14:paraId="16416C46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21"/>
        </w:rPr>
      </w:pP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1"/>
        <w:gridCol w:w="2508"/>
        <w:gridCol w:w="3779"/>
      </w:tblGrid>
      <w:tr w:rsidR="00660BEC" w:rsidRPr="00B03E01" w14:paraId="29591A73" w14:textId="77777777" w:rsidTr="00E531C5">
        <w:tc>
          <w:tcPr>
            <w:tcW w:w="2930" w:type="pct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DFDFDF"/>
            <w:vAlign w:val="center"/>
          </w:tcPr>
          <w:p w14:paraId="3E5CEBE0" w14:textId="77777777" w:rsidR="00660BEC" w:rsidRPr="00B03E01" w:rsidRDefault="00660BEC" w:rsidP="00E531C5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Sākotnējā pārbaudes procedūra</w:t>
            </w:r>
          </w:p>
        </w:tc>
        <w:tc>
          <w:tcPr>
            <w:tcW w:w="2070" w:type="pct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DFDFDF"/>
            <w:vAlign w:val="center"/>
          </w:tcPr>
          <w:p w14:paraId="43EE55A9" w14:textId="77777777" w:rsidR="00660BEC" w:rsidRPr="00B03E01" w:rsidRDefault="00660BEC" w:rsidP="00E531C5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Apstiprināšanas procedūra</w:t>
            </w:r>
          </w:p>
        </w:tc>
      </w:tr>
      <w:tr w:rsidR="00660BEC" w:rsidRPr="00B03E01" w14:paraId="74AC32D3" w14:textId="77777777" w:rsidTr="00E531C5">
        <w:tc>
          <w:tcPr>
            <w:tcW w:w="1556" w:type="pct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14:paraId="5A587063" w14:textId="77777777" w:rsidR="00660BEC" w:rsidRPr="00B03E01" w:rsidRDefault="00660BEC" w:rsidP="00E531C5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Metode</w:t>
            </w:r>
          </w:p>
        </w:tc>
        <w:tc>
          <w:tcPr>
            <w:tcW w:w="1374" w:type="pct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0DDC722A" w14:textId="77777777" w:rsidR="00660BEC" w:rsidRPr="00B03E01" w:rsidRDefault="00660BEC" w:rsidP="00E531C5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Varbūtējais analīžu rezultāts</w:t>
            </w:r>
          </w:p>
        </w:tc>
        <w:tc>
          <w:tcPr>
            <w:tcW w:w="2070" w:type="pct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5D1473D2" w14:textId="77777777" w:rsidR="00660BEC" w:rsidRPr="00B03E01" w:rsidRDefault="00660BEC" w:rsidP="00E531C5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Metode</w:t>
            </w:r>
          </w:p>
        </w:tc>
      </w:tr>
      <w:tr w:rsidR="00660BEC" w:rsidRPr="00B03E01" w14:paraId="3CE169AB" w14:textId="77777777" w:rsidTr="00E531C5">
        <w:tc>
          <w:tcPr>
            <w:tcW w:w="1556" w:type="pct"/>
            <w:vMerge w:val="restart"/>
            <w:tcBorders>
              <w:top w:val="single" w:sz="19" w:space="0" w:color="000000"/>
              <w:left w:val="single" w:sz="18" w:space="0" w:color="000000"/>
              <w:right w:val="single" w:sz="5" w:space="0" w:color="000000"/>
            </w:tcBorders>
            <w:vAlign w:val="center"/>
          </w:tcPr>
          <w:p w14:paraId="2478855C" w14:textId="77777777" w:rsidR="00660BEC" w:rsidRPr="00B03E01" w:rsidRDefault="00660BEC" w:rsidP="00E531C5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IEF un/vai </w:t>
            </w:r>
            <w:r>
              <w:rPr>
                <w:rFonts w:ascii="Times New Roman" w:hAnsi="Times New Roman"/>
                <w:i/>
                <w:iCs/>
                <w:sz w:val="24"/>
              </w:rPr>
              <w:t>SAR-PAGE</w:t>
            </w:r>
          </w:p>
        </w:tc>
        <w:tc>
          <w:tcPr>
            <w:tcW w:w="1374" w:type="pct"/>
            <w:tcBorders>
              <w:top w:val="single" w:sz="19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  <w:vAlign w:val="center"/>
          </w:tcPr>
          <w:p w14:paraId="3EA0D6AA" w14:textId="77777777" w:rsidR="00660BEC" w:rsidRPr="00B03E01" w:rsidRDefault="00660BEC" w:rsidP="00E531C5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rEPO</w:t>
            </w:r>
          </w:p>
        </w:tc>
        <w:tc>
          <w:tcPr>
            <w:tcW w:w="2070" w:type="pct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vAlign w:val="center"/>
          </w:tcPr>
          <w:p w14:paraId="3B581319" w14:textId="77777777" w:rsidR="00660BEC" w:rsidRPr="00B03E01" w:rsidRDefault="00660BEC" w:rsidP="00E531C5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SDS-PAGE</w:t>
            </w:r>
            <w:r>
              <w:rPr>
                <w:rFonts w:ascii="Times New Roman" w:hAnsi="Times New Roman"/>
                <w:sz w:val="24"/>
              </w:rPr>
              <w:t xml:space="preserve"> vai </w:t>
            </w:r>
            <w:r>
              <w:rPr>
                <w:rFonts w:ascii="Times New Roman" w:hAnsi="Times New Roman"/>
                <w:i/>
                <w:iCs/>
                <w:sz w:val="24"/>
              </w:rPr>
              <w:t>SAR-PAGE</w:t>
            </w:r>
          </w:p>
        </w:tc>
      </w:tr>
      <w:tr w:rsidR="00660BEC" w:rsidRPr="00B03E01" w14:paraId="71CBD5C6" w14:textId="77777777" w:rsidTr="00E531C5">
        <w:tc>
          <w:tcPr>
            <w:tcW w:w="1556" w:type="pct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14:paraId="2E9F98D1" w14:textId="77777777" w:rsidR="00660BEC" w:rsidRPr="00B03E01" w:rsidRDefault="00660BEC" w:rsidP="00E531C5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374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  <w:vAlign w:val="center"/>
          </w:tcPr>
          <w:p w14:paraId="3BB65FA5" w14:textId="77777777" w:rsidR="00660BEC" w:rsidRPr="00B03E01" w:rsidRDefault="00660BEC" w:rsidP="00E531C5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NESP</w:t>
            </w:r>
          </w:p>
        </w:tc>
        <w:tc>
          <w:tcPr>
            <w:tcW w:w="2070" w:type="pct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vAlign w:val="center"/>
          </w:tcPr>
          <w:p w14:paraId="5E800EFD" w14:textId="77777777" w:rsidR="00660BEC" w:rsidRPr="00B03E01" w:rsidRDefault="00660BEC" w:rsidP="00E531C5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IEF vai </w:t>
            </w:r>
            <w:r>
              <w:rPr>
                <w:rFonts w:ascii="Times New Roman" w:hAnsi="Times New Roman"/>
                <w:i/>
                <w:iCs/>
                <w:sz w:val="24"/>
              </w:rPr>
              <w:t>SDS-PAGE</w:t>
            </w:r>
            <w:r>
              <w:rPr>
                <w:rFonts w:ascii="Times New Roman" w:hAnsi="Times New Roman"/>
                <w:sz w:val="24"/>
              </w:rPr>
              <w:t xml:space="preserve">, vai </w:t>
            </w:r>
            <w:r>
              <w:rPr>
                <w:rFonts w:ascii="Times New Roman" w:hAnsi="Times New Roman"/>
                <w:i/>
                <w:iCs/>
                <w:sz w:val="24"/>
              </w:rPr>
              <w:t>SAR-PAGE</w:t>
            </w:r>
          </w:p>
        </w:tc>
      </w:tr>
      <w:tr w:rsidR="00660BEC" w:rsidRPr="00B03E01" w14:paraId="335727C8" w14:textId="77777777" w:rsidTr="00E531C5">
        <w:tc>
          <w:tcPr>
            <w:tcW w:w="1556" w:type="pct"/>
            <w:vMerge/>
            <w:tcBorders>
              <w:left w:val="single" w:sz="18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14:paraId="33D51347" w14:textId="77777777" w:rsidR="00660BEC" w:rsidRPr="00B03E01" w:rsidRDefault="00660BEC" w:rsidP="00E531C5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374" w:type="pct"/>
            <w:tcBorders>
              <w:top w:val="single" w:sz="7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1051587F" w14:textId="77777777" w:rsidR="00660BEC" w:rsidRPr="00B03E01" w:rsidRDefault="00660BEC" w:rsidP="00E531C5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CERA</w:t>
            </w:r>
          </w:p>
        </w:tc>
        <w:tc>
          <w:tcPr>
            <w:tcW w:w="2070" w:type="pct"/>
            <w:tcBorders>
              <w:top w:val="single" w:sz="7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1BBCC17A" w14:textId="77777777" w:rsidR="00660BEC" w:rsidRPr="00B03E01" w:rsidRDefault="00660BEC" w:rsidP="00E531C5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IEF vai </w:t>
            </w:r>
            <w:r>
              <w:rPr>
                <w:rFonts w:ascii="Times New Roman" w:hAnsi="Times New Roman"/>
                <w:i/>
                <w:iCs/>
                <w:sz w:val="24"/>
              </w:rPr>
              <w:t>SAR-PAGE</w:t>
            </w:r>
          </w:p>
        </w:tc>
      </w:tr>
      <w:tr w:rsidR="00660BEC" w:rsidRPr="00B03E01" w14:paraId="6291E30B" w14:textId="77777777" w:rsidTr="00E531C5">
        <w:tc>
          <w:tcPr>
            <w:tcW w:w="1556" w:type="pct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14:paraId="319E01EB" w14:textId="77777777" w:rsidR="00660BEC" w:rsidRPr="00B03E01" w:rsidRDefault="00660BEC" w:rsidP="00E531C5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SAR-PAGE</w:t>
            </w:r>
          </w:p>
        </w:tc>
        <w:tc>
          <w:tcPr>
            <w:tcW w:w="1374" w:type="pct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15BC5B2E" w14:textId="77777777" w:rsidR="00660BEC" w:rsidRPr="00B03E01" w:rsidRDefault="00660BEC" w:rsidP="00E531C5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EPO-Fc</w:t>
            </w:r>
          </w:p>
        </w:tc>
        <w:tc>
          <w:tcPr>
            <w:tcW w:w="2070" w:type="pct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7602C023" w14:textId="77777777" w:rsidR="00660BEC" w:rsidRPr="00B03E01" w:rsidRDefault="00660BEC" w:rsidP="00E531C5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SDS-PAGE</w:t>
            </w:r>
            <w:r>
              <w:rPr>
                <w:rFonts w:ascii="Times New Roman" w:hAnsi="Times New Roman"/>
                <w:sz w:val="24"/>
              </w:rPr>
              <w:t xml:space="preserve"> vai </w:t>
            </w:r>
            <w:r>
              <w:rPr>
                <w:rFonts w:ascii="Times New Roman" w:hAnsi="Times New Roman"/>
                <w:i/>
                <w:iCs/>
                <w:sz w:val="24"/>
              </w:rPr>
              <w:t>SAR-PAGE</w:t>
            </w:r>
          </w:p>
        </w:tc>
      </w:tr>
      <w:tr w:rsidR="00660BEC" w:rsidRPr="00B03E01" w14:paraId="1389547E" w14:textId="77777777" w:rsidTr="00E531C5">
        <w:tc>
          <w:tcPr>
            <w:tcW w:w="1556" w:type="pct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14:paraId="11BFFF3B" w14:textId="77777777" w:rsidR="00660BEC" w:rsidRPr="00B03E01" w:rsidRDefault="00660BEC" w:rsidP="00E531C5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SDS-PAGE</w:t>
            </w:r>
            <w:r>
              <w:rPr>
                <w:rFonts w:ascii="Times New Roman" w:hAnsi="Times New Roman"/>
                <w:sz w:val="24"/>
              </w:rPr>
              <w:t xml:space="preserve"> vai </w:t>
            </w:r>
            <w:r>
              <w:rPr>
                <w:rFonts w:ascii="Times New Roman" w:hAnsi="Times New Roman"/>
                <w:i/>
                <w:iCs/>
                <w:sz w:val="24"/>
              </w:rPr>
              <w:t>SAR-PAGE</w:t>
            </w:r>
          </w:p>
        </w:tc>
        <w:tc>
          <w:tcPr>
            <w:tcW w:w="1374" w:type="pct"/>
            <w:tcBorders>
              <w:top w:val="single" w:sz="19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DAF32EF" w14:textId="77777777" w:rsidR="00660BEC" w:rsidRPr="00B03E01" w:rsidRDefault="00660BEC" w:rsidP="00E531C5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Peginesatīds</w:t>
            </w:r>
          </w:p>
        </w:tc>
        <w:tc>
          <w:tcPr>
            <w:tcW w:w="2070" w:type="pct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541ACA8" w14:textId="77777777" w:rsidR="00660BEC" w:rsidRPr="00B03E01" w:rsidRDefault="00660BEC" w:rsidP="00E531C5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SDS-PAGE</w:t>
            </w:r>
            <w:r>
              <w:rPr>
                <w:rFonts w:ascii="Times New Roman" w:hAnsi="Times New Roman"/>
                <w:sz w:val="24"/>
              </w:rPr>
              <w:t xml:space="preserve"> vai </w:t>
            </w:r>
            <w:r>
              <w:rPr>
                <w:rFonts w:ascii="Times New Roman" w:hAnsi="Times New Roman"/>
                <w:i/>
                <w:iCs/>
                <w:sz w:val="24"/>
              </w:rPr>
              <w:t>SAR-PAGE</w:t>
            </w:r>
          </w:p>
        </w:tc>
      </w:tr>
    </w:tbl>
    <w:p w14:paraId="0D89E6A6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17"/>
        </w:rPr>
      </w:pPr>
    </w:p>
    <w:p w14:paraId="7E621471" w14:textId="463455A2" w:rsidR="00660BEC" w:rsidRPr="00B03E01" w:rsidRDefault="00E531C5" w:rsidP="00E531C5">
      <w:pPr>
        <w:pStyle w:val="Heading3"/>
        <w:tabs>
          <w:tab w:val="left" w:pos="691"/>
        </w:tabs>
        <w:ind w:left="0" w:firstLine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2.2. Citas (ar elektroforēzi nesaistītas) metodikas</w:t>
      </w:r>
    </w:p>
    <w:p w14:paraId="27788D17" w14:textId="77777777" w:rsidR="00E531C5" w:rsidRDefault="00E531C5" w:rsidP="00E531C5">
      <w:pPr>
        <w:pStyle w:val="BodyText"/>
        <w:tabs>
          <w:tab w:val="left" w:pos="650"/>
        </w:tabs>
        <w:ind w:left="0"/>
        <w:jc w:val="both"/>
        <w:rPr>
          <w:rFonts w:ascii="Times New Roman" w:hAnsi="Times New Roman"/>
          <w:noProof/>
          <w:sz w:val="24"/>
        </w:rPr>
      </w:pPr>
    </w:p>
    <w:p w14:paraId="13B71E5A" w14:textId="2C67DC3B" w:rsidR="00660BEC" w:rsidRPr="00B03E01" w:rsidRDefault="00660BEC" w:rsidP="00E531C5">
      <w:pPr>
        <w:pStyle w:val="BodyText"/>
        <w:numPr>
          <w:ilvl w:val="2"/>
          <w:numId w:val="20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ESA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sākotnējās pārbaudes procedūrā</w:t>
      </w:r>
      <w:r>
        <w:rPr>
          <w:rFonts w:ascii="Times New Roman" w:hAnsi="Times New Roman"/>
          <w:sz w:val="24"/>
        </w:rPr>
        <w:t xml:space="preserve"> ar struktūru, kas nav saistīta ar </w:t>
      </w:r>
      <w:r>
        <w:rPr>
          <w:rFonts w:ascii="Times New Roman" w:hAnsi="Times New Roman"/>
          <w:i/>
          <w:iCs/>
          <w:sz w:val="24"/>
        </w:rPr>
        <w:t>EPO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iCs/>
          <w:sz w:val="24"/>
        </w:rPr>
        <w:t>piemēram</w:t>
      </w:r>
      <w:r>
        <w:rPr>
          <w:rFonts w:ascii="Times New Roman" w:hAnsi="Times New Roman"/>
          <w:sz w:val="24"/>
        </w:rPr>
        <w:t xml:space="preserve">, peginesatīdu), </w:t>
      </w:r>
      <w:r>
        <w:rPr>
          <w:rFonts w:ascii="Times New Roman" w:hAnsi="Times New Roman"/>
          <w:sz w:val="24"/>
          <w:u w:val="single"/>
        </w:rPr>
        <w:t>laboratorija</w:t>
      </w:r>
      <w:r>
        <w:rPr>
          <w:rFonts w:ascii="Times New Roman" w:hAnsi="Times New Roman"/>
          <w:sz w:val="24"/>
        </w:rPr>
        <w:t xml:space="preserve"> var piemērot ar vielu saistītas noteikšanas metodes (piemēram, imūntestus), ja tādas ir pieejamas [11].</w:t>
      </w:r>
    </w:p>
    <w:p w14:paraId="73141A5D" w14:textId="77777777" w:rsidR="00660BEC" w:rsidRPr="00B03E01" w:rsidRDefault="00660BEC" w:rsidP="00E531C5">
      <w:pPr>
        <w:pStyle w:val="BodyText"/>
        <w:numPr>
          <w:ilvl w:val="2"/>
          <w:numId w:val="20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Konkrētu </w:t>
      </w:r>
      <w:r>
        <w:rPr>
          <w:rFonts w:ascii="Times New Roman" w:hAnsi="Times New Roman"/>
          <w:i/>
          <w:iCs/>
          <w:sz w:val="24"/>
        </w:rPr>
        <w:t>ESA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iCs/>
          <w:sz w:val="24"/>
        </w:rPr>
        <w:t>t. i.</w:t>
      </w:r>
      <w:r>
        <w:rPr>
          <w:rFonts w:ascii="Times New Roman" w:hAnsi="Times New Roman"/>
          <w:sz w:val="24"/>
        </w:rPr>
        <w:t xml:space="preserve">, peginesatīda, </w:t>
      </w:r>
      <w:r>
        <w:rPr>
          <w:rFonts w:ascii="Times New Roman" w:hAnsi="Times New Roman"/>
          <w:i/>
          <w:iCs/>
          <w:sz w:val="24"/>
        </w:rPr>
        <w:t>EPO-Fc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  <w:u w:val="single"/>
        </w:rPr>
        <w:t>apstiprināšanas procedūrā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laboratorija</w:t>
      </w:r>
      <w:r>
        <w:rPr>
          <w:rFonts w:ascii="Times New Roman" w:hAnsi="Times New Roman"/>
          <w:sz w:val="24"/>
        </w:rPr>
        <w:t xml:space="preserve"> pēc saviem ieskatiem var piemērot arī ar vielu saistītas noteikšanas metodes (piemēram, imūntestus) papildus šajā tehniskajā dokumentā aprakstītajām elektroforēzes metodēm, kā papildu zinātnisku pierādījumu, lai varētu izdarīt galīgo secinājumu [11, 14].</w:t>
      </w:r>
    </w:p>
    <w:p w14:paraId="65446069" w14:textId="77777777" w:rsidR="00660BEC" w:rsidRPr="00B03E01" w:rsidRDefault="00660BEC" w:rsidP="00E531C5">
      <w:pPr>
        <w:pStyle w:val="BodyText"/>
        <w:numPr>
          <w:ilvl w:val="2"/>
          <w:numId w:val="20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Visos gadījumos, kad ir pieejama uz masspektrometriju (MS) balstīta metode [15–17], to var izmantot gan </w:t>
      </w:r>
      <w:r>
        <w:rPr>
          <w:rFonts w:ascii="Times New Roman" w:hAnsi="Times New Roman"/>
          <w:sz w:val="24"/>
          <w:u w:val="single"/>
        </w:rPr>
        <w:t>sākotnējās pārbaudes procedūrā</w:t>
      </w:r>
      <w:r>
        <w:rPr>
          <w:rFonts w:ascii="Times New Roman" w:hAnsi="Times New Roman"/>
          <w:sz w:val="24"/>
        </w:rPr>
        <w:t xml:space="preserve">, gan </w:t>
      </w:r>
      <w:r>
        <w:rPr>
          <w:rFonts w:ascii="Times New Roman" w:hAnsi="Times New Roman"/>
          <w:sz w:val="24"/>
          <w:u w:val="single"/>
        </w:rPr>
        <w:t>apstiprināšanas procedūrā</w:t>
      </w:r>
      <w:r>
        <w:rPr>
          <w:rFonts w:ascii="Times New Roman" w:hAnsi="Times New Roman"/>
          <w:sz w:val="24"/>
        </w:rPr>
        <w:t>, vai abās. Tādā gadījumā jāizmanto identifikācijas kritēriji, kas aprakstīti pašreizējajā tehniskajā dokumentā par identifikācijas kritērijiem kvalitatīvajos testos (</w:t>
      </w:r>
      <w:r>
        <w:rPr>
          <w:rFonts w:ascii="Times New Roman" w:hAnsi="Times New Roman"/>
          <w:i/>
          <w:iCs/>
          <w:sz w:val="24"/>
        </w:rPr>
        <w:t>TD IDCR</w:t>
      </w:r>
      <w:r>
        <w:rPr>
          <w:rFonts w:ascii="Times New Roman" w:hAnsi="Times New Roman"/>
          <w:sz w:val="24"/>
        </w:rPr>
        <w:t>) [18].</w:t>
      </w:r>
    </w:p>
    <w:p w14:paraId="55DF558E" w14:textId="77777777" w:rsidR="00660BEC" w:rsidRPr="00B03E01" w:rsidRDefault="00660BEC" w:rsidP="00B03E01">
      <w:pPr>
        <w:jc w:val="both"/>
        <w:rPr>
          <w:rFonts w:ascii="Times New Roman" w:hAnsi="Times New Roman"/>
          <w:noProof/>
          <w:sz w:val="24"/>
        </w:rPr>
      </w:pPr>
    </w:p>
    <w:p w14:paraId="73E20D10" w14:textId="7F59BD2D" w:rsidR="00660BEC" w:rsidRPr="00B03E01" w:rsidRDefault="00EF52DF" w:rsidP="00EF52DF">
      <w:pPr>
        <w:pStyle w:val="Heading2"/>
        <w:tabs>
          <w:tab w:val="left" w:pos="941"/>
        </w:tabs>
        <w:ind w:left="0"/>
        <w:jc w:val="both"/>
        <w:rPr>
          <w:rFonts w:ascii="Times New Roman" w:hAnsi="Times New Roman"/>
          <w:b w:val="0"/>
          <w:bCs w:val="0"/>
          <w:noProof/>
          <w:u w:val="none"/>
        </w:rPr>
      </w:pPr>
      <w:r>
        <w:rPr>
          <w:rFonts w:ascii="Times New Roman" w:hAnsi="Times New Roman"/>
          <w:u w:val="none" w:color="000000"/>
        </w:rPr>
        <w:t xml:space="preserve">3.0. </w:t>
      </w:r>
      <w:r w:rsidR="00660BEC">
        <w:rPr>
          <w:rFonts w:ascii="Times New Roman" w:hAnsi="Times New Roman"/>
          <w:u w:val="thick" w:color="000000"/>
        </w:rPr>
        <w:t>Elektroforēzes metožu apraksts</w:t>
      </w:r>
    </w:p>
    <w:p w14:paraId="421C0EE8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b/>
          <w:bCs/>
          <w:noProof/>
          <w:sz w:val="24"/>
          <w:szCs w:val="15"/>
        </w:rPr>
      </w:pPr>
    </w:p>
    <w:p w14:paraId="4974A9EE" w14:textId="6760F2F1" w:rsidR="00660BEC" w:rsidRPr="00B03E01" w:rsidRDefault="00E531C5" w:rsidP="00E531C5">
      <w:pPr>
        <w:pStyle w:val="Heading3"/>
        <w:tabs>
          <w:tab w:val="left" w:pos="691"/>
        </w:tabs>
        <w:ind w:left="0" w:firstLine="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3.1. Izoelektrofokusēšanas (IEF) pārbaude [1]</w:t>
      </w:r>
    </w:p>
    <w:p w14:paraId="1BA7EC86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19"/>
        </w:rPr>
      </w:pPr>
    </w:p>
    <w:p w14:paraId="14299B16" w14:textId="77777777" w:rsidR="00660BEC" w:rsidRPr="00B03E01" w:rsidRDefault="00660BEC" w:rsidP="00B03E01">
      <w:pPr>
        <w:pStyle w:val="Heading4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lastRenderedPageBreak/>
        <w:t>3.1.1. Parauga sagatavošana</w:t>
      </w:r>
    </w:p>
    <w:p w14:paraId="103FDDFF" w14:textId="77777777" w:rsidR="00E531C5" w:rsidRDefault="00E531C5" w:rsidP="00E531C5">
      <w:pPr>
        <w:pStyle w:val="BodyText"/>
        <w:tabs>
          <w:tab w:val="left" w:pos="650"/>
        </w:tabs>
        <w:ind w:left="0"/>
        <w:jc w:val="both"/>
        <w:rPr>
          <w:rFonts w:ascii="Times New Roman" w:hAnsi="Times New Roman"/>
          <w:noProof/>
          <w:sz w:val="24"/>
        </w:rPr>
      </w:pPr>
    </w:p>
    <w:p w14:paraId="1B2F5CA2" w14:textId="0D54FB78" w:rsidR="00660BEC" w:rsidRPr="00B03E01" w:rsidRDefault="00660BEC" w:rsidP="00B03E01">
      <w:pPr>
        <w:pStyle w:val="BodyText"/>
        <w:numPr>
          <w:ilvl w:val="2"/>
          <w:numId w:val="19"/>
        </w:numPr>
        <w:tabs>
          <w:tab w:val="left" w:pos="650"/>
        </w:tabs>
        <w:ind w:left="0" w:firstLine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  <w:u w:val="single"/>
        </w:rPr>
        <w:t>Sākotnējās pārbaudes procedūrā</w:t>
      </w:r>
      <w:r>
        <w:rPr>
          <w:rFonts w:ascii="Times New Roman" w:hAnsi="Times New Roman"/>
          <w:sz w:val="24"/>
        </w:rPr>
        <w:t xml:space="preserve"> var izmantot jebkuru validētu metodi, ar kuru iespējams koncentrēt </w:t>
      </w:r>
      <w:r>
        <w:rPr>
          <w:rFonts w:ascii="Times New Roman" w:hAnsi="Times New Roman"/>
          <w:i/>
          <w:iCs/>
          <w:sz w:val="24"/>
        </w:rPr>
        <w:t>EPO</w:t>
      </w:r>
      <w:r>
        <w:rPr>
          <w:rFonts w:ascii="Times New Roman" w:hAnsi="Times New Roman"/>
          <w:sz w:val="24"/>
        </w:rPr>
        <w:t xml:space="preserve"> un/vai tā analogus (piemēram, ultrafiltrāciju [1], selektīvu proteīna izpārslošanos [4], imūnafinitātes attīrīšanu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 [5–10] utt.).</w:t>
      </w:r>
    </w:p>
    <w:p w14:paraId="03016AD4" w14:textId="77777777" w:rsidR="00660BEC" w:rsidRPr="00B03E01" w:rsidRDefault="00660BEC" w:rsidP="00B03E01">
      <w:pPr>
        <w:pStyle w:val="BodyText"/>
        <w:numPr>
          <w:ilvl w:val="2"/>
          <w:numId w:val="19"/>
        </w:numPr>
        <w:tabs>
          <w:tab w:val="left" w:pos="650"/>
        </w:tabs>
        <w:ind w:left="0" w:firstLine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  <w:u w:val="single"/>
        </w:rPr>
        <w:t>Apstiprināšanas procedūrās</w:t>
      </w:r>
      <w:r>
        <w:rPr>
          <w:rFonts w:ascii="Times New Roman" w:hAnsi="Times New Roman"/>
          <w:sz w:val="24"/>
        </w:rPr>
        <w:t xml:space="preserve"> pirms IEF metodes [5–10] piemērošanas ir nepieciešams veikt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imūnafinitātes attīrīšanu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.</w:t>
      </w:r>
    </w:p>
    <w:p w14:paraId="2DF8399B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21"/>
        </w:rPr>
      </w:pPr>
    </w:p>
    <w:p w14:paraId="26C6A87B" w14:textId="62C397D9" w:rsidR="00660BEC" w:rsidRPr="00B03E01" w:rsidRDefault="00E531C5" w:rsidP="00E531C5">
      <w:pPr>
        <w:pStyle w:val="Heading4"/>
        <w:tabs>
          <w:tab w:val="left" w:pos="1631"/>
        </w:tabs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3.1.2. Elektroforētiska sadalīšana</w:t>
      </w:r>
    </w:p>
    <w:p w14:paraId="30906F26" w14:textId="77777777" w:rsidR="00E531C5" w:rsidRDefault="00E531C5" w:rsidP="00E531C5">
      <w:pPr>
        <w:pStyle w:val="BodyText"/>
        <w:tabs>
          <w:tab w:val="left" w:pos="650"/>
        </w:tabs>
        <w:ind w:left="0"/>
        <w:jc w:val="both"/>
        <w:rPr>
          <w:rFonts w:ascii="Times New Roman" w:hAnsi="Times New Roman"/>
          <w:noProof/>
          <w:sz w:val="24"/>
        </w:rPr>
      </w:pPr>
    </w:p>
    <w:p w14:paraId="2E3A40DD" w14:textId="07B47245" w:rsidR="00660BEC" w:rsidRPr="00B03E01" w:rsidRDefault="00660BEC" w:rsidP="00E531C5">
      <w:pPr>
        <w:pStyle w:val="BodyText"/>
        <w:numPr>
          <w:ilvl w:val="2"/>
          <w:numId w:val="19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IEF veic tādā pH diapazonā, kas ir saderīgs gan ar dabiskā </w:t>
      </w:r>
      <w:r>
        <w:rPr>
          <w:rFonts w:ascii="Times New Roman" w:hAnsi="Times New Roman"/>
          <w:i/>
          <w:iCs/>
          <w:sz w:val="24"/>
        </w:rPr>
        <w:t>EPO</w:t>
      </w:r>
      <w:r>
        <w:rPr>
          <w:rFonts w:ascii="Times New Roman" w:hAnsi="Times New Roman"/>
          <w:sz w:val="24"/>
        </w:rPr>
        <w:t>, gan tā rekombinanto analogu izoelektriskajiem punktiem (</w:t>
      </w:r>
      <w:r>
        <w:rPr>
          <w:rFonts w:ascii="Times New Roman" w:hAnsi="Times New Roman"/>
          <w:i/>
          <w:iCs/>
          <w:sz w:val="24"/>
        </w:rPr>
        <w:t>pI</w:t>
      </w:r>
      <w:r>
        <w:rPr>
          <w:rFonts w:ascii="Times New Roman" w:hAnsi="Times New Roman"/>
          <w:sz w:val="24"/>
        </w:rPr>
        <w:t>). IEF veic denaturētos apstākļos (aptuveni 7M karbamīda).</w:t>
      </w:r>
    </w:p>
    <w:p w14:paraId="598E40EF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19"/>
        </w:rPr>
      </w:pPr>
    </w:p>
    <w:p w14:paraId="415E03D7" w14:textId="270594BF" w:rsidR="00660BEC" w:rsidRPr="00B03E01" w:rsidRDefault="00E531C5" w:rsidP="00E531C5">
      <w:pPr>
        <w:pStyle w:val="Heading4"/>
        <w:tabs>
          <w:tab w:val="left" w:pos="1631"/>
        </w:tabs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3.1.3. Imūnblotings</w:t>
      </w:r>
    </w:p>
    <w:p w14:paraId="463B36B0" w14:textId="77777777" w:rsidR="00E531C5" w:rsidRDefault="00E531C5" w:rsidP="00E531C5">
      <w:pPr>
        <w:pStyle w:val="BodyText"/>
        <w:tabs>
          <w:tab w:val="left" w:pos="650"/>
        </w:tabs>
        <w:ind w:left="0"/>
        <w:jc w:val="both"/>
        <w:rPr>
          <w:rFonts w:ascii="Times New Roman" w:hAnsi="Times New Roman"/>
          <w:noProof/>
          <w:sz w:val="24"/>
        </w:rPr>
      </w:pPr>
    </w:p>
    <w:p w14:paraId="4EC621FA" w14:textId="6F3E5B23" w:rsidR="00660BEC" w:rsidRPr="00B03E01" w:rsidRDefault="00660BEC" w:rsidP="00E531C5">
      <w:pPr>
        <w:pStyle w:val="BodyText"/>
        <w:numPr>
          <w:ilvl w:val="2"/>
          <w:numId w:val="19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Pēc IEF sadalīšanas obligāti jāveic dubultā blotinga procedūra.</w:t>
      </w:r>
    </w:p>
    <w:p w14:paraId="329EE50D" w14:textId="2BF59C22" w:rsidR="00660BEC" w:rsidRPr="00E531C5" w:rsidRDefault="00660BEC" w:rsidP="00E531C5">
      <w:pPr>
        <w:pStyle w:val="BodyText"/>
        <w:numPr>
          <w:ilvl w:val="2"/>
          <w:numId w:val="19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Monoklonālais peles klons AE7A5 pret cilvēka </w:t>
      </w:r>
      <w:r>
        <w:rPr>
          <w:rFonts w:ascii="Times New Roman" w:hAnsi="Times New Roman"/>
          <w:i/>
          <w:iCs/>
          <w:sz w:val="24"/>
        </w:rPr>
        <w:t>EPO</w:t>
      </w:r>
      <w:r>
        <w:rPr>
          <w:rFonts w:ascii="Times New Roman" w:hAnsi="Times New Roman"/>
          <w:sz w:val="24"/>
        </w:rPr>
        <w:t xml:space="preserve"> ir primārā antiviela, ko ieteicams izmantot šajā posmā. Tomēr pēc </w:t>
      </w:r>
      <w:r>
        <w:rPr>
          <w:rFonts w:ascii="Times New Roman" w:hAnsi="Times New Roman"/>
          <w:sz w:val="24"/>
          <w:u w:val="single"/>
        </w:rPr>
        <w:t>laboratorijas</w:t>
      </w:r>
      <w:r>
        <w:rPr>
          <w:rFonts w:ascii="Times New Roman" w:hAnsi="Times New Roman"/>
          <w:sz w:val="24"/>
        </w:rPr>
        <w:t xml:space="preserve"> ieskatiem var izmantot arī citas antivielas, kas ir pret cilvēka </w:t>
      </w:r>
      <w:r>
        <w:rPr>
          <w:rFonts w:ascii="Times New Roman" w:hAnsi="Times New Roman"/>
          <w:i/>
          <w:iCs/>
          <w:sz w:val="24"/>
        </w:rPr>
        <w:t>EPO</w:t>
      </w:r>
      <w:r>
        <w:rPr>
          <w:rFonts w:ascii="Times New Roman" w:hAnsi="Times New Roman"/>
          <w:sz w:val="24"/>
        </w:rPr>
        <w:t xml:space="preserve">, ar līdzīgiem specifiskuma un jutības raksturlielumiem (piemēram, monoklonālo peles klonu 9G8A pret cilvēka </w:t>
      </w:r>
      <w:r>
        <w:rPr>
          <w:rFonts w:ascii="Times New Roman" w:hAnsi="Times New Roman"/>
          <w:i/>
          <w:iCs/>
          <w:sz w:val="24"/>
        </w:rPr>
        <w:t>EPO</w:t>
      </w:r>
      <w:r>
        <w:rPr>
          <w:rFonts w:ascii="Times New Roman" w:hAnsi="Times New Roman"/>
          <w:sz w:val="24"/>
        </w:rPr>
        <w:t>).</w:t>
      </w:r>
    </w:p>
    <w:p w14:paraId="0966DCF5" w14:textId="77777777" w:rsidR="00660BEC" w:rsidRPr="00B03E01" w:rsidRDefault="00660BEC" w:rsidP="00B03E01">
      <w:pPr>
        <w:jc w:val="both"/>
        <w:rPr>
          <w:rFonts w:ascii="Times New Roman" w:hAnsi="Times New Roman"/>
          <w:noProof/>
          <w:sz w:val="24"/>
        </w:rPr>
      </w:pPr>
    </w:p>
    <w:p w14:paraId="4A3746BF" w14:textId="4A76DC07" w:rsidR="00660BEC" w:rsidRPr="00B03E01" w:rsidRDefault="00E531C5" w:rsidP="00E531C5">
      <w:pPr>
        <w:pStyle w:val="Heading4"/>
        <w:tabs>
          <w:tab w:val="left" w:pos="1619"/>
        </w:tabs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3.1.4. Noteikšana</w:t>
      </w:r>
    </w:p>
    <w:p w14:paraId="6A90605F" w14:textId="77777777" w:rsidR="00E531C5" w:rsidRDefault="00E531C5" w:rsidP="00E531C5">
      <w:pPr>
        <w:pStyle w:val="BodyText"/>
        <w:tabs>
          <w:tab w:val="left" w:pos="650"/>
        </w:tabs>
        <w:ind w:left="0"/>
        <w:jc w:val="both"/>
        <w:rPr>
          <w:rFonts w:ascii="Times New Roman" w:hAnsi="Times New Roman"/>
          <w:noProof/>
          <w:sz w:val="24"/>
        </w:rPr>
      </w:pPr>
    </w:p>
    <w:p w14:paraId="45A1D984" w14:textId="7EDFCB8A" w:rsidR="00660BEC" w:rsidRPr="00B03E01" w:rsidRDefault="00660BEC" w:rsidP="00E531C5">
      <w:pPr>
        <w:pStyle w:val="BodyText"/>
        <w:numPr>
          <w:ilvl w:val="2"/>
          <w:numId w:val="19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EPO</w:t>
      </w:r>
      <w:r>
        <w:rPr>
          <w:rFonts w:ascii="Times New Roman" w:hAnsi="Times New Roman"/>
          <w:sz w:val="24"/>
        </w:rPr>
        <w:t xml:space="preserve"> izoelektriskos modeļus konstatē, izmantojot piemērotu, jutīgu noteikšanas sistēmu (piemēram, pastiprinātu hemiluminiscences sistēmu). Signālam, kas iegūts, izmantojot densitometriju, jābūt kvantitatīvi nosakāmam, lai noteiktu </w:t>
      </w:r>
      <w:r>
        <w:rPr>
          <w:rFonts w:ascii="Times New Roman" w:hAnsi="Times New Roman"/>
          <w:i/>
          <w:iCs/>
          <w:sz w:val="24"/>
        </w:rPr>
        <w:t>EPO</w:t>
      </w:r>
      <w:r>
        <w:rPr>
          <w:rFonts w:ascii="Times New Roman" w:hAnsi="Times New Roman"/>
          <w:sz w:val="24"/>
        </w:rPr>
        <w:t xml:space="preserve"> modeļa dažādu izoformu relatīvo intensitāti.</w:t>
      </w:r>
    </w:p>
    <w:p w14:paraId="5B99396C" w14:textId="77777777" w:rsidR="00660BEC" w:rsidRPr="00B03E01" w:rsidRDefault="00660BEC" w:rsidP="00B03E01">
      <w:pPr>
        <w:jc w:val="both"/>
        <w:rPr>
          <w:rFonts w:ascii="Times New Roman" w:hAnsi="Times New Roman"/>
          <w:noProof/>
          <w:sz w:val="24"/>
        </w:rPr>
      </w:pPr>
    </w:p>
    <w:p w14:paraId="203CBAC7" w14:textId="27968836" w:rsidR="00660BEC" w:rsidRPr="00B03E01" w:rsidRDefault="00E531C5" w:rsidP="00E531C5">
      <w:pPr>
        <w:pStyle w:val="Heading3"/>
        <w:tabs>
          <w:tab w:val="left" w:pos="691"/>
        </w:tabs>
        <w:ind w:left="0" w:firstLine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3.2. </w:t>
      </w:r>
      <w:r>
        <w:rPr>
          <w:rFonts w:ascii="Times New Roman" w:hAnsi="Times New Roman"/>
          <w:i/>
          <w:iCs/>
        </w:rPr>
        <w:t>SDS-PAGE</w:t>
      </w:r>
      <w:r>
        <w:rPr>
          <w:rFonts w:ascii="Times New Roman" w:hAnsi="Times New Roman"/>
        </w:rPr>
        <w:t xml:space="preserve"> un </w:t>
      </w:r>
      <w:r>
        <w:rPr>
          <w:rFonts w:ascii="Times New Roman" w:hAnsi="Times New Roman"/>
          <w:i/>
          <w:iCs/>
        </w:rPr>
        <w:t>SAR-PAGE</w:t>
      </w:r>
      <w:r>
        <w:rPr>
          <w:rFonts w:ascii="Times New Roman" w:hAnsi="Times New Roman"/>
        </w:rPr>
        <w:t xml:space="preserve"> pārbaudes [2, 3, 11–14]</w:t>
      </w:r>
    </w:p>
    <w:p w14:paraId="54D63643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19"/>
        </w:rPr>
      </w:pPr>
    </w:p>
    <w:p w14:paraId="38EC9D9A" w14:textId="77777777" w:rsidR="00660BEC" w:rsidRPr="00B03E01" w:rsidRDefault="00660BEC" w:rsidP="00B03E01">
      <w:pPr>
        <w:pStyle w:val="Heading4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3.2.1. Parauga sagatavošana</w:t>
      </w:r>
    </w:p>
    <w:p w14:paraId="1A9D9C17" w14:textId="77777777" w:rsidR="00E531C5" w:rsidRDefault="00E531C5" w:rsidP="00E531C5">
      <w:pPr>
        <w:pStyle w:val="BodyText"/>
        <w:tabs>
          <w:tab w:val="left" w:pos="650"/>
        </w:tabs>
        <w:ind w:left="0"/>
        <w:jc w:val="both"/>
        <w:rPr>
          <w:rFonts w:ascii="Times New Roman" w:hAnsi="Times New Roman"/>
          <w:noProof/>
          <w:sz w:val="24"/>
        </w:rPr>
      </w:pPr>
    </w:p>
    <w:p w14:paraId="6867010C" w14:textId="7806093F" w:rsidR="00660BEC" w:rsidRPr="00B03E01" w:rsidRDefault="00660BEC" w:rsidP="00E531C5">
      <w:pPr>
        <w:pStyle w:val="BodyText"/>
        <w:numPr>
          <w:ilvl w:val="2"/>
          <w:numId w:val="17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  <w:u w:val="single"/>
        </w:rPr>
        <w:t>Sākotnējās pārbaudes procedūrā</w:t>
      </w:r>
      <w:r>
        <w:rPr>
          <w:rFonts w:ascii="Times New Roman" w:hAnsi="Times New Roman"/>
          <w:sz w:val="24"/>
        </w:rPr>
        <w:t xml:space="preserve"> var izmantot jebkuru validētu metodi, ar kuru iespējams koncentrēt </w:t>
      </w:r>
      <w:r>
        <w:rPr>
          <w:rFonts w:ascii="Times New Roman" w:hAnsi="Times New Roman"/>
          <w:i/>
          <w:iCs/>
          <w:sz w:val="24"/>
        </w:rPr>
        <w:t>EPO</w:t>
      </w:r>
      <w:r>
        <w:rPr>
          <w:rFonts w:ascii="Times New Roman" w:hAnsi="Times New Roman"/>
          <w:sz w:val="24"/>
        </w:rPr>
        <w:t xml:space="preserve"> un/vai tā analogus (piemēram, imūnafinitātes attīrīšanu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 [5–9]).</w:t>
      </w:r>
    </w:p>
    <w:p w14:paraId="52A01CF9" w14:textId="77777777" w:rsidR="00660BEC" w:rsidRPr="00B03E01" w:rsidRDefault="00660BEC" w:rsidP="00E531C5">
      <w:pPr>
        <w:pStyle w:val="BodyText"/>
        <w:numPr>
          <w:ilvl w:val="2"/>
          <w:numId w:val="17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  <w:u w:val="single"/>
        </w:rPr>
        <w:t>Apstiprināšanas procedūrās</w:t>
      </w:r>
      <w:r>
        <w:rPr>
          <w:rFonts w:ascii="Times New Roman" w:hAnsi="Times New Roman"/>
          <w:sz w:val="24"/>
        </w:rPr>
        <w:t xml:space="preserve"> pirms </w:t>
      </w:r>
      <w:r>
        <w:rPr>
          <w:rFonts w:ascii="Times New Roman" w:hAnsi="Times New Roman"/>
          <w:i/>
          <w:iCs/>
          <w:sz w:val="24"/>
        </w:rPr>
        <w:t>SDS-PAGE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</w:rPr>
        <w:t>SAR-PAGE</w:t>
      </w:r>
      <w:r>
        <w:rPr>
          <w:rFonts w:ascii="Times New Roman" w:hAnsi="Times New Roman"/>
          <w:sz w:val="24"/>
        </w:rPr>
        <w:t xml:space="preserve"> piemērošanas ir nepieciešams veikt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imūnafinitātes attīrīšanu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.</w:t>
      </w:r>
    </w:p>
    <w:p w14:paraId="687F014E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21"/>
        </w:rPr>
      </w:pPr>
    </w:p>
    <w:p w14:paraId="6B61E958" w14:textId="54920C8F" w:rsidR="00660BEC" w:rsidRPr="00B03E01" w:rsidRDefault="00E531C5" w:rsidP="00E531C5">
      <w:pPr>
        <w:pStyle w:val="Heading4"/>
        <w:tabs>
          <w:tab w:val="left" w:pos="1631"/>
        </w:tabs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3.2.2. Elektroforētiskā sadalīšana</w:t>
      </w:r>
    </w:p>
    <w:p w14:paraId="7FCEF7DE" w14:textId="77777777" w:rsidR="00E531C5" w:rsidRDefault="00E531C5" w:rsidP="00E531C5">
      <w:pPr>
        <w:pStyle w:val="BodyText"/>
        <w:tabs>
          <w:tab w:val="left" w:pos="650"/>
        </w:tabs>
        <w:ind w:left="0"/>
        <w:jc w:val="both"/>
        <w:rPr>
          <w:rFonts w:ascii="Times New Roman" w:hAnsi="Times New Roman"/>
          <w:noProof/>
          <w:sz w:val="24"/>
        </w:rPr>
      </w:pPr>
    </w:p>
    <w:p w14:paraId="2641D745" w14:textId="2B79EEE8" w:rsidR="00660BEC" w:rsidRPr="00B03E01" w:rsidRDefault="00660BEC" w:rsidP="00E531C5">
      <w:pPr>
        <w:pStyle w:val="BodyText"/>
        <w:numPr>
          <w:ilvl w:val="2"/>
          <w:numId w:val="17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Ar </w:t>
      </w:r>
      <w:r>
        <w:rPr>
          <w:rFonts w:ascii="Times New Roman" w:hAnsi="Times New Roman"/>
          <w:i/>
          <w:iCs/>
          <w:sz w:val="24"/>
        </w:rPr>
        <w:t>EPO</w:t>
      </w:r>
      <w:r>
        <w:rPr>
          <w:rFonts w:ascii="Times New Roman" w:hAnsi="Times New Roman"/>
          <w:sz w:val="24"/>
        </w:rPr>
        <w:t xml:space="preserve"> saistīto </w:t>
      </w:r>
      <w:r>
        <w:rPr>
          <w:rFonts w:ascii="Times New Roman" w:hAnsi="Times New Roman"/>
          <w:i/>
          <w:iCs/>
          <w:sz w:val="24"/>
        </w:rPr>
        <w:t>ESA</w:t>
      </w:r>
      <w:r>
        <w:rPr>
          <w:rFonts w:ascii="Times New Roman" w:hAnsi="Times New Roman"/>
          <w:sz w:val="24"/>
        </w:rPr>
        <w:t xml:space="preserve"> sadalīšanai ieteicams izmantot 10 % akrilamīda (% T) gelus. Mazākām molekulām (</w:t>
      </w:r>
      <w:r>
        <w:rPr>
          <w:rFonts w:ascii="Times New Roman" w:hAnsi="Times New Roman"/>
          <w:i/>
          <w:iCs/>
          <w:sz w:val="24"/>
        </w:rPr>
        <w:t>piemēram</w:t>
      </w:r>
      <w:r>
        <w:rPr>
          <w:rFonts w:ascii="Times New Roman" w:hAnsi="Times New Roman"/>
          <w:sz w:val="24"/>
        </w:rPr>
        <w:t>, peginesatīdam) tiek sekmīgi izmantoti arī 4–12 % gradienta geli.</w:t>
      </w:r>
    </w:p>
    <w:p w14:paraId="7170DD3A" w14:textId="378088F6" w:rsidR="00660BEC" w:rsidRPr="00E531C5" w:rsidRDefault="00660BEC" w:rsidP="00E531C5">
      <w:pPr>
        <w:pStyle w:val="BodyText"/>
        <w:numPr>
          <w:ilvl w:val="2"/>
          <w:numId w:val="17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SAR-PAGE</w:t>
      </w:r>
      <w:r>
        <w:rPr>
          <w:rFonts w:ascii="Times New Roman" w:hAnsi="Times New Roman"/>
          <w:sz w:val="24"/>
        </w:rPr>
        <w:t xml:space="preserve"> gadījumā </w:t>
      </w:r>
      <w:r>
        <w:rPr>
          <w:rFonts w:ascii="Times New Roman" w:hAnsi="Times New Roman"/>
          <w:i/>
          <w:iCs/>
          <w:sz w:val="24"/>
        </w:rPr>
        <w:t>SDS</w:t>
      </w:r>
      <w:r>
        <w:rPr>
          <w:rFonts w:ascii="Times New Roman" w:hAnsi="Times New Roman"/>
          <w:sz w:val="24"/>
        </w:rPr>
        <w:t xml:space="preserve"> paraugos un elektroforēzes buferšķīdums tiek aizstāts ar nātrija </w:t>
      </w:r>
      <w:r>
        <w:rPr>
          <w:rFonts w:ascii="Times New Roman" w:hAnsi="Times New Roman"/>
          <w:i/>
          <w:iCs/>
          <w:sz w:val="24"/>
        </w:rPr>
        <w:t>N</w:t>
      </w:r>
      <w:r>
        <w:rPr>
          <w:rFonts w:ascii="Times New Roman" w:hAnsi="Times New Roman"/>
          <w:sz w:val="24"/>
        </w:rPr>
        <w:t>-lauroilsarkozinātu.</w:t>
      </w:r>
    </w:p>
    <w:p w14:paraId="02177B3F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21"/>
        </w:rPr>
      </w:pPr>
    </w:p>
    <w:p w14:paraId="59DFD6A8" w14:textId="4ED6FF6F" w:rsidR="00660BEC" w:rsidRPr="00B03E01" w:rsidRDefault="00E531C5" w:rsidP="00E531C5">
      <w:pPr>
        <w:pStyle w:val="Heading4"/>
        <w:tabs>
          <w:tab w:val="left" w:pos="1619"/>
        </w:tabs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3.2.3. Imūnblotings</w:t>
      </w:r>
    </w:p>
    <w:p w14:paraId="07195DBB" w14:textId="77777777" w:rsidR="00E531C5" w:rsidRDefault="00E531C5" w:rsidP="00E531C5">
      <w:pPr>
        <w:pStyle w:val="BodyText"/>
        <w:tabs>
          <w:tab w:val="left" w:pos="650"/>
        </w:tabs>
        <w:ind w:left="0"/>
        <w:jc w:val="both"/>
        <w:rPr>
          <w:rFonts w:ascii="Times New Roman" w:hAnsi="Times New Roman"/>
          <w:noProof/>
          <w:sz w:val="24"/>
        </w:rPr>
      </w:pPr>
    </w:p>
    <w:p w14:paraId="7B3AE2C4" w14:textId="472C3C7D" w:rsidR="00660BEC" w:rsidRPr="00B03E01" w:rsidRDefault="00660BEC" w:rsidP="00E531C5">
      <w:pPr>
        <w:pStyle w:val="BodyText"/>
        <w:numPr>
          <w:ilvl w:val="2"/>
          <w:numId w:val="17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Urīna un seruma/plazmas </w:t>
      </w:r>
      <w:r>
        <w:rPr>
          <w:rFonts w:ascii="Times New Roman" w:hAnsi="Times New Roman"/>
          <w:i/>
          <w:iCs/>
          <w:sz w:val="24"/>
        </w:rPr>
        <w:t>paraugu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sākotnējās pārbaudes procedūrā</w:t>
      </w:r>
      <w:r>
        <w:rPr>
          <w:rFonts w:ascii="Times New Roman" w:hAnsi="Times New Roman"/>
          <w:sz w:val="24"/>
        </w:rPr>
        <w:t xml:space="preserve"> pēc elektroforētiskās sadalīšanas var veikt vienkāršo vai dubulto blotingu saskaņā ar atbilstošās </w:t>
      </w:r>
      <w:r>
        <w:rPr>
          <w:rFonts w:ascii="Times New Roman" w:hAnsi="Times New Roman"/>
          <w:sz w:val="24"/>
          <w:u w:val="single"/>
        </w:rPr>
        <w:t>laboratorijas</w:t>
      </w:r>
      <w:r>
        <w:rPr>
          <w:rFonts w:ascii="Times New Roman" w:hAnsi="Times New Roman"/>
          <w:sz w:val="24"/>
        </w:rPr>
        <w:t xml:space="preserve"> metodes validāciju.</w:t>
      </w:r>
    </w:p>
    <w:p w14:paraId="1D1A7417" w14:textId="42E64170" w:rsidR="00660BEC" w:rsidRPr="00B03E01" w:rsidRDefault="00660BEC" w:rsidP="00E531C5">
      <w:pPr>
        <w:pStyle w:val="BodyText"/>
        <w:numPr>
          <w:ilvl w:val="2"/>
          <w:numId w:val="17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Urīna </w:t>
      </w:r>
      <w:r>
        <w:rPr>
          <w:rFonts w:ascii="Times New Roman" w:hAnsi="Times New Roman"/>
          <w:i/>
          <w:iCs/>
          <w:sz w:val="24"/>
        </w:rPr>
        <w:t>paraugu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apstiprināšanas procedūrā</w:t>
      </w:r>
      <w:r>
        <w:rPr>
          <w:rFonts w:ascii="Times New Roman" w:hAnsi="Times New Roman"/>
          <w:sz w:val="24"/>
        </w:rPr>
        <w:t xml:space="preserve"> ir ieteicams veikt dubulto blotingu. Tomēr pēc </w:t>
      </w:r>
      <w:r>
        <w:rPr>
          <w:rFonts w:ascii="Times New Roman" w:hAnsi="Times New Roman"/>
          <w:sz w:val="24"/>
          <w:u w:val="single"/>
        </w:rPr>
        <w:t>laboratorijas</w:t>
      </w:r>
      <w:r>
        <w:rPr>
          <w:rFonts w:ascii="Times New Roman" w:hAnsi="Times New Roman"/>
          <w:sz w:val="24"/>
        </w:rPr>
        <w:t xml:space="preserve"> ieskatiem var piemērot arī vienkāršo blotingu, ņemot vērā </w:t>
      </w:r>
      <w:r>
        <w:rPr>
          <w:rFonts w:ascii="Times New Roman" w:hAnsi="Times New Roman"/>
          <w:sz w:val="24"/>
          <w:u w:val="single"/>
        </w:rPr>
        <w:t>sākotnējās pārbaudes procedūras</w:t>
      </w:r>
      <w:r>
        <w:rPr>
          <w:rFonts w:ascii="Times New Roman" w:hAnsi="Times New Roman"/>
          <w:sz w:val="24"/>
        </w:rPr>
        <w:t xml:space="preserve"> rezultātus (</w:t>
      </w:r>
      <w:r>
        <w:rPr>
          <w:rFonts w:ascii="Times New Roman" w:hAnsi="Times New Roman"/>
          <w:i/>
          <w:iCs/>
          <w:sz w:val="24"/>
        </w:rPr>
        <w:t>piemēram</w:t>
      </w:r>
      <w:r>
        <w:rPr>
          <w:rFonts w:ascii="Times New Roman" w:hAnsi="Times New Roman"/>
          <w:sz w:val="24"/>
        </w:rPr>
        <w:t xml:space="preserve">, šķērsreaktivitātes klātbūtni, zemu </w:t>
      </w:r>
      <w:r>
        <w:rPr>
          <w:rFonts w:ascii="Times New Roman" w:hAnsi="Times New Roman"/>
          <w:i/>
          <w:iCs/>
          <w:sz w:val="24"/>
        </w:rPr>
        <w:t>EPO</w:t>
      </w:r>
      <w:r>
        <w:rPr>
          <w:rFonts w:ascii="Times New Roman" w:hAnsi="Times New Roman"/>
          <w:sz w:val="24"/>
        </w:rPr>
        <w:t xml:space="preserve"> saturu utt.) un analīzes apstākļus (piemēram, pietiekamu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tilpumu).</w:t>
      </w:r>
    </w:p>
    <w:p w14:paraId="1AE445A3" w14:textId="77777777" w:rsidR="00660BEC" w:rsidRPr="00B03E01" w:rsidRDefault="00660BEC" w:rsidP="00E531C5">
      <w:pPr>
        <w:pStyle w:val="BodyText"/>
        <w:numPr>
          <w:ilvl w:val="2"/>
          <w:numId w:val="17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Seruma/plazmas </w:t>
      </w:r>
      <w:r>
        <w:rPr>
          <w:rFonts w:ascii="Times New Roman" w:hAnsi="Times New Roman"/>
          <w:i/>
          <w:iCs/>
          <w:sz w:val="24"/>
        </w:rPr>
        <w:t>paraugu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apstiprināšanas procedūrā</w:t>
      </w:r>
      <w:r>
        <w:rPr>
          <w:rFonts w:ascii="Times New Roman" w:hAnsi="Times New Roman"/>
          <w:sz w:val="24"/>
        </w:rPr>
        <w:t xml:space="preserve"> obligāti jāveic dubultais blotings.</w:t>
      </w:r>
    </w:p>
    <w:p w14:paraId="4250494B" w14:textId="55FA430F" w:rsidR="00660BEC" w:rsidRPr="00B03E01" w:rsidRDefault="00660BEC" w:rsidP="00E531C5">
      <w:pPr>
        <w:pStyle w:val="BodyText"/>
        <w:numPr>
          <w:ilvl w:val="2"/>
          <w:numId w:val="17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Primārā antiviela, ko šajā posmā ieteicams izmantot ar </w:t>
      </w:r>
      <w:r>
        <w:rPr>
          <w:rFonts w:ascii="Times New Roman" w:hAnsi="Times New Roman"/>
          <w:i/>
          <w:iCs/>
          <w:sz w:val="24"/>
        </w:rPr>
        <w:t>EPO</w:t>
      </w:r>
      <w:r>
        <w:rPr>
          <w:rFonts w:ascii="Times New Roman" w:hAnsi="Times New Roman"/>
          <w:sz w:val="24"/>
        </w:rPr>
        <w:t xml:space="preserve"> saistītiem </w:t>
      </w:r>
      <w:r>
        <w:rPr>
          <w:rFonts w:ascii="Times New Roman" w:hAnsi="Times New Roman"/>
          <w:i/>
          <w:iCs/>
          <w:sz w:val="24"/>
        </w:rPr>
        <w:t>ESA</w:t>
      </w:r>
      <w:r>
        <w:rPr>
          <w:rFonts w:ascii="Times New Roman" w:hAnsi="Times New Roman"/>
          <w:sz w:val="24"/>
        </w:rPr>
        <w:t xml:space="preserve">, ir monoklonālais peles antivielu klons AE7A5 pret cilvēku </w:t>
      </w:r>
      <w:r>
        <w:rPr>
          <w:rFonts w:ascii="Times New Roman" w:hAnsi="Times New Roman"/>
          <w:i/>
          <w:iCs/>
          <w:sz w:val="24"/>
        </w:rPr>
        <w:t>EPO</w:t>
      </w:r>
      <w:r>
        <w:rPr>
          <w:rFonts w:ascii="Times New Roman" w:hAnsi="Times New Roman"/>
          <w:sz w:val="24"/>
        </w:rPr>
        <w:t xml:space="preserve">. Tomēr pēc </w:t>
      </w:r>
      <w:r>
        <w:rPr>
          <w:rFonts w:ascii="Times New Roman" w:hAnsi="Times New Roman"/>
          <w:sz w:val="24"/>
          <w:u w:val="single"/>
        </w:rPr>
        <w:t>laboratorijas</w:t>
      </w:r>
      <w:r>
        <w:rPr>
          <w:rFonts w:ascii="Times New Roman" w:hAnsi="Times New Roman"/>
          <w:sz w:val="24"/>
        </w:rPr>
        <w:t xml:space="preserve"> ieskatiem var izmantot arī citas antivielas, kas ir pret cilvēka </w:t>
      </w:r>
      <w:r>
        <w:rPr>
          <w:rFonts w:ascii="Times New Roman" w:hAnsi="Times New Roman"/>
          <w:i/>
          <w:iCs/>
          <w:sz w:val="24"/>
        </w:rPr>
        <w:t>EPO</w:t>
      </w:r>
      <w:r>
        <w:rPr>
          <w:rFonts w:ascii="Times New Roman" w:hAnsi="Times New Roman"/>
          <w:sz w:val="24"/>
        </w:rPr>
        <w:t xml:space="preserve">, ar līdzīgiem specifiskuma un jutības raksturlielumiem (piemēram, monoklonālo peles klonu 9G8A pret cilvēka </w:t>
      </w:r>
      <w:r>
        <w:rPr>
          <w:rFonts w:ascii="Times New Roman" w:hAnsi="Times New Roman"/>
          <w:i/>
          <w:iCs/>
          <w:sz w:val="24"/>
        </w:rPr>
        <w:t>EPO</w:t>
      </w:r>
      <w:r>
        <w:rPr>
          <w:rFonts w:ascii="Times New Roman" w:hAnsi="Times New Roman"/>
          <w:sz w:val="24"/>
        </w:rPr>
        <w:t>).</w:t>
      </w:r>
    </w:p>
    <w:p w14:paraId="1D189C3D" w14:textId="77777777" w:rsidR="00660BEC" w:rsidRPr="00B03E01" w:rsidRDefault="00660BEC" w:rsidP="00E531C5">
      <w:pPr>
        <w:pStyle w:val="BodyText"/>
        <w:numPr>
          <w:ilvl w:val="2"/>
          <w:numId w:val="17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Peginesatīdam jāizmanto antiviela pret vielas peptīdo daļu (piemēram, klons 11F9, </w:t>
      </w:r>
      <w:r>
        <w:rPr>
          <w:rFonts w:ascii="Times New Roman" w:hAnsi="Times New Roman"/>
          <w:i/>
          <w:iCs/>
          <w:sz w:val="24"/>
        </w:rPr>
        <w:t>Affymax Inc.</w:t>
      </w:r>
      <w:r>
        <w:rPr>
          <w:rFonts w:ascii="Times New Roman" w:hAnsi="Times New Roman"/>
          <w:sz w:val="24"/>
        </w:rPr>
        <w:t>).</w:t>
      </w:r>
    </w:p>
    <w:p w14:paraId="185A2BEE" w14:textId="77777777" w:rsidR="00660BEC" w:rsidRPr="00B03E01" w:rsidRDefault="00660BEC" w:rsidP="00B03E01">
      <w:pPr>
        <w:jc w:val="both"/>
        <w:rPr>
          <w:rFonts w:ascii="Times New Roman" w:hAnsi="Times New Roman"/>
          <w:noProof/>
          <w:sz w:val="24"/>
        </w:rPr>
      </w:pPr>
    </w:p>
    <w:p w14:paraId="5654186F" w14:textId="078EB878" w:rsidR="00660BEC" w:rsidRPr="00B03E01" w:rsidRDefault="00E531C5" w:rsidP="00E531C5">
      <w:pPr>
        <w:pStyle w:val="Heading4"/>
        <w:tabs>
          <w:tab w:val="left" w:pos="1631"/>
        </w:tabs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3.2.4. Noteikšana</w:t>
      </w:r>
    </w:p>
    <w:p w14:paraId="6D8A34DB" w14:textId="77777777" w:rsidR="00E531C5" w:rsidRDefault="00E531C5" w:rsidP="00E531C5">
      <w:pPr>
        <w:pStyle w:val="BodyText"/>
        <w:tabs>
          <w:tab w:val="left" w:pos="650"/>
        </w:tabs>
        <w:ind w:left="0"/>
        <w:jc w:val="both"/>
        <w:rPr>
          <w:rFonts w:ascii="Times New Roman" w:hAnsi="Times New Roman"/>
          <w:noProof/>
          <w:sz w:val="24"/>
        </w:rPr>
      </w:pPr>
    </w:p>
    <w:p w14:paraId="733A4565" w14:textId="08EFAB45" w:rsidR="00660BEC" w:rsidRPr="00B03E01" w:rsidRDefault="00660BEC" w:rsidP="00E531C5">
      <w:pPr>
        <w:pStyle w:val="BodyTex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ESA</w:t>
      </w:r>
      <w:r>
        <w:rPr>
          <w:rFonts w:ascii="Times New Roman" w:hAnsi="Times New Roman"/>
          <w:sz w:val="24"/>
        </w:rPr>
        <w:t xml:space="preserve"> elektroforēzē konstatētos zīmējumus konstatē, izmantojot piemērotu, jutīgu noteikšanas sistēmu (piemēram, pastiprinātu hemiluminiscences sistēmu).</w:t>
      </w:r>
    </w:p>
    <w:p w14:paraId="17A3A6B5" w14:textId="77777777" w:rsidR="00660BEC" w:rsidRPr="00B03E01" w:rsidRDefault="00660BEC" w:rsidP="00B03E01">
      <w:pPr>
        <w:jc w:val="both"/>
        <w:rPr>
          <w:rFonts w:ascii="Times New Roman" w:hAnsi="Times New Roman"/>
          <w:noProof/>
          <w:sz w:val="24"/>
        </w:rPr>
      </w:pPr>
    </w:p>
    <w:p w14:paraId="7C3F1F0E" w14:textId="30B5E21D" w:rsidR="00660BEC" w:rsidRPr="00B03E01" w:rsidRDefault="00EF52DF" w:rsidP="00EF52DF">
      <w:pPr>
        <w:pStyle w:val="Heading2"/>
        <w:ind w:left="0"/>
        <w:jc w:val="both"/>
        <w:rPr>
          <w:rFonts w:ascii="Times New Roman" w:hAnsi="Times New Roman"/>
          <w:b w:val="0"/>
          <w:bCs w:val="0"/>
          <w:noProof/>
          <w:u w:val="none"/>
        </w:rPr>
      </w:pPr>
      <w:r>
        <w:rPr>
          <w:rFonts w:ascii="Times New Roman" w:hAnsi="Times New Roman"/>
          <w:u w:val="none" w:color="000000"/>
        </w:rPr>
        <w:t xml:space="preserve">4.0. </w:t>
      </w:r>
      <w:r w:rsidR="00660BEC">
        <w:rPr>
          <w:rFonts w:ascii="Times New Roman" w:hAnsi="Times New Roman"/>
          <w:u w:val="thick" w:color="000000"/>
        </w:rPr>
        <w:t>Rezultātu izvērtēšana un interpretācija</w:t>
      </w:r>
    </w:p>
    <w:p w14:paraId="1C9749DC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b/>
          <w:bCs/>
          <w:noProof/>
          <w:sz w:val="24"/>
          <w:szCs w:val="15"/>
        </w:rPr>
      </w:pPr>
    </w:p>
    <w:p w14:paraId="72F93471" w14:textId="3B32A56C" w:rsidR="00660BEC" w:rsidRPr="00B03E01" w:rsidRDefault="003F09A4" w:rsidP="003F09A4">
      <w:pPr>
        <w:pStyle w:val="Heading3"/>
        <w:tabs>
          <w:tab w:val="left" w:pos="691"/>
        </w:tabs>
        <w:ind w:left="0" w:firstLine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4.1. Pieņemšanas kritēriji</w:t>
      </w:r>
    </w:p>
    <w:p w14:paraId="3DEB180C" w14:textId="77777777" w:rsidR="003F09A4" w:rsidRDefault="003F09A4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</w:p>
    <w:p w14:paraId="5D5DC3BE" w14:textId="7F0666F6" w:rsidR="00660BEC" w:rsidRDefault="00660BEC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IEF un </w:t>
      </w:r>
      <w:r>
        <w:rPr>
          <w:rFonts w:ascii="Times New Roman" w:hAnsi="Times New Roman"/>
          <w:i/>
          <w:iCs/>
          <w:sz w:val="24"/>
        </w:rPr>
        <w:t>SDS-PAGE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</w:rPr>
        <w:t>SAR-PAGE</w:t>
      </w:r>
      <w:r>
        <w:rPr>
          <w:rFonts w:ascii="Times New Roman" w:hAnsi="Times New Roman"/>
          <w:sz w:val="24"/>
        </w:rPr>
        <w:t xml:space="preserve"> procedūru pieņemšanas kritēriji nosaka prasības, kurām attēlam jāatbilst, lai varētu piemērot identifikācijas kritērijus nolūkā pārliecināties par </w:t>
      </w:r>
      <w:r>
        <w:rPr>
          <w:rFonts w:ascii="Times New Roman" w:hAnsi="Times New Roman"/>
          <w:i/>
          <w:iCs/>
          <w:sz w:val="24"/>
        </w:rPr>
        <w:t>ESA</w:t>
      </w:r>
      <w:r>
        <w:rPr>
          <w:rFonts w:ascii="Times New Roman" w:hAnsi="Times New Roman"/>
          <w:sz w:val="24"/>
        </w:rPr>
        <w:t xml:space="preserve"> klātbūtni.</w:t>
      </w:r>
    </w:p>
    <w:p w14:paraId="33A8ED12" w14:textId="77777777" w:rsidR="003F09A4" w:rsidRPr="00B03E01" w:rsidRDefault="003F09A4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</w:p>
    <w:p w14:paraId="712B310E" w14:textId="77777777" w:rsidR="00660BEC" w:rsidRPr="00B03E01" w:rsidRDefault="00660BEC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Plankumi, traipi, pārāk stipra fona zonas vai signāla neesamība sloksnē būtiski traucē identifikācijas kritēriju piemērošanu un padara sloksni nederīgu.</w:t>
      </w:r>
    </w:p>
    <w:p w14:paraId="553B91A1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21"/>
        </w:rPr>
      </w:pPr>
    </w:p>
    <w:p w14:paraId="694EB7E2" w14:textId="4B7FF81C" w:rsidR="00660BEC" w:rsidRPr="00B03E01" w:rsidRDefault="003F09A4" w:rsidP="003F09A4">
      <w:pPr>
        <w:pStyle w:val="Heading3"/>
        <w:tabs>
          <w:tab w:val="left" w:pos="691"/>
        </w:tabs>
        <w:ind w:left="0" w:firstLine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4.2. Identifikācijas kritēriji</w:t>
      </w:r>
    </w:p>
    <w:p w14:paraId="0BF1569C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19"/>
        </w:rPr>
      </w:pPr>
    </w:p>
    <w:p w14:paraId="44945BAA" w14:textId="3E91372D" w:rsidR="00660BEC" w:rsidRPr="00B03E01" w:rsidRDefault="00660BEC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Šeit aprakstītie identifikācijas kritēriji tiek piemēroti </w:t>
      </w:r>
      <w:r>
        <w:rPr>
          <w:rFonts w:ascii="Times New Roman" w:hAnsi="Times New Roman"/>
          <w:sz w:val="24"/>
          <w:u w:val="single"/>
        </w:rPr>
        <w:t>apstiprināšanas procedūrām</w:t>
      </w:r>
      <w:r>
        <w:rPr>
          <w:rFonts w:ascii="Times New Roman" w:hAnsi="Times New Roman"/>
          <w:sz w:val="24"/>
        </w:rPr>
        <w:t xml:space="preserve">. Tomēr kā </w:t>
      </w:r>
      <w:r w:rsidR="000A5348">
        <w:rPr>
          <w:rFonts w:ascii="Times New Roman" w:hAnsi="Times New Roman"/>
          <w:sz w:val="24"/>
        </w:rPr>
        <w:t>vadlīnija</w:t>
      </w:r>
      <w:r>
        <w:rPr>
          <w:rFonts w:ascii="Times New Roman" w:hAnsi="Times New Roman"/>
          <w:sz w:val="24"/>
        </w:rPr>
        <w:t xml:space="preserve">s tiek sniegti ieteikumi attiecībā uz kritērijiem, kas jāpiemēro </w:t>
      </w:r>
      <w:r>
        <w:rPr>
          <w:rFonts w:ascii="Times New Roman" w:hAnsi="Times New Roman"/>
          <w:sz w:val="24"/>
          <w:u w:val="single"/>
        </w:rPr>
        <w:t>sākotnējās pārbaudes procedūrā</w:t>
      </w:r>
      <w:r>
        <w:rPr>
          <w:rFonts w:ascii="Times New Roman" w:hAnsi="Times New Roman"/>
          <w:sz w:val="24"/>
        </w:rPr>
        <w:t xml:space="preserve">, izvērtējot IEF rezultātus attiecībā uz </w:t>
      </w:r>
      <w:r>
        <w:rPr>
          <w:rFonts w:ascii="Times New Roman" w:hAnsi="Times New Roman"/>
          <w:i/>
          <w:iCs/>
          <w:sz w:val="24"/>
        </w:rPr>
        <w:t>rEPO</w:t>
      </w:r>
      <w:r>
        <w:rPr>
          <w:rFonts w:ascii="Times New Roman" w:hAnsi="Times New Roman"/>
          <w:sz w:val="24"/>
        </w:rPr>
        <w:t>.</w:t>
      </w:r>
    </w:p>
    <w:p w14:paraId="0A8D5D0E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24"/>
        </w:rPr>
      </w:pPr>
    </w:p>
    <w:p w14:paraId="6C37A2D2" w14:textId="77777777" w:rsidR="00660BEC" w:rsidRPr="00B03E01" w:rsidRDefault="00660BEC" w:rsidP="00B03E01">
      <w:pPr>
        <w:pStyle w:val="Heading4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4.2.1. IEF procedūra</w:t>
      </w:r>
    </w:p>
    <w:p w14:paraId="7C04E6BB" w14:textId="77777777" w:rsidR="003F09A4" w:rsidRDefault="003F09A4" w:rsidP="00B03E01">
      <w:pPr>
        <w:pStyle w:val="BodyText"/>
        <w:ind w:left="0"/>
        <w:jc w:val="both"/>
        <w:rPr>
          <w:rFonts w:ascii="Times New Roman" w:hAnsi="Times New Roman"/>
          <w:b/>
          <w:noProof/>
          <w:sz w:val="24"/>
        </w:rPr>
      </w:pPr>
    </w:p>
    <w:p w14:paraId="2D6E5018" w14:textId="77436868" w:rsidR="00660BEC" w:rsidRPr="00B03E01" w:rsidRDefault="00660BEC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b/>
          <w:sz w:val="24"/>
        </w:rPr>
        <w:t xml:space="preserve">1. attēlā </w:t>
      </w:r>
      <w:r>
        <w:rPr>
          <w:rFonts w:ascii="Times New Roman" w:hAnsi="Times New Roman"/>
          <w:sz w:val="24"/>
        </w:rPr>
        <w:t>ir ilustrēti IEF pārbaudes rezultāti.</w:t>
      </w:r>
      <w:r w:rsidR="003F09A4">
        <w:rPr>
          <w:rStyle w:val="FootnoteReference"/>
          <w:rFonts w:ascii="Times New Roman" w:hAnsi="Times New Roman"/>
          <w:noProof/>
          <w:sz w:val="24"/>
        </w:rPr>
        <w:footnoteReference w:id="2"/>
      </w:r>
      <w:r>
        <w:rPr>
          <w:rFonts w:ascii="Times New Roman" w:hAnsi="Times New Roman"/>
          <w:sz w:val="24"/>
        </w:rPr>
        <w:t xml:space="preserve"> Tiek noteikti katras elektroforētiskās sloksnes identifikācijas logi, kā arī bāziskās, endogēnās un skābās zonas. Preparātu joslas, ko izmanto kā referenci, identificē ar cipariem un burtiem.</w:t>
      </w:r>
    </w:p>
    <w:p w14:paraId="3F7E2F70" w14:textId="77777777" w:rsidR="00531B5C" w:rsidRPr="00B03E01" w:rsidRDefault="00531B5C" w:rsidP="00B03E01">
      <w:pPr>
        <w:jc w:val="both"/>
        <w:rPr>
          <w:rFonts w:ascii="Times New Roman" w:hAnsi="Times New Roman"/>
          <w:noProof/>
          <w:sz w:val="24"/>
        </w:rPr>
      </w:pPr>
    </w:p>
    <w:p w14:paraId="2D91FB2D" w14:textId="2D750CD4" w:rsidR="00660BEC" w:rsidRPr="00B03E01" w:rsidRDefault="00EF52DF" w:rsidP="003F09A4">
      <w:pPr>
        <w:jc w:val="center"/>
        <w:rPr>
          <w:rFonts w:ascii="Times New Roman" w:hAnsi="Times New Roman"/>
          <w:noProof/>
          <w:sz w:val="24"/>
        </w:rPr>
      </w:pPr>
      <w:r w:rsidRPr="00EF52DF">
        <w:rPr>
          <w:rFonts w:ascii="Times New Roman" w:hAnsi="Times New Roman"/>
          <w:noProof/>
          <w:sz w:val="24"/>
        </w:rPr>
        <w:lastRenderedPageBreak/>
        <w:drawing>
          <wp:inline distT="0" distB="0" distL="0" distR="0" wp14:anchorId="3570E97C" wp14:editId="3E8060AF">
            <wp:extent cx="5134262" cy="4600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343" cy="460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2DE2B" w14:textId="77777777" w:rsidR="00660BEC" w:rsidRPr="003F09A4" w:rsidRDefault="00660BEC" w:rsidP="00B03E01">
      <w:pPr>
        <w:jc w:val="both"/>
        <w:rPr>
          <w:rFonts w:ascii="Times New Roman" w:eastAsia="Trebuchet MS" w:hAnsi="Times New Roman" w:cs="Trebuchet MS"/>
          <w:noProof/>
          <w:sz w:val="24"/>
          <w:szCs w:val="28"/>
        </w:rPr>
      </w:pPr>
    </w:p>
    <w:p w14:paraId="0878988C" w14:textId="35961D6A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b/>
          <w:bCs/>
          <w:sz w:val="24"/>
        </w:rPr>
        <w:t>1. attēls.</w:t>
      </w:r>
      <w:r>
        <w:rPr>
          <w:rFonts w:ascii="Times New Roman" w:hAnsi="Times New Roman"/>
          <w:sz w:val="24"/>
        </w:rPr>
        <w:t xml:space="preserve"> Slokšņu identifikācijas logu attēls, kas iegūts ar hemiluminiscences ieguves sistēmu, atbilstoši </w:t>
      </w:r>
      <w:r>
        <w:rPr>
          <w:rFonts w:ascii="Times New Roman" w:hAnsi="Times New Roman"/>
          <w:i/>
          <w:iCs/>
          <w:sz w:val="24"/>
        </w:rPr>
        <w:t>rEPO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CERA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NESP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uEPO</w:t>
      </w:r>
      <w:r>
        <w:rPr>
          <w:rFonts w:ascii="Times New Roman" w:hAnsi="Times New Roman"/>
          <w:sz w:val="24"/>
        </w:rPr>
        <w:t xml:space="preserve"> analīzei</w:t>
      </w:r>
      <w:r w:rsidR="003F09A4">
        <w:rPr>
          <w:rStyle w:val="FootnoteReference"/>
          <w:rFonts w:ascii="Times New Roman" w:hAnsi="Times New Roman"/>
          <w:noProof/>
          <w:sz w:val="24"/>
        </w:rPr>
        <w:footnoteReference w:id="3"/>
      </w:r>
    </w:p>
    <w:p w14:paraId="2F40029D" w14:textId="77777777" w:rsidR="00660BEC" w:rsidRPr="00B03E01" w:rsidRDefault="00660BEC" w:rsidP="00B03E01">
      <w:pPr>
        <w:jc w:val="both"/>
        <w:rPr>
          <w:rFonts w:ascii="Times New Roman" w:eastAsia="Times New Roman" w:hAnsi="Times New Roman" w:cs="Times New Roman"/>
          <w:noProof/>
          <w:sz w:val="24"/>
        </w:rPr>
      </w:pPr>
    </w:p>
    <w:p w14:paraId="45B0FEA0" w14:textId="4567871C" w:rsidR="00660BEC" w:rsidRDefault="00660BEC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Bāziskās un skābās zonas nosaka tā, kā aprakstīts, pēc joslu pozīcijas atbilstoši Eiropas Farmakopejas </w:t>
      </w:r>
      <w:r>
        <w:rPr>
          <w:rFonts w:ascii="Times New Roman" w:hAnsi="Times New Roman"/>
          <w:i/>
          <w:iCs/>
          <w:sz w:val="24"/>
        </w:rPr>
        <w:t>rEPO</w:t>
      </w:r>
      <w:r>
        <w:rPr>
          <w:rFonts w:ascii="Times New Roman" w:hAnsi="Times New Roman"/>
          <w:sz w:val="24"/>
        </w:rPr>
        <w:t xml:space="preserve"> bioloģiskajam references preparātam (</w:t>
      </w:r>
      <w:r>
        <w:rPr>
          <w:rFonts w:ascii="Times New Roman" w:hAnsi="Times New Roman"/>
          <w:i/>
          <w:iCs/>
          <w:sz w:val="24"/>
        </w:rPr>
        <w:t>BRP</w:t>
      </w:r>
      <w:r>
        <w:rPr>
          <w:rFonts w:ascii="Times New Roman" w:hAnsi="Times New Roman"/>
          <w:sz w:val="24"/>
        </w:rPr>
        <w:t xml:space="preserve">) (ekvimolārs epoetīna-α un -β maisījums) vai tīriem epoetīniem-α vai -β un </w:t>
      </w:r>
      <w:r>
        <w:rPr>
          <w:rFonts w:ascii="Times New Roman" w:hAnsi="Times New Roman"/>
          <w:i/>
          <w:iCs/>
          <w:sz w:val="24"/>
        </w:rPr>
        <w:t>NESP</w:t>
      </w:r>
      <w:r>
        <w:rPr>
          <w:rFonts w:ascii="Times New Roman" w:hAnsi="Times New Roman"/>
          <w:sz w:val="24"/>
        </w:rPr>
        <w:t xml:space="preserve">; pēc izslēgšanas principa endogēno zonu nosaka pa vidu starp bāzisko un skābo zonu. </w:t>
      </w:r>
      <w:r>
        <w:rPr>
          <w:rFonts w:ascii="Times New Roman" w:hAnsi="Times New Roman"/>
          <w:b/>
          <w:bCs/>
          <w:sz w:val="24"/>
        </w:rPr>
        <w:t>1. attēlā</w:t>
      </w:r>
      <w:r>
        <w:rPr>
          <w:rFonts w:ascii="Times New Roman" w:hAnsi="Times New Roman"/>
          <w:sz w:val="24"/>
        </w:rPr>
        <w:t xml:space="preserve"> endogēnās zonas piemērs ir </w:t>
      </w:r>
      <w:r>
        <w:rPr>
          <w:rFonts w:ascii="Times New Roman" w:hAnsi="Times New Roman"/>
          <w:i/>
          <w:iCs/>
          <w:sz w:val="24"/>
        </w:rPr>
        <w:t>uEPO</w:t>
      </w:r>
      <w:r>
        <w:rPr>
          <w:rFonts w:ascii="Times New Roman" w:hAnsi="Times New Roman"/>
          <w:sz w:val="24"/>
        </w:rPr>
        <w:t xml:space="preserve"> (starptautiskais references preparāts (</w:t>
      </w:r>
      <w:r>
        <w:rPr>
          <w:rFonts w:ascii="Times New Roman" w:hAnsi="Times New Roman"/>
          <w:i/>
          <w:iCs/>
          <w:sz w:val="24"/>
        </w:rPr>
        <w:t>IRP</w:t>
      </w:r>
      <w:r>
        <w:rPr>
          <w:rFonts w:ascii="Times New Roman" w:hAnsi="Times New Roman"/>
          <w:sz w:val="24"/>
        </w:rPr>
        <w:t>), ko nodrošina Valsts bioloģisko standartu un kontroles institūts (</w:t>
      </w:r>
      <w:r>
        <w:rPr>
          <w:rFonts w:ascii="Times New Roman" w:hAnsi="Times New Roman"/>
          <w:i/>
          <w:iCs/>
          <w:sz w:val="24"/>
        </w:rPr>
        <w:t>NIBSC</w:t>
      </w:r>
      <w:r>
        <w:rPr>
          <w:rFonts w:ascii="Times New Roman" w:hAnsi="Times New Roman"/>
          <w:sz w:val="24"/>
        </w:rPr>
        <w:t>), Apvienotā Karaliste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).</w:t>
      </w:r>
    </w:p>
    <w:p w14:paraId="36283F2D" w14:textId="77777777" w:rsidR="003F09A4" w:rsidRPr="00B03E01" w:rsidRDefault="003F09A4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</w:p>
    <w:p w14:paraId="322525CE" w14:textId="77777777" w:rsidR="00660BEC" w:rsidRPr="00B03E01" w:rsidRDefault="00660BEC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rEPO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uEPO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NESP</w:t>
      </w:r>
      <w:r>
        <w:rPr>
          <w:rFonts w:ascii="Times New Roman" w:hAnsi="Times New Roman"/>
          <w:sz w:val="24"/>
        </w:rPr>
        <w:t xml:space="preserve"> joslas attiecīgi bāziskā, endogēnā un skābā zonā tiek identificētas ar cipariem un burtiem, kā parādīts attēlā. </w:t>
      </w:r>
      <w:r>
        <w:rPr>
          <w:rFonts w:ascii="Times New Roman" w:hAnsi="Times New Roman"/>
          <w:i/>
          <w:iCs/>
          <w:sz w:val="24"/>
        </w:rPr>
        <w:t>CERA</w:t>
      </w:r>
      <w:r>
        <w:rPr>
          <w:rFonts w:ascii="Times New Roman" w:hAnsi="Times New Roman"/>
          <w:sz w:val="24"/>
        </w:rPr>
        <w:t xml:space="preserve"> atbilst atšķirīgam modelim ar dažām joslām, kas ir aptuveni lokalizētas kopā ar tām, kuras noteicis </w:t>
      </w:r>
      <w:r>
        <w:rPr>
          <w:rFonts w:ascii="Times New Roman" w:hAnsi="Times New Roman"/>
          <w:i/>
          <w:iCs/>
          <w:sz w:val="24"/>
        </w:rPr>
        <w:t>rEPO</w:t>
      </w:r>
      <w:r>
        <w:rPr>
          <w:rFonts w:ascii="Times New Roman" w:hAnsi="Times New Roman"/>
          <w:sz w:val="24"/>
        </w:rPr>
        <w:t xml:space="preserve">, un citām, kas iejauktas starp </w:t>
      </w:r>
      <w:r>
        <w:rPr>
          <w:rFonts w:ascii="Times New Roman" w:hAnsi="Times New Roman"/>
          <w:i/>
          <w:iCs/>
          <w:sz w:val="24"/>
        </w:rPr>
        <w:t>rEPO</w:t>
      </w:r>
      <w:r>
        <w:rPr>
          <w:rFonts w:ascii="Times New Roman" w:hAnsi="Times New Roman"/>
          <w:sz w:val="24"/>
        </w:rPr>
        <w:t xml:space="preserve"> joslām. Ar šo joslu modeli jo īpaši identificē </w:t>
      </w:r>
      <w:r>
        <w:rPr>
          <w:rFonts w:ascii="Times New Roman" w:hAnsi="Times New Roman"/>
          <w:i/>
          <w:iCs/>
          <w:sz w:val="24"/>
        </w:rPr>
        <w:t>CERA</w:t>
      </w:r>
      <w:r>
        <w:rPr>
          <w:rFonts w:ascii="Times New Roman" w:hAnsi="Times New Roman"/>
          <w:sz w:val="24"/>
        </w:rPr>
        <w:t>.</w:t>
      </w:r>
    </w:p>
    <w:p w14:paraId="562815F8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19"/>
        </w:rPr>
      </w:pPr>
    </w:p>
    <w:p w14:paraId="5ADFA588" w14:textId="7A91B948" w:rsidR="00660BEC" w:rsidRPr="00B03E01" w:rsidRDefault="003F09A4" w:rsidP="003F09A4">
      <w:pPr>
        <w:pStyle w:val="Heading5"/>
        <w:tabs>
          <w:tab w:val="left" w:pos="1881"/>
        </w:tabs>
        <w:spacing w:before="0"/>
        <w:ind w:left="0" w:firstLine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4.2.1.1. rEPO</w:t>
      </w:r>
    </w:p>
    <w:p w14:paraId="55668AD3" w14:textId="77777777" w:rsidR="003F09A4" w:rsidRDefault="003F09A4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</w:p>
    <w:p w14:paraId="50DE3576" w14:textId="437E0A86" w:rsidR="00660BEC" w:rsidRPr="00B03E01" w:rsidRDefault="00660BEC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Ja </w:t>
      </w:r>
      <w:r>
        <w:rPr>
          <w:rFonts w:ascii="Times New Roman" w:hAnsi="Times New Roman"/>
          <w:i/>
          <w:iCs/>
          <w:sz w:val="24"/>
        </w:rPr>
        <w:t>IEF</w:t>
      </w:r>
      <w:r>
        <w:rPr>
          <w:rFonts w:ascii="Times New Roman" w:hAnsi="Times New Roman"/>
          <w:sz w:val="24"/>
        </w:rPr>
        <w:t xml:space="preserve"> piemēro </w:t>
      </w:r>
      <w:r>
        <w:rPr>
          <w:rFonts w:ascii="Times New Roman" w:hAnsi="Times New Roman"/>
          <w:sz w:val="24"/>
          <w:u w:val="single"/>
        </w:rPr>
        <w:t>sākotnējās pārbaudes procedūrā</w:t>
      </w:r>
      <w:r>
        <w:rPr>
          <w:rFonts w:ascii="Times New Roman" w:hAnsi="Times New Roman"/>
          <w:sz w:val="24"/>
        </w:rPr>
        <w:t xml:space="preserve"> attiecībā uz </w:t>
      </w:r>
      <w:r>
        <w:rPr>
          <w:rFonts w:ascii="Times New Roman" w:hAnsi="Times New Roman"/>
          <w:i/>
          <w:iCs/>
          <w:sz w:val="24"/>
        </w:rPr>
        <w:t>rEPO</w:t>
      </w:r>
      <w:r>
        <w:rPr>
          <w:rFonts w:ascii="Times New Roman" w:hAnsi="Times New Roman"/>
          <w:sz w:val="24"/>
        </w:rPr>
        <w:t xml:space="preserve">, ieteicams ņemt vērā turpmāk norādītos kritērijus </w:t>
      </w:r>
      <w:r>
        <w:rPr>
          <w:rFonts w:ascii="Times New Roman" w:hAnsi="Times New Roman"/>
          <w:i/>
          <w:iCs/>
          <w:sz w:val="24"/>
        </w:rPr>
        <w:t>rEPO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varbūtējā analīžu rezultātā</w:t>
      </w:r>
      <w:r>
        <w:rPr>
          <w:rFonts w:ascii="Times New Roman" w:hAnsi="Times New Roman"/>
          <w:sz w:val="24"/>
        </w:rPr>
        <w:t>.</w:t>
      </w:r>
    </w:p>
    <w:p w14:paraId="77B5CEA6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14"/>
        </w:rPr>
      </w:pPr>
    </w:p>
    <w:p w14:paraId="14C5ADE5" w14:textId="010D26CB" w:rsidR="00660BEC" w:rsidRPr="00B03E01" w:rsidRDefault="003F09A4" w:rsidP="003F09A4">
      <w:pPr>
        <w:tabs>
          <w:tab w:val="left" w:pos="525"/>
        </w:tabs>
        <w:jc w:val="both"/>
        <w:rPr>
          <w:rFonts w:ascii="Times New Roman" w:eastAsia="Verdana" w:hAnsi="Times New Roman" w:cs="Verdana"/>
          <w:noProof/>
          <w:sz w:val="24"/>
        </w:rPr>
      </w:pPr>
      <w:r>
        <w:rPr>
          <w:rFonts w:ascii="Times New Roman" w:hAnsi="Times New Roman"/>
          <w:sz w:val="24"/>
        </w:rPr>
        <w:t xml:space="preserve">a) Urīna </w:t>
      </w:r>
      <w:r>
        <w:rPr>
          <w:rFonts w:ascii="Times New Roman" w:hAnsi="Times New Roman"/>
          <w:i/>
          <w:iCs/>
          <w:sz w:val="24"/>
        </w:rPr>
        <w:t>paraugi</w:t>
      </w:r>
    </w:p>
    <w:p w14:paraId="46BC0FD3" w14:textId="77777777" w:rsidR="003F09A4" w:rsidRDefault="003F09A4" w:rsidP="003F09A4">
      <w:pPr>
        <w:pStyle w:val="BodyText"/>
        <w:tabs>
          <w:tab w:val="left" w:pos="762"/>
        </w:tabs>
        <w:ind w:left="0"/>
        <w:jc w:val="both"/>
        <w:rPr>
          <w:rFonts w:ascii="Times New Roman" w:hAnsi="Times New Roman"/>
          <w:noProof/>
          <w:sz w:val="24"/>
        </w:rPr>
      </w:pPr>
    </w:p>
    <w:p w14:paraId="7EACD9C4" w14:textId="67ABD94B" w:rsidR="00660BEC" w:rsidRPr="00B03E01" w:rsidRDefault="00660BEC" w:rsidP="003F09A4">
      <w:pPr>
        <w:pStyle w:val="BodyText"/>
        <w:numPr>
          <w:ilvl w:val="1"/>
          <w:numId w:val="12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lastRenderedPageBreak/>
        <w:t>Bāziskajā zonā (</w:t>
      </w:r>
      <w:r>
        <w:rPr>
          <w:rFonts w:ascii="Times New Roman" w:hAnsi="Times New Roman"/>
          <w:b/>
          <w:sz w:val="24"/>
        </w:rPr>
        <w:t>1. attēls</w:t>
      </w:r>
      <w:r>
        <w:rPr>
          <w:rFonts w:ascii="Times New Roman" w:hAnsi="Times New Roman"/>
          <w:sz w:val="24"/>
        </w:rPr>
        <w:t>) jābūt vismaz trim pieņemamām joslām pēc kārtas.</w:t>
      </w:r>
    </w:p>
    <w:p w14:paraId="482B4185" w14:textId="77777777" w:rsidR="00660BEC" w:rsidRPr="00B03E01" w:rsidRDefault="00660BEC" w:rsidP="003F09A4">
      <w:pPr>
        <w:pStyle w:val="BodyText"/>
        <w:numPr>
          <w:ilvl w:val="1"/>
          <w:numId w:val="12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Divas intensīvākās joslas, ko mēra, izmantojot densitometriju, atrodas bāziskajā zonā.</w:t>
      </w:r>
    </w:p>
    <w:p w14:paraId="3E7D54F9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19"/>
        </w:rPr>
      </w:pPr>
    </w:p>
    <w:p w14:paraId="69319D23" w14:textId="5DB43ADB" w:rsidR="00660BEC" w:rsidRPr="00B03E01" w:rsidRDefault="003F09A4" w:rsidP="003F09A4">
      <w:pPr>
        <w:tabs>
          <w:tab w:val="left" w:pos="530"/>
        </w:tabs>
        <w:jc w:val="both"/>
        <w:rPr>
          <w:rFonts w:ascii="Times New Roman" w:eastAsia="Verdana" w:hAnsi="Times New Roman" w:cs="Verdana"/>
          <w:noProof/>
          <w:sz w:val="24"/>
        </w:rPr>
      </w:pPr>
      <w:r>
        <w:rPr>
          <w:rFonts w:ascii="Times New Roman" w:hAnsi="Times New Roman"/>
          <w:sz w:val="24"/>
        </w:rPr>
        <w:t xml:space="preserve">b) Asins (seruma/plazmas) </w:t>
      </w:r>
      <w:r>
        <w:rPr>
          <w:rFonts w:ascii="Times New Roman" w:hAnsi="Times New Roman"/>
          <w:i/>
          <w:sz w:val="24"/>
        </w:rPr>
        <w:t>paraugi</w:t>
      </w:r>
    </w:p>
    <w:p w14:paraId="4962EA0C" w14:textId="77777777" w:rsidR="003F09A4" w:rsidRDefault="003F09A4" w:rsidP="003F09A4">
      <w:pPr>
        <w:pStyle w:val="BodyText"/>
        <w:tabs>
          <w:tab w:val="left" w:pos="770"/>
        </w:tabs>
        <w:ind w:left="0"/>
        <w:jc w:val="both"/>
        <w:rPr>
          <w:rFonts w:ascii="Times New Roman" w:hAnsi="Times New Roman"/>
          <w:noProof/>
          <w:sz w:val="24"/>
        </w:rPr>
      </w:pPr>
    </w:p>
    <w:p w14:paraId="2F6628E6" w14:textId="56BA6FE1" w:rsidR="00660BEC" w:rsidRPr="00B03E01" w:rsidRDefault="00660BEC" w:rsidP="003F09A4">
      <w:pPr>
        <w:pStyle w:val="BodyText"/>
        <w:numPr>
          <w:ilvl w:val="1"/>
          <w:numId w:val="12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Divu intensīvāko joslu intensitātei jābūt aptuveni divas vai vairāk reizes lielākai par jebkuru citu joslu endogēnajā zonā. </w:t>
      </w:r>
      <w:r>
        <w:rPr>
          <w:rFonts w:ascii="Times New Roman" w:hAnsi="Times New Roman"/>
          <w:sz w:val="24"/>
          <w:u w:val="single"/>
        </w:rPr>
        <w:t>Laboratorija</w:t>
      </w:r>
      <w:r>
        <w:rPr>
          <w:rFonts w:ascii="Times New Roman" w:hAnsi="Times New Roman"/>
          <w:sz w:val="24"/>
        </w:rPr>
        <w:t xml:space="preserve"> var arī noteikt </w:t>
      </w:r>
      <w:r>
        <w:rPr>
          <w:rFonts w:ascii="Times New Roman" w:hAnsi="Times New Roman"/>
          <w:sz w:val="24"/>
          <w:u w:val="single"/>
        </w:rPr>
        <w:t>varbūtējo analīžu rezultātu</w:t>
      </w:r>
      <w:r>
        <w:rPr>
          <w:rFonts w:ascii="Times New Roman" w:hAnsi="Times New Roman"/>
          <w:sz w:val="24"/>
        </w:rPr>
        <w:t xml:space="preserve"> attiecībā uz </w:t>
      </w:r>
      <w:r>
        <w:rPr>
          <w:rFonts w:ascii="Times New Roman" w:hAnsi="Times New Roman"/>
          <w:i/>
          <w:iCs/>
          <w:sz w:val="24"/>
        </w:rPr>
        <w:t>rEPO</w:t>
      </w:r>
      <w:r>
        <w:rPr>
          <w:rFonts w:ascii="Times New Roman" w:hAnsi="Times New Roman"/>
          <w:sz w:val="24"/>
        </w:rPr>
        <w:t xml:space="preserve">, ja pēc tās ieskatiem IEF profils atšķiras no </w:t>
      </w:r>
      <w:r>
        <w:rPr>
          <w:rFonts w:ascii="Times New Roman" w:hAnsi="Times New Roman"/>
          <w:i/>
          <w:iCs/>
          <w:sz w:val="24"/>
        </w:rPr>
        <w:t>bEPO</w:t>
      </w:r>
      <w:r>
        <w:rPr>
          <w:rFonts w:ascii="Times New Roman" w:hAnsi="Times New Roman"/>
          <w:sz w:val="24"/>
        </w:rPr>
        <w:t xml:space="preserve"> profila.</w:t>
      </w:r>
    </w:p>
    <w:p w14:paraId="7D3BC995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29"/>
        </w:rPr>
      </w:pPr>
    </w:p>
    <w:p w14:paraId="79B144A6" w14:textId="38DED0C8" w:rsidR="00660BEC" w:rsidRPr="00B03E01" w:rsidRDefault="003F09A4" w:rsidP="003F09A4">
      <w:pPr>
        <w:pStyle w:val="Heading5"/>
        <w:tabs>
          <w:tab w:val="left" w:pos="1881"/>
        </w:tabs>
        <w:spacing w:before="0"/>
        <w:ind w:left="0" w:firstLine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4.2.1.2. NESP un CERA</w:t>
      </w:r>
    </w:p>
    <w:p w14:paraId="2A83DD82" w14:textId="77777777" w:rsidR="003F09A4" w:rsidRDefault="003F09A4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</w:p>
    <w:p w14:paraId="20A38752" w14:textId="56FC5CE0" w:rsidR="00660BEC" w:rsidRPr="00B03E01" w:rsidRDefault="00660BEC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Attēlam jāatbilst turpmākajiem identifikācijas kritērijiem, lai ņemtu vērā </w:t>
      </w:r>
      <w:r>
        <w:rPr>
          <w:rFonts w:ascii="Times New Roman" w:hAnsi="Times New Roman"/>
          <w:i/>
          <w:iCs/>
          <w:sz w:val="24"/>
        </w:rPr>
        <w:t>nelabvēlīgo analīžu rezultātu</w:t>
      </w:r>
      <w:r>
        <w:rPr>
          <w:rFonts w:ascii="Times New Roman" w:hAnsi="Times New Roman"/>
          <w:sz w:val="24"/>
        </w:rPr>
        <w:t xml:space="preserve">, kas liecina par </w:t>
      </w:r>
      <w:r>
        <w:rPr>
          <w:rFonts w:ascii="Times New Roman" w:hAnsi="Times New Roman"/>
          <w:i/>
          <w:iCs/>
          <w:sz w:val="24"/>
        </w:rPr>
        <w:t>NESP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</w:rPr>
        <w:t>CERA</w:t>
      </w:r>
      <w:r>
        <w:rPr>
          <w:rFonts w:ascii="Times New Roman" w:hAnsi="Times New Roman"/>
          <w:sz w:val="24"/>
        </w:rPr>
        <w:t xml:space="preserve"> klātbūtni.</w:t>
      </w:r>
    </w:p>
    <w:p w14:paraId="3C8B27BC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19"/>
        </w:rPr>
      </w:pPr>
    </w:p>
    <w:p w14:paraId="4180340F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</w:rPr>
      </w:pPr>
      <w:r>
        <w:rPr>
          <w:rFonts w:ascii="Times New Roman" w:hAnsi="Times New Roman"/>
          <w:b/>
          <w:sz w:val="24"/>
        </w:rPr>
        <w:t>NESP</w:t>
      </w:r>
    </w:p>
    <w:p w14:paraId="615FE0DF" w14:textId="77777777" w:rsidR="003F09A4" w:rsidRDefault="003F09A4" w:rsidP="003F09A4">
      <w:pPr>
        <w:pStyle w:val="BodyText"/>
        <w:tabs>
          <w:tab w:val="left" w:pos="762"/>
        </w:tabs>
        <w:ind w:left="0"/>
        <w:jc w:val="both"/>
        <w:rPr>
          <w:rFonts w:ascii="Times New Roman" w:hAnsi="Times New Roman"/>
          <w:noProof/>
          <w:sz w:val="24"/>
        </w:rPr>
      </w:pPr>
    </w:p>
    <w:p w14:paraId="6E59F857" w14:textId="1FD59FCB" w:rsidR="00660BEC" w:rsidRPr="00B03E01" w:rsidRDefault="00660BEC" w:rsidP="003F09A4">
      <w:pPr>
        <w:pStyle w:val="BodyText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Skābajā zonā (</w:t>
      </w:r>
      <w:r>
        <w:rPr>
          <w:rFonts w:ascii="Times New Roman" w:hAnsi="Times New Roman"/>
          <w:b/>
          <w:sz w:val="24"/>
        </w:rPr>
        <w:t>1. attēls</w:t>
      </w:r>
      <w:r>
        <w:rPr>
          <w:rFonts w:ascii="Times New Roman" w:hAnsi="Times New Roman"/>
          <w:sz w:val="24"/>
        </w:rPr>
        <w:t>) jābūt vismaz trim pieņemamām joslām pēc kārtas, un tās apzīmē ar “A”, “B”, “C” vai “D”.</w:t>
      </w:r>
    </w:p>
    <w:p w14:paraId="0C991A18" w14:textId="77777777" w:rsidR="00660BEC" w:rsidRPr="00B03E01" w:rsidRDefault="00660BEC" w:rsidP="003F09A4">
      <w:pPr>
        <w:pStyle w:val="BodyText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Vismaz vienai joslai “skābajā zonā” jābūt intensīvākai par pēdējo endogēnās zonas joslu (piemēram, josla ε </w:t>
      </w:r>
      <w:r>
        <w:rPr>
          <w:rFonts w:ascii="Times New Roman" w:hAnsi="Times New Roman"/>
          <w:b/>
          <w:bCs/>
          <w:sz w:val="24"/>
        </w:rPr>
        <w:t>1. attēlā</w:t>
      </w:r>
      <w:r>
        <w:rPr>
          <w:rFonts w:ascii="Times New Roman" w:hAnsi="Times New Roman"/>
          <w:sz w:val="24"/>
        </w:rPr>
        <w:t>).</w:t>
      </w:r>
    </w:p>
    <w:p w14:paraId="688AC131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19"/>
        </w:rPr>
      </w:pPr>
    </w:p>
    <w:p w14:paraId="2E2250AA" w14:textId="345EB13D" w:rsidR="00660BEC" w:rsidRPr="00B03E01" w:rsidRDefault="00660BEC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b/>
          <w:sz w:val="24"/>
        </w:rPr>
        <w:t>CERA</w:t>
      </w:r>
      <w:r>
        <w:rPr>
          <w:rFonts w:ascii="Times New Roman" w:hAnsi="Times New Roman"/>
          <w:sz w:val="24"/>
        </w:rPr>
        <w:t xml:space="preserve">. Bāziskajā zonā jābūt vismaz četrām secīgām joslām, kas atbilst </w:t>
      </w:r>
      <w:r>
        <w:rPr>
          <w:rFonts w:ascii="Times New Roman" w:hAnsi="Times New Roman"/>
          <w:i/>
          <w:iCs/>
          <w:sz w:val="24"/>
        </w:rPr>
        <w:t>CERA</w:t>
      </w:r>
      <w:r>
        <w:rPr>
          <w:rFonts w:ascii="Times New Roman" w:hAnsi="Times New Roman"/>
          <w:sz w:val="24"/>
        </w:rPr>
        <w:t xml:space="preserve"> preparātam, kuru izmanto kā referenci (</w:t>
      </w:r>
      <w:r>
        <w:rPr>
          <w:rFonts w:ascii="Times New Roman" w:hAnsi="Times New Roman"/>
          <w:b/>
          <w:bCs/>
          <w:sz w:val="24"/>
        </w:rPr>
        <w:t>1. attēls</w:t>
      </w:r>
      <w:r>
        <w:rPr>
          <w:rFonts w:ascii="Times New Roman" w:hAnsi="Times New Roman"/>
          <w:sz w:val="24"/>
        </w:rPr>
        <w:t>).</w:t>
      </w:r>
    </w:p>
    <w:p w14:paraId="44E536DE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21"/>
        </w:rPr>
      </w:pPr>
    </w:p>
    <w:p w14:paraId="2876AA5B" w14:textId="4F91C6A4" w:rsidR="00660BEC" w:rsidRPr="00B03E01" w:rsidRDefault="00660BEC" w:rsidP="00B03E01">
      <w:pPr>
        <w:pStyle w:val="Heading4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4.2.2. </w:t>
      </w:r>
      <w:r>
        <w:rPr>
          <w:rFonts w:ascii="Times New Roman" w:hAnsi="Times New Roman"/>
          <w:i/>
          <w:iCs/>
          <w:sz w:val="24"/>
        </w:rPr>
        <w:t>SDS-PAGE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</w:rPr>
        <w:t>SAR-PAGE</w:t>
      </w:r>
      <w:r>
        <w:rPr>
          <w:rFonts w:ascii="Times New Roman" w:hAnsi="Times New Roman"/>
          <w:sz w:val="24"/>
        </w:rPr>
        <w:t xml:space="preserve"> procedūra attiecībā uz </w:t>
      </w:r>
      <w:r>
        <w:rPr>
          <w:rFonts w:ascii="Times New Roman" w:hAnsi="Times New Roman"/>
          <w:i/>
          <w:iCs/>
          <w:sz w:val="24"/>
        </w:rPr>
        <w:t>ESA</w:t>
      </w:r>
      <w:r>
        <w:rPr>
          <w:rFonts w:ascii="Times New Roman" w:hAnsi="Times New Roman"/>
          <w:sz w:val="24"/>
        </w:rPr>
        <w:t xml:space="preserve">, kuru struktūra ir saistīta ar </w:t>
      </w:r>
      <w:r>
        <w:rPr>
          <w:rFonts w:ascii="Times New Roman" w:hAnsi="Times New Roman"/>
          <w:i/>
          <w:iCs/>
          <w:sz w:val="24"/>
        </w:rPr>
        <w:t>EPO</w:t>
      </w:r>
    </w:p>
    <w:p w14:paraId="0D421BBB" w14:textId="77777777" w:rsidR="003F09A4" w:rsidRDefault="003F09A4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</w:p>
    <w:p w14:paraId="6B723860" w14:textId="76D2BA4D" w:rsidR="00660BEC" w:rsidRPr="00B03E01" w:rsidRDefault="00660BEC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SDS-PAGE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SAR-PAGE</w:t>
      </w:r>
      <w:r>
        <w:rPr>
          <w:rFonts w:ascii="Times New Roman" w:hAnsi="Times New Roman"/>
          <w:sz w:val="24"/>
        </w:rPr>
        <w:t xml:space="preserve"> identifikācijas kritēriji ir vienādi, jo abas metodes darbojas vienādi, izņemot to, ka </w:t>
      </w:r>
      <w:r>
        <w:rPr>
          <w:rFonts w:ascii="Times New Roman" w:hAnsi="Times New Roman"/>
          <w:i/>
          <w:iCs/>
          <w:sz w:val="24"/>
        </w:rPr>
        <w:t>SAR-PAGE</w:t>
      </w:r>
      <w:r>
        <w:rPr>
          <w:rFonts w:ascii="Times New Roman" w:hAnsi="Times New Roman"/>
          <w:sz w:val="24"/>
        </w:rPr>
        <w:t xml:space="preserve"> ir augstāks jutīgums pret </w:t>
      </w:r>
      <w:r>
        <w:rPr>
          <w:rFonts w:ascii="Times New Roman" w:hAnsi="Times New Roman"/>
          <w:i/>
          <w:iCs/>
          <w:sz w:val="24"/>
        </w:rPr>
        <w:t>CERA</w:t>
      </w:r>
      <w:r>
        <w:rPr>
          <w:rFonts w:ascii="Times New Roman" w:hAnsi="Times New Roman"/>
          <w:sz w:val="24"/>
        </w:rPr>
        <w:t>.</w:t>
      </w:r>
    </w:p>
    <w:p w14:paraId="5E7949BB" w14:textId="77777777" w:rsidR="003F09A4" w:rsidRDefault="003F09A4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</w:p>
    <w:p w14:paraId="17E9BA7B" w14:textId="4C2AE49D" w:rsidR="00660BEC" w:rsidRPr="00B03E01" w:rsidRDefault="00660BEC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rEPO</w:t>
      </w:r>
      <w:r>
        <w:rPr>
          <w:rFonts w:ascii="Times New Roman" w:hAnsi="Times New Roman"/>
          <w:sz w:val="24"/>
        </w:rPr>
        <w:t xml:space="preserve"> un to analogus var atšķirt no endogēnā </w:t>
      </w:r>
      <w:r>
        <w:rPr>
          <w:rFonts w:ascii="Times New Roman" w:hAnsi="Times New Roman"/>
          <w:i/>
          <w:iCs/>
          <w:sz w:val="24"/>
        </w:rPr>
        <w:t>EPO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iCs/>
          <w:sz w:val="24"/>
        </w:rPr>
        <w:t>uEPO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bEPO</w:t>
      </w:r>
      <w:r>
        <w:rPr>
          <w:rFonts w:ascii="Times New Roman" w:hAnsi="Times New Roman"/>
          <w:sz w:val="24"/>
        </w:rPr>
        <w:t xml:space="preserve">), pamatojoties uz raksturīgo joslas formu un atšķirīgo šķietamo molekulmasu. Katra </w:t>
      </w:r>
      <w:r>
        <w:rPr>
          <w:rFonts w:ascii="Times New Roman" w:hAnsi="Times New Roman"/>
          <w:i/>
          <w:iCs/>
          <w:sz w:val="24"/>
        </w:rPr>
        <w:t>rEPO</w:t>
      </w:r>
      <w:r>
        <w:rPr>
          <w:rFonts w:ascii="Times New Roman" w:hAnsi="Times New Roman"/>
          <w:sz w:val="24"/>
        </w:rPr>
        <w:t xml:space="preserve"> vai tā analoga migrācijas uzvedību (joslu), </w:t>
      </w:r>
      <w:r>
        <w:rPr>
          <w:rFonts w:ascii="Times New Roman" w:hAnsi="Times New Roman"/>
          <w:i/>
          <w:iCs/>
          <w:sz w:val="24"/>
        </w:rPr>
        <w:t>t. i.</w:t>
      </w:r>
      <w:r>
        <w:rPr>
          <w:rFonts w:ascii="Times New Roman" w:hAnsi="Times New Roman"/>
          <w:sz w:val="24"/>
        </w:rPr>
        <w:t xml:space="preserve">, pozīciju un formu (platums, ap vienu vietu izkaisīts vai vairāk izkliedēts), var izmantot, lai apstiprinātu vielas identitāti un/vai eksogēno izcelsmi. Joslas centroīdu vai platuma robežas var izmantot, lai pārliecinātos, ka tā pozīcija un forma atšķiras no paralēli izmantotā endogēnā </w:t>
      </w:r>
      <w:r>
        <w:rPr>
          <w:rFonts w:ascii="Times New Roman" w:hAnsi="Times New Roman"/>
          <w:i/>
          <w:iCs/>
          <w:sz w:val="24"/>
        </w:rPr>
        <w:t>EPO</w:t>
      </w:r>
      <w:r>
        <w:rPr>
          <w:rFonts w:ascii="Times New Roman" w:hAnsi="Times New Roman"/>
          <w:sz w:val="24"/>
        </w:rPr>
        <w:t xml:space="preserve"> pozīcijas, kā parādīts </w:t>
      </w:r>
      <w:r>
        <w:rPr>
          <w:rFonts w:ascii="Times New Roman" w:hAnsi="Times New Roman"/>
          <w:b/>
          <w:bCs/>
          <w:sz w:val="24"/>
        </w:rPr>
        <w:t>2. attēlā</w:t>
      </w:r>
      <w:r>
        <w:rPr>
          <w:rFonts w:ascii="Times New Roman" w:hAnsi="Times New Roman"/>
          <w:sz w:val="24"/>
        </w:rPr>
        <w:t xml:space="preserve"> (kas ilustrē arī dažādu </w:t>
      </w:r>
      <w:r>
        <w:rPr>
          <w:rFonts w:ascii="Times New Roman" w:hAnsi="Times New Roman"/>
          <w:i/>
          <w:iCs/>
          <w:sz w:val="24"/>
        </w:rPr>
        <w:t>rEPO</w:t>
      </w:r>
      <w:r>
        <w:rPr>
          <w:rFonts w:ascii="Times New Roman" w:hAnsi="Times New Roman"/>
          <w:sz w:val="24"/>
        </w:rPr>
        <w:t xml:space="preserve">, kā arī </w:t>
      </w:r>
      <w:r>
        <w:rPr>
          <w:rFonts w:ascii="Times New Roman" w:hAnsi="Times New Roman"/>
          <w:i/>
          <w:iCs/>
          <w:sz w:val="24"/>
        </w:rPr>
        <w:t>uEPO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bEPO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NESP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CERA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i/>
          <w:iCs/>
          <w:sz w:val="24"/>
        </w:rPr>
        <w:t xml:space="preserve"> SDS-PAGE</w:t>
      </w:r>
      <w:r>
        <w:rPr>
          <w:rFonts w:ascii="Times New Roman" w:hAnsi="Times New Roman"/>
          <w:sz w:val="24"/>
        </w:rPr>
        <w:t xml:space="preserve"> uzvedību). Var būt arī papildu joslas, kas atbilst imūnafinitātes attīrīšanai izmantoto antivielu vieglajām un smagajām ķēdēm, un tās netraucē rezultātu interpretācijai</w:t>
      </w:r>
      <w:r w:rsidR="00084922">
        <w:rPr>
          <w:rStyle w:val="FootnoteReference"/>
          <w:rFonts w:ascii="Times New Roman" w:hAnsi="Times New Roman"/>
          <w:noProof/>
          <w:sz w:val="24"/>
        </w:rPr>
        <w:footnoteReference w:id="4"/>
      </w:r>
      <w:r>
        <w:rPr>
          <w:rFonts w:ascii="Times New Roman" w:hAnsi="Times New Roman"/>
          <w:sz w:val="24"/>
        </w:rPr>
        <w:t xml:space="preserve"> (piemēram, turpmāk </w:t>
      </w:r>
      <w:r>
        <w:rPr>
          <w:rFonts w:ascii="Times New Roman" w:hAnsi="Times New Roman"/>
          <w:b/>
          <w:sz w:val="24"/>
        </w:rPr>
        <w:t>5. attēlā</w:t>
      </w:r>
      <w:r>
        <w:rPr>
          <w:rFonts w:ascii="Times New Roman" w:hAnsi="Times New Roman"/>
          <w:sz w:val="24"/>
        </w:rPr>
        <w:t>).</w:t>
      </w:r>
    </w:p>
    <w:p w14:paraId="7CA3C10B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26"/>
        </w:rPr>
      </w:pPr>
    </w:p>
    <w:p w14:paraId="3131C453" w14:textId="1FB0D237" w:rsidR="00660BEC" w:rsidRPr="00B03E01" w:rsidRDefault="007A2D7E" w:rsidP="00084922">
      <w:pPr>
        <w:jc w:val="center"/>
        <w:rPr>
          <w:rFonts w:ascii="Times New Roman" w:eastAsia="Verdana" w:hAnsi="Times New Roman" w:cs="Verdana"/>
          <w:noProof/>
          <w:sz w:val="24"/>
          <w:szCs w:val="26"/>
        </w:rPr>
      </w:pPr>
      <w:r w:rsidRPr="007A2D7E">
        <w:rPr>
          <w:rFonts w:ascii="Times New Roman" w:eastAsia="Verdana" w:hAnsi="Times New Roman" w:cs="Verdana"/>
          <w:noProof/>
          <w:sz w:val="24"/>
          <w:szCs w:val="26"/>
        </w:rPr>
        <w:lastRenderedPageBreak/>
        <w:drawing>
          <wp:inline distT="0" distB="0" distL="0" distR="0" wp14:anchorId="21D63A89" wp14:editId="0FB795A9">
            <wp:extent cx="5760720" cy="34055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D4469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26"/>
        </w:rPr>
      </w:pPr>
    </w:p>
    <w:p w14:paraId="3696274B" w14:textId="5C6CDA39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b/>
          <w:bCs/>
          <w:sz w:val="24"/>
        </w:rPr>
        <w:t>2. attēls.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SDS-PAGE</w:t>
      </w:r>
      <w:r>
        <w:rPr>
          <w:rFonts w:ascii="Times New Roman" w:hAnsi="Times New Roman"/>
          <w:sz w:val="24"/>
        </w:rPr>
        <w:t xml:space="preserve"> attēls, kas parāda dažu tirdzniecībā pieejamu epoetīna-α un -β preparātu raksturīgo platjoslu (</w:t>
      </w:r>
      <w:r>
        <w:rPr>
          <w:rFonts w:ascii="Times New Roman" w:hAnsi="Times New Roman"/>
          <w:i/>
          <w:iCs/>
          <w:sz w:val="24"/>
        </w:rPr>
        <w:t>NeoRecormon</w:t>
      </w:r>
      <w:r>
        <w:rPr>
          <w:rFonts w:ascii="Times New Roman" w:hAnsi="Times New Roman"/>
          <w:i/>
          <w:iCs/>
          <w:sz w:val="24"/>
          <w:vertAlign w:val="superscript"/>
        </w:rPr>
        <w:t>®</w:t>
      </w:r>
      <w:r>
        <w:rPr>
          <w:rFonts w:ascii="Times New Roman" w:hAnsi="Times New Roman"/>
          <w:i/>
          <w:iCs/>
          <w:sz w:val="24"/>
        </w:rPr>
        <w:t>, Erypo</w:t>
      </w:r>
      <w:r>
        <w:rPr>
          <w:rFonts w:ascii="Times New Roman" w:hAnsi="Times New Roman"/>
          <w:i/>
          <w:iCs/>
          <w:sz w:val="24"/>
          <w:vertAlign w:val="superscript"/>
        </w:rPr>
        <w:t>®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Beijing Four Rings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Shanpoetin</w:t>
      </w:r>
      <w:r>
        <w:rPr>
          <w:rFonts w:ascii="Times New Roman" w:hAnsi="Times New Roman"/>
          <w:sz w:val="24"/>
          <w:vertAlign w:val="superscript"/>
        </w:rPr>
        <w:t>TM</w:t>
      </w:r>
      <w:r>
        <w:rPr>
          <w:rFonts w:ascii="Times New Roman" w:hAnsi="Times New Roman"/>
          <w:sz w:val="24"/>
        </w:rPr>
        <w:t xml:space="preserve">). Tiek parādītas arī endogēnā urīna/ asins </w:t>
      </w:r>
      <w:r>
        <w:rPr>
          <w:rFonts w:ascii="Times New Roman" w:hAnsi="Times New Roman"/>
          <w:i/>
          <w:iCs/>
          <w:sz w:val="24"/>
        </w:rPr>
        <w:t>EPO</w:t>
      </w:r>
      <w:r>
        <w:rPr>
          <w:rFonts w:ascii="Times New Roman" w:hAnsi="Times New Roman"/>
          <w:sz w:val="24"/>
        </w:rPr>
        <w:t>, epoetīna-</w:t>
      </w:r>
      <w:r>
        <w:rPr>
          <w:rFonts w:ascii="Times New Roman" w:hAnsi="Times New Roman"/>
          <w:sz w:val="24"/>
        </w:rPr>
        <w:sym w:font="Symbol" w:char="F064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NESP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CERA</w:t>
      </w:r>
      <w:r>
        <w:rPr>
          <w:rFonts w:ascii="Times New Roman" w:hAnsi="Times New Roman"/>
          <w:sz w:val="24"/>
        </w:rPr>
        <w:t xml:space="preserve"> relatīvās pozīcijas.</w:t>
      </w:r>
    </w:p>
    <w:p w14:paraId="46D77882" w14:textId="77777777" w:rsidR="00660BEC" w:rsidRPr="00B03E01" w:rsidRDefault="00660BEC" w:rsidP="00B03E01">
      <w:pPr>
        <w:jc w:val="both"/>
        <w:rPr>
          <w:rFonts w:ascii="Times New Roman" w:eastAsia="Times New Roman" w:hAnsi="Times New Roman" w:cs="Times New Roman"/>
          <w:noProof/>
          <w:sz w:val="24"/>
        </w:rPr>
      </w:pPr>
    </w:p>
    <w:p w14:paraId="5336DC95" w14:textId="77777777" w:rsidR="00660BEC" w:rsidRPr="00B03E01" w:rsidRDefault="00660BEC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Turpmāk norādītie identifikācijas kritēriji nosaka prasības, kurām </w:t>
      </w:r>
      <w:r>
        <w:rPr>
          <w:rFonts w:ascii="Times New Roman" w:hAnsi="Times New Roman"/>
          <w:sz w:val="24"/>
          <w:u w:val="single"/>
        </w:rPr>
        <w:t>apstiprināšanas procedūrā</w:t>
      </w:r>
      <w:r>
        <w:rPr>
          <w:rFonts w:ascii="Times New Roman" w:hAnsi="Times New Roman"/>
          <w:sz w:val="24"/>
        </w:rPr>
        <w:t xml:space="preserve"> jāatbilst </w:t>
      </w:r>
      <w:r>
        <w:rPr>
          <w:rFonts w:ascii="Times New Roman" w:hAnsi="Times New Roman"/>
          <w:i/>
          <w:iCs/>
          <w:sz w:val="24"/>
        </w:rPr>
        <w:t>SDS-PAGE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</w:rPr>
        <w:t>SAR-PAGE</w:t>
      </w:r>
      <w:r>
        <w:rPr>
          <w:rFonts w:ascii="Times New Roman" w:hAnsi="Times New Roman"/>
          <w:sz w:val="24"/>
        </w:rPr>
        <w:t xml:space="preserve"> attēlam, lai ņemtu vērā </w:t>
      </w:r>
      <w:r>
        <w:rPr>
          <w:rFonts w:ascii="Times New Roman" w:hAnsi="Times New Roman"/>
          <w:i/>
          <w:iCs/>
          <w:sz w:val="24"/>
        </w:rPr>
        <w:t>nelabvēlīgo analīžu rezultātu</w:t>
      </w:r>
      <w:r>
        <w:rPr>
          <w:rFonts w:ascii="Times New Roman" w:hAnsi="Times New Roman"/>
          <w:sz w:val="24"/>
        </w:rPr>
        <w:t xml:space="preserve"> par </w:t>
      </w:r>
      <w:r>
        <w:rPr>
          <w:rFonts w:ascii="Times New Roman" w:hAnsi="Times New Roman"/>
          <w:i/>
          <w:iCs/>
          <w:sz w:val="24"/>
        </w:rPr>
        <w:t>rEPO, NESP, CERA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</w:rPr>
        <w:t>EPO-Fc</w:t>
      </w:r>
      <w:r>
        <w:rPr>
          <w:rFonts w:ascii="Times New Roman" w:hAnsi="Times New Roman"/>
          <w:sz w:val="24"/>
        </w:rPr>
        <w:t xml:space="preserve"> klātbūtni.</w:t>
      </w:r>
    </w:p>
    <w:p w14:paraId="7AB9134C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19"/>
        </w:rPr>
      </w:pPr>
    </w:p>
    <w:p w14:paraId="29263C47" w14:textId="251914A3" w:rsidR="00660BEC" w:rsidRPr="00B03E01" w:rsidRDefault="00454115" w:rsidP="00454115">
      <w:pPr>
        <w:tabs>
          <w:tab w:val="left" w:pos="1850"/>
        </w:tabs>
        <w:jc w:val="both"/>
        <w:rPr>
          <w:rFonts w:ascii="Times New Roman" w:eastAsia="Verdana" w:hAnsi="Times New Roman" w:cs="Verdana"/>
          <w:noProof/>
          <w:sz w:val="24"/>
        </w:rPr>
      </w:pPr>
      <w:r>
        <w:rPr>
          <w:rFonts w:ascii="Times New Roman" w:hAnsi="Times New Roman"/>
          <w:b/>
          <w:i/>
          <w:sz w:val="24"/>
          <w:u w:color="000000"/>
        </w:rPr>
        <w:t xml:space="preserve">4.2.2.1. Noteikta(-as) </w:t>
      </w:r>
      <w:r>
        <w:rPr>
          <w:rFonts w:ascii="Times New Roman" w:hAnsi="Times New Roman"/>
          <w:b/>
          <w:i/>
          <w:sz w:val="24"/>
          <w:u w:val="single" w:color="000000"/>
        </w:rPr>
        <w:t>atsevišķa(-as) josla(-as)</w:t>
      </w:r>
    </w:p>
    <w:p w14:paraId="103C6DE6" w14:textId="77777777" w:rsidR="00454115" w:rsidRDefault="00454115" w:rsidP="00454115">
      <w:pPr>
        <w:tabs>
          <w:tab w:val="left" w:pos="942"/>
        </w:tabs>
        <w:jc w:val="both"/>
        <w:rPr>
          <w:rFonts w:ascii="Times New Roman" w:eastAsia="Verdana" w:hAnsi="Times New Roman" w:cs="Verdana"/>
          <w:noProof/>
          <w:sz w:val="24"/>
        </w:rPr>
      </w:pPr>
    </w:p>
    <w:p w14:paraId="3AE33866" w14:textId="4753F554" w:rsidR="00660BEC" w:rsidRDefault="00660BEC" w:rsidP="00454115">
      <w:pPr>
        <w:numPr>
          <w:ilvl w:val="0"/>
          <w:numId w:val="1"/>
        </w:numPr>
        <w:ind w:left="426" w:hanging="426"/>
        <w:jc w:val="both"/>
        <w:rPr>
          <w:rFonts w:ascii="Times New Roman" w:eastAsia="Verdana" w:hAnsi="Times New Roman" w:cs="Verdana"/>
          <w:noProof/>
          <w:sz w:val="24"/>
        </w:rPr>
      </w:pPr>
      <w:r>
        <w:rPr>
          <w:rFonts w:ascii="Times New Roman" w:hAnsi="Times New Roman"/>
          <w:sz w:val="24"/>
        </w:rPr>
        <w:t xml:space="preserve">Var tikt noteikta viena josla (piemēram, epoetīna-α/ -β preparāti un </w:t>
      </w:r>
      <w:r>
        <w:rPr>
          <w:rFonts w:ascii="Times New Roman" w:hAnsi="Times New Roman"/>
          <w:i/>
          <w:iCs/>
          <w:sz w:val="24"/>
        </w:rPr>
        <w:t>uEPO/ bEPO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2. attēlā</w:t>
      </w:r>
      <w:r>
        <w:rPr>
          <w:rFonts w:ascii="Times New Roman" w:hAnsi="Times New Roman"/>
          <w:sz w:val="24"/>
        </w:rPr>
        <w:t xml:space="preserve">; citi </w:t>
      </w:r>
      <w:r>
        <w:rPr>
          <w:rFonts w:ascii="Times New Roman" w:hAnsi="Times New Roman"/>
          <w:i/>
          <w:iCs/>
          <w:sz w:val="24"/>
        </w:rPr>
        <w:t>ESA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3. attēlā</w:t>
      </w:r>
      <w:r>
        <w:rPr>
          <w:rFonts w:ascii="Times New Roman" w:hAnsi="Times New Roman"/>
          <w:sz w:val="24"/>
        </w:rPr>
        <w:t xml:space="preserve">) vai vairākas atsevišķas joslas, kas atbilst dažādiem </w:t>
      </w:r>
      <w:r>
        <w:rPr>
          <w:rFonts w:ascii="Times New Roman" w:hAnsi="Times New Roman"/>
          <w:i/>
          <w:iCs/>
          <w:sz w:val="24"/>
        </w:rPr>
        <w:t>ESA</w:t>
      </w:r>
      <w:r>
        <w:rPr>
          <w:rFonts w:ascii="Times New Roman" w:hAnsi="Times New Roman"/>
          <w:sz w:val="24"/>
        </w:rPr>
        <w:t xml:space="preserve"> (piemēram, epoetīns-δ, </w:t>
      </w:r>
      <w:r>
        <w:rPr>
          <w:rFonts w:ascii="Times New Roman" w:hAnsi="Times New Roman"/>
          <w:i/>
          <w:iCs/>
          <w:sz w:val="24"/>
        </w:rPr>
        <w:t>NESP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CERA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2. attēlā</w:t>
      </w:r>
      <w:r>
        <w:rPr>
          <w:rFonts w:ascii="Times New Roman" w:hAnsi="Times New Roman"/>
          <w:sz w:val="24"/>
        </w:rPr>
        <w:t>).</w:t>
      </w:r>
    </w:p>
    <w:p w14:paraId="2BD04EB3" w14:textId="77777777" w:rsidR="00454115" w:rsidRPr="00B03E01" w:rsidRDefault="00454115" w:rsidP="00454115">
      <w:pPr>
        <w:jc w:val="both"/>
        <w:rPr>
          <w:rFonts w:ascii="Times New Roman" w:eastAsia="Verdana" w:hAnsi="Times New Roman" w:cs="Verdana"/>
          <w:noProof/>
          <w:sz w:val="24"/>
        </w:rPr>
      </w:pPr>
    </w:p>
    <w:p w14:paraId="39F77B45" w14:textId="77777777" w:rsidR="00660BEC" w:rsidRPr="00B03E01" w:rsidRDefault="00660BEC" w:rsidP="00454115">
      <w:pPr>
        <w:pStyle w:val="Heading4"/>
        <w:ind w:left="426" w:hanging="426"/>
        <w:jc w:val="both"/>
        <w:rPr>
          <w:rFonts w:ascii="Times New Roman" w:hAnsi="Times New Roman" w:cs="Verdana"/>
          <w:b w:val="0"/>
          <w:bCs w:val="0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rEPO</w:t>
      </w:r>
    </w:p>
    <w:p w14:paraId="3D207D62" w14:textId="77777777" w:rsidR="00454115" w:rsidRDefault="00454115" w:rsidP="00454115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</w:p>
    <w:p w14:paraId="6640D437" w14:textId="6897B508" w:rsidR="00660BEC" w:rsidRPr="00B03E01" w:rsidRDefault="00660BEC" w:rsidP="00454115">
      <w:pPr>
        <w:pStyle w:val="BodyTex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Epoetīnam-α un -β, kā arī tā biolīdziniekiem, ir raksturīgas joslu formas (“platjoslas”) un atšķirīga (parasti lielāka) šķietamā molekulmasa, salīdzinot ar endogēno </w:t>
      </w:r>
      <w:r>
        <w:rPr>
          <w:rFonts w:ascii="Times New Roman" w:hAnsi="Times New Roman"/>
          <w:i/>
          <w:iCs/>
          <w:sz w:val="24"/>
        </w:rPr>
        <w:t>uEPO/bEPO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b/>
          <w:bCs/>
          <w:sz w:val="24"/>
        </w:rPr>
        <w:t>2. attēls</w:t>
      </w:r>
      <w:r>
        <w:rPr>
          <w:rFonts w:ascii="Times New Roman" w:hAnsi="Times New Roman"/>
          <w:sz w:val="24"/>
        </w:rPr>
        <w:t>).</w:t>
      </w:r>
    </w:p>
    <w:p w14:paraId="601A2D20" w14:textId="224CAF9D" w:rsidR="00660BEC" w:rsidRPr="00B03E01" w:rsidRDefault="00660BEC" w:rsidP="00454115">
      <w:pPr>
        <w:pStyle w:val="BodyTex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Epoetīnam-</w:t>
      </w:r>
      <w:r>
        <w:rPr>
          <w:rFonts w:ascii="Times New Roman" w:hAnsi="Times New Roman"/>
          <w:sz w:val="24"/>
        </w:rPr>
        <w:sym w:font="Symbol" w:char="F064"/>
      </w:r>
      <w:r>
        <w:rPr>
          <w:rFonts w:ascii="Times New Roman" w:hAnsi="Times New Roman"/>
          <w:sz w:val="24"/>
        </w:rPr>
        <w:t xml:space="preserve"> ir raksturīga joslas forma (“asa josla”) un lielāka šķietamā molekulmasa, salīdzinot ar endogēno </w:t>
      </w:r>
      <w:r>
        <w:rPr>
          <w:rFonts w:ascii="Times New Roman" w:hAnsi="Times New Roman"/>
          <w:i/>
          <w:iCs/>
          <w:sz w:val="24"/>
        </w:rPr>
        <w:t>uEPO/bEPO</w:t>
      </w:r>
      <w:r>
        <w:rPr>
          <w:rFonts w:ascii="Times New Roman" w:hAnsi="Times New Roman"/>
          <w:sz w:val="24"/>
        </w:rPr>
        <w:t>. Pamatojoties uz joslas asumu, epoetīnu-</w:t>
      </w:r>
      <w:r>
        <w:rPr>
          <w:rFonts w:ascii="Times New Roman" w:hAnsi="Times New Roman"/>
          <w:sz w:val="24"/>
        </w:rPr>
        <w:sym w:font="Symbol" w:char="F064"/>
      </w:r>
      <w:r>
        <w:rPr>
          <w:rFonts w:ascii="Times New Roman" w:hAnsi="Times New Roman"/>
          <w:sz w:val="24"/>
        </w:rPr>
        <w:t xml:space="preserve"> var arī atšķirt no citiem rekombinantiem epoetīniem (-α un -β, kā arī biolīdziniekiem) (</w:t>
      </w:r>
      <w:r>
        <w:rPr>
          <w:rFonts w:ascii="Times New Roman" w:hAnsi="Times New Roman"/>
          <w:b/>
          <w:bCs/>
          <w:sz w:val="24"/>
        </w:rPr>
        <w:t>2., 3. attēls</w:t>
      </w:r>
      <w:r>
        <w:rPr>
          <w:rFonts w:ascii="Times New Roman" w:hAnsi="Times New Roman"/>
          <w:sz w:val="24"/>
        </w:rPr>
        <w:t>).</w:t>
      </w:r>
    </w:p>
    <w:p w14:paraId="67421B16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19"/>
        </w:rPr>
      </w:pPr>
    </w:p>
    <w:p w14:paraId="6E15FB7F" w14:textId="77777777" w:rsidR="00660BEC" w:rsidRPr="00B03E01" w:rsidRDefault="00660BEC" w:rsidP="00B03E01">
      <w:pPr>
        <w:pStyle w:val="Heading4"/>
        <w:ind w:left="0"/>
        <w:jc w:val="both"/>
        <w:rPr>
          <w:rFonts w:ascii="Times New Roman" w:hAnsi="Times New Roman" w:cs="Verdana"/>
          <w:b w:val="0"/>
          <w:bCs w:val="0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NESP, CERA, EPO-Fc</w:t>
      </w:r>
    </w:p>
    <w:p w14:paraId="2538D975" w14:textId="788E1686" w:rsidR="00660BEC" w:rsidRPr="00454115" w:rsidRDefault="00660BEC" w:rsidP="00454115">
      <w:pPr>
        <w:pStyle w:val="BodyText"/>
        <w:numPr>
          <w:ilvl w:val="0"/>
          <w:numId w:val="7"/>
        </w:numPr>
        <w:ind w:left="426" w:hanging="426"/>
        <w:jc w:val="both"/>
        <w:rPr>
          <w:rFonts w:ascii="Times New Roman" w:eastAsia="Bookman Old Style" w:hAnsi="Times New Roman" w:cs="Bookman Old Style"/>
          <w:noProof/>
          <w:sz w:val="24"/>
        </w:rPr>
      </w:pPr>
      <w:r>
        <w:rPr>
          <w:rFonts w:ascii="Times New Roman" w:hAnsi="Times New Roman"/>
          <w:sz w:val="24"/>
        </w:rPr>
        <w:t xml:space="preserve">Joslas centroīda šķietamā molekulmasa atbilst attiecīgā </w:t>
      </w:r>
      <w:r>
        <w:rPr>
          <w:rFonts w:ascii="Times New Roman" w:hAnsi="Times New Roman"/>
          <w:i/>
          <w:iCs/>
          <w:sz w:val="24"/>
        </w:rPr>
        <w:t>NESP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CERA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</w:rPr>
        <w:t>EPO-Fc</w:t>
      </w:r>
      <w:r>
        <w:rPr>
          <w:rFonts w:ascii="Times New Roman" w:hAnsi="Times New Roman"/>
          <w:sz w:val="24"/>
        </w:rPr>
        <w:t xml:space="preserve"> preparāta šķietamajai masai, ko izmanto kā referenci. </w:t>
      </w:r>
      <w:r>
        <w:rPr>
          <w:rFonts w:ascii="Times New Roman" w:hAnsi="Times New Roman"/>
          <w:i/>
          <w:iCs/>
          <w:sz w:val="24"/>
        </w:rPr>
        <w:t>NESP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b/>
          <w:bCs/>
          <w:sz w:val="24"/>
        </w:rPr>
        <w:t>2., 3. attēls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i/>
          <w:iCs/>
          <w:sz w:val="24"/>
        </w:rPr>
        <w:t>CERA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b/>
          <w:bCs/>
          <w:sz w:val="24"/>
        </w:rPr>
        <w:t>2., 3. attēls</w:t>
      </w:r>
      <w:r>
        <w:rPr>
          <w:rFonts w:ascii="Times New Roman" w:hAnsi="Times New Roman"/>
          <w:sz w:val="24"/>
        </w:rPr>
        <w:t xml:space="preserve">) un </w:t>
      </w:r>
      <w:r>
        <w:rPr>
          <w:rFonts w:ascii="Times New Roman" w:hAnsi="Times New Roman"/>
          <w:i/>
          <w:iCs/>
          <w:sz w:val="24"/>
        </w:rPr>
        <w:t>EPO-Fc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b/>
          <w:bCs/>
          <w:sz w:val="24"/>
        </w:rPr>
        <w:t>3. attēls</w:t>
      </w:r>
      <w:r>
        <w:rPr>
          <w:rFonts w:ascii="Times New Roman" w:hAnsi="Times New Roman"/>
          <w:sz w:val="24"/>
        </w:rPr>
        <w:t xml:space="preserve">) var atšķirt no endogēniem </w:t>
      </w:r>
      <w:r>
        <w:rPr>
          <w:rFonts w:ascii="Times New Roman" w:hAnsi="Times New Roman"/>
          <w:i/>
          <w:iCs/>
          <w:sz w:val="24"/>
        </w:rPr>
        <w:t>EPO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iCs/>
          <w:sz w:val="24"/>
        </w:rPr>
        <w:t>uEPO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bEPO</w:t>
      </w:r>
      <w:r>
        <w:rPr>
          <w:rFonts w:ascii="Times New Roman" w:hAnsi="Times New Roman"/>
          <w:sz w:val="24"/>
        </w:rPr>
        <w:t xml:space="preserve">), kā arī no </w:t>
      </w:r>
      <w:r>
        <w:rPr>
          <w:rFonts w:ascii="Times New Roman" w:hAnsi="Times New Roman"/>
          <w:i/>
          <w:iCs/>
          <w:sz w:val="24"/>
        </w:rPr>
        <w:t>rEPO</w:t>
      </w:r>
      <w:r>
        <w:rPr>
          <w:rFonts w:ascii="Times New Roman" w:hAnsi="Times New Roman"/>
          <w:sz w:val="24"/>
        </w:rPr>
        <w:t>, pamatojoties uz to, ka tiem ir lielāka šķietamā molekulmasa [2, 3, 14].</w:t>
      </w:r>
    </w:p>
    <w:p w14:paraId="10FB2DAE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17"/>
        </w:rPr>
      </w:pPr>
    </w:p>
    <w:p w14:paraId="0F142D54" w14:textId="7858E227" w:rsidR="00660BEC" w:rsidRDefault="007A2D7E" w:rsidP="00454115">
      <w:pPr>
        <w:jc w:val="center"/>
        <w:rPr>
          <w:rFonts w:ascii="Times New Roman" w:eastAsia="Verdana" w:hAnsi="Times New Roman" w:cs="Verdana"/>
          <w:noProof/>
          <w:sz w:val="24"/>
          <w:szCs w:val="20"/>
        </w:rPr>
      </w:pPr>
      <w:r w:rsidRPr="007A2D7E">
        <w:rPr>
          <w:rFonts w:ascii="Times New Roman" w:eastAsia="Verdana" w:hAnsi="Times New Roman" w:cs="Verdana"/>
          <w:noProof/>
          <w:sz w:val="24"/>
          <w:szCs w:val="20"/>
        </w:rPr>
        <w:lastRenderedPageBreak/>
        <w:drawing>
          <wp:inline distT="0" distB="0" distL="0" distR="0" wp14:anchorId="00E7F203" wp14:editId="1F75A338">
            <wp:extent cx="4400550" cy="293953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706" cy="294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63BBE" w14:textId="77777777" w:rsidR="00454115" w:rsidRPr="00B03E01" w:rsidRDefault="00454115" w:rsidP="00B03E01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</w:p>
    <w:p w14:paraId="141B9D13" w14:textId="3A6B4FFD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b/>
          <w:sz w:val="24"/>
        </w:rPr>
        <w:t>3. attēls.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SAR-PAGE</w:t>
      </w:r>
      <w:r>
        <w:rPr>
          <w:rFonts w:ascii="Times New Roman" w:hAnsi="Times New Roman"/>
          <w:sz w:val="24"/>
        </w:rPr>
        <w:t xml:space="preserve"> attēls, kas parāda lielāku šķietamo </w:t>
      </w:r>
      <w:r>
        <w:rPr>
          <w:rFonts w:ascii="Times New Roman" w:hAnsi="Times New Roman"/>
          <w:i/>
          <w:iCs/>
          <w:sz w:val="24"/>
        </w:rPr>
        <w:t>CERA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EPO-Fc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NESP</w:t>
      </w:r>
      <w:r>
        <w:rPr>
          <w:rFonts w:ascii="Times New Roman" w:hAnsi="Times New Roman"/>
          <w:sz w:val="24"/>
        </w:rPr>
        <w:t xml:space="preserve"> un epoetīna-</w:t>
      </w:r>
      <w:r>
        <w:rPr>
          <w:rFonts w:ascii="Times New Roman" w:hAnsi="Times New Roman"/>
          <w:sz w:val="24"/>
        </w:rPr>
        <w:sym w:font="Symbol" w:char="F064"/>
      </w:r>
      <w:r>
        <w:rPr>
          <w:rFonts w:ascii="Times New Roman" w:hAnsi="Times New Roman"/>
          <w:sz w:val="24"/>
        </w:rPr>
        <w:t xml:space="preserve"> molekulmasu salīdzinājumā ar endogēno </w:t>
      </w:r>
      <w:r>
        <w:rPr>
          <w:rFonts w:ascii="Times New Roman" w:hAnsi="Times New Roman"/>
          <w:i/>
          <w:iCs/>
          <w:sz w:val="24"/>
        </w:rPr>
        <w:t>uEPO/bEPO</w:t>
      </w:r>
      <w:r>
        <w:rPr>
          <w:rFonts w:ascii="Times New Roman" w:hAnsi="Times New Roman"/>
          <w:sz w:val="24"/>
        </w:rPr>
        <w:t>.</w:t>
      </w:r>
    </w:p>
    <w:p w14:paraId="67819DF4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21"/>
        </w:rPr>
      </w:pPr>
    </w:p>
    <w:p w14:paraId="72959053" w14:textId="4E504032" w:rsidR="00660BEC" w:rsidRPr="00B03E01" w:rsidRDefault="00454115" w:rsidP="00454115">
      <w:pPr>
        <w:tabs>
          <w:tab w:val="left" w:pos="1850"/>
        </w:tabs>
        <w:jc w:val="both"/>
        <w:rPr>
          <w:rFonts w:ascii="Times New Roman" w:eastAsia="Verdana" w:hAnsi="Times New Roman" w:cs="Verdana"/>
          <w:noProof/>
          <w:sz w:val="24"/>
        </w:rPr>
      </w:pPr>
      <w:r>
        <w:rPr>
          <w:rFonts w:ascii="Times New Roman" w:hAnsi="Times New Roman"/>
          <w:b/>
          <w:i/>
          <w:sz w:val="24"/>
          <w:u w:color="000000"/>
        </w:rPr>
        <w:t xml:space="preserve">4.2.2.2. Noteikta </w:t>
      </w:r>
      <w:r>
        <w:rPr>
          <w:rFonts w:ascii="Times New Roman" w:hAnsi="Times New Roman"/>
          <w:b/>
          <w:i/>
          <w:sz w:val="24"/>
          <w:u w:val="single" w:color="000000"/>
        </w:rPr>
        <w:t>jaukta tipa josla</w:t>
      </w:r>
    </w:p>
    <w:p w14:paraId="15E3126F" w14:textId="77777777" w:rsidR="00454115" w:rsidRPr="00454115" w:rsidRDefault="00454115" w:rsidP="00454115">
      <w:pPr>
        <w:pStyle w:val="BodyText"/>
        <w:tabs>
          <w:tab w:val="left" w:pos="935"/>
        </w:tabs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14:paraId="6ECEB590" w14:textId="14BC4656" w:rsidR="00660BEC" w:rsidRPr="00B03E01" w:rsidRDefault="00660BEC" w:rsidP="00454115">
      <w:pPr>
        <w:pStyle w:val="BodyTex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Tiek noteikta jaukta tipa josla, kas sastāv no endogēniem </w:t>
      </w:r>
      <w:r>
        <w:rPr>
          <w:rFonts w:ascii="Times New Roman" w:hAnsi="Times New Roman"/>
          <w:i/>
          <w:iCs/>
          <w:sz w:val="24"/>
        </w:rPr>
        <w:t>EPO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iCs/>
          <w:sz w:val="24"/>
        </w:rPr>
        <w:t>uEPO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bEPO</w:t>
      </w:r>
      <w:r>
        <w:rPr>
          <w:rFonts w:ascii="Times New Roman" w:hAnsi="Times New Roman"/>
          <w:sz w:val="24"/>
        </w:rPr>
        <w:t xml:space="preserve">) un </w:t>
      </w:r>
      <w:r>
        <w:rPr>
          <w:rFonts w:ascii="Times New Roman" w:hAnsi="Times New Roman"/>
          <w:i/>
          <w:iCs/>
          <w:sz w:val="24"/>
        </w:rPr>
        <w:t>rEPO</w:t>
      </w:r>
      <w:r>
        <w:rPr>
          <w:rFonts w:ascii="Times New Roman" w:hAnsi="Times New Roman"/>
          <w:sz w:val="24"/>
        </w:rPr>
        <w:t xml:space="preserve"> – joslas forma atgādina </w:t>
      </w:r>
      <w:r>
        <w:rPr>
          <w:rFonts w:ascii="Times New Roman" w:hAnsi="Times New Roman"/>
          <w:i/>
          <w:iCs/>
          <w:sz w:val="24"/>
        </w:rPr>
        <w:t>rEPO PLUS</w:t>
      </w:r>
      <w:r>
        <w:rPr>
          <w:rFonts w:ascii="Times New Roman" w:hAnsi="Times New Roman"/>
          <w:sz w:val="24"/>
        </w:rPr>
        <w:t xml:space="preserve"> daļu formu vai </w:t>
      </w:r>
      <w:r>
        <w:rPr>
          <w:rFonts w:ascii="Times New Roman" w:hAnsi="Times New Roman"/>
          <w:i/>
          <w:iCs/>
          <w:sz w:val="24"/>
        </w:rPr>
        <w:t>uEPO/bEPO</w:t>
      </w:r>
      <w:r>
        <w:rPr>
          <w:rFonts w:ascii="Times New Roman" w:hAnsi="Times New Roman"/>
          <w:sz w:val="24"/>
        </w:rPr>
        <w:t xml:space="preserve"> joslas kopējo formu.</w:t>
      </w:r>
    </w:p>
    <w:p w14:paraId="0B18476F" w14:textId="458B2571" w:rsidR="00660BEC" w:rsidRPr="00B03E01" w:rsidRDefault="00660BEC" w:rsidP="00454115">
      <w:pPr>
        <w:pStyle w:val="BodyTex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Izkliedēta vai vāji izteikta joslas zona virs atbilstošās endogēnās joslas arī norāda uz epoetīna-α un -β klātbūtni (</w:t>
      </w:r>
      <w:r>
        <w:rPr>
          <w:rFonts w:ascii="Times New Roman" w:hAnsi="Times New Roman"/>
          <w:b/>
          <w:bCs/>
          <w:sz w:val="24"/>
        </w:rPr>
        <w:t>4. attēls</w:t>
      </w:r>
      <w:r>
        <w:rPr>
          <w:rFonts w:ascii="Times New Roman" w:hAnsi="Times New Roman"/>
          <w:sz w:val="24"/>
        </w:rPr>
        <w:t>).</w:t>
      </w:r>
    </w:p>
    <w:p w14:paraId="3D791303" w14:textId="77777777" w:rsidR="00660BEC" w:rsidRPr="00B03E01" w:rsidRDefault="00660BEC" w:rsidP="00454115">
      <w:pPr>
        <w:pStyle w:val="BodyTex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Var tikt noteikta arī jaukta tipa joslas un atsevišķas(-u) joslas(-u) kombinācija no citiem </w:t>
      </w:r>
      <w:r>
        <w:rPr>
          <w:rFonts w:ascii="Times New Roman" w:hAnsi="Times New Roman"/>
          <w:i/>
          <w:iCs/>
          <w:sz w:val="24"/>
        </w:rPr>
        <w:t>ESA</w:t>
      </w:r>
      <w:r>
        <w:rPr>
          <w:rFonts w:ascii="Times New Roman" w:hAnsi="Times New Roman"/>
          <w:sz w:val="24"/>
        </w:rPr>
        <w:t>.</w:t>
      </w:r>
    </w:p>
    <w:p w14:paraId="68DB41F0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</w:p>
    <w:p w14:paraId="3E7D8AF3" w14:textId="1E593AE5" w:rsidR="00660BEC" w:rsidRDefault="007A2D7E" w:rsidP="00454115">
      <w:pPr>
        <w:jc w:val="center"/>
        <w:rPr>
          <w:rFonts w:ascii="Times New Roman" w:eastAsia="Verdana" w:hAnsi="Times New Roman" w:cs="Verdana"/>
          <w:noProof/>
          <w:sz w:val="24"/>
          <w:szCs w:val="20"/>
        </w:rPr>
      </w:pPr>
      <w:r w:rsidRPr="007A2D7E">
        <w:rPr>
          <w:rFonts w:ascii="Times New Roman" w:eastAsia="Verdana" w:hAnsi="Times New Roman" w:cs="Verdana"/>
          <w:noProof/>
          <w:sz w:val="24"/>
          <w:szCs w:val="20"/>
        </w:rPr>
        <w:drawing>
          <wp:inline distT="0" distB="0" distL="0" distR="0" wp14:anchorId="56491C8D" wp14:editId="3EBA03AC">
            <wp:extent cx="4467225" cy="29186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510" cy="292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1474A" w14:textId="77777777" w:rsidR="00454115" w:rsidRPr="00B03E01" w:rsidRDefault="00454115" w:rsidP="00B03E01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</w:p>
    <w:p w14:paraId="7148624B" w14:textId="293FD466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b/>
          <w:bCs/>
          <w:sz w:val="24"/>
        </w:rPr>
        <w:t>4. attēls.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SDS-PAGE</w:t>
      </w:r>
      <w:r>
        <w:rPr>
          <w:rFonts w:ascii="Times New Roman" w:hAnsi="Times New Roman"/>
          <w:sz w:val="24"/>
        </w:rPr>
        <w:t xml:space="preserve"> attēls, kurā redzama endogēna </w:t>
      </w:r>
      <w:r>
        <w:rPr>
          <w:rFonts w:ascii="Times New Roman" w:hAnsi="Times New Roman"/>
          <w:i/>
          <w:iCs/>
          <w:sz w:val="24"/>
        </w:rPr>
        <w:t>EPO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rEPO</w:t>
      </w:r>
      <w:r>
        <w:rPr>
          <w:rFonts w:ascii="Times New Roman" w:hAnsi="Times New Roman"/>
          <w:sz w:val="24"/>
        </w:rPr>
        <w:t xml:space="preserve"> jaukta tipa josla (sarkanā bultiņa). Izkliedēta joslas zona virs atbilstošās endogēnās joslas arī norāda uz epoetīna-α un -β klātbūtni.</w:t>
      </w:r>
    </w:p>
    <w:p w14:paraId="096BC815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21"/>
        </w:rPr>
      </w:pPr>
    </w:p>
    <w:p w14:paraId="06E78FB8" w14:textId="77777777" w:rsidR="00660BEC" w:rsidRPr="00B03E01" w:rsidRDefault="00660BEC" w:rsidP="00B03E01">
      <w:pPr>
        <w:pStyle w:val="Heading4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4.2.3. </w:t>
      </w:r>
      <w:r>
        <w:rPr>
          <w:rFonts w:ascii="Times New Roman" w:hAnsi="Times New Roman"/>
          <w:i/>
          <w:iCs/>
          <w:sz w:val="24"/>
        </w:rPr>
        <w:t>SDS-PAGE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</w:rPr>
        <w:t>SAR-PAGE</w:t>
      </w:r>
      <w:r>
        <w:rPr>
          <w:rFonts w:ascii="Times New Roman" w:hAnsi="Times New Roman"/>
          <w:sz w:val="24"/>
        </w:rPr>
        <w:t xml:space="preserve"> attiecībā uz peginesatīdu</w:t>
      </w:r>
    </w:p>
    <w:p w14:paraId="5048AE89" w14:textId="77777777" w:rsidR="008761CC" w:rsidRDefault="008761CC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</w:p>
    <w:p w14:paraId="7C814CC3" w14:textId="10C4283F" w:rsidR="00660BEC" w:rsidRPr="00B03E01" w:rsidRDefault="00660BEC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Peginesatīda klātbūtni </w:t>
      </w:r>
      <w:r>
        <w:rPr>
          <w:rFonts w:ascii="Times New Roman" w:hAnsi="Times New Roman"/>
          <w:i/>
          <w:iCs/>
          <w:sz w:val="24"/>
        </w:rPr>
        <w:t>paraugā</w:t>
      </w:r>
      <w:r>
        <w:rPr>
          <w:rFonts w:ascii="Times New Roman" w:hAnsi="Times New Roman"/>
          <w:sz w:val="24"/>
        </w:rPr>
        <w:t xml:space="preserve"> norāda ar joslu pozīcijā, kas atbilst šim </w:t>
      </w:r>
      <w:r>
        <w:rPr>
          <w:rFonts w:ascii="Times New Roman" w:hAnsi="Times New Roman"/>
          <w:i/>
          <w:iCs/>
          <w:sz w:val="24"/>
        </w:rPr>
        <w:t>ESA</w:t>
      </w:r>
      <w:r>
        <w:rPr>
          <w:rFonts w:ascii="Times New Roman" w:hAnsi="Times New Roman"/>
          <w:sz w:val="24"/>
        </w:rPr>
        <w:t>, kā apliecina referencei izmantotā preparāta migrācija (</w:t>
      </w:r>
      <w:r>
        <w:rPr>
          <w:rFonts w:ascii="Times New Roman" w:hAnsi="Times New Roman"/>
          <w:b/>
          <w:bCs/>
          <w:sz w:val="24"/>
        </w:rPr>
        <w:t>5. attēls</w:t>
      </w:r>
      <w:r>
        <w:rPr>
          <w:rFonts w:ascii="Times New Roman" w:hAnsi="Times New Roman"/>
          <w:sz w:val="24"/>
        </w:rPr>
        <w:t>). Var būt arī papildu joslas, kas atbilst imūnafinitātes attīrīšanai izmantoto antivielu vieglajām un smagajām ķēdēm, un tās netraucē rezultātu interpretācijai.</w:t>
      </w:r>
    </w:p>
    <w:p w14:paraId="28C7DC5F" w14:textId="77777777" w:rsidR="00531B5C" w:rsidRPr="00B03E01" w:rsidRDefault="00531B5C" w:rsidP="00B03E01">
      <w:pPr>
        <w:jc w:val="both"/>
        <w:rPr>
          <w:rFonts w:ascii="Times New Roman" w:hAnsi="Times New Roman"/>
          <w:noProof/>
          <w:sz w:val="24"/>
        </w:rPr>
      </w:pPr>
    </w:p>
    <w:p w14:paraId="252A6EEC" w14:textId="063285C1" w:rsidR="00660BEC" w:rsidRPr="00B03E01" w:rsidRDefault="00162A3D" w:rsidP="008761CC">
      <w:pPr>
        <w:jc w:val="center"/>
        <w:rPr>
          <w:rFonts w:ascii="Times New Roman" w:hAnsi="Times New Roman"/>
          <w:noProof/>
          <w:sz w:val="24"/>
        </w:rPr>
      </w:pPr>
      <w:r w:rsidRPr="00162A3D">
        <w:rPr>
          <w:rFonts w:ascii="Times New Roman" w:hAnsi="Times New Roman"/>
          <w:noProof/>
          <w:sz w:val="24"/>
        </w:rPr>
        <w:drawing>
          <wp:inline distT="0" distB="0" distL="0" distR="0" wp14:anchorId="03C0F9F9" wp14:editId="5FF232CD">
            <wp:extent cx="3924300" cy="368037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63" cy="368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DCA12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12"/>
        </w:rPr>
      </w:pPr>
    </w:p>
    <w:p w14:paraId="0B1DF92C" w14:textId="77777777" w:rsidR="00660BEC" w:rsidRPr="00B03E01" w:rsidRDefault="00660BEC" w:rsidP="00B03E01">
      <w:pPr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b/>
          <w:bCs/>
          <w:sz w:val="24"/>
        </w:rPr>
        <w:t>5. attēls.</w:t>
      </w:r>
      <w:r>
        <w:rPr>
          <w:rFonts w:ascii="Times New Roman" w:hAnsi="Times New Roman"/>
          <w:sz w:val="24"/>
        </w:rPr>
        <w:t xml:space="preserve"> Peginesatīda identifikācijas attēls, izmantojot </w:t>
      </w:r>
      <w:r>
        <w:rPr>
          <w:rFonts w:ascii="Times New Roman" w:hAnsi="Times New Roman"/>
          <w:i/>
          <w:iCs/>
          <w:sz w:val="24"/>
        </w:rPr>
        <w:t>SDS-PAGE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Nu-PAGE</w:t>
      </w:r>
      <w:r>
        <w:rPr>
          <w:rFonts w:ascii="Times New Roman" w:hAnsi="Times New Roman"/>
          <w:sz w:val="24"/>
        </w:rPr>
        <w:t xml:space="preserve"> 4–12 % </w:t>
      </w:r>
      <w:r>
        <w:rPr>
          <w:rFonts w:ascii="Times New Roman" w:hAnsi="Times New Roman"/>
          <w:i/>
          <w:iCs/>
          <w:sz w:val="24"/>
        </w:rPr>
        <w:t>Bis Tris</w:t>
      </w:r>
      <w:r>
        <w:rPr>
          <w:rFonts w:ascii="Times New Roman" w:hAnsi="Times New Roman"/>
          <w:sz w:val="24"/>
        </w:rPr>
        <w:t xml:space="preserve"> gelā</w:t>
      </w:r>
    </w:p>
    <w:p w14:paraId="50DEC8B1" w14:textId="77777777" w:rsidR="00660BEC" w:rsidRPr="00B03E01" w:rsidRDefault="00660BEC" w:rsidP="00B03E01">
      <w:pPr>
        <w:jc w:val="both"/>
        <w:rPr>
          <w:rFonts w:ascii="Times New Roman" w:hAnsi="Times New Roman"/>
          <w:noProof/>
          <w:sz w:val="24"/>
        </w:rPr>
      </w:pPr>
    </w:p>
    <w:p w14:paraId="0DC61807" w14:textId="77777777" w:rsidR="00660BEC" w:rsidRPr="00B03E01" w:rsidRDefault="00660BEC" w:rsidP="00B03E01">
      <w:pPr>
        <w:pStyle w:val="Heading2"/>
        <w:ind w:left="0"/>
        <w:jc w:val="both"/>
        <w:rPr>
          <w:rFonts w:ascii="Times New Roman" w:hAnsi="Times New Roman"/>
          <w:b w:val="0"/>
          <w:bCs w:val="0"/>
          <w:noProof/>
          <w:u w:val="none"/>
        </w:rPr>
      </w:pPr>
      <w:r>
        <w:rPr>
          <w:rFonts w:ascii="Times New Roman" w:hAnsi="Times New Roman"/>
          <w:u w:val="none"/>
        </w:rPr>
        <w:t xml:space="preserve">5.0. </w:t>
      </w:r>
      <w:r>
        <w:rPr>
          <w:rFonts w:ascii="Times New Roman" w:hAnsi="Times New Roman"/>
          <w:u w:val="thick" w:color="000000"/>
        </w:rPr>
        <w:t>Dokumentācija un ziņošana</w:t>
      </w:r>
    </w:p>
    <w:p w14:paraId="1F4B7D22" w14:textId="77777777" w:rsidR="008761CC" w:rsidRDefault="008761CC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</w:p>
    <w:p w14:paraId="03948356" w14:textId="6155452B" w:rsidR="00660BEC" w:rsidRPr="00B03E01" w:rsidRDefault="00660BEC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Ziņojot par rezultātiem, pamatojoties uz IEF un/vai </w:t>
      </w:r>
      <w:r>
        <w:rPr>
          <w:rFonts w:ascii="Times New Roman" w:hAnsi="Times New Roman"/>
          <w:i/>
          <w:iCs/>
          <w:sz w:val="24"/>
        </w:rPr>
        <w:t>SDS-PAGE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</w:rPr>
        <w:t>SAR-PAGE</w:t>
      </w:r>
      <w:r>
        <w:rPr>
          <w:rFonts w:ascii="Times New Roman" w:hAnsi="Times New Roman"/>
          <w:sz w:val="24"/>
        </w:rPr>
        <w:t xml:space="preserve"> piemērošanu, </w:t>
      </w:r>
      <w:r>
        <w:rPr>
          <w:rFonts w:ascii="Times New Roman" w:hAnsi="Times New Roman"/>
          <w:sz w:val="24"/>
          <w:u w:val="single"/>
        </w:rPr>
        <w:t>laboratorija</w:t>
      </w:r>
      <w:r>
        <w:rPr>
          <w:rFonts w:ascii="Times New Roman" w:hAnsi="Times New Roman"/>
          <w:sz w:val="24"/>
        </w:rPr>
        <w:t xml:space="preserve"> ievēro prasības, kas norādītas </w:t>
      </w:r>
      <w:r>
        <w:rPr>
          <w:rFonts w:ascii="Times New Roman" w:hAnsi="Times New Roman"/>
          <w:i/>
          <w:iCs/>
          <w:sz w:val="24"/>
        </w:rPr>
        <w:t>WADA Starptautiskajā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laboratoriju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standartā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iCs/>
          <w:sz w:val="24"/>
        </w:rPr>
        <w:t>ISL</w:t>
      </w:r>
      <w:r>
        <w:rPr>
          <w:rFonts w:ascii="Times New Roman" w:hAnsi="Times New Roman"/>
          <w:sz w:val="24"/>
        </w:rPr>
        <w:t xml:space="preserve">) un ar to saistītajā tehniskajā dokumentā par </w:t>
      </w:r>
      <w:r>
        <w:rPr>
          <w:rFonts w:ascii="Times New Roman" w:hAnsi="Times New Roman"/>
          <w:sz w:val="24"/>
          <w:u w:val="single"/>
        </w:rPr>
        <w:t>laboratoriskās</w:t>
      </w:r>
      <w:r>
        <w:rPr>
          <w:rFonts w:ascii="Times New Roman" w:hAnsi="Times New Roman"/>
          <w:sz w:val="24"/>
        </w:rPr>
        <w:t xml:space="preserve"> dokumentācijas paketēm (</w:t>
      </w:r>
      <w:r>
        <w:rPr>
          <w:rFonts w:ascii="Times New Roman" w:hAnsi="Times New Roman"/>
          <w:i/>
          <w:iCs/>
          <w:sz w:val="24"/>
        </w:rPr>
        <w:t>TD LDOC</w:t>
      </w:r>
      <w:r>
        <w:rPr>
          <w:rFonts w:ascii="Times New Roman" w:hAnsi="Times New Roman"/>
          <w:sz w:val="24"/>
        </w:rPr>
        <w:t>) [19].</w:t>
      </w:r>
    </w:p>
    <w:p w14:paraId="737F35F5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14"/>
        </w:rPr>
      </w:pPr>
    </w:p>
    <w:p w14:paraId="7245EF49" w14:textId="77777777" w:rsidR="00660BEC" w:rsidRPr="00B03E01" w:rsidRDefault="00660BEC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  <w:u w:val="single"/>
        </w:rPr>
        <w:t>Sākotnējās pārbaudes procedūras</w:t>
      </w:r>
      <w:r>
        <w:rPr>
          <w:rFonts w:ascii="Times New Roman" w:hAnsi="Times New Roman"/>
          <w:sz w:val="24"/>
        </w:rPr>
        <w:t xml:space="preserve"> prasības:</w:t>
      </w:r>
    </w:p>
    <w:p w14:paraId="2A790E6A" w14:textId="77777777" w:rsidR="008761CC" w:rsidRPr="008761CC" w:rsidRDefault="008761CC" w:rsidP="008761CC">
      <w:pPr>
        <w:jc w:val="both"/>
        <w:rPr>
          <w:rFonts w:ascii="Times New Roman" w:eastAsia="Verdana" w:hAnsi="Times New Roman" w:cs="Verdana"/>
          <w:noProof/>
          <w:sz w:val="24"/>
        </w:rPr>
      </w:pPr>
    </w:p>
    <w:p w14:paraId="7FF9CA50" w14:textId="1004FD60" w:rsidR="00660BEC" w:rsidRPr="00B03E01" w:rsidRDefault="00660BEC" w:rsidP="008761CC">
      <w:pPr>
        <w:numPr>
          <w:ilvl w:val="0"/>
          <w:numId w:val="5"/>
        </w:numPr>
        <w:ind w:left="426" w:hanging="426"/>
        <w:jc w:val="both"/>
        <w:rPr>
          <w:rFonts w:ascii="Times New Roman" w:eastAsia="Verdana" w:hAnsi="Times New Roman" w:cs="Verdana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paraugs</w:t>
      </w:r>
      <w:r>
        <w:rPr>
          <w:rFonts w:ascii="Times New Roman" w:hAnsi="Times New Roman"/>
          <w:sz w:val="24"/>
        </w:rPr>
        <w:t xml:space="preserve"> (sākotnējās </w:t>
      </w:r>
      <w:r>
        <w:rPr>
          <w:rFonts w:ascii="Times New Roman" w:hAnsi="Times New Roman"/>
          <w:i/>
          <w:iCs/>
          <w:sz w:val="24"/>
        </w:rPr>
        <w:t>pārbaudes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alikvota</w:t>
      </w:r>
      <w:r>
        <w:rPr>
          <w:rFonts w:ascii="Times New Roman" w:hAnsi="Times New Roman"/>
          <w:sz w:val="24"/>
        </w:rPr>
        <w:t>);</w:t>
      </w:r>
    </w:p>
    <w:p w14:paraId="2CD35693" w14:textId="22BD11EB" w:rsidR="00660BEC" w:rsidRPr="00B03E01" w:rsidRDefault="00660BEC" w:rsidP="008761CC">
      <w:pPr>
        <w:pStyle w:val="BodyTex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negatīvs kontrolparaugs</w:t>
      </w:r>
      <w:r w:rsidR="008761CC">
        <w:rPr>
          <w:rStyle w:val="FootnoteReference"/>
          <w:rFonts w:ascii="Times New Roman" w:hAnsi="Times New Roman"/>
          <w:noProof/>
          <w:sz w:val="24"/>
        </w:rPr>
        <w:footnoteReference w:id="5"/>
      </w:r>
      <w:r>
        <w:rPr>
          <w:rFonts w:ascii="Times New Roman" w:hAnsi="Times New Roman"/>
          <w:sz w:val="24"/>
        </w:rPr>
        <w:t>;</w:t>
      </w:r>
    </w:p>
    <w:p w14:paraId="42AD1474" w14:textId="77777777" w:rsidR="00660BEC" w:rsidRPr="00B03E01" w:rsidRDefault="00660BEC" w:rsidP="008761CC">
      <w:pPr>
        <w:pStyle w:val="BodyTex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piemērots preparāts, ko izmanto kā referenci, lai noteiktu bāziskās, skābās un endogēnās zonas (IEF) vai šķietamo molekulmasu (</w:t>
      </w:r>
      <w:r>
        <w:rPr>
          <w:rFonts w:ascii="Times New Roman" w:hAnsi="Times New Roman"/>
          <w:i/>
          <w:iCs/>
          <w:sz w:val="24"/>
        </w:rPr>
        <w:t>SDS-PAGE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SAR-PAGE</w:t>
      </w:r>
      <w:r>
        <w:rPr>
          <w:rFonts w:ascii="Times New Roman" w:hAnsi="Times New Roman"/>
          <w:sz w:val="24"/>
        </w:rPr>
        <w:t>).</w:t>
      </w:r>
    </w:p>
    <w:p w14:paraId="2E62A07D" w14:textId="77777777" w:rsidR="00660BEC" w:rsidRPr="00B03E01" w:rsidRDefault="00660BEC" w:rsidP="00B03E01">
      <w:pPr>
        <w:jc w:val="both"/>
        <w:rPr>
          <w:rFonts w:ascii="Times New Roman" w:eastAsia="Times New Roman" w:hAnsi="Times New Roman" w:cs="Times New Roman"/>
          <w:noProof/>
          <w:sz w:val="24"/>
        </w:rPr>
      </w:pPr>
    </w:p>
    <w:p w14:paraId="18B3BA6C" w14:textId="77777777" w:rsidR="00660BEC" w:rsidRPr="00B03E01" w:rsidRDefault="00660BEC" w:rsidP="00162A3D">
      <w:pPr>
        <w:pStyle w:val="BodyText"/>
        <w:keepNext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  <w:u w:val="single"/>
        </w:rPr>
        <w:lastRenderedPageBreak/>
        <w:t>Apstiprināšanas procedūras</w:t>
      </w:r>
      <w:r>
        <w:rPr>
          <w:rFonts w:ascii="Times New Roman" w:hAnsi="Times New Roman"/>
          <w:sz w:val="24"/>
        </w:rPr>
        <w:t xml:space="preserve"> prasības:</w:t>
      </w:r>
    </w:p>
    <w:p w14:paraId="5EC9A08F" w14:textId="77777777" w:rsidR="008761CC" w:rsidRPr="008761CC" w:rsidRDefault="008761CC" w:rsidP="00162A3D">
      <w:pPr>
        <w:keepNext/>
        <w:tabs>
          <w:tab w:val="left" w:pos="762"/>
        </w:tabs>
        <w:jc w:val="both"/>
        <w:rPr>
          <w:rFonts w:ascii="Times New Roman" w:eastAsia="Verdana" w:hAnsi="Times New Roman" w:cs="Verdana"/>
          <w:noProof/>
          <w:sz w:val="24"/>
        </w:rPr>
      </w:pPr>
    </w:p>
    <w:p w14:paraId="42038100" w14:textId="012AB760" w:rsidR="00660BEC" w:rsidRPr="00B03E01" w:rsidRDefault="00660BEC" w:rsidP="00162A3D">
      <w:pPr>
        <w:keepNext/>
        <w:numPr>
          <w:ilvl w:val="0"/>
          <w:numId w:val="5"/>
        </w:numPr>
        <w:ind w:left="426" w:hanging="426"/>
        <w:jc w:val="both"/>
        <w:rPr>
          <w:rFonts w:ascii="Times New Roman" w:eastAsia="Verdana" w:hAnsi="Times New Roman" w:cs="Verdana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paraugs</w:t>
      </w:r>
      <w:r>
        <w:rPr>
          <w:rFonts w:ascii="Times New Roman" w:hAnsi="Times New Roman"/>
          <w:sz w:val="24"/>
        </w:rPr>
        <w:t xml:space="preserve"> (apstiprinājuma </w:t>
      </w:r>
      <w:r>
        <w:rPr>
          <w:rFonts w:ascii="Times New Roman" w:hAnsi="Times New Roman"/>
          <w:sz w:val="24"/>
          <w:u w:val="single"/>
        </w:rPr>
        <w:t>alikvota</w:t>
      </w:r>
      <w:r>
        <w:rPr>
          <w:rFonts w:ascii="Times New Roman" w:hAnsi="Times New Roman"/>
          <w:sz w:val="24"/>
        </w:rPr>
        <w:t>);</w:t>
      </w:r>
    </w:p>
    <w:p w14:paraId="1B78A695" w14:textId="77777777" w:rsidR="00660BEC" w:rsidRPr="00B03E01" w:rsidRDefault="00660BEC" w:rsidP="00162A3D">
      <w:pPr>
        <w:pStyle w:val="BodyText"/>
        <w:keepNext/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negatīvs kontrolparaugs</w:t>
      </w:r>
      <w:r>
        <w:rPr>
          <w:rFonts w:ascii="Times New Roman" w:hAnsi="Times New Roman"/>
          <w:sz w:val="24"/>
          <w:vertAlign w:val="superscript"/>
        </w:rPr>
        <w:t>5</w:t>
      </w:r>
      <w:r>
        <w:rPr>
          <w:rFonts w:ascii="Times New Roman" w:hAnsi="Times New Roman"/>
          <w:sz w:val="24"/>
        </w:rPr>
        <w:t>;</w:t>
      </w:r>
    </w:p>
    <w:p w14:paraId="7E9B63D6" w14:textId="35F1D39B" w:rsidR="00660BEC" w:rsidRPr="00B03E01" w:rsidRDefault="00660BEC" w:rsidP="008761CC">
      <w:pPr>
        <w:pStyle w:val="BodyTex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pozitīvs kontrolparaugs, kas satur piemērotu vielu (piemēram, </w:t>
      </w:r>
      <w:r>
        <w:rPr>
          <w:rFonts w:ascii="Times New Roman" w:hAnsi="Times New Roman"/>
          <w:i/>
          <w:iCs/>
          <w:sz w:val="24"/>
        </w:rPr>
        <w:t>rEPO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NESP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CERA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vertAlign w:val="superscript"/>
        </w:rPr>
        <w:t xml:space="preserve">5, </w:t>
      </w:r>
      <w:r w:rsidR="008761CC">
        <w:rPr>
          <w:rStyle w:val="FootnoteReference"/>
          <w:rFonts w:ascii="Times New Roman" w:hAnsi="Times New Roman"/>
          <w:noProof/>
          <w:sz w:val="24"/>
        </w:rPr>
        <w:footnoteReference w:id="6"/>
      </w:r>
      <w:r>
        <w:rPr>
          <w:rFonts w:ascii="Times New Roman" w:hAnsi="Times New Roman"/>
          <w:sz w:val="24"/>
        </w:rPr>
        <w:t>;</w:t>
      </w:r>
    </w:p>
    <w:p w14:paraId="2A521469" w14:textId="77777777" w:rsidR="00660BEC" w:rsidRPr="00B03E01" w:rsidRDefault="00660BEC" w:rsidP="008761CC">
      <w:pPr>
        <w:pStyle w:val="BodyTex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piemērots preparāts, ko izmanto kā referenci, lai noteiktu bāziskās, skābās un endogēnās zonas (IEF) vai šķietamo molekulmasu (</w:t>
      </w:r>
      <w:r>
        <w:rPr>
          <w:rFonts w:ascii="Times New Roman" w:hAnsi="Times New Roman"/>
          <w:i/>
          <w:iCs/>
          <w:sz w:val="24"/>
        </w:rPr>
        <w:t>SDS-PAGE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SAR-PAGE</w:t>
      </w:r>
      <w:r>
        <w:rPr>
          <w:rFonts w:ascii="Times New Roman" w:hAnsi="Times New Roman"/>
          <w:sz w:val="24"/>
        </w:rPr>
        <w:t>).</w:t>
      </w:r>
    </w:p>
    <w:p w14:paraId="6F7B8627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32"/>
        </w:rPr>
      </w:pPr>
    </w:p>
    <w:p w14:paraId="70D66759" w14:textId="77777777" w:rsidR="00660BEC" w:rsidRPr="00B03E01" w:rsidRDefault="00660BEC" w:rsidP="00B03E01">
      <w:pPr>
        <w:pStyle w:val="Heading3"/>
        <w:ind w:left="0" w:firstLine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5.1. Otrā atzinuma sniegšana</w:t>
      </w:r>
    </w:p>
    <w:p w14:paraId="1ED7A000" w14:textId="77777777" w:rsidR="008761CC" w:rsidRDefault="008761CC" w:rsidP="00B03E01">
      <w:pPr>
        <w:pStyle w:val="BodyText"/>
        <w:ind w:left="0"/>
        <w:jc w:val="both"/>
        <w:rPr>
          <w:rFonts w:ascii="Times New Roman" w:hAnsi="Times New Roman"/>
          <w:i/>
          <w:noProof/>
          <w:sz w:val="24"/>
        </w:rPr>
      </w:pPr>
    </w:p>
    <w:p w14:paraId="6C47B1CC" w14:textId="1470EDAA" w:rsidR="00660BEC" w:rsidRDefault="00660BEC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sz w:val="24"/>
        </w:rPr>
        <w:t>WADA</w:t>
      </w:r>
      <w:r>
        <w:rPr>
          <w:rFonts w:ascii="Times New Roman" w:hAnsi="Times New Roman"/>
          <w:sz w:val="24"/>
        </w:rPr>
        <w:t xml:space="preserve"> ir noteikusi, ka vienam no norādītajiem ekspertiem</w:t>
      </w:r>
      <w:r w:rsidR="00662BA8">
        <w:rPr>
          <w:rStyle w:val="FootnoteReference"/>
          <w:rFonts w:ascii="Times New Roman" w:hAnsi="Times New Roman"/>
          <w:noProof/>
          <w:sz w:val="24"/>
        </w:rPr>
        <w:footnoteReference w:id="7"/>
      </w:r>
      <w:r>
        <w:rPr>
          <w:rFonts w:ascii="Times New Roman" w:hAnsi="Times New Roman"/>
          <w:sz w:val="24"/>
        </w:rPr>
        <w:t xml:space="preserve"> ir jāsniedz viens otrais atzinums pirms ziņojuma iesniegšanas rezultātu pārvaldības iestādei(-ēm) par jebkādu </w:t>
      </w:r>
      <w:r>
        <w:rPr>
          <w:rFonts w:ascii="Times New Roman" w:hAnsi="Times New Roman"/>
          <w:i/>
          <w:iCs/>
          <w:sz w:val="24"/>
        </w:rPr>
        <w:t>nelabvēlīgu analīžu rezultātu</w:t>
      </w:r>
      <w:r>
        <w:rPr>
          <w:rFonts w:ascii="Times New Roman" w:hAnsi="Times New Roman"/>
          <w:sz w:val="24"/>
        </w:rPr>
        <w:t xml:space="preserve"> attiecībā uz </w:t>
      </w:r>
      <w:r>
        <w:rPr>
          <w:rFonts w:ascii="Times New Roman" w:hAnsi="Times New Roman"/>
          <w:i/>
          <w:iCs/>
          <w:sz w:val="24"/>
        </w:rPr>
        <w:t>rEPO</w:t>
      </w:r>
      <w:r>
        <w:rPr>
          <w:rFonts w:ascii="Times New Roman" w:hAnsi="Times New Roman"/>
          <w:sz w:val="24"/>
        </w:rPr>
        <w:t xml:space="preserve"> vai tā analogiem. Visus iesniegtos otros atzinumus kā </w:t>
      </w:r>
      <w:r>
        <w:rPr>
          <w:rFonts w:ascii="Times New Roman" w:hAnsi="Times New Roman"/>
          <w:sz w:val="24"/>
          <w:u w:val="single"/>
        </w:rPr>
        <w:t>laboratorijas</w:t>
      </w:r>
      <w:r>
        <w:rPr>
          <w:rFonts w:ascii="Times New Roman" w:hAnsi="Times New Roman"/>
          <w:sz w:val="24"/>
        </w:rPr>
        <w:t xml:space="preserve"> dokumentācijas daļu iekļauj </w:t>
      </w:r>
      <w:r>
        <w:rPr>
          <w:rFonts w:ascii="Times New Roman" w:hAnsi="Times New Roman"/>
          <w:sz w:val="24"/>
          <w:u w:val="single"/>
        </w:rPr>
        <w:t>laboratoriskās</w:t>
      </w:r>
      <w:r>
        <w:rPr>
          <w:rFonts w:ascii="Times New Roman" w:hAnsi="Times New Roman"/>
          <w:sz w:val="24"/>
        </w:rPr>
        <w:t xml:space="preserve"> dokumentācijas paketē.</w:t>
      </w:r>
    </w:p>
    <w:p w14:paraId="1E554BF9" w14:textId="77777777" w:rsidR="008761CC" w:rsidRPr="00B03E01" w:rsidRDefault="008761CC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</w:p>
    <w:p w14:paraId="157CD1AD" w14:textId="77777777" w:rsidR="00660BEC" w:rsidRPr="00B03E01" w:rsidRDefault="00660BEC" w:rsidP="00B03E01">
      <w:pPr>
        <w:pStyle w:val="BodyText"/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iCs/>
          <w:sz w:val="24"/>
        </w:rPr>
        <w:t>Kodeksa</w:t>
      </w:r>
      <w:r>
        <w:rPr>
          <w:rFonts w:ascii="Times New Roman" w:hAnsi="Times New Roman"/>
          <w:sz w:val="24"/>
        </w:rPr>
        <w:t xml:space="preserve"> 3. panta 2. punktā un 6. panta 2. punktā izklāstītie noteikumi ļauj izmantot rezultātus, lai noteiktu </w:t>
      </w:r>
      <w:r>
        <w:rPr>
          <w:rFonts w:ascii="Times New Roman" w:hAnsi="Times New Roman"/>
          <w:i/>
          <w:iCs/>
          <w:sz w:val="24"/>
        </w:rPr>
        <w:t>sportistu</w:t>
      </w:r>
      <w:r>
        <w:rPr>
          <w:rFonts w:ascii="Times New Roman" w:hAnsi="Times New Roman"/>
          <w:sz w:val="24"/>
        </w:rPr>
        <w:t xml:space="preserve"> dopinga profilus. Tādējādi, pat ja </w:t>
      </w:r>
      <w:r>
        <w:rPr>
          <w:rFonts w:ascii="Times New Roman" w:hAnsi="Times New Roman"/>
          <w:sz w:val="24"/>
          <w:u w:val="single"/>
        </w:rPr>
        <w:t>laboratorija</w:t>
      </w:r>
      <w:r>
        <w:rPr>
          <w:rFonts w:ascii="Times New Roman" w:hAnsi="Times New Roman"/>
          <w:sz w:val="24"/>
        </w:rPr>
        <w:t xml:space="preserve"> ziņo par </w:t>
      </w:r>
      <w:r>
        <w:rPr>
          <w:rFonts w:ascii="Times New Roman" w:hAnsi="Times New Roman"/>
          <w:i/>
          <w:iCs/>
          <w:sz w:val="24"/>
        </w:rPr>
        <w:t>EPO</w:t>
      </w:r>
      <w:r>
        <w:rPr>
          <w:rFonts w:ascii="Times New Roman" w:hAnsi="Times New Roman"/>
          <w:sz w:val="24"/>
        </w:rPr>
        <w:t xml:space="preserve"> analīzes rezultātiem kā par negatīviem, pamatojoties uz IEF un/vai </w:t>
      </w:r>
      <w:r>
        <w:rPr>
          <w:rFonts w:ascii="Times New Roman" w:hAnsi="Times New Roman"/>
          <w:i/>
          <w:iCs/>
          <w:sz w:val="24"/>
        </w:rPr>
        <w:t>SDS/SAR-PAGE</w:t>
      </w:r>
      <w:r>
        <w:rPr>
          <w:rFonts w:ascii="Times New Roman" w:hAnsi="Times New Roman"/>
          <w:sz w:val="24"/>
        </w:rPr>
        <w:t xml:space="preserve"> analīzi, minētajā analīzē iekļautā informācija, ko papildina cita informācija (</w:t>
      </w:r>
      <w:r>
        <w:rPr>
          <w:rFonts w:ascii="Times New Roman" w:hAnsi="Times New Roman"/>
          <w:i/>
          <w:iCs/>
          <w:sz w:val="24"/>
        </w:rPr>
        <w:t>piemēram</w:t>
      </w:r>
      <w:r>
        <w:rPr>
          <w:rFonts w:ascii="Times New Roman" w:hAnsi="Times New Roman"/>
          <w:sz w:val="24"/>
        </w:rPr>
        <w:t>, asiņu mainīgie lielumi, garenprofili un liecības), var saglabāt nozīmi plašākā skatījumā, lai varētu konstatēt antidopinga noteikumu pārkāpumus.</w:t>
      </w:r>
    </w:p>
    <w:p w14:paraId="4927AF27" w14:textId="77777777" w:rsidR="00660BEC" w:rsidRPr="00B03E01" w:rsidRDefault="00660BEC" w:rsidP="00B03E01">
      <w:pPr>
        <w:jc w:val="both"/>
        <w:rPr>
          <w:rFonts w:ascii="Times New Roman" w:eastAsia="Times New Roman" w:hAnsi="Times New Roman" w:cs="Times New Roman"/>
          <w:noProof/>
          <w:sz w:val="24"/>
        </w:rPr>
      </w:pPr>
    </w:p>
    <w:p w14:paraId="127753B2" w14:textId="6AB3F9C0" w:rsidR="00660BEC" w:rsidRPr="00B03E01" w:rsidRDefault="00662BA8" w:rsidP="00662BA8">
      <w:pPr>
        <w:pStyle w:val="Heading2"/>
        <w:tabs>
          <w:tab w:val="left" w:pos="724"/>
        </w:tabs>
        <w:ind w:left="0"/>
        <w:jc w:val="both"/>
        <w:rPr>
          <w:rFonts w:ascii="Times New Roman" w:hAnsi="Times New Roman"/>
          <w:noProof/>
          <w:u w:val="thick" w:color="000000"/>
        </w:rPr>
      </w:pPr>
      <w:r>
        <w:rPr>
          <w:rFonts w:ascii="Times New Roman" w:hAnsi="Times New Roman"/>
          <w:u w:val="none" w:color="000000"/>
        </w:rPr>
        <w:t xml:space="preserve">6.0. </w:t>
      </w:r>
      <w:r>
        <w:rPr>
          <w:rFonts w:ascii="Times New Roman" w:hAnsi="Times New Roman"/>
          <w:u w:val="thick" w:color="000000"/>
        </w:rPr>
        <w:t>Atsauces</w:t>
      </w:r>
    </w:p>
    <w:p w14:paraId="06D2960E" w14:textId="77777777" w:rsidR="00660BEC" w:rsidRPr="00B03E01" w:rsidRDefault="00660BEC" w:rsidP="00B03E01">
      <w:pPr>
        <w:jc w:val="both"/>
        <w:rPr>
          <w:rFonts w:ascii="Times New Roman" w:eastAsia="Verdana" w:hAnsi="Times New Roman" w:cs="Verdana"/>
          <w:b/>
          <w:bCs/>
          <w:noProof/>
          <w:sz w:val="24"/>
          <w:szCs w:val="19"/>
        </w:rPr>
      </w:pPr>
    </w:p>
    <w:p w14:paraId="57D34803" w14:textId="26B8C3B5" w:rsidR="00660BEC" w:rsidRPr="00B03E01" w:rsidRDefault="00662BA8" w:rsidP="00662BA8">
      <w:pPr>
        <w:tabs>
          <w:tab w:val="left" w:pos="942"/>
        </w:tabs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sz w:val="24"/>
        </w:rPr>
        <w:t xml:space="preserve">1. Lasne F, Martin L, Crepin N, de Ceaurriz J. Detection of isoelectric profiles of erythropoietin in urine: differentiation of natural and administered recombinant hormones. </w:t>
      </w:r>
      <w:r>
        <w:rPr>
          <w:rFonts w:ascii="Times New Roman" w:hAnsi="Times New Roman"/>
          <w:i/>
          <w:sz w:val="24"/>
        </w:rPr>
        <w:t xml:space="preserve">Anal Biochem </w:t>
      </w:r>
      <w:r>
        <w:rPr>
          <w:rFonts w:ascii="Times New Roman" w:hAnsi="Times New Roman"/>
          <w:b/>
          <w:sz w:val="24"/>
        </w:rPr>
        <w:t>311</w:t>
      </w:r>
      <w:r>
        <w:rPr>
          <w:rFonts w:ascii="Times New Roman" w:hAnsi="Times New Roman"/>
          <w:sz w:val="24"/>
        </w:rPr>
        <w:t>: 119–126 (2002).</w:t>
      </w:r>
    </w:p>
    <w:p w14:paraId="5F7E8C61" w14:textId="029E8651" w:rsidR="00660BEC" w:rsidRPr="00B03E01" w:rsidRDefault="00662BA8" w:rsidP="00662BA8">
      <w:pPr>
        <w:tabs>
          <w:tab w:val="left" w:pos="942"/>
        </w:tabs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sz w:val="24"/>
        </w:rPr>
        <w:t xml:space="preserve">2. Reichel C, Abzieher F, Geisendorfer T. SARCOSYL-PAGE: a new method for the detection of MIRCERA- and EPO-doping in blood. </w:t>
      </w:r>
      <w:r>
        <w:rPr>
          <w:rFonts w:ascii="Times New Roman" w:hAnsi="Times New Roman"/>
          <w:i/>
          <w:sz w:val="24"/>
        </w:rPr>
        <w:t xml:space="preserve">Drug Test Anal 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>(11-12): 494–504 (2009).</w:t>
      </w:r>
    </w:p>
    <w:p w14:paraId="14DC57A8" w14:textId="3F04CFE3" w:rsidR="00660BEC" w:rsidRPr="00B03E01" w:rsidRDefault="00662BA8" w:rsidP="00662BA8">
      <w:pPr>
        <w:tabs>
          <w:tab w:val="left" w:pos="942"/>
        </w:tabs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sz w:val="24"/>
        </w:rPr>
        <w:t xml:space="preserve">3. Reichel C. SARCOSYL-PAGE: A New Electrophoretic Method for the Separation and Immunological Detection of PEGylated Proteins. </w:t>
      </w:r>
      <w:r>
        <w:rPr>
          <w:rFonts w:ascii="Times New Roman" w:hAnsi="Times New Roman"/>
          <w:i/>
          <w:sz w:val="24"/>
        </w:rPr>
        <w:t xml:space="preserve">Methods Mol Biol. </w:t>
      </w:r>
      <w:r>
        <w:rPr>
          <w:rFonts w:ascii="Times New Roman" w:hAnsi="Times New Roman"/>
          <w:b/>
          <w:sz w:val="24"/>
        </w:rPr>
        <w:t>869</w:t>
      </w:r>
      <w:r>
        <w:rPr>
          <w:rFonts w:ascii="Times New Roman" w:hAnsi="Times New Roman"/>
          <w:sz w:val="24"/>
        </w:rPr>
        <w:t>: 65–79 (2012).</w:t>
      </w:r>
    </w:p>
    <w:p w14:paraId="641B8984" w14:textId="798350B7" w:rsidR="00660BEC" w:rsidRPr="00B03E01" w:rsidRDefault="00662BA8" w:rsidP="00662BA8">
      <w:pPr>
        <w:tabs>
          <w:tab w:val="left" w:pos="942"/>
        </w:tabs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sz w:val="24"/>
        </w:rPr>
        <w:t xml:space="preserve">4. Lasne F, Martin L, Martin JA. A fast preparative method for detection of recombinant erythropoietin in blood samples. </w:t>
      </w:r>
      <w:r>
        <w:rPr>
          <w:rFonts w:ascii="Times New Roman" w:hAnsi="Times New Roman"/>
          <w:i/>
          <w:sz w:val="24"/>
        </w:rPr>
        <w:t>Drug Test Anal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>: 494–495 (2010).</w:t>
      </w:r>
    </w:p>
    <w:p w14:paraId="0F7783B8" w14:textId="2B9AFA86" w:rsidR="00660BEC" w:rsidRPr="00B03E01" w:rsidRDefault="00662BA8" w:rsidP="00662BA8">
      <w:pPr>
        <w:tabs>
          <w:tab w:val="left" w:pos="942"/>
        </w:tabs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sz w:val="24"/>
        </w:rPr>
        <w:t xml:space="preserve">5. Lasne F, Martin L, Martin JA, de Ceaurriz J. Isoelectric profiles of human erythropoietin are different in serum and urine. </w:t>
      </w:r>
      <w:r>
        <w:rPr>
          <w:rFonts w:ascii="Times New Roman" w:hAnsi="Times New Roman"/>
          <w:i/>
          <w:sz w:val="24"/>
        </w:rPr>
        <w:t xml:space="preserve">Int J Biol Macromol </w:t>
      </w:r>
      <w:r>
        <w:rPr>
          <w:rFonts w:ascii="Times New Roman" w:hAnsi="Times New Roman"/>
          <w:b/>
          <w:sz w:val="24"/>
        </w:rPr>
        <w:t>41</w:t>
      </w:r>
      <w:r>
        <w:rPr>
          <w:rFonts w:ascii="Times New Roman" w:hAnsi="Times New Roman"/>
          <w:sz w:val="24"/>
        </w:rPr>
        <w:t>: 354–357 (2007).</w:t>
      </w:r>
    </w:p>
    <w:p w14:paraId="7704D97F" w14:textId="7321BD00" w:rsidR="00660BEC" w:rsidRPr="00B03E01" w:rsidRDefault="00662BA8" w:rsidP="00662BA8">
      <w:pPr>
        <w:tabs>
          <w:tab w:val="left" w:pos="942"/>
        </w:tabs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sz w:val="24"/>
        </w:rPr>
        <w:lastRenderedPageBreak/>
        <w:t xml:space="preserve">6. Mallorquí J, Segura J, de Bolòs C, Gutiérrez-Gallego R, Pascual JA. Recombinant erythropoietin found in seized blood bags from sportsmen. </w:t>
      </w:r>
      <w:r>
        <w:rPr>
          <w:rFonts w:ascii="Times New Roman" w:hAnsi="Times New Roman"/>
          <w:i/>
          <w:sz w:val="24"/>
        </w:rPr>
        <w:t xml:space="preserve">Haematologica </w:t>
      </w:r>
      <w:r>
        <w:rPr>
          <w:rFonts w:ascii="Times New Roman" w:hAnsi="Times New Roman"/>
          <w:b/>
          <w:sz w:val="24"/>
        </w:rPr>
        <w:t>93</w:t>
      </w:r>
      <w:r>
        <w:rPr>
          <w:rFonts w:ascii="Times New Roman" w:hAnsi="Times New Roman"/>
          <w:sz w:val="24"/>
        </w:rPr>
        <w:t>(2): 313–314 (2008).</w:t>
      </w:r>
    </w:p>
    <w:p w14:paraId="2232C3E9" w14:textId="75CBC560" w:rsidR="00660BEC" w:rsidRPr="00662BA8" w:rsidRDefault="00662BA8" w:rsidP="00662BA8">
      <w:pPr>
        <w:tabs>
          <w:tab w:val="left" w:pos="942"/>
        </w:tabs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7. Dehnes Y, Lamon S, Lönnberg M. Erythropoietin (EPO) immunoaffinity columns – A powerful tool for purifying EPO and its recombinant analogous. JPBA 53: 1028–1032 (2010).</w:t>
      </w:r>
    </w:p>
    <w:p w14:paraId="109283BC" w14:textId="54D79E2E" w:rsidR="00660BEC" w:rsidRPr="00B03E01" w:rsidRDefault="00662BA8" w:rsidP="00662BA8">
      <w:pPr>
        <w:tabs>
          <w:tab w:val="left" w:pos="942"/>
        </w:tabs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sz w:val="24"/>
        </w:rPr>
        <w:t xml:space="preserve">8. Lönnberg M, Dehnes Y, Drevin M </w:t>
      </w:r>
      <w:r>
        <w:rPr>
          <w:rFonts w:ascii="Times New Roman" w:hAnsi="Times New Roman"/>
          <w:i/>
          <w:iCs/>
          <w:sz w:val="24"/>
        </w:rPr>
        <w:t>et al.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Rapid affinity purification of erythropoietin from biological samples using disposable monoliths. </w:t>
      </w:r>
      <w:r>
        <w:rPr>
          <w:rFonts w:ascii="Times New Roman" w:hAnsi="Times New Roman"/>
          <w:i/>
          <w:sz w:val="24"/>
        </w:rPr>
        <w:t>J Chromatogr A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1217</w:t>
      </w:r>
      <w:r>
        <w:rPr>
          <w:rFonts w:ascii="Times New Roman" w:hAnsi="Times New Roman"/>
          <w:sz w:val="24"/>
        </w:rPr>
        <w:t>(45): 7031–7037 (2010).</w:t>
      </w:r>
    </w:p>
    <w:p w14:paraId="5FD47EB7" w14:textId="084B3208" w:rsidR="00660BEC" w:rsidRPr="00B03E01" w:rsidRDefault="00662BA8" w:rsidP="00662BA8">
      <w:pPr>
        <w:tabs>
          <w:tab w:val="left" w:pos="942"/>
        </w:tabs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sz w:val="24"/>
        </w:rPr>
        <w:t xml:space="preserve">9. Mallorquí J, Llop E, de Bolòs C, Gutiérrez-Gallego R, Segura J, Pascual JA. Purification of erythropoietin from human plasma samples using an immunoaffinity well plate. </w:t>
      </w:r>
      <w:r>
        <w:rPr>
          <w:rFonts w:ascii="Times New Roman" w:hAnsi="Times New Roman"/>
          <w:i/>
          <w:sz w:val="24"/>
        </w:rPr>
        <w:t xml:space="preserve">J Chromatogr B Analyt Technol Biomed Life Sci </w:t>
      </w:r>
      <w:r>
        <w:rPr>
          <w:rFonts w:ascii="Times New Roman" w:hAnsi="Times New Roman"/>
          <w:b/>
          <w:sz w:val="24"/>
        </w:rPr>
        <w:t>878</w:t>
      </w:r>
      <w:r>
        <w:rPr>
          <w:rFonts w:ascii="Times New Roman" w:hAnsi="Times New Roman"/>
          <w:sz w:val="24"/>
        </w:rPr>
        <w:t>(23): 2117–2122 (2010).</w:t>
      </w:r>
    </w:p>
    <w:p w14:paraId="760E0DE4" w14:textId="3A8BD60E" w:rsidR="00660BEC" w:rsidRPr="00B03E01" w:rsidRDefault="00662BA8" w:rsidP="00662BA8">
      <w:pPr>
        <w:tabs>
          <w:tab w:val="left" w:pos="1034"/>
        </w:tabs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sz w:val="24"/>
        </w:rPr>
        <w:t xml:space="preserve">10. Reihlen P, Völker-Schänzer E, Majer B, Schänzer W. Easy-to-use IEF compatible immunoaffinity purification of Erythropoietin from urine retentates. </w:t>
      </w:r>
      <w:r>
        <w:rPr>
          <w:rFonts w:ascii="Times New Roman" w:hAnsi="Times New Roman"/>
          <w:i/>
          <w:sz w:val="24"/>
        </w:rPr>
        <w:t xml:space="preserve">Drug Test Anal </w:t>
      </w:r>
      <w:r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sz w:val="24"/>
        </w:rPr>
        <w:t>(11): 813–817 (2012).</w:t>
      </w:r>
    </w:p>
    <w:p w14:paraId="1437D4C0" w14:textId="466DB009" w:rsidR="00660BEC" w:rsidRPr="00B03E01" w:rsidRDefault="00662BA8" w:rsidP="00662BA8">
      <w:pPr>
        <w:tabs>
          <w:tab w:val="left" w:pos="1029"/>
        </w:tabs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sz w:val="24"/>
        </w:rPr>
        <w:t xml:space="preserve">11. Leuenberger N, Saugy J, Mortensen RB, Schatz PJ, Giraud S, Saugy M. Methods for detection and confirmation of Hematide™/peginesatide in anti- doping samples. </w:t>
      </w:r>
      <w:r>
        <w:rPr>
          <w:rFonts w:ascii="Times New Roman" w:hAnsi="Times New Roman"/>
          <w:i/>
          <w:sz w:val="24"/>
        </w:rPr>
        <w:t xml:space="preserve">Forensic Sci Int </w:t>
      </w:r>
      <w:r>
        <w:rPr>
          <w:rFonts w:ascii="Times New Roman" w:hAnsi="Times New Roman"/>
          <w:b/>
          <w:sz w:val="24"/>
        </w:rPr>
        <w:t>213</w:t>
      </w:r>
      <w:r>
        <w:rPr>
          <w:rFonts w:ascii="Times New Roman" w:hAnsi="Times New Roman"/>
          <w:sz w:val="24"/>
        </w:rPr>
        <w:t>(1-3): 15–9 (2011).</w:t>
      </w:r>
    </w:p>
    <w:p w14:paraId="3CE97309" w14:textId="08016AF7" w:rsidR="00660BEC" w:rsidRPr="00B03E01" w:rsidRDefault="00662BA8" w:rsidP="00662BA8">
      <w:pPr>
        <w:tabs>
          <w:tab w:val="left" w:pos="1034"/>
        </w:tabs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sz w:val="24"/>
        </w:rPr>
        <w:t xml:space="preserve">12. Kohler M, Ayotte C, Desharnais P </w:t>
      </w:r>
      <w:r>
        <w:rPr>
          <w:rFonts w:ascii="Times New Roman" w:hAnsi="Times New Roman"/>
          <w:i/>
          <w:sz w:val="24"/>
        </w:rPr>
        <w:t>et al</w:t>
      </w:r>
      <w:r>
        <w:rPr>
          <w:rFonts w:ascii="Times New Roman" w:hAnsi="Times New Roman"/>
          <w:sz w:val="24"/>
        </w:rPr>
        <w:t xml:space="preserve">. Discrimination of recombinant and endogenous urinary erythropoietin by calculating relative mobility values from SDS gels. </w:t>
      </w:r>
      <w:r>
        <w:rPr>
          <w:rFonts w:ascii="Times New Roman" w:hAnsi="Times New Roman"/>
          <w:i/>
          <w:sz w:val="24"/>
        </w:rPr>
        <w:t xml:space="preserve">Int J Sports Med </w:t>
      </w:r>
      <w:r>
        <w:rPr>
          <w:rFonts w:ascii="Times New Roman" w:hAnsi="Times New Roman"/>
          <w:b/>
          <w:sz w:val="24"/>
        </w:rPr>
        <w:t>29</w:t>
      </w:r>
      <w:r>
        <w:rPr>
          <w:rFonts w:ascii="Times New Roman" w:hAnsi="Times New Roman"/>
          <w:sz w:val="24"/>
        </w:rPr>
        <w:t>(1): 1–6 (2008).</w:t>
      </w:r>
    </w:p>
    <w:p w14:paraId="62EEFD54" w14:textId="0E736BD1" w:rsidR="00660BEC" w:rsidRPr="00B03E01" w:rsidRDefault="00662BA8" w:rsidP="00662BA8">
      <w:pPr>
        <w:tabs>
          <w:tab w:val="left" w:pos="1034"/>
        </w:tabs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sz w:val="24"/>
        </w:rPr>
        <w:t xml:space="preserve">13. Reichel C, Kulovics R, Jordan V, Watzinger M, Geisendorfer T. SDS-PAGE of recombinant and endogenous erythropoietins: benefits and limitations of the method for application in doping control. </w:t>
      </w:r>
      <w:r>
        <w:rPr>
          <w:rFonts w:ascii="Times New Roman" w:hAnsi="Times New Roman"/>
          <w:i/>
          <w:sz w:val="24"/>
        </w:rPr>
        <w:t xml:space="preserve">Drug Test Anal 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>(1): 43–50 (2009).</w:t>
      </w:r>
    </w:p>
    <w:p w14:paraId="3E46A317" w14:textId="359BFCBD" w:rsidR="00660BEC" w:rsidRPr="00662BA8" w:rsidRDefault="00662BA8" w:rsidP="00662BA8">
      <w:pPr>
        <w:tabs>
          <w:tab w:val="left" w:pos="1034"/>
        </w:tabs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sz w:val="24"/>
        </w:rPr>
        <w:t xml:space="preserve">14. Reichel C, Thevis M. Detection of EPO-Fc fusion protein in human blood: Screening and confirmation protocols for sports drug testing. </w:t>
      </w:r>
      <w:r>
        <w:rPr>
          <w:rFonts w:ascii="Times New Roman" w:hAnsi="Times New Roman"/>
          <w:i/>
          <w:sz w:val="24"/>
        </w:rPr>
        <w:t xml:space="preserve">Drug Test Anal </w:t>
      </w:r>
      <w:r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sz w:val="24"/>
        </w:rPr>
        <w:t>(11): 818–829 (2012).</w:t>
      </w:r>
    </w:p>
    <w:p w14:paraId="36EB8C1D" w14:textId="165EBCE8" w:rsidR="00660BEC" w:rsidRPr="00B03E01" w:rsidRDefault="00662BA8" w:rsidP="00662BA8">
      <w:pPr>
        <w:tabs>
          <w:tab w:val="left" w:pos="1029"/>
        </w:tabs>
        <w:jc w:val="both"/>
        <w:rPr>
          <w:rFonts w:ascii="Times New Roman" w:eastAsia="Verdana" w:hAnsi="Times New Roman" w:cs="Verdana"/>
          <w:noProof/>
          <w:sz w:val="24"/>
          <w:szCs w:val="20"/>
        </w:rPr>
      </w:pPr>
      <w:r>
        <w:rPr>
          <w:rFonts w:ascii="Times New Roman" w:hAnsi="Times New Roman"/>
          <w:sz w:val="24"/>
        </w:rPr>
        <w:t xml:space="preserve">15. Möller I, Thomas A, Geyer H, Schänzer W, Thevis M. Synthesis, characterisation, and mass spectrometric detection of a pegylated EPO-mimetic peptide for sports drug testing purposes. </w:t>
      </w:r>
      <w:r>
        <w:rPr>
          <w:rFonts w:ascii="Times New Roman" w:hAnsi="Times New Roman"/>
          <w:i/>
          <w:sz w:val="24"/>
        </w:rPr>
        <w:t xml:space="preserve">Rapid Commun Mass Spectrom </w:t>
      </w:r>
      <w:r>
        <w:rPr>
          <w:rFonts w:ascii="Times New Roman" w:hAnsi="Times New Roman"/>
          <w:b/>
          <w:sz w:val="24"/>
        </w:rPr>
        <w:t>25</w:t>
      </w:r>
      <w:r>
        <w:rPr>
          <w:rFonts w:ascii="Times New Roman" w:hAnsi="Times New Roman"/>
          <w:sz w:val="24"/>
        </w:rPr>
        <w:t>(15), 2115–2123 (2011).</w:t>
      </w:r>
    </w:p>
    <w:p w14:paraId="056AF773" w14:textId="6D0E6C2F" w:rsidR="00660BEC" w:rsidRPr="00B03E01" w:rsidRDefault="00662BA8" w:rsidP="00662BA8">
      <w:pPr>
        <w:pStyle w:val="BodyText"/>
        <w:tabs>
          <w:tab w:val="left" w:pos="1019"/>
        </w:tabs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16. Möller I, Thomas A, Delahaut P, Geyer H, Schänzer W, Thevis M. Mass spectrometric detection of peginesatide in human urine in doping control analysis. </w:t>
      </w:r>
      <w:r>
        <w:rPr>
          <w:rFonts w:ascii="Times New Roman" w:hAnsi="Times New Roman"/>
          <w:i/>
          <w:sz w:val="24"/>
        </w:rPr>
        <w:t xml:space="preserve">Pharm Biomed Anal. </w:t>
      </w:r>
      <w:r>
        <w:rPr>
          <w:rFonts w:ascii="Times New Roman" w:hAnsi="Times New Roman"/>
          <w:b/>
          <w:bCs/>
          <w:sz w:val="24"/>
        </w:rPr>
        <w:t>70</w:t>
      </w:r>
      <w:r>
        <w:rPr>
          <w:rFonts w:ascii="Times New Roman" w:hAnsi="Times New Roman"/>
          <w:sz w:val="24"/>
        </w:rPr>
        <w:t>: 512–517 (2012)</w:t>
      </w:r>
    </w:p>
    <w:p w14:paraId="73A3B21E" w14:textId="5DB50E1D" w:rsidR="00660BEC" w:rsidRPr="00B03E01" w:rsidRDefault="00662BA8" w:rsidP="00662BA8">
      <w:pPr>
        <w:pStyle w:val="BodyText"/>
        <w:tabs>
          <w:tab w:val="left" w:pos="942"/>
        </w:tabs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17. Reichel C. Differences in sialic acid O-acetylation between human urinary and recombinant erythropoietins: a possible mass spectrometric marker for doping control. Drug Test Anal. </w:t>
      </w:r>
      <w:r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sz w:val="24"/>
        </w:rPr>
        <w:t>(11-12): 877–889 (2013).</w:t>
      </w:r>
    </w:p>
    <w:p w14:paraId="69F523B4" w14:textId="1B0DFE7B" w:rsidR="00660BEC" w:rsidRPr="00B03E01" w:rsidRDefault="00662BA8" w:rsidP="00662BA8">
      <w:pPr>
        <w:tabs>
          <w:tab w:val="left" w:pos="942"/>
        </w:tabs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18. WADA Technical Document TD IDCR: Identification Criteria for Qualitative Assays incorporating Column Chromatography and Mass Spectrometry.</w:t>
      </w:r>
    </w:p>
    <w:p w14:paraId="7C67A580" w14:textId="0F8F6AE7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18"/>
        </w:rPr>
      </w:pPr>
      <w:r>
        <w:rPr>
          <w:rFonts w:ascii="Times New Roman" w:hAnsi="Times New Roman"/>
          <w:color w:val="0000FF"/>
          <w:sz w:val="24"/>
          <w:u w:val="single" w:color="0000FF"/>
        </w:rPr>
        <w:t>http://www.wada-ama.org/Documents/World_Anti-Doping_Program/WADP-IS-Laboratories/Technical_Documents/WADA_TD2010IDCRv1.0_Identification%20Criteria%20for%20Qualitative%20Assays_May%2008%202010_EN.doc.pdf.</w:t>
      </w:r>
    </w:p>
    <w:p w14:paraId="2F451C08" w14:textId="77777777" w:rsidR="00660BEC" w:rsidRPr="00B03E01" w:rsidRDefault="00660BEC" w:rsidP="00B03E01">
      <w:pPr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19. WADA Technical Document TD LDOC: Laboratory Documentation Packages.</w:t>
      </w:r>
    </w:p>
    <w:p w14:paraId="0951348E" w14:textId="29CC4056" w:rsidR="00660BEC" w:rsidRPr="00B03E01" w:rsidRDefault="00660BEC" w:rsidP="00B03E01">
      <w:pPr>
        <w:jc w:val="both"/>
        <w:rPr>
          <w:rFonts w:ascii="Times New Roman" w:eastAsia="Verdana" w:hAnsi="Times New Roman" w:cs="Verdana"/>
          <w:noProof/>
          <w:sz w:val="24"/>
          <w:szCs w:val="18"/>
        </w:rPr>
      </w:pPr>
      <w:r>
        <w:rPr>
          <w:rFonts w:ascii="Times New Roman" w:hAnsi="Times New Roman"/>
          <w:color w:val="0000FF"/>
          <w:sz w:val="24"/>
          <w:u w:val="single" w:color="0000FF"/>
        </w:rPr>
        <w:t>http://www.wada-ama.org/Documents/World_Anti-Doping_Program/WADP-IS-Laboratories/Technical_Documents/WADA_TD2009_LDOC_Laboratory_Documentation_Packages_EN.pdf.</w:t>
      </w:r>
    </w:p>
    <w:sectPr w:rsidR="00660BEC" w:rsidRPr="00B03E01" w:rsidSect="00B03E0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D2FD7" w14:textId="77777777" w:rsidR="00076078" w:rsidRPr="00660BEC" w:rsidRDefault="00076078">
      <w:pPr>
        <w:rPr>
          <w:noProof/>
        </w:rPr>
      </w:pPr>
      <w:r w:rsidRPr="00660BEC">
        <w:rPr>
          <w:noProof/>
        </w:rPr>
        <w:separator/>
      </w:r>
    </w:p>
  </w:endnote>
  <w:endnote w:type="continuationSeparator" w:id="0">
    <w:p w14:paraId="53266AE1" w14:textId="77777777" w:rsidR="00076078" w:rsidRPr="00660BEC" w:rsidRDefault="00076078">
      <w:pPr>
        <w:rPr>
          <w:noProof/>
        </w:rPr>
      </w:pPr>
      <w:r w:rsidRPr="00660BEC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75FF4" w14:textId="77777777" w:rsidR="00EF52DF" w:rsidRPr="00EF52DF" w:rsidRDefault="00EF52DF" w:rsidP="00EF52DF">
    <w:pPr>
      <w:pStyle w:val="Header"/>
      <w:tabs>
        <w:tab w:val="left" w:pos="9072"/>
      </w:tabs>
      <w:rPr>
        <w:rStyle w:val="PageNumber"/>
        <w:rFonts w:ascii="Times New Roman" w:hAnsi="Times New Roman" w:cs="Times New Roman"/>
        <w:sz w:val="20"/>
        <w:szCs w:val="20"/>
      </w:rPr>
    </w:pPr>
  </w:p>
  <w:p w14:paraId="2BD8D61B" w14:textId="7BB69889" w:rsidR="00EF52DF" w:rsidRPr="00EF52DF" w:rsidRDefault="00EF52DF" w:rsidP="00EF52DF">
    <w:pPr>
      <w:pStyle w:val="Header"/>
      <w:tabs>
        <w:tab w:val="clear" w:pos="4513"/>
        <w:tab w:val="clear" w:pos="9026"/>
        <w:tab w:val="right" w:leader="underscore" w:pos="9072"/>
      </w:tabs>
      <w:rPr>
        <w:rStyle w:val="PageNumber"/>
        <w:rFonts w:ascii="Times New Roman" w:hAnsi="Times New Roman" w:cs="Times New Roman"/>
        <w:sz w:val="20"/>
        <w:szCs w:val="20"/>
      </w:rPr>
    </w:pPr>
    <w:r w:rsidRPr="00EF52DF">
      <w:rPr>
        <w:rStyle w:val="PageNumber"/>
        <w:rFonts w:ascii="Times New Roman" w:hAnsi="Times New Roman" w:cs="Times New Roman"/>
        <w:sz w:val="20"/>
        <w:szCs w:val="20"/>
      </w:rPr>
      <w:tab/>
    </w:r>
  </w:p>
  <w:p w14:paraId="389A81B5" w14:textId="77777777" w:rsidR="00EF52DF" w:rsidRPr="00EF52DF" w:rsidRDefault="00EF52DF" w:rsidP="00EF52DF">
    <w:pPr>
      <w:pStyle w:val="Header"/>
      <w:tabs>
        <w:tab w:val="right" w:pos="9072"/>
      </w:tabs>
      <w:rPr>
        <w:rStyle w:val="PageNumber"/>
        <w:rFonts w:ascii="Times New Roman" w:hAnsi="Times New Roman" w:cs="Times New Roman"/>
        <w:sz w:val="20"/>
        <w:szCs w:val="20"/>
      </w:rPr>
    </w:pPr>
  </w:p>
  <w:p w14:paraId="1A6EC390" w14:textId="43ED6C7C" w:rsidR="00EF52DF" w:rsidRPr="00EF52DF" w:rsidRDefault="00EF52DF" w:rsidP="00EF52DF">
    <w:pPr>
      <w:pStyle w:val="Footer"/>
      <w:tabs>
        <w:tab w:val="clear" w:pos="4513"/>
        <w:tab w:val="clear" w:pos="9026"/>
        <w:tab w:val="center" w:pos="9072"/>
      </w:tabs>
      <w:rPr>
        <w:rFonts w:ascii="Times New Roman" w:hAnsi="Times New Roman" w:cs="Times New Roman"/>
        <w:sz w:val="20"/>
        <w:szCs w:val="20"/>
      </w:rPr>
    </w:pPr>
    <w:r w:rsidRPr="00EF52DF">
      <w:rPr>
        <w:rFonts w:ascii="Times New Roman" w:hAnsi="Times New Roman" w:cs="Times New Roman"/>
        <w:noProof/>
        <w:sz w:val="20"/>
        <w:szCs w:val="20"/>
      </w:rPr>
      <w:t xml:space="preserve">Tulkojums </w:t>
    </w:r>
    <w:r w:rsidRPr="00EF52DF">
      <w:rPr>
        <w:rFonts w:ascii="Times New Roman" w:hAnsi="Times New Roman" w:cs="Times New Roman"/>
        <w:noProof/>
        <w:sz w:val="20"/>
        <w:szCs w:val="20"/>
      </w:rPr>
      <w:fldChar w:fldCharType="begin"/>
    </w:r>
    <w:r w:rsidRPr="00EF52DF">
      <w:rPr>
        <w:rFonts w:ascii="Times New Roman" w:hAnsi="Times New Roman" w:cs="Times New Roman"/>
        <w:noProof/>
        <w:sz w:val="20"/>
        <w:szCs w:val="20"/>
      </w:rPr>
      <w:instrText>symbol 211 \f "Symbol" \s 9</w:instrText>
    </w:r>
    <w:r w:rsidRPr="00EF52DF">
      <w:rPr>
        <w:rFonts w:ascii="Times New Roman" w:hAnsi="Times New Roman" w:cs="Times New Roman"/>
        <w:noProof/>
        <w:sz w:val="20"/>
        <w:szCs w:val="20"/>
      </w:rPr>
      <w:fldChar w:fldCharType="separate"/>
    </w:r>
    <w:r w:rsidRPr="00EF52DF">
      <w:rPr>
        <w:rFonts w:ascii="Times New Roman" w:hAnsi="Times New Roman" w:cs="Times New Roman"/>
        <w:noProof/>
        <w:sz w:val="20"/>
        <w:szCs w:val="20"/>
      </w:rPr>
      <w:t>Ó</w:t>
    </w:r>
    <w:r w:rsidRPr="00EF52DF">
      <w:rPr>
        <w:rFonts w:ascii="Times New Roman" w:hAnsi="Times New Roman" w:cs="Times New Roman"/>
        <w:noProof/>
        <w:sz w:val="20"/>
        <w:szCs w:val="20"/>
      </w:rPr>
      <w:fldChar w:fldCharType="end"/>
    </w:r>
    <w:r w:rsidRPr="00EF52DF">
      <w:rPr>
        <w:rFonts w:ascii="Times New Roman" w:hAnsi="Times New Roman" w:cs="Times New Roman"/>
        <w:noProof/>
        <w:sz w:val="20"/>
        <w:szCs w:val="20"/>
      </w:rPr>
      <w:t xml:space="preserve"> Valsts valodas centrs, 202</w:t>
    </w:r>
    <w:r w:rsidR="000A5348">
      <w:rPr>
        <w:rFonts w:ascii="Times New Roman" w:hAnsi="Times New Roman" w:cs="Times New Roman"/>
        <w:noProof/>
        <w:sz w:val="20"/>
        <w:szCs w:val="20"/>
      </w:rPr>
      <w:t>1</w:t>
    </w:r>
    <w:r w:rsidRPr="00EF52DF">
      <w:rPr>
        <w:rFonts w:ascii="Times New Roman" w:hAnsi="Times New Roman" w:cs="Times New Roman"/>
        <w:sz w:val="20"/>
        <w:szCs w:val="20"/>
      </w:rPr>
      <w:tab/>
    </w:r>
    <w:r w:rsidRPr="00EF52DF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EF52DF">
      <w:rPr>
        <w:rStyle w:val="PageNumber"/>
        <w:rFonts w:ascii="Times New Roman" w:hAnsi="Times New Roman" w:cs="Times New Roman"/>
        <w:sz w:val="20"/>
        <w:szCs w:val="20"/>
      </w:rPr>
      <w:instrText xml:space="preserve">page </w:instrText>
    </w:r>
    <w:r w:rsidRPr="00EF52DF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Pr="00EF52DF">
      <w:rPr>
        <w:rStyle w:val="PageNumber"/>
        <w:rFonts w:ascii="Times New Roman" w:hAnsi="Times New Roman" w:cs="Times New Roman"/>
        <w:sz w:val="20"/>
        <w:szCs w:val="20"/>
      </w:rPr>
      <w:t>2</w:t>
    </w:r>
    <w:r w:rsidRPr="00EF52DF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B4E35" w14:textId="77777777" w:rsidR="00EF52DF" w:rsidRPr="00EF52DF" w:rsidRDefault="00EF52DF" w:rsidP="00EF52DF">
    <w:pPr>
      <w:pStyle w:val="Header"/>
      <w:tabs>
        <w:tab w:val="left" w:pos="9072"/>
      </w:tabs>
      <w:rPr>
        <w:rStyle w:val="PageNumber"/>
        <w:rFonts w:ascii="Times New Roman" w:hAnsi="Times New Roman" w:cs="Times New Roman"/>
        <w:sz w:val="20"/>
        <w:szCs w:val="20"/>
      </w:rPr>
    </w:pPr>
    <w:bookmarkStart w:id="14" w:name="_Hlk496261764"/>
    <w:bookmarkStart w:id="15" w:name="_Hlk496261765"/>
    <w:bookmarkStart w:id="16" w:name="_Hlk496261766"/>
    <w:bookmarkStart w:id="17" w:name="_Hlk30491075"/>
    <w:bookmarkStart w:id="18" w:name="_Hlk30491076"/>
  </w:p>
  <w:p w14:paraId="756403CB" w14:textId="3D33B6E3" w:rsidR="00EF52DF" w:rsidRPr="00EF52DF" w:rsidRDefault="00EF52DF" w:rsidP="00EF52DF">
    <w:pPr>
      <w:pStyle w:val="Header"/>
      <w:tabs>
        <w:tab w:val="clear" w:pos="4513"/>
        <w:tab w:val="clear" w:pos="9026"/>
        <w:tab w:val="left" w:leader="underscore" w:pos="9072"/>
      </w:tabs>
      <w:rPr>
        <w:rStyle w:val="PageNumber"/>
        <w:rFonts w:ascii="Times New Roman" w:hAnsi="Times New Roman" w:cs="Times New Roman"/>
        <w:sz w:val="20"/>
        <w:szCs w:val="20"/>
      </w:rPr>
    </w:pPr>
    <w:r w:rsidRPr="00EF52DF">
      <w:rPr>
        <w:rStyle w:val="PageNumber"/>
        <w:rFonts w:ascii="Times New Roman" w:hAnsi="Times New Roman" w:cs="Times New Roman"/>
        <w:sz w:val="20"/>
        <w:szCs w:val="20"/>
      </w:rPr>
      <w:tab/>
    </w:r>
  </w:p>
  <w:p w14:paraId="18F279F6" w14:textId="77777777" w:rsidR="00EF52DF" w:rsidRPr="00EF52DF" w:rsidRDefault="00EF52DF" w:rsidP="00EF52DF">
    <w:pPr>
      <w:pStyle w:val="Header"/>
      <w:tabs>
        <w:tab w:val="left" w:pos="9072"/>
      </w:tabs>
      <w:rPr>
        <w:rStyle w:val="PageNumber"/>
        <w:rFonts w:ascii="Times New Roman" w:hAnsi="Times New Roman" w:cs="Times New Roman"/>
        <w:sz w:val="20"/>
        <w:szCs w:val="20"/>
      </w:rPr>
    </w:pPr>
  </w:p>
  <w:p w14:paraId="293D9115" w14:textId="5002AFEF" w:rsidR="00EF52DF" w:rsidRPr="00EF52DF" w:rsidRDefault="00EF52DF" w:rsidP="00EF52DF">
    <w:pPr>
      <w:pStyle w:val="Footer"/>
      <w:rPr>
        <w:rFonts w:ascii="Times New Roman" w:hAnsi="Times New Roman" w:cs="Times New Roman"/>
        <w:sz w:val="20"/>
        <w:szCs w:val="20"/>
      </w:rPr>
    </w:pPr>
    <w:r w:rsidRPr="00EF52DF">
      <w:rPr>
        <w:rFonts w:ascii="Times New Roman" w:hAnsi="Times New Roman" w:cs="Times New Roman"/>
        <w:noProof/>
        <w:sz w:val="20"/>
        <w:szCs w:val="20"/>
      </w:rPr>
      <w:t xml:space="preserve">Tulkojums </w:t>
    </w:r>
    <w:r w:rsidRPr="00EF52DF">
      <w:rPr>
        <w:rFonts w:ascii="Times New Roman" w:hAnsi="Times New Roman" w:cs="Times New Roman"/>
        <w:noProof/>
        <w:sz w:val="20"/>
        <w:szCs w:val="20"/>
      </w:rPr>
      <w:fldChar w:fldCharType="begin"/>
    </w:r>
    <w:r w:rsidRPr="00EF52DF">
      <w:rPr>
        <w:rFonts w:ascii="Times New Roman" w:hAnsi="Times New Roman" w:cs="Times New Roman"/>
        <w:noProof/>
        <w:sz w:val="20"/>
        <w:szCs w:val="20"/>
      </w:rPr>
      <w:instrText>symbol 211 \f "Symbol" \s 9</w:instrText>
    </w:r>
    <w:r w:rsidRPr="00EF52DF">
      <w:rPr>
        <w:rFonts w:ascii="Times New Roman" w:hAnsi="Times New Roman" w:cs="Times New Roman"/>
        <w:noProof/>
        <w:sz w:val="20"/>
        <w:szCs w:val="20"/>
      </w:rPr>
      <w:fldChar w:fldCharType="separate"/>
    </w:r>
    <w:r w:rsidRPr="00EF52DF">
      <w:rPr>
        <w:rFonts w:ascii="Times New Roman" w:hAnsi="Times New Roman" w:cs="Times New Roman"/>
        <w:noProof/>
        <w:sz w:val="20"/>
        <w:szCs w:val="20"/>
      </w:rPr>
      <w:t>Ó</w:t>
    </w:r>
    <w:r w:rsidRPr="00EF52DF">
      <w:rPr>
        <w:rFonts w:ascii="Times New Roman" w:hAnsi="Times New Roman" w:cs="Times New Roman"/>
        <w:noProof/>
        <w:sz w:val="20"/>
        <w:szCs w:val="20"/>
      </w:rPr>
      <w:fldChar w:fldCharType="end"/>
    </w:r>
    <w:r w:rsidRPr="00EF52DF">
      <w:rPr>
        <w:rFonts w:ascii="Times New Roman" w:hAnsi="Times New Roman" w:cs="Times New Roman"/>
        <w:noProof/>
        <w:sz w:val="20"/>
        <w:szCs w:val="20"/>
      </w:rPr>
      <w:t xml:space="preserve"> Valsts valodas centrs, 20</w:t>
    </w:r>
    <w:bookmarkEnd w:id="14"/>
    <w:bookmarkEnd w:id="15"/>
    <w:bookmarkEnd w:id="16"/>
    <w:r w:rsidRPr="00EF52DF">
      <w:rPr>
        <w:rFonts w:ascii="Times New Roman" w:hAnsi="Times New Roman" w:cs="Times New Roman"/>
        <w:noProof/>
        <w:sz w:val="20"/>
        <w:szCs w:val="20"/>
      </w:rPr>
      <w:t>2</w:t>
    </w:r>
    <w:bookmarkEnd w:id="17"/>
    <w:bookmarkEnd w:id="18"/>
    <w:r w:rsidR="000A5348">
      <w:rPr>
        <w:rFonts w:ascii="Times New Roman" w:hAnsi="Times New Roman" w:cs="Times New Roman"/>
        <w:noProof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41E24" w14:textId="77777777" w:rsidR="00076078" w:rsidRPr="00660BEC" w:rsidRDefault="00076078">
      <w:pPr>
        <w:rPr>
          <w:noProof/>
        </w:rPr>
      </w:pPr>
      <w:r w:rsidRPr="00660BEC">
        <w:rPr>
          <w:noProof/>
        </w:rPr>
        <w:separator/>
      </w:r>
    </w:p>
  </w:footnote>
  <w:footnote w:type="continuationSeparator" w:id="0">
    <w:p w14:paraId="3099DAB7" w14:textId="77777777" w:rsidR="00076078" w:rsidRPr="00660BEC" w:rsidRDefault="00076078">
      <w:pPr>
        <w:rPr>
          <w:noProof/>
        </w:rPr>
      </w:pPr>
      <w:r w:rsidRPr="00660BEC">
        <w:rPr>
          <w:noProof/>
        </w:rPr>
        <w:continuationSeparator/>
      </w:r>
    </w:p>
  </w:footnote>
  <w:footnote w:id="1">
    <w:p w14:paraId="6B6167E1" w14:textId="106DD3F1" w:rsidR="00E911B8" w:rsidRPr="00E911B8" w:rsidRDefault="00E911B8" w:rsidP="00E911B8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Imūnafinitātes attīrīšanai izmanto citas antivielas, nevis tās, kuras izmanto imūnblotingam.</w:t>
      </w:r>
    </w:p>
  </w:footnote>
  <w:footnote w:id="2">
    <w:p w14:paraId="700957E9" w14:textId="6FE744BF" w:rsidR="003F09A4" w:rsidRPr="003F09A4" w:rsidRDefault="003F09A4" w:rsidP="003F09A4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Šie ir dažādu </w:t>
      </w:r>
      <w:r>
        <w:rPr>
          <w:rFonts w:ascii="Times New Roman" w:hAnsi="Times New Roman"/>
          <w:i/>
          <w:iCs/>
        </w:rPr>
        <w:t>EPO</w:t>
      </w:r>
      <w:r>
        <w:rPr>
          <w:rFonts w:ascii="Times New Roman" w:hAnsi="Times New Roman"/>
        </w:rPr>
        <w:t xml:space="preserve"> analogu standartu piemēri pēc IEF; reālā </w:t>
      </w:r>
      <w:r>
        <w:rPr>
          <w:rFonts w:ascii="Times New Roman" w:hAnsi="Times New Roman"/>
          <w:i/>
          <w:iCs/>
        </w:rPr>
        <w:t>paraugā</w:t>
      </w:r>
      <w:r>
        <w:rPr>
          <w:rFonts w:ascii="Times New Roman" w:hAnsi="Times New Roman"/>
        </w:rPr>
        <w:t xml:space="preserve"> var noteikt arī endogēnā </w:t>
      </w:r>
      <w:r>
        <w:rPr>
          <w:rFonts w:ascii="Times New Roman" w:hAnsi="Times New Roman"/>
          <w:i/>
          <w:iCs/>
        </w:rPr>
        <w:t>uEPO</w:t>
      </w:r>
      <w:r>
        <w:rPr>
          <w:rFonts w:ascii="Times New Roman" w:hAnsi="Times New Roman"/>
        </w:rPr>
        <w:t xml:space="preserve"> klātbūtni.</w:t>
      </w:r>
    </w:p>
  </w:footnote>
  <w:footnote w:id="3">
    <w:p w14:paraId="5AF3347D" w14:textId="57D49D26" w:rsidR="003F09A4" w:rsidRPr="003F09A4" w:rsidRDefault="003F09A4" w:rsidP="003F09A4">
      <w:pPr>
        <w:pStyle w:val="FootnoteText"/>
        <w:jc w:val="both"/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Citus </w:t>
      </w:r>
      <w:r>
        <w:rPr>
          <w:rFonts w:ascii="Times New Roman" w:hAnsi="Times New Roman"/>
          <w:i/>
          <w:iCs/>
        </w:rPr>
        <w:t>uEPO</w:t>
      </w:r>
      <w:r>
        <w:rPr>
          <w:rFonts w:ascii="Times New Roman" w:hAnsi="Times New Roman"/>
        </w:rPr>
        <w:t xml:space="preserve"> vai </w:t>
      </w:r>
      <w:r>
        <w:rPr>
          <w:rFonts w:ascii="Times New Roman" w:hAnsi="Times New Roman"/>
          <w:i/>
          <w:iCs/>
        </w:rPr>
        <w:t>bEPO</w:t>
      </w:r>
      <w:r>
        <w:rPr>
          <w:rFonts w:ascii="Times New Roman" w:hAnsi="Times New Roman"/>
        </w:rPr>
        <w:t xml:space="preserve"> preparātus var izmantot kā referenci uz endogēno </w:t>
      </w:r>
      <w:r>
        <w:rPr>
          <w:rFonts w:ascii="Times New Roman" w:hAnsi="Times New Roman"/>
          <w:i/>
          <w:iCs/>
        </w:rPr>
        <w:t>EPO</w:t>
      </w:r>
      <w:r>
        <w:rPr>
          <w:rFonts w:ascii="Times New Roman" w:hAnsi="Times New Roman"/>
        </w:rPr>
        <w:t>.</w:t>
      </w:r>
    </w:p>
  </w:footnote>
  <w:footnote w:id="4">
    <w:p w14:paraId="24913ADF" w14:textId="1ACB5446" w:rsidR="00084922" w:rsidRPr="00084922" w:rsidRDefault="00084922" w:rsidP="00084922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Šādām antivielu joslām, kas rodas parauga sagatavošanas procesā, vienmēr jābūt </w:t>
      </w:r>
      <w:r>
        <w:rPr>
          <w:rFonts w:ascii="Times New Roman" w:hAnsi="Times New Roman"/>
          <w:i/>
          <w:iCs/>
        </w:rPr>
        <w:t>paraugos</w:t>
      </w:r>
      <w:r>
        <w:rPr>
          <w:rFonts w:ascii="Times New Roman" w:hAnsi="Times New Roman"/>
        </w:rPr>
        <w:t xml:space="preserve"> un kontrolparaugos.</w:t>
      </w:r>
    </w:p>
  </w:footnote>
  <w:footnote w:id="5">
    <w:p w14:paraId="4A652974" w14:textId="1FB0DA7E" w:rsidR="008761CC" w:rsidRPr="008761CC" w:rsidRDefault="008761CC" w:rsidP="008761CC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Kontrolparaugi ir paraugi, kuriem veic tādu pašu analītisko procedūru kā pārbaudāmajam </w:t>
      </w:r>
      <w:r>
        <w:rPr>
          <w:rFonts w:ascii="Times New Roman" w:hAnsi="Times New Roman"/>
          <w:i/>
          <w:iCs/>
        </w:rPr>
        <w:t>paraugam</w:t>
      </w:r>
      <w:r>
        <w:rPr>
          <w:rFonts w:ascii="Times New Roman" w:hAnsi="Times New Roman"/>
        </w:rPr>
        <w:t xml:space="preserve"> (piemēram, izmantojot tādu pašu parauga matricu, parauga sagatavošanas procesu utt.).</w:t>
      </w:r>
    </w:p>
  </w:footnote>
  <w:footnote w:id="6">
    <w:p w14:paraId="3E58BF01" w14:textId="760B98CC" w:rsidR="008761CC" w:rsidRPr="00662BA8" w:rsidRDefault="008761CC" w:rsidP="008761CC">
      <w:pPr>
        <w:pStyle w:val="BodyText"/>
        <w:tabs>
          <w:tab w:val="left" w:pos="364"/>
        </w:tabs>
        <w:ind w:left="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/>
          <w:sz w:val="20"/>
        </w:rPr>
        <w:t xml:space="preserve"> Pozitīvos kontrolparaugus izvēlas, pamatojoties uz </w:t>
      </w:r>
      <w:r>
        <w:rPr>
          <w:rFonts w:ascii="Times New Roman" w:hAnsi="Times New Roman"/>
          <w:sz w:val="20"/>
          <w:u w:val="single"/>
        </w:rPr>
        <w:t>sākotnējās pārbaudes procedūras</w:t>
      </w:r>
      <w:r>
        <w:rPr>
          <w:rFonts w:ascii="Times New Roman" w:hAnsi="Times New Roman"/>
          <w:sz w:val="20"/>
        </w:rPr>
        <w:t xml:space="preserve"> rezultātiem, kas sniedz norādi par to, kura viela jāapstiprina (piemēram,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iCs/>
          <w:sz w:val="20"/>
        </w:rPr>
        <w:t>rEPO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i/>
          <w:iCs/>
          <w:sz w:val="20"/>
        </w:rPr>
        <w:t>NESP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i/>
          <w:iCs/>
          <w:sz w:val="20"/>
        </w:rPr>
        <w:t>CERA</w:t>
      </w:r>
      <w:r>
        <w:rPr>
          <w:rFonts w:ascii="Times New Roman" w:hAnsi="Times New Roman"/>
          <w:sz w:val="20"/>
        </w:rPr>
        <w:t xml:space="preserve">). Tomēr pozitīvam kontrolparaugam ne vienmēr ir jāatbilst </w:t>
      </w:r>
      <w:r>
        <w:rPr>
          <w:rFonts w:ascii="Times New Roman" w:hAnsi="Times New Roman"/>
          <w:i/>
          <w:iCs/>
          <w:sz w:val="20"/>
        </w:rPr>
        <w:t>parauga</w:t>
      </w:r>
      <w:r>
        <w:rPr>
          <w:rFonts w:ascii="Times New Roman" w:hAnsi="Times New Roman"/>
          <w:sz w:val="20"/>
        </w:rPr>
        <w:t xml:space="preserve"> elektroforētiskajai uzvedībai. Piemēram, dažādu veidu </w:t>
      </w:r>
      <w:r>
        <w:rPr>
          <w:rFonts w:ascii="Times New Roman" w:hAnsi="Times New Roman"/>
          <w:i/>
          <w:iCs/>
          <w:sz w:val="20"/>
        </w:rPr>
        <w:t>rEPO</w:t>
      </w:r>
      <w:r>
        <w:rPr>
          <w:rFonts w:ascii="Times New Roman" w:hAnsi="Times New Roman"/>
          <w:sz w:val="20"/>
        </w:rPr>
        <w:t xml:space="preserve"> var būt atšķirīgi migrācijas modeļi gelā.</w:t>
      </w:r>
    </w:p>
  </w:footnote>
  <w:footnote w:id="7">
    <w:p w14:paraId="6CD518C3" w14:textId="77777777" w:rsidR="00662BA8" w:rsidRPr="00662BA8" w:rsidRDefault="00662BA8" w:rsidP="00662BA8">
      <w:pPr>
        <w:pStyle w:val="BodyText"/>
        <w:tabs>
          <w:tab w:val="left" w:pos="362"/>
        </w:tabs>
        <w:ind w:left="0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/>
          <w:sz w:val="20"/>
        </w:rPr>
        <w:t xml:space="preserve"> Eksperti (</w:t>
      </w:r>
      <w:r>
        <w:rPr>
          <w:rFonts w:ascii="Times New Roman" w:hAnsi="Times New Roman"/>
          <w:sz w:val="20"/>
          <w:u w:val="single"/>
        </w:rPr>
        <w:t>laboratoriju</w:t>
      </w:r>
      <w:r>
        <w:rPr>
          <w:rFonts w:ascii="Times New Roman" w:hAnsi="Times New Roman"/>
          <w:sz w:val="20"/>
        </w:rPr>
        <w:t xml:space="preserve"> darbinieki), kuri var sniegt otros atzinumus par </w:t>
      </w:r>
      <w:r>
        <w:rPr>
          <w:rFonts w:ascii="Times New Roman" w:hAnsi="Times New Roman"/>
          <w:sz w:val="20"/>
          <w:u w:val="single"/>
        </w:rPr>
        <w:t>laboratorijas</w:t>
      </w:r>
      <w:r>
        <w:rPr>
          <w:rFonts w:ascii="Times New Roman" w:hAnsi="Times New Roman"/>
          <w:sz w:val="20"/>
        </w:rPr>
        <w:t xml:space="preserve"> konstatējumiem attiecībā uz </w:t>
      </w:r>
      <w:r>
        <w:rPr>
          <w:rFonts w:ascii="Times New Roman" w:hAnsi="Times New Roman"/>
          <w:i/>
          <w:iCs/>
          <w:sz w:val="20"/>
        </w:rPr>
        <w:t>EPO</w:t>
      </w:r>
      <w:r>
        <w:rPr>
          <w:rFonts w:ascii="Times New Roman" w:hAnsi="Times New Roman"/>
          <w:sz w:val="20"/>
        </w:rPr>
        <w:t>:</w:t>
      </w:r>
    </w:p>
    <w:p w14:paraId="4623D638" w14:textId="0033FA4E" w:rsidR="00662BA8" w:rsidRPr="00662BA8" w:rsidRDefault="00662BA8" w:rsidP="00662BA8">
      <w:pPr>
        <w:pStyle w:val="BodyText"/>
        <w:tabs>
          <w:tab w:val="left" w:pos="942"/>
        </w:tabs>
        <w:ind w:left="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sz w:val="20"/>
        </w:rPr>
        <w:t>1. Kristiāna Ajota [</w:t>
      </w:r>
      <w:r>
        <w:rPr>
          <w:rFonts w:ascii="Times New Roman" w:hAnsi="Times New Roman"/>
          <w:i/>
          <w:iCs/>
          <w:sz w:val="20"/>
        </w:rPr>
        <w:t>Christiane Ayotte</w:t>
      </w:r>
      <w:r>
        <w:rPr>
          <w:rFonts w:ascii="Times New Roman" w:hAnsi="Times New Roman"/>
          <w:sz w:val="20"/>
        </w:rPr>
        <w:t>] (Monreāla);</w:t>
      </w:r>
    </w:p>
    <w:p w14:paraId="67DDF30A" w14:textId="4FE03C92" w:rsidR="00662BA8" w:rsidRPr="00662BA8" w:rsidRDefault="00662BA8" w:rsidP="00662BA8">
      <w:pPr>
        <w:pStyle w:val="BodyText"/>
        <w:tabs>
          <w:tab w:val="left" w:pos="942"/>
        </w:tabs>
        <w:ind w:left="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sz w:val="20"/>
        </w:rPr>
        <w:t>2. Iveta Dēnesa [</w:t>
      </w:r>
      <w:r>
        <w:rPr>
          <w:rFonts w:ascii="Times New Roman" w:hAnsi="Times New Roman"/>
          <w:i/>
          <w:iCs/>
          <w:sz w:val="20"/>
        </w:rPr>
        <w:t>Yvette Dehnes</w:t>
      </w:r>
      <w:r>
        <w:rPr>
          <w:rFonts w:ascii="Times New Roman" w:hAnsi="Times New Roman"/>
          <w:sz w:val="20"/>
        </w:rPr>
        <w:t>] (Oslo);</w:t>
      </w:r>
    </w:p>
    <w:p w14:paraId="48C1B886" w14:textId="079E11B2" w:rsidR="00662BA8" w:rsidRPr="00662BA8" w:rsidRDefault="00662BA8" w:rsidP="00662BA8">
      <w:pPr>
        <w:pStyle w:val="BodyText"/>
        <w:tabs>
          <w:tab w:val="left" w:pos="942"/>
        </w:tabs>
        <w:ind w:left="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sz w:val="20"/>
        </w:rPr>
        <w:t>3. Fransuāza Lana [</w:t>
      </w:r>
      <w:r>
        <w:rPr>
          <w:rFonts w:ascii="Times New Roman" w:hAnsi="Times New Roman"/>
          <w:i/>
          <w:iCs/>
          <w:sz w:val="20"/>
        </w:rPr>
        <w:t>Françoise Lasne</w:t>
      </w:r>
      <w:r>
        <w:rPr>
          <w:rFonts w:ascii="Times New Roman" w:hAnsi="Times New Roman"/>
          <w:sz w:val="20"/>
        </w:rPr>
        <w:t>] (Parīze);</w:t>
      </w:r>
    </w:p>
    <w:p w14:paraId="4AD0CA1D" w14:textId="0B4C1FE1" w:rsidR="00662BA8" w:rsidRPr="00662BA8" w:rsidRDefault="00662BA8" w:rsidP="00662BA8">
      <w:pPr>
        <w:pStyle w:val="BodyText"/>
        <w:tabs>
          <w:tab w:val="left" w:pos="942"/>
        </w:tabs>
        <w:ind w:left="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sz w:val="20"/>
        </w:rPr>
        <w:t>4. Nikolā Leienbergers [</w:t>
      </w:r>
      <w:r>
        <w:rPr>
          <w:rFonts w:ascii="Times New Roman" w:hAnsi="Times New Roman"/>
          <w:i/>
          <w:iCs/>
          <w:sz w:val="20"/>
        </w:rPr>
        <w:t>Nicolas Leuenberger</w:t>
      </w:r>
      <w:r>
        <w:rPr>
          <w:rFonts w:ascii="Times New Roman" w:hAnsi="Times New Roman"/>
          <w:sz w:val="20"/>
        </w:rPr>
        <w:t>] (Lozanna);</w:t>
      </w:r>
    </w:p>
    <w:p w14:paraId="46E6A7C8" w14:textId="4F3C2C01" w:rsidR="00662BA8" w:rsidRPr="00662BA8" w:rsidRDefault="00662BA8" w:rsidP="00662BA8">
      <w:pPr>
        <w:pStyle w:val="BodyText"/>
        <w:tabs>
          <w:tab w:val="left" w:pos="942"/>
        </w:tabs>
        <w:ind w:left="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sz w:val="20"/>
        </w:rPr>
        <w:t>5. Lorāns Martēns [</w:t>
      </w:r>
      <w:r>
        <w:rPr>
          <w:rFonts w:ascii="Times New Roman" w:hAnsi="Times New Roman"/>
          <w:i/>
          <w:iCs/>
          <w:sz w:val="20"/>
        </w:rPr>
        <w:t>Laurent Martin</w:t>
      </w:r>
      <w:r>
        <w:rPr>
          <w:rFonts w:ascii="Times New Roman" w:hAnsi="Times New Roman"/>
          <w:sz w:val="20"/>
        </w:rPr>
        <w:t>] (Parīze);</w:t>
      </w:r>
    </w:p>
    <w:p w14:paraId="19BF770E" w14:textId="3C4B55A0" w:rsidR="00662BA8" w:rsidRPr="00662BA8" w:rsidRDefault="00662BA8" w:rsidP="00662BA8">
      <w:pPr>
        <w:pStyle w:val="BodyText"/>
        <w:tabs>
          <w:tab w:val="left" w:pos="942"/>
        </w:tabs>
        <w:ind w:left="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sz w:val="20"/>
        </w:rPr>
        <w:t>6. Žans Fransuā No [</w:t>
      </w:r>
      <w:r>
        <w:rPr>
          <w:rFonts w:ascii="Times New Roman" w:hAnsi="Times New Roman"/>
          <w:i/>
          <w:iCs/>
          <w:sz w:val="20"/>
        </w:rPr>
        <w:t>Jean-François Naud</w:t>
      </w:r>
      <w:r>
        <w:rPr>
          <w:rFonts w:ascii="Times New Roman" w:hAnsi="Times New Roman"/>
          <w:sz w:val="20"/>
        </w:rPr>
        <w:t>] (Monreāla);</w:t>
      </w:r>
    </w:p>
    <w:p w14:paraId="61470DEE" w14:textId="7619AD53" w:rsidR="00662BA8" w:rsidRPr="00662BA8" w:rsidRDefault="00662BA8" w:rsidP="00662BA8">
      <w:pPr>
        <w:pStyle w:val="BodyText"/>
        <w:tabs>
          <w:tab w:val="left" w:pos="942"/>
        </w:tabs>
        <w:ind w:left="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sz w:val="20"/>
        </w:rPr>
        <w:t>7. Hosē A. Paskvāls [</w:t>
      </w:r>
      <w:r>
        <w:rPr>
          <w:rFonts w:ascii="Times New Roman" w:hAnsi="Times New Roman"/>
          <w:i/>
          <w:iCs/>
          <w:sz w:val="20"/>
        </w:rPr>
        <w:t>José A. Pascual</w:t>
      </w:r>
      <w:r>
        <w:rPr>
          <w:rFonts w:ascii="Times New Roman" w:hAnsi="Times New Roman"/>
          <w:sz w:val="20"/>
        </w:rPr>
        <w:t>] (Barselona);</w:t>
      </w:r>
    </w:p>
    <w:p w14:paraId="7DEE45FD" w14:textId="7EB01515" w:rsidR="00662BA8" w:rsidRPr="00662BA8" w:rsidRDefault="00662BA8" w:rsidP="00662BA8">
      <w:pPr>
        <w:pStyle w:val="BodyText"/>
        <w:tabs>
          <w:tab w:val="left" w:pos="942"/>
        </w:tabs>
        <w:ind w:left="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sz w:val="20"/>
        </w:rPr>
        <w:t>8. Kristians Reihels [</w:t>
      </w:r>
      <w:r>
        <w:rPr>
          <w:rFonts w:ascii="Times New Roman" w:hAnsi="Times New Roman"/>
          <w:i/>
          <w:iCs/>
          <w:sz w:val="20"/>
        </w:rPr>
        <w:t>Christian Reichel</w:t>
      </w:r>
      <w:r>
        <w:rPr>
          <w:rFonts w:ascii="Times New Roman" w:hAnsi="Times New Roman"/>
          <w:sz w:val="20"/>
        </w:rPr>
        <w:t>] (Zeibersdorfa);</w:t>
      </w:r>
    </w:p>
    <w:p w14:paraId="38FFF5A5" w14:textId="4010ED5F" w:rsidR="00662BA8" w:rsidRPr="00662BA8" w:rsidRDefault="00662BA8" w:rsidP="00662BA8">
      <w:pPr>
        <w:pStyle w:val="BodyText"/>
        <w:tabs>
          <w:tab w:val="left" w:pos="942"/>
        </w:tabs>
        <w:ind w:left="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sz w:val="20"/>
        </w:rPr>
        <w:t>9. Filips Reilens [</w:t>
      </w:r>
      <w:r>
        <w:rPr>
          <w:rFonts w:ascii="Times New Roman" w:hAnsi="Times New Roman"/>
          <w:i/>
          <w:iCs/>
          <w:sz w:val="20"/>
        </w:rPr>
        <w:t>Philipp Reihlen</w:t>
      </w:r>
      <w:r>
        <w:rPr>
          <w:rFonts w:ascii="Times New Roman" w:hAnsi="Times New Roman"/>
          <w:sz w:val="20"/>
        </w:rPr>
        <w:t>] (Ķelne);</w:t>
      </w:r>
    </w:p>
    <w:p w14:paraId="4B5A4B67" w14:textId="397B5B7C" w:rsidR="00662BA8" w:rsidRPr="00662BA8" w:rsidRDefault="00662BA8" w:rsidP="00662BA8">
      <w:pPr>
        <w:pStyle w:val="BodyText"/>
        <w:tabs>
          <w:tab w:val="left" w:pos="942"/>
        </w:tabs>
        <w:ind w:left="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0"/>
        </w:rPr>
        <w:t>10. Marsials Sožī [</w:t>
      </w:r>
      <w:r>
        <w:rPr>
          <w:rFonts w:ascii="Times New Roman" w:hAnsi="Times New Roman"/>
          <w:i/>
          <w:iCs/>
          <w:sz w:val="20"/>
        </w:rPr>
        <w:t>Martial Saugy</w:t>
      </w:r>
      <w:r>
        <w:rPr>
          <w:rFonts w:ascii="Times New Roman" w:hAnsi="Times New Roman"/>
          <w:sz w:val="20"/>
        </w:rPr>
        <w:t>] (Lozanna).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5F7D" w14:textId="77777777" w:rsidR="00EF52DF" w:rsidRPr="00EF52DF" w:rsidRDefault="00EF52DF" w:rsidP="00EF52DF">
    <w:pPr>
      <w:pStyle w:val="Header"/>
      <w:rPr>
        <w:rStyle w:val="PageNumber"/>
        <w:rFonts w:ascii="Times New Roman" w:hAnsi="Times New Roman" w:cs="Times New Roman"/>
        <w:sz w:val="20"/>
        <w:szCs w:val="20"/>
      </w:rPr>
    </w:pPr>
    <w:bookmarkStart w:id="0" w:name="_Hlk496261784"/>
    <w:bookmarkStart w:id="1" w:name="_Hlk496261785"/>
    <w:bookmarkStart w:id="2" w:name="_Hlk496261786"/>
    <w:bookmarkStart w:id="3" w:name="_Hlk502757728"/>
    <w:bookmarkStart w:id="4" w:name="_Hlk502757729"/>
    <w:bookmarkStart w:id="5" w:name="_Hlk502757738"/>
    <w:bookmarkStart w:id="6" w:name="_Hlk502757739"/>
    <w:bookmarkStart w:id="7" w:name="_Hlk30491084"/>
    <w:bookmarkStart w:id="8" w:name="_Hlk30491085"/>
  </w:p>
  <w:p w14:paraId="7ADD2429" w14:textId="59D6728D" w:rsidR="00EF52DF" w:rsidRPr="00EF52DF" w:rsidRDefault="00EF52DF" w:rsidP="00EF52DF">
    <w:pPr>
      <w:pStyle w:val="Header"/>
      <w:tabs>
        <w:tab w:val="clear" w:pos="4513"/>
        <w:tab w:val="clear" w:pos="9026"/>
        <w:tab w:val="right" w:leader="underscore" w:pos="9072"/>
      </w:tabs>
      <w:rPr>
        <w:rStyle w:val="PageNumber"/>
        <w:rFonts w:ascii="Times New Roman" w:hAnsi="Times New Roman" w:cs="Times New Roman"/>
        <w:sz w:val="20"/>
        <w:szCs w:val="20"/>
      </w:rPr>
    </w:pPr>
    <w:r w:rsidRPr="00EF52DF">
      <w:rPr>
        <w:rStyle w:val="PageNumber"/>
        <w:rFonts w:ascii="Times New Roman" w:hAnsi="Times New Roman" w:cs="Times New Roman"/>
        <w:sz w:val="20"/>
        <w:szCs w:val="20"/>
      </w:rPr>
      <w:tab/>
    </w:r>
  </w:p>
  <w:bookmarkEnd w:id="0"/>
  <w:bookmarkEnd w:id="1"/>
  <w:bookmarkEnd w:id="2"/>
  <w:bookmarkEnd w:id="3"/>
  <w:bookmarkEnd w:id="4"/>
  <w:bookmarkEnd w:id="5"/>
  <w:bookmarkEnd w:id="6"/>
  <w:bookmarkEnd w:id="7"/>
  <w:bookmarkEnd w:id="8"/>
  <w:p w14:paraId="10C12C5D" w14:textId="77777777" w:rsidR="00EF52DF" w:rsidRPr="00EF52DF" w:rsidRDefault="00EF52DF" w:rsidP="00EF52DF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22329" w14:textId="77777777" w:rsidR="00EF52DF" w:rsidRPr="00EF52DF" w:rsidRDefault="00EF52DF" w:rsidP="00EF52DF">
    <w:pPr>
      <w:pBdr>
        <w:bottom w:val="single" w:sz="12" w:space="5" w:color="auto"/>
      </w:pBdr>
      <w:rPr>
        <w:rFonts w:ascii="Times New Roman" w:hAnsi="Times New Roman" w:cs="Times New Roman"/>
        <w:spacing w:val="-2"/>
        <w:sz w:val="20"/>
        <w:szCs w:val="20"/>
      </w:rPr>
    </w:pPr>
    <w:bookmarkStart w:id="9" w:name="_Hlk496261745"/>
    <w:bookmarkStart w:id="10" w:name="_Hlk496261746"/>
    <w:bookmarkStart w:id="11" w:name="_Hlk496261747"/>
    <w:bookmarkStart w:id="12" w:name="_Hlk30491063"/>
    <w:bookmarkStart w:id="13" w:name="_Hlk30491064"/>
  </w:p>
  <w:bookmarkEnd w:id="9"/>
  <w:bookmarkEnd w:id="10"/>
  <w:bookmarkEnd w:id="11"/>
  <w:bookmarkEnd w:id="12"/>
  <w:bookmarkEnd w:id="13"/>
  <w:p w14:paraId="3FFB8662" w14:textId="77777777" w:rsidR="00EF52DF" w:rsidRPr="00EF52DF" w:rsidRDefault="00EF52DF" w:rsidP="00EF52DF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AB1"/>
    <w:multiLevelType w:val="hybridMultilevel"/>
    <w:tmpl w:val="99A4A098"/>
    <w:lvl w:ilvl="0" w:tplc="5EF2DC8C">
      <w:start w:val="1"/>
      <w:numFmt w:val="bullet"/>
      <w:lvlText w:val=""/>
      <w:lvlJc w:val="left"/>
      <w:pPr>
        <w:ind w:left="649" w:hanging="286"/>
      </w:pPr>
      <w:rPr>
        <w:rFonts w:ascii="Symbol" w:eastAsia="Symbol" w:hAnsi="Symbol" w:hint="default"/>
        <w:sz w:val="24"/>
        <w:szCs w:val="24"/>
      </w:rPr>
    </w:lvl>
    <w:lvl w:ilvl="1" w:tplc="6146256A">
      <w:start w:val="1"/>
      <w:numFmt w:val="bullet"/>
      <w:lvlText w:val="•"/>
      <w:lvlJc w:val="left"/>
      <w:pPr>
        <w:ind w:left="1510" w:hanging="286"/>
      </w:pPr>
      <w:rPr>
        <w:rFonts w:hint="default"/>
      </w:rPr>
    </w:lvl>
    <w:lvl w:ilvl="2" w:tplc="DBB8DE74">
      <w:start w:val="1"/>
      <w:numFmt w:val="bullet"/>
      <w:lvlText w:val="•"/>
      <w:lvlJc w:val="left"/>
      <w:pPr>
        <w:ind w:left="2371" w:hanging="286"/>
      </w:pPr>
      <w:rPr>
        <w:rFonts w:hint="default"/>
      </w:rPr>
    </w:lvl>
    <w:lvl w:ilvl="3" w:tplc="9E3A9950">
      <w:start w:val="1"/>
      <w:numFmt w:val="bullet"/>
      <w:lvlText w:val="•"/>
      <w:lvlJc w:val="left"/>
      <w:pPr>
        <w:ind w:left="3232" w:hanging="286"/>
      </w:pPr>
      <w:rPr>
        <w:rFonts w:hint="default"/>
      </w:rPr>
    </w:lvl>
    <w:lvl w:ilvl="4" w:tplc="07360A24">
      <w:start w:val="1"/>
      <w:numFmt w:val="bullet"/>
      <w:lvlText w:val="•"/>
      <w:lvlJc w:val="left"/>
      <w:pPr>
        <w:ind w:left="4093" w:hanging="286"/>
      </w:pPr>
      <w:rPr>
        <w:rFonts w:hint="default"/>
      </w:rPr>
    </w:lvl>
    <w:lvl w:ilvl="5" w:tplc="578E6ED8">
      <w:start w:val="1"/>
      <w:numFmt w:val="bullet"/>
      <w:lvlText w:val="•"/>
      <w:lvlJc w:val="left"/>
      <w:pPr>
        <w:ind w:left="4954" w:hanging="286"/>
      </w:pPr>
      <w:rPr>
        <w:rFonts w:hint="default"/>
      </w:rPr>
    </w:lvl>
    <w:lvl w:ilvl="6" w:tplc="DE26D744">
      <w:start w:val="1"/>
      <w:numFmt w:val="bullet"/>
      <w:lvlText w:val="•"/>
      <w:lvlJc w:val="left"/>
      <w:pPr>
        <w:ind w:left="5815" w:hanging="286"/>
      </w:pPr>
      <w:rPr>
        <w:rFonts w:hint="default"/>
      </w:rPr>
    </w:lvl>
    <w:lvl w:ilvl="7" w:tplc="EC68F0E6">
      <w:start w:val="1"/>
      <w:numFmt w:val="bullet"/>
      <w:lvlText w:val="•"/>
      <w:lvlJc w:val="left"/>
      <w:pPr>
        <w:ind w:left="6676" w:hanging="286"/>
      </w:pPr>
      <w:rPr>
        <w:rFonts w:hint="default"/>
      </w:rPr>
    </w:lvl>
    <w:lvl w:ilvl="8" w:tplc="67547F80">
      <w:start w:val="1"/>
      <w:numFmt w:val="bullet"/>
      <w:lvlText w:val="•"/>
      <w:lvlJc w:val="left"/>
      <w:pPr>
        <w:ind w:left="7537" w:hanging="286"/>
      </w:pPr>
      <w:rPr>
        <w:rFonts w:hint="default"/>
      </w:rPr>
    </w:lvl>
  </w:abstractNum>
  <w:abstractNum w:abstractNumId="1" w15:restartNumberingAfterBreak="0">
    <w:nsid w:val="01E60184"/>
    <w:multiLevelType w:val="hybridMultilevel"/>
    <w:tmpl w:val="A8D4504A"/>
    <w:lvl w:ilvl="0" w:tplc="BE1CCA12">
      <w:start w:val="6"/>
      <w:numFmt w:val="decimal"/>
      <w:lvlText w:val="%1"/>
      <w:lvlJc w:val="left"/>
      <w:pPr>
        <w:ind w:left="723" w:hanging="502"/>
      </w:pPr>
      <w:rPr>
        <w:rFonts w:hint="default"/>
      </w:rPr>
    </w:lvl>
    <w:lvl w:ilvl="1" w:tplc="B2201284">
      <w:start w:val="1"/>
      <w:numFmt w:val="decimal"/>
      <w:lvlText w:val="%1.%2"/>
      <w:lvlJc w:val="left"/>
      <w:pPr>
        <w:ind w:left="723" w:hanging="502"/>
      </w:pPr>
      <w:rPr>
        <w:rFonts w:ascii="Verdana" w:eastAsia="Verdana" w:hAnsi="Verdana" w:hint="default"/>
        <w:b/>
        <w:bCs/>
        <w:spacing w:val="-3"/>
        <w:sz w:val="24"/>
        <w:szCs w:val="24"/>
      </w:rPr>
    </w:lvl>
    <w:lvl w:ilvl="2" w:tplc="CC72D336">
      <w:start w:val="1"/>
      <w:numFmt w:val="decimal"/>
      <w:lvlText w:val="%3."/>
      <w:lvlJc w:val="left"/>
      <w:pPr>
        <w:ind w:left="942" w:hanging="360"/>
      </w:pPr>
      <w:rPr>
        <w:rFonts w:ascii="Verdana" w:eastAsia="Verdana" w:hAnsi="Verdana" w:hint="default"/>
        <w:spacing w:val="-2"/>
        <w:sz w:val="22"/>
        <w:szCs w:val="22"/>
      </w:rPr>
    </w:lvl>
    <w:lvl w:ilvl="3" w:tplc="774C1462">
      <w:start w:val="1"/>
      <w:numFmt w:val="bullet"/>
      <w:lvlText w:val="•"/>
      <w:lvlJc w:val="left"/>
      <w:pPr>
        <w:ind w:left="2790" w:hanging="360"/>
      </w:pPr>
      <w:rPr>
        <w:rFonts w:hint="default"/>
      </w:rPr>
    </w:lvl>
    <w:lvl w:ilvl="4" w:tplc="5194FF32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5" w:tplc="C7B04EDC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  <w:lvl w:ilvl="6" w:tplc="DFB82A9A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E08AA834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8" w:tplc="53C2B9FA">
      <w:start w:val="1"/>
      <w:numFmt w:val="bullet"/>
      <w:lvlText w:val="•"/>
      <w:lvlJc w:val="left"/>
      <w:pPr>
        <w:ind w:left="7411" w:hanging="360"/>
      </w:pPr>
      <w:rPr>
        <w:rFonts w:hint="default"/>
      </w:rPr>
    </w:lvl>
  </w:abstractNum>
  <w:abstractNum w:abstractNumId="2" w15:restartNumberingAfterBreak="0">
    <w:nsid w:val="048A5689"/>
    <w:multiLevelType w:val="hybridMultilevel"/>
    <w:tmpl w:val="39469590"/>
    <w:lvl w:ilvl="0" w:tplc="33081594">
      <w:start w:val="2"/>
      <w:numFmt w:val="decimal"/>
      <w:lvlText w:val="%1"/>
      <w:lvlJc w:val="left"/>
      <w:pPr>
        <w:ind w:left="1870" w:hanging="937"/>
      </w:pPr>
      <w:rPr>
        <w:rFonts w:hint="default"/>
      </w:rPr>
    </w:lvl>
    <w:lvl w:ilvl="1" w:tplc="43AA4172">
      <w:start w:val="1"/>
      <w:numFmt w:val="decimal"/>
      <w:lvlText w:val="%1.%2"/>
      <w:lvlJc w:val="left"/>
      <w:pPr>
        <w:ind w:left="1870" w:hanging="937"/>
      </w:pPr>
      <w:rPr>
        <w:rFonts w:hint="default"/>
      </w:rPr>
    </w:lvl>
    <w:lvl w:ilvl="2" w:tplc="21A2B0BA">
      <w:start w:val="2"/>
      <w:numFmt w:val="decimal"/>
      <w:lvlText w:val="%1.%2.%3"/>
      <w:lvlJc w:val="left"/>
      <w:pPr>
        <w:ind w:left="1870" w:hanging="937"/>
      </w:pPr>
      <w:rPr>
        <w:rFonts w:hint="default"/>
      </w:rPr>
    </w:lvl>
    <w:lvl w:ilvl="3" w:tplc="6F741D7E">
      <w:start w:val="1"/>
      <w:numFmt w:val="decimal"/>
      <w:lvlText w:val="%1.%2.%3.%4"/>
      <w:lvlJc w:val="left"/>
      <w:pPr>
        <w:ind w:left="1870" w:hanging="937"/>
      </w:pPr>
      <w:rPr>
        <w:rFonts w:ascii="Verdana" w:eastAsia="Verdana" w:hAnsi="Verdana" w:hint="default"/>
        <w:b/>
        <w:bCs/>
        <w:i/>
        <w:spacing w:val="-1"/>
        <w:sz w:val="22"/>
        <w:szCs w:val="22"/>
      </w:rPr>
    </w:lvl>
    <w:lvl w:ilvl="4" w:tplc="EE084A6E">
      <w:start w:val="1"/>
      <w:numFmt w:val="bullet"/>
      <w:lvlText w:val="•"/>
      <w:lvlJc w:val="left"/>
      <w:pPr>
        <w:ind w:left="4826" w:hanging="937"/>
      </w:pPr>
      <w:rPr>
        <w:rFonts w:hint="default"/>
      </w:rPr>
    </w:lvl>
    <w:lvl w:ilvl="5" w:tplc="BBB0DE16">
      <w:start w:val="1"/>
      <w:numFmt w:val="bullet"/>
      <w:lvlText w:val="•"/>
      <w:lvlJc w:val="left"/>
      <w:pPr>
        <w:ind w:left="5565" w:hanging="937"/>
      </w:pPr>
      <w:rPr>
        <w:rFonts w:hint="default"/>
      </w:rPr>
    </w:lvl>
    <w:lvl w:ilvl="6" w:tplc="908833C0">
      <w:start w:val="1"/>
      <w:numFmt w:val="bullet"/>
      <w:lvlText w:val="•"/>
      <w:lvlJc w:val="left"/>
      <w:pPr>
        <w:ind w:left="6304" w:hanging="937"/>
      </w:pPr>
      <w:rPr>
        <w:rFonts w:hint="default"/>
      </w:rPr>
    </w:lvl>
    <w:lvl w:ilvl="7" w:tplc="AC7A4264">
      <w:start w:val="1"/>
      <w:numFmt w:val="bullet"/>
      <w:lvlText w:val="•"/>
      <w:lvlJc w:val="left"/>
      <w:pPr>
        <w:ind w:left="7043" w:hanging="937"/>
      </w:pPr>
      <w:rPr>
        <w:rFonts w:hint="default"/>
      </w:rPr>
    </w:lvl>
    <w:lvl w:ilvl="8" w:tplc="672EA636">
      <w:start w:val="1"/>
      <w:numFmt w:val="bullet"/>
      <w:lvlText w:val="•"/>
      <w:lvlJc w:val="left"/>
      <w:pPr>
        <w:ind w:left="7782" w:hanging="937"/>
      </w:pPr>
      <w:rPr>
        <w:rFonts w:hint="default"/>
      </w:rPr>
    </w:lvl>
  </w:abstractNum>
  <w:abstractNum w:abstractNumId="3" w15:restartNumberingAfterBreak="0">
    <w:nsid w:val="070B6D53"/>
    <w:multiLevelType w:val="hybridMultilevel"/>
    <w:tmpl w:val="8A28C078"/>
    <w:lvl w:ilvl="0" w:tplc="35486A36">
      <w:start w:val="1"/>
      <w:numFmt w:val="bullet"/>
      <w:lvlText w:val=""/>
      <w:lvlJc w:val="left"/>
      <w:pPr>
        <w:ind w:left="762" w:hanging="358"/>
      </w:pPr>
      <w:rPr>
        <w:rFonts w:ascii="Symbol" w:eastAsia="Symbol" w:hAnsi="Symbol" w:hint="default"/>
        <w:sz w:val="22"/>
        <w:szCs w:val="22"/>
      </w:rPr>
    </w:lvl>
    <w:lvl w:ilvl="1" w:tplc="2E283CCA">
      <w:start w:val="1"/>
      <w:numFmt w:val="bullet"/>
      <w:lvlText w:val="•"/>
      <w:lvlJc w:val="left"/>
      <w:pPr>
        <w:ind w:left="1611" w:hanging="358"/>
      </w:pPr>
      <w:rPr>
        <w:rFonts w:hint="default"/>
      </w:rPr>
    </w:lvl>
    <w:lvl w:ilvl="2" w:tplc="857E9AD4">
      <w:start w:val="1"/>
      <w:numFmt w:val="bullet"/>
      <w:lvlText w:val="•"/>
      <w:lvlJc w:val="left"/>
      <w:pPr>
        <w:ind w:left="2461" w:hanging="358"/>
      </w:pPr>
      <w:rPr>
        <w:rFonts w:hint="default"/>
      </w:rPr>
    </w:lvl>
    <w:lvl w:ilvl="3" w:tplc="315624CE">
      <w:start w:val="1"/>
      <w:numFmt w:val="bullet"/>
      <w:lvlText w:val="•"/>
      <w:lvlJc w:val="left"/>
      <w:pPr>
        <w:ind w:left="3311" w:hanging="358"/>
      </w:pPr>
      <w:rPr>
        <w:rFonts w:hint="default"/>
      </w:rPr>
    </w:lvl>
    <w:lvl w:ilvl="4" w:tplc="37A4E728">
      <w:start w:val="1"/>
      <w:numFmt w:val="bullet"/>
      <w:lvlText w:val="•"/>
      <w:lvlJc w:val="left"/>
      <w:pPr>
        <w:ind w:left="4161" w:hanging="358"/>
      </w:pPr>
      <w:rPr>
        <w:rFonts w:hint="default"/>
      </w:rPr>
    </w:lvl>
    <w:lvl w:ilvl="5" w:tplc="9D5EB29C">
      <w:start w:val="1"/>
      <w:numFmt w:val="bullet"/>
      <w:lvlText w:val="•"/>
      <w:lvlJc w:val="left"/>
      <w:pPr>
        <w:ind w:left="5011" w:hanging="358"/>
      </w:pPr>
      <w:rPr>
        <w:rFonts w:hint="default"/>
      </w:rPr>
    </w:lvl>
    <w:lvl w:ilvl="6" w:tplc="9E4AF558">
      <w:start w:val="1"/>
      <w:numFmt w:val="bullet"/>
      <w:lvlText w:val="•"/>
      <w:lvlJc w:val="left"/>
      <w:pPr>
        <w:ind w:left="5860" w:hanging="358"/>
      </w:pPr>
      <w:rPr>
        <w:rFonts w:hint="default"/>
      </w:rPr>
    </w:lvl>
    <w:lvl w:ilvl="7" w:tplc="E05CAE8C">
      <w:start w:val="1"/>
      <w:numFmt w:val="bullet"/>
      <w:lvlText w:val="•"/>
      <w:lvlJc w:val="left"/>
      <w:pPr>
        <w:ind w:left="6710" w:hanging="358"/>
      </w:pPr>
      <w:rPr>
        <w:rFonts w:hint="default"/>
      </w:rPr>
    </w:lvl>
    <w:lvl w:ilvl="8" w:tplc="BDDC5AA4">
      <w:start w:val="1"/>
      <w:numFmt w:val="bullet"/>
      <w:lvlText w:val="•"/>
      <w:lvlJc w:val="left"/>
      <w:pPr>
        <w:ind w:left="7560" w:hanging="358"/>
      </w:pPr>
      <w:rPr>
        <w:rFonts w:hint="default"/>
      </w:rPr>
    </w:lvl>
  </w:abstractNum>
  <w:abstractNum w:abstractNumId="4" w15:restartNumberingAfterBreak="0">
    <w:nsid w:val="0B863E72"/>
    <w:multiLevelType w:val="hybridMultilevel"/>
    <w:tmpl w:val="CF68492C"/>
    <w:lvl w:ilvl="0" w:tplc="849E24EA">
      <w:start w:val="1"/>
      <w:numFmt w:val="bullet"/>
      <w:lvlText w:val=""/>
      <w:lvlJc w:val="left"/>
      <w:pPr>
        <w:ind w:left="762" w:hanging="269"/>
      </w:pPr>
      <w:rPr>
        <w:rFonts w:ascii="Symbol" w:eastAsia="Symbol" w:hAnsi="Symbol" w:hint="default"/>
        <w:sz w:val="22"/>
        <w:szCs w:val="22"/>
      </w:rPr>
    </w:lvl>
    <w:lvl w:ilvl="1" w:tplc="8FBCB876">
      <w:start w:val="1"/>
      <w:numFmt w:val="bullet"/>
      <w:lvlText w:val="•"/>
      <w:lvlJc w:val="left"/>
      <w:pPr>
        <w:ind w:left="1611" w:hanging="269"/>
      </w:pPr>
      <w:rPr>
        <w:rFonts w:hint="default"/>
      </w:rPr>
    </w:lvl>
    <w:lvl w:ilvl="2" w:tplc="2C94AB28">
      <w:start w:val="1"/>
      <w:numFmt w:val="bullet"/>
      <w:lvlText w:val="•"/>
      <w:lvlJc w:val="left"/>
      <w:pPr>
        <w:ind w:left="2461" w:hanging="269"/>
      </w:pPr>
      <w:rPr>
        <w:rFonts w:hint="default"/>
      </w:rPr>
    </w:lvl>
    <w:lvl w:ilvl="3" w:tplc="C4CAF48E">
      <w:start w:val="1"/>
      <w:numFmt w:val="bullet"/>
      <w:lvlText w:val="•"/>
      <w:lvlJc w:val="left"/>
      <w:pPr>
        <w:ind w:left="3311" w:hanging="269"/>
      </w:pPr>
      <w:rPr>
        <w:rFonts w:hint="default"/>
      </w:rPr>
    </w:lvl>
    <w:lvl w:ilvl="4" w:tplc="9DCC34A8">
      <w:start w:val="1"/>
      <w:numFmt w:val="bullet"/>
      <w:lvlText w:val="•"/>
      <w:lvlJc w:val="left"/>
      <w:pPr>
        <w:ind w:left="4161" w:hanging="269"/>
      </w:pPr>
      <w:rPr>
        <w:rFonts w:hint="default"/>
      </w:rPr>
    </w:lvl>
    <w:lvl w:ilvl="5" w:tplc="878CACAE">
      <w:start w:val="1"/>
      <w:numFmt w:val="bullet"/>
      <w:lvlText w:val="•"/>
      <w:lvlJc w:val="left"/>
      <w:pPr>
        <w:ind w:left="5011" w:hanging="269"/>
      </w:pPr>
      <w:rPr>
        <w:rFonts w:hint="default"/>
      </w:rPr>
    </w:lvl>
    <w:lvl w:ilvl="6" w:tplc="2E7827E4">
      <w:start w:val="1"/>
      <w:numFmt w:val="bullet"/>
      <w:lvlText w:val="•"/>
      <w:lvlJc w:val="left"/>
      <w:pPr>
        <w:ind w:left="5860" w:hanging="269"/>
      </w:pPr>
      <w:rPr>
        <w:rFonts w:hint="default"/>
      </w:rPr>
    </w:lvl>
    <w:lvl w:ilvl="7" w:tplc="E3E67B60">
      <w:start w:val="1"/>
      <w:numFmt w:val="bullet"/>
      <w:lvlText w:val="•"/>
      <w:lvlJc w:val="left"/>
      <w:pPr>
        <w:ind w:left="6710" w:hanging="269"/>
      </w:pPr>
      <w:rPr>
        <w:rFonts w:hint="default"/>
      </w:rPr>
    </w:lvl>
    <w:lvl w:ilvl="8" w:tplc="7474FABA">
      <w:start w:val="1"/>
      <w:numFmt w:val="bullet"/>
      <w:lvlText w:val="•"/>
      <w:lvlJc w:val="left"/>
      <w:pPr>
        <w:ind w:left="7560" w:hanging="269"/>
      </w:pPr>
      <w:rPr>
        <w:rFonts w:hint="default"/>
      </w:rPr>
    </w:lvl>
  </w:abstractNum>
  <w:abstractNum w:abstractNumId="5" w15:restartNumberingAfterBreak="0">
    <w:nsid w:val="1740204C"/>
    <w:multiLevelType w:val="hybridMultilevel"/>
    <w:tmpl w:val="6BB6B5AA"/>
    <w:lvl w:ilvl="0" w:tplc="B372AA22">
      <w:start w:val="1"/>
      <w:numFmt w:val="bullet"/>
      <w:lvlText w:val=""/>
      <w:lvlJc w:val="left"/>
      <w:pPr>
        <w:ind w:left="934" w:hanging="356"/>
      </w:pPr>
      <w:rPr>
        <w:rFonts w:ascii="Symbol" w:eastAsia="Symbol" w:hAnsi="Symbol" w:hint="default"/>
        <w:sz w:val="24"/>
        <w:szCs w:val="24"/>
      </w:rPr>
    </w:lvl>
    <w:lvl w:ilvl="1" w:tplc="5BECC964">
      <w:start w:val="1"/>
      <w:numFmt w:val="bullet"/>
      <w:lvlText w:val="•"/>
      <w:lvlJc w:val="left"/>
      <w:pPr>
        <w:ind w:left="1767" w:hanging="356"/>
      </w:pPr>
      <w:rPr>
        <w:rFonts w:hint="default"/>
      </w:rPr>
    </w:lvl>
    <w:lvl w:ilvl="2" w:tplc="A15A6E90">
      <w:start w:val="1"/>
      <w:numFmt w:val="bullet"/>
      <w:lvlText w:val="•"/>
      <w:lvlJc w:val="left"/>
      <w:pPr>
        <w:ind w:left="2599" w:hanging="356"/>
      </w:pPr>
      <w:rPr>
        <w:rFonts w:hint="default"/>
      </w:rPr>
    </w:lvl>
    <w:lvl w:ilvl="3" w:tplc="F2C4C8DA">
      <w:start w:val="1"/>
      <w:numFmt w:val="bullet"/>
      <w:lvlText w:val="•"/>
      <w:lvlJc w:val="left"/>
      <w:pPr>
        <w:ind w:left="3432" w:hanging="356"/>
      </w:pPr>
      <w:rPr>
        <w:rFonts w:hint="default"/>
      </w:rPr>
    </w:lvl>
    <w:lvl w:ilvl="4" w:tplc="E2F09046">
      <w:start w:val="1"/>
      <w:numFmt w:val="bullet"/>
      <w:lvlText w:val="•"/>
      <w:lvlJc w:val="left"/>
      <w:pPr>
        <w:ind w:left="4264" w:hanging="356"/>
      </w:pPr>
      <w:rPr>
        <w:rFonts w:hint="default"/>
      </w:rPr>
    </w:lvl>
    <w:lvl w:ilvl="5" w:tplc="48A2C660">
      <w:start w:val="1"/>
      <w:numFmt w:val="bullet"/>
      <w:lvlText w:val="•"/>
      <w:lvlJc w:val="left"/>
      <w:pPr>
        <w:ind w:left="5097" w:hanging="356"/>
      </w:pPr>
      <w:rPr>
        <w:rFonts w:hint="default"/>
      </w:rPr>
    </w:lvl>
    <w:lvl w:ilvl="6" w:tplc="CE809FEE">
      <w:start w:val="1"/>
      <w:numFmt w:val="bullet"/>
      <w:lvlText w:val="•"/>
      <w:lvlJc w:val="left"/>
      <w:pPr>
        <w:ind w:left="5929" w:hanging="356"/>
      </w:pPr>
      <w:rPr>
        <w:rFonts w:hint="default"/>
      </w:rPr>
    </w:lvl>
    <w:lvl w:ilvl="7" w:tplc="F7A88C5A">
      <w:start w:val="1"/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03645E6C">
      <w:start w:val="1"/>
      <w:numFmt w:val="bullet"/>
      <w:lvlText w:val="•"/>
      <w:lvlJc w:val="left"/>
      <w:pPr>
        <w:ind w:left="7594" w:hanging="356"/>
      </w:pPr>
      <w:rPr>
        <w:rFonts w:hint="default"/>
      </w:rPr>
    </w:lvl>
  </w:abstractNum>
  <w:abstractNum w:abstractNumId="6" w15:restartNumberingAfterBreak="0">
    <w:nsid w:val="1D52125C"/>
    <w:multiLevelType w:val="hybridMultilevel"/>
    <w:tmpl w:val="0AB631A2"/>
    <w:lvl w:ilvl="0" w:tplc="90929AFC">
      <w:start w:val="4"/>
      <w:numFmt w:val="decimal"/>
      <w:lvlText w:val="%1"/>
      <w:lvlJc w:val="left"/>
      <w:pPr>
        <w:ind w:left="1880" w:hanging="939"/>
      </w:pPr>
      <w:rPr>
        <w:rFonts w:hint="default"/>
      </w:rPr>
    </w:lvl>
    <w:lvl w:ilvl="1" w:tplc="628C0336">
      <w:start w:val="2"/>
      <w:numFmt w:val="decimal"/>
      <w:lvlText w:val="%1.%2"/>
      <w:lvlJc w:val="left"/>
      <w:pPr>
        <w:ind w:left="1880" w:hanging="939"/>
      </w:pPr>
      <w:rPr>
        <w:rFonts w:hint="default"/>
      </w:rPr>
    </w:lvl>
    <w:lvl w:ilvl="2" w:tplc="8EE4304E">
      <w:start w:val="1"/>
      <w:numFmt w:val="decimal"/>
      <w:lvlText w:val="%1.%2.%3"/>
      <w:lvlJc w:val="left"/>
      <w:pPr>
        <w:ind w:left="1880" w:hanging="939"/>
      </w:pPr>
      <w:rPr>
        <w:rFonts w:hint="default"/>
      </w:rPr>
    </w:lvl>
    <w:lvl w:ilvl="3" w:tplc="6B7E1B44">
      <w:start w:val="1"/>
      <w:numFmt w:val="decimal"/>
      <w:lvlText w:val="%1.%2.%3.%4"/>
      <w:lvlJc w:val="left"/>
      <w:pPr>
        <w:ind w:left="1880" w:hanging="939"/>
      </w:pPr>
      <w:rPr>
        <w:rFonts w:ascii="Verdana" w:eastAsia="Verdana" w:hAnsi="Verdana" w:hint="default"/>
        <w:b/>
        <w:bCs/>
        <w:i/>
        <w:spacing w:val="-1"/>
        <w:sz w:val="22"/>
        <w:szCs w:val="22"/>
      </w:rPr>
    </w:lvl>
    <w:lvl w:ilvl="4" w:tplc="6E54FE74">
      <w:start w:val="1"/>
      <w:numFmt w:val="bullet"/>
      <w:lvlText w:val="•"/>
      <w:lvlJc w:val="left"/>
      <w:pPr>
        <w:ind w:left="4832" w:hanging="939"/>
      </w:pPr>
      <w:rPr>
        <w:rFonts w:hint="default"/>
      </w:rPr>
    </w:lvl>
    <w:lvl w:ilvl="5" w:tplc="731EB4D2">
      <w:start w:val="1"/>
      <w:numFmt w:val="bullet"/>
      <w:lvlText w:val="•"/>
      <w:lvlJc w:val="left"/>
      <w:pPr>
        <w:ind w:left="5570" w:hanging="939"/>
      </w:pPr>
      <w:rPr>
        <w:rFonts w:hint="default"/>
      </w:rPr>
    </w:lvl>
    <w:lvl w:ilvl="6" w:tplc="4D52A8B2">
      <w:start w:val="1"/>
      <w:numFmt w:val="bullet"/>
      <w:lvlText w:val="•"/>
      <w:lvlJc w:val="left"/>
      <w:pPr>
        <w:ind w:left="6308" w:hanging="939"/>
      </w:pPr>
      <w:rPr>
        <w:rFonts w:hint="default"/>
      </w:rPr>
    </w:lvl>
    <w:lvl w:ilvl="7" w:tplc="5C48B4AA">
      <w:start w:val="1"/>
      <w:numFmt w:val="bullet"/>
      <w:lvlText w:val="•"/>
      <w:lvlJc w:val="left"/>
      <w:pPr>
        <w:ind w:left="7046" w:hanging="939"/>
      </w:pPr>
      <w:rPr>
        <w:rFonts w:hint="default"/>
      </w:rPr>
    </w:lvl>
    <w:lvl w:ilvl="8" w:tplc="6BDA155C">
      <w:start w:val="1"/>
      <w:numFmt w:val="bullet"/>
      <w:lvlText w:val="•"/>
      <w:lvlJc w:val="left"/>
      <w:pPr>
        <w:ind w:left="7784" w:hanging="939"/>
      </w:pPr>
      <w:rPr>
        <w:rFonts w:hint="default"/>
      </w:rPr>
    </w:lvl>
  </w:abstractNum>
  <w:abstractNum w:abstractNumId="7" w15:restartNumberingAfterBreak="0">
    <w:nsid w:val="1D9C1ACE"/>
    <w:multiLevelType w:val="hybridMultilevel"/>
    <w:tmpl w:val="EA66F58C"/>
    <w:lvl w:ilvl="0" w:tplc="B60A17F0">
      <w:start w:val="6"/>
      <w:numFmt w:val="decimal"/>
      <w:lvlText w:val="%1"/>
      <w:lvlJc w:val="left"/>
      <w:pPr>
        <w:ind w:left="222" w:hanging="142"/>
      </w:pPr>
      <w:rPr>
        <w:rFonts w:ascii="Times New Roman" w:eastAsia="Times New Roman" w:hAnsi="Times New Roman" w:hint="default"/>
        <w:position w:val="11"/>
        <w:sz w:val="16"/>
        <w:szCs w:val="16"/>
      </w:rPr>
    </w:lvl>
    <w:lvl w:ilvl="1" w:tplc="A7201E44">
      <w:start w:val="1"/>
      <w:numFmt w:val="decimal"/>
      <w:lvlText w:val="%2."/>
      <w:lvlJc w:val="left"/>
      <w:pPr>
        <w:ind w:left="942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80FCB6F2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3" w:tplc="F30235BC">
      <w:start w:val="1"/>
      <w:numFmt w:val="bullet"/>
      <w:lvlText w:val="•"/>
      <w:lvlJc w:val="left"/>
      <w:pPr>
        <w:ind w:left="2790" w:hanging="360"/>
      </w:pPr>
      <w:rPr>
        <w:rFonts w:hint="default"/>
      </w:rPr>
    </w:lvl>
    <w:lvl w:ilvl="4" w:tplc="FB12ACBC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5" w:tplc="48FC7D5C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  <w:lvl w:ilvl="6" w:tplc="A58EDA88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399ED7E6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8" w:tplc="478E602C">
      <w:start w:val="1"/>
      <w:numFmt w:val="bullet"/>
      <w:lvlText w:val="•"/>
      <w:lvlJc w:val="left"/>
      <w:pPr>
        <w:ind w:left="7411" w:hanging="360"/>
      </w:pPr>
      <w:rPr>
        <w:rFonts w:hint="default"/>
      </w:rPr>
    </w:lvl>
  </w:abstractNum>
  <w:abstractNum w:abstractNumId="8" w15:restartNumberingAfterBreak="0">
    <w:nsid w:val="1FD84671"/>
    <w:multiLevelType w:val="hybridMultilevel"/>
    <w:tmpl w:val="24B23C1A"/>
    <w:lvl w:ilvl="0" w:tplc="44CCA6EA">
      <w:start w:val="3"/>
      <w:numFmt w:val="decimal"/>
      <w:lvlText w:val="%1"/>
      <w:lvlJc w:val="left"/>
      <w:pPr>
        <w:ind w:left="690" w:hanging="468"/>
      </w:pPr>
      <w:rPr>
        <w:rFonts w:hint="default"/>
      </w:rPr>
    </w:lvl>
    <w:lvl w:ilvl="1" w:tplc="E56E5754">
      <w:start w:val="1"/>
      <w:numFmt w:val="decimal"/>
      <w:lvlText w:val="%1.%2"/>
      <w:lvlJc w:val="left"/>
      <w:pPr>
        <w:ind w:left="690" w:hanging="468"/>
      </w:pPr>
      <w:rPr>
        <w:rFonts w:ascii="Verdana" w:eastAsia="Verdana" w:hAnsi="Verdana" w:hint="default"/>
        <w:spacing w:val="-2"/>
        <w:w w:val="99"/>
        <w:sz w:val="24"/>
        <w:szCs w:val="24"/>
      </w:rPr>
    </w:lvl>
    <w:lvl w:ilvl="2" w:tplc="9A983882">
      <w:start w:val="1"/>
      <w:numFmt w:val="bullet"/>
      <w:lvlText w:val=""/>
      <w:lvlJc w:val="left"/>
      <w:pPr>
        <w:ind w:left="649" w:hanging="286"/>
      </w:pPr>
      <w:rPr>
        <w:rFonts w:ascii="Symbol" w:eastAsia="Symbol" w:hAnsi="Symbol" w:hint="default"/>
        <w:sz w:val="22"/>
        <w:szCs w:val="22"/>
      </w:rPr>
    </w:lvl>
    <w:lvl w:ilvl="3" w:tplc="5D7CB83E">
      <w:start w:val="1"/>
      <w:numFmt w:val="bullet"/>
      <w:lvlText w:val="•"/>
      <w:lvlJc w:val="left"/>
      <w:pPr>
        <w:ind w:left="2584" w:hanging="286"/>
      </w:pPr>
      <w:rPr>
        <w:rFonts w:hint="default"/>
      </w:rPr>
    </w:lvl>
    <w:lvl w:ilvl="4" w:tplc="C26EB306">
      <w:start w:val="1"/>
      <w:numFmt w:val="bullet"/>
      <w:lvlText w:val="•"/>
      <w:lvlJc w:val="left"/>
      <w:pPr>
        <w:ind w:left="3538" w:hanging="286"/>
      </w:pPr>
      <w:rPr>
        <w:rFonts w:hint="default"/>
      </w:rPr>
    </w:lvl>
    <w:lvl w:ilvl="5" w:tplc="7D34D512">
      <w:start w:val="1"/>
      <w:numFmt w:val="bullet"/>
      <w:lvlText w:val="•"/>
      <w:lvlJc w:val="left"/>
      <w:pPr>
        <w:ind w:left="4491" w:hanging="286"/>
      </w:pPr>
      <w:rPr>
        <w:rFonts w:hint="default"/>
      </w:rPr>
    </w:lvl>
    <w:lvl w:ilvl="6" w:tplc="BC8CFC64">
      <w:start w:val="1"/>
      <w:numFmt w:val="bullet"/>
      <w:lvlText w:val="•"/>
      <w:lvlJc w:val="left"/>
      <w:pPr>
        <w:ind w:left="5445" w:hanging="286"/>
      </w:pPr>
      <w:rPr>
        <w:rFonts w:hint="default"/>
      </w:rPr>
    </w:lvl>
    <w:lvl w:ilvl="7" w:tplc="0F8606F8">
      <w:start w:val="1"/>
      <w:numFmt w:val="bullet"/>
      <w:lvlText w:val="•"/>
      <w:lvlJc w:val="left"/>
      <w:pPr>
        <w:ind w:left="6399" w:hanging="286"/>
      </w:pPr>
      <w:rPr>
        <w:rFonts w:hint="default"/>
      </w:rPr>
    </w:lvl>
    <w:lvl w:ilvl="8" w:tplc="9894D5CA">
      <w:start w:val="1"/>
      <w:numFmt w:val="bullet"/>
      <w:lvlText w:val="•"/>
      <w:lvlJc w:val="left"/>
      <w:pPr>
        <w:ind w:left="7352" w:hanging="286"/>
      </w:pPr>
      <w:rPr>
        <w:rFonts w:hint="default"/>
      </w:rPr>
    </w:lvl>
  </w:abstractNum>
  <w:abstractNum w:abstractNumId="9" w15:restartNumberingAfterBreak="0">
    <w:nsid w:val="20A17329"/>
    <w:multiLevelType w:val="multilevel"/>
    <w:tmpl w:val="79D8C078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0" w15:restartNumberingAfterBreak="0">
    <w:nsid w:val="283A6BE8"/>
    <w:multiLevelType w:val="hybridMultilevel"/>
    <w:tmpl w:val="EF4235EA"/>
    <w:lvl w:ilvl="0" w:tplc="E436751A">
      <w:start w:val="1"/>
      <w:numFmt w:val="bullet"/>
      <w:lvlText w:val=""/>
      <w:lvlJc w:val="left"/>
      <w:pPr>
        <w:ind w:left="934" w:hanging="356"/>
      </w:pPr>
      <w:rPr>
        <w:rFonts w:ascii="Symbol" w:eastAsia="Symbol" w:hAnsi="Symbol" w:hint="default"/>
        <w:sz w:val="22"/>
        <w:szCs w:val="22"/>
      </w:rPr>
    </w:lvl>
    <w:lvl w:ilvl="1" w:tplc="C13CB99E">
      <w:start w:val="1"/>
      <w:numFmt w:val="bullet"/>
      <w:lvlText w:val="•"/>
      <w:lvlJc w:val="left"/>
      <w:pPr>
        <w:ind w:left="1767" w:hanging="356"/>
      </w:pPr>
      <w:rPr>
        <w:rFonts w:hint="default"/>
      </w:rPr>
    </w:lvl>
    <w:lvl w:ilvl="2" w:tplc="63EAA1D8">
      <w:start w:val="1"/>
      <w:numFmt w:val="bullet"/>
      <w:lvlText w:val="•"/>
      <w:lvlJc w:val="left"/>
      <w:pPr>
        <w:ind w:left="2599" w:hanging="356"/>
      </w:pPr>
      <w:rPr>
        <w:rFonts w:hint="default"/>
      </w:rPr>
    </w:lvl>
    <w:lvl w:ilvl="3" w:tplc="64EAEC2C">
      <w:start w:val="1"/>
      <w:numFmt w:val="bullet"/>
      <w:lvlText w:val="•"/>
      <w:lvlJc w:val="left"/>
      <w:pPr>
        <w:ind w:left="3432" w:hanging="356"/>
      </w:pPr>
      <w:rPr>
        <w:rFonts w:hint="default"/>
      </w:rPr>
    </w:lvl>
    <w:lvl w:ilvl="4" w:tplc="F3466952">
      <w:start w:val="1"/>
      <w:numFmt w:val="bullet"/>
      <w:lvlText w:val="•"/>
      <w:lvlJc w:val="left"/>
      <w:pPr>
        <w:ind w:left="4264" w:hanging="356"/>
      </w:pPr>
      <w:rPr>
        <w:rFonts w:hint="default"/>
      </w:rPr>
    </w:lvl>
    <w:lvl w:ilvl="5" w:tplc="D09C768E">
      <w:start w:val="1"/>
      <w:numFmt w:val="bullet"/>
      <w:lvlText w:val="•"/>
      <w:lvlJc w:val="left"/>
      <w:pPr>
        <w:ind w:left="5097" w:hanging="356"/>
      </w:pPr>
      <w:rPr>
        <w:rFonts w:hint="default"/>
      </w:rPr>
    </w:lvl>
    <w:lvl w:ilvl="6" w:tplc="C6F4119E">
      <w:start w:val="1"/>
      <w:numFmt w:val="bullet"/>
      <w:lvlText w:val="•"/>
      <w:lvlJc w:val="left"/>
      <w:pPr>
        <w:ind w:left="5929" w:hanging="356"/>
      </w:pPr>
      <w:rPr>
        <w:rFonts w:hint="default"/>
      </w:rPr>
    </w:lvl>
    <w:lvl w:ilvl="7" w:tplc="3F225C24">
      <w:start w:val="1"/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4F06F82E">
      <w:start w:val="1"/>
      <w:numFmt w:val="bullet"/>
      <w:lvlText w:val="•"/>
      <w:lvlJc w:val="left"/>
      <w:pPr>
        <w:ind w:left="7594" w:hanging="356"/>
      </w:pPr>
      <w:rPr>
        <w:rFonts w:hint="default"/>
      </w:rPr>
    </w:lvl>
  </w:abstractNum>
  <w:abstractNum w:abstractNumId="11" w15:restartNumberingAfterBreak="0">
    <w:nsid w:val="2B1E4FC2"/>
    <w:multiLevelType w:val="hybridMultilevel"/>
    <w:tmpl w:val="38021C0E"/>
    <w:lvl w:ilvl="0" w:tplc="B5EE247A">
      <w:start w:val="2"/>
      <w:numFmt w:val="decimal"/>
      <w:lvlText w:val="%1"/>
      <w:lvlJc w:val="left"/>
      <w:pPr>
        <w:ind w:left="690" w:hanging="468"/>
      </w:pPr>
      <w:rPr>
        <w:rFonts w:hint="default"/>
      </w:rPr>
    </w:lvl>
    <w:lvl w:ilvl="1" w:tplc="A836AB92">
      <w:start w:val="2"/>
      <w:numFmt w:val="decimal"/>
      <w:lvlText w:val="%1.%2"/>
      <w:lvlJc w:val="left"/>
      <w:pPr>
        <w:ind w:left="690" w:hanging="468"/>
      </w:pPr>
      <w:rPr>
        <w:rFonts w:ascii="Verdana" w:eastAsia="Verdana" w:hAnsi="Verdana" w:hint="default"/>
        <w:spacing w:val="-2"/>
        <w:w w:val="99"/>
        <w:sz w:val="24"/>
        <w:szCs w:val="24"/>
      </w:rPr>
    </w:lvl>
    <w:lvl w:ilvl="2" w:tplc="8348F0A0">
      <w:start w:val="1"/>
      <w:numFmt w:val="bullet"/>
      <w:lvlText w:val=""/>
      <w:lvlJc w:val="left"/>
      <w:pPr>
        <w:ind w:left="649" w:hanging="286"/>
      </w:pPr>
      <w:rPr>
        <w:rFonts w:ascii="Symbol" w:eastAsia="Symbol" w:hAnsi="Symbol" w:hint="default"/>
        <w:sz w:val="22"/>
        <w:szCs w:val="22"/>
      </w:rPr>
    </w:lvl>
    <w:lvl w:ilvl="3" w:tplc="ACEA2142">
      <w:start w:val="1"/>
      <w:numFmt w:val="bullet"/>
      <w:lvlText w:val="•"/>
      <w:lvlJc w:val="left"/>
      <w:pPr>
        <w:ind w:left="2594" w:hanging="286"/>
      </w:pPr>
      <w:rPr>
        <w:rFonts w:hint="default"/>
      </w:rPr>
    </w:lvl>
    <w:lvl w:ilvl="4" w:tplc="50A6677A">
      <w:start w:val="1"/>
      <w:numFmt w:val="bullet"/>
      <w:lvlText w:val="•"/>
      <w:lvlJc w:val="left"/>
      <w:pPr>
        <w:ind w:left="3546" w:hanging="286"/>
      </w:pPr>
      <w:rPr>
        <w:rFonts w:hint="default"/>
      </w:rPr>
    </w:lvl>
    <w:lvl w:ilvl="5" w:tplc="093A45AC">
      <w:start w:val="1"/>
      <w:numFmt w:val="bullet"/>
      <w:lvlText w:val="•"/>
      <w:lvlJc w:val="left"/>
      <w:pPr>
        <w:ind w:left="4498" w:hanging="286"/>
      </w:pPr>
      <w:rPr>
        <w:rFonts w:hint="default"/>
      </w:rPr>
    </w:lvl>
    <w:lvl w:ilvl="6" w:tplc="2B4C4F66">
      <w:start w:val="1"/>
      <w:numFmt w:val="bullet"/>
      <w:lvlText w:val="•"/>
      <w:lvlJc w:val="left"/>
      <w:pPr>
        <w:ind w:left="5451" w:hanging="286"/>
      </w:pPr>
      <w:rPr>
        <w:rFonts w:hint="default"/>
      </w:rPr>
    </w:lvl>
    <w:lvl w:ilvl="7" w:tplc="6D04A1F6">
      <w:start w:val="1"/>
      <w:numFmt w:val="bullet"/>
      <w:lvlText w:val="•"/>
      <w:lvlJc w:val="left"/>
      <w:pPr>
        <w:ind w:left="6403" w:hanging="286"/>
      </w:pPr>
      <w:rPr>
        <w:rFonts w:hint="default"/>
      </w:rPr>
    </w:lvl>
    <w:lvl w:ilvl="8" w:tplc="E0D62998">
      <w:start w:val="1"/>
      <w:numFmt w:val="bullet"/>
      <w:lvlText w:val="•"/>
      <w:lvlJc w:val="left"/>
      <w:pPr>
        <w:ind w:left="7355" w:hanging="286"/>
      </w:pPr>
      <w:rPr>
        <w:rFonts w:hint="default"/>
      </w:rPr>
    </w:lvl>
  </w:abstractNum>
  <w:abstractNum w:abstractNumId="12" w15:restartNumberingAfterBreak="0">
    <w:nsid w:val="3B031311"/>
    <w:multiLevelType w:val="hybridMultilevel"/>
    <w:tmpl w:val="51604BD4"/>
    <w:lvl w:ilvl="0" w:tplc="9BDCF326">
      <w:start w:val="1"/>
      <w:numFmt w:val="bullet"/>
      <w:lvlText w:val=""/>
      <w:lvlJc w:val="left"/>
      <w:pPr>
        <w:ind w:left="934" w:hanging="356"/>
      </w:pPr>
      <w:rPr>
        <w:rFonts w:ascii="Symbol" w:eastAsia="Symbol" w:hAnsi="Symbol" w:hint="default"/>
        <w:sz w:val="22"/>
        <w:szCs w:val="22"/>
      </w:rPr>
    </w:lvl>
    <w:lvl w:ilvl="1" w:tplc="C0E6CFCE">
      <w:start w:val="1"/>
      <w:numFmt w:val="bullet"/>
      <w:lvlText w:val="•"/>
      <w:lvlJc w:val="left"/>
      <w:pPr>
        <w:ind w:left="1767" w:hanging="356"/>
      </w:pPr>
      <w:rPr>
        <w:rFonts w:hint="default"/>
      </w:rPr>
    </w:lvl>
    <w:lvl w:ilvl="2" w:tplc="AFF6FA5C">
      <w:start w:val="1"/>
      <w:numFmt w:val="bullet"/>
      <w:lvlText w:val="•"/>
      <w:lvlJc w:val="left"/>
      <w:pPr>
        <w:ind w:left="2599" w:hanging="356"/>
      </w:pPr>
      <w:rPr>
        <w:rFonts w:hint="default"/>
      </w:rPr>
    </w:lvl>
    <w:lvl w:ilvl="3" w:tplc="2F58C6E6">
      <w:start w:val="1"/>
      <w:numFmt w:val="bullet"/>
      <w:lvlText w:val="•"/>
      <w:lvlJc w:val="left"/>
      <w:pPr>
        <w:ind w:left="3432" w:hanging="356"/>
      </w:pPr>
      <w:rPr>
        <w:rFonts w:hint="default"/>
      </w:rPr>
    </w:lvl>
    <w:lvl w:ilvl="4" w:tplc="FC42F87E">
      <w:start w:val="1"/>
      <w:numFmt w:val="bullet"/>
      <w:lvlText w:val="•"/>
      <w:lvlJc w:val="left"/>
      <w:pPr>
        <w:ind w:left="4264" w:hanging="356"/>
      </w:pPr>
      <w:rPr>
        <w:rFonts w:hint="default"/>
      </w:rPr>
    </w:lvl>
    <w:lvl w:ilvl="5" w:tplc="9F3EA9E6">
      <w:start w:val="1"/>
      <w:numFmt w:val="bullet"/>
      <w:lvlText w:val="•"/>
      <w:lvlJc w:val="left"/>
      <w:pPr>
        <w:ind w:left="5097" w:hanging="356"/>
      </w:pPr>
      <w:rPr>
        <w:rFonts w:hint="default"/>
      </w:rPr>
    </w:lvl>
    <w:lvl w:ilvl="6" w:tplc="85AA3C02">
      <w:start w:val="1"/>
      <w:numFmt w:val="bullet"/>
      <w:lvlText w:val="•"/>
      <w:lvlJc w:val="left"/>
      <w:pPr>
        <w:ind w:left="5929" w:hanging="356"/>
      </w:pPr>
      <w:rPr>
        <w:rFonts w:hint="default"/>
      </w:rPr>
    </w:lvl>
    <w:lvl w:ilvl="7" w:tplc="645229B8">
      <w:start w:val="1"/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DB829122">
      <w:start w:val="1"/>
      <w:numFmt w:val="bullet"/>
      <w:lvlText w:val="•"/>
      <w:lvlJc w:val="left"/>
      <w:pPr>
        <w:ind w:left="7594" w:hanging="356"/>
      </w:pPr>
      <w:rPr>
        <w:rFonts w:hint="default"/>
      </w:rPr>
    </w:lvl>
  </w:abstractNum>
  <w:abstractNum w:abstractNumId="13" w15:restartNumberingAfterBreak="0">
    <w:nsid w:val="3ED367C6"/>
    <w:multiLevelType w:val="hybridMultilevel"/>
    <w:tmpl w:val="A8460D52"/>
    <w:lvl w:ilvl="0" w:tplc="62B08E36">
      <w:start w:val="1"/>
      <w:numFmt w:val="bullet"/>
      <w:lvlText w:val=""/>
      <w:lvlJc w:val="left"/>
      <w:pPr>
        <w:ind w:left="649" w:hanging="286"/>
      </w:pPr>
      <w:rPr>
        <w:rFonts w:ascii="Symbol" w:eastAsia="Symbol" w:hAnsi="Symbol" w:hint="default"/>
        <w:sz w:val="22"/>
        <w:szCs w:val="22"/>
      </w:rPr>
    </w:lvl>
    <w:lvl w:ilvl="1" w:tplc="33D83B3E">
      <w:start w:val="1"/>
      <w:numFmt w:val="bullet"/>
      <w:lvlText w:val="•"/>
      <w:lvlJc w:val="left"/>
      <w:pPr>
        <w:ind w:left="1510" w:hanging="286"/>
      </w:pPr>
      <w:rPr>
        <w:rFonts w:hint="default"/>
      </w:rPr>
    </w:lvl>
    <w:lvl w:ilvl="2" w:tplc="137CBB70">
      <w:start w:val="1"/>
      <w:numFmt w:val="bullet"/>
      <w:lvlText w:val="•"/>
      <w:lvlJc w:val="left"/>
      <w:pPr>
        <w:ind w:left="2371" w:hanging="286"/>
      </w:pPr>
      <w:rPr>
        <w:rFonts w:hint="default"/>
      </w:rPr>
    </w:lvl>
    <w:lvl w:ilvl="3" w:tplc="4AA4D712">
      <w:start w:val="1"/>
      <w:numFmt w:val="bullet"/>
      <w:lvlText w:val="•"/>
      <w:lvlJc w:val="left"/>
      <w:pPr>
        <w:ind w:left="3232" w:hanging="286"/>
      </w:pPr>
      <w:rPr>
        <w:rFonts w:hint="default"/>
      </w:rPr>
    </w:lvl>
    <w:lvl w:ilvl="4" w:tplc="54C2FB60">
      <w:start w:val="1"/>
      <w:numFmt w:val="bullet"/>
      <w:lvlText w:val="•"/>
      <w:lvlJc w:val="left"/>
      <w:pPr>
        <w:ind w:left="4093" w:hanging="286"/>
      </w:pPr>
      <w:rPr>
        <w:rFonts w:hint="default"/>
      </w:rPr>
    </w:lvl>
    <w:lvl w:ilvl="5" w:tplc="223810E6">
      <w:start w:val="1"/>
      <w:numFmt w:val="bullet"/>
      <w:lvlText w:val="•"/>
      <w:lvlJc w:val="left"/>
      <w:pPr>
        <w:ind w:left="4954" w:hanging="286"/>
      </w:pPr>
      <w:rPr>
        <w:rFonts w:hint="default"/>
      </w:rPr>
    </w:lvl>
    <w:lvl w:ilvl="6" w:tplc="875A230A">
      <w:start w:val="1"/>
      <w:numFmt w:val="bullet"/>
      <w:lvlText w:val="•"/>
      <w:lvlJc w:val="left"/>
      <w:pPr>
        <w:ind w:left="5815" w:hanging="286"/>
      </w:pPr>
      <w:rPr>
        <w:rFonts w:hint="default"/>
      </w:rPr>
    </w:lvl>
    <w:lvl w:ilvl="7" w:tplc="B9743D86">
      <w:start w:val="1"/>
      <w:numFmt w:val="bullet"/>
      <w:lvlText w:val="•"/>
      <w:lvlJc w:val="left"/>
      <w:pPr>
        <w:ind w:left="6676" w:hanging="286"/>
      </w:pPr>
      <w:rPr>
        <w:rFonts w:hint="default"/>
      </w:rPr>
    </w:lvl>
    <w:lvl w:ilvl="8" w:tplc="CEEA6E46">
      <w:start w:val="1"/>
      <w:numFmt w:val="bullet"/>
      <w:lvlText w:val="•"/>
      <w:lvlJc w:val="left"/>
      <w:pPr>
        <w:ind w:left="7537" w:hanging="286"/>
      </w:pPr>
      <w:rPr>
        <w:rFonts w:hint="default"/>
      </w:rPr>
    </w:lvl>
  </w:abstractNum>
  <w:abstractNum w:abstractNumId="14" w15:restartNumberingAfterBreak="0">
    <w:nsid w:val="45F93734"/>
    <w:multiLevelType w:val="hybridMultilevel"/>
    <w:tmpl w:val="27CE842A"/>
    <w:lvl w:ilvl="0" w:tplc="D4B83E24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sz w:val="22"/>
        <w:szCs w:val="22"/>
      </w:rPr>
    </w:lvl>
    <w:lvl w:ilvl="1" w:tplc="5FE68766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2" w:tplc="F356B83C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70725D9A">
      <w:start w:val="1"/>
      <w:numFmt w:val="bullet"/>
      <w:lvlText w:val="•"/>
      <w:lvlJc w:val="left"/>
      <w:pPr>
        <w:ind w:left="3437" w:hanging="360"/>
      </w:pPr>
      <w:rPr>
        <w:rFonts w:hint="default"/>
      </w:rPr>
    </w:lvl>
    <w:lvl w:ilvl="4" w:tplc="7A5A2E6E">
      <w:start w:val="1"/>
      <w:numFmt w:val="bullet"/>
      <w:lvlText w:val="•"/>
      <w:lvlJc w:val="left"/>
      <w:pPr>
        <w:ind w:left="4269" w:hanging="360"/>
      </w:pPr>
      <w:rPr>
        <w:rFonts w:hint="default"/>
      </w:rPr>
    </w:lvl>
    <w:lvl w:ilvl="5" w:tplc="BBB20D68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6" w:tplc="AA9230BC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E10AFCBC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60F2B490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5" w15:restartNumberingAfterBreak="0">
    <w:nsid w:val="4D6B3789"/>
    <w:multiLevelType w:val="hybridMultilevel"/>
    <w:tmpl w:val="8062C478"/>
    <w:lvl w:ilvl="0" w:tplc="AE70707E">
      <w:start w:val="1"/>
      <w:numFmt w:val="lowerLetter"/>
      <w:lvlText w:val="%1)"/>
      <w:lvlJc w:val="left"/>
      <w:pPr>
        <w:ind w:left="524" w:hanging="303"/>
      </w:pPr>
      <w:rPr>
        <w:rFonts w:ascii="Verdana" w:eastAsia="Verdana" w:hAnsi="Verdana" w:hint="default"/>
        <w:spacing w:val="-3"/>
        <w:sz w:val="22"/>
        <w:szCs w:val="22"/>
      </w:rPr>
    </w:lvl>
    <w:lvl w:ilvl="1" w:tplc="03841BF6">
      <w:start w:val="1"/>
      <w:numFmt w:val="bullet"/>
      <w:lvlText w:val=""/>
      <w:lvlJc w:val="left"/>
      <w:pPr>
        <w:ind w:left="762" w:hanging="358"/>
      </w:pPr>
      <w:rPr>
        <w:rFonts w:ascii="Symbol" w:eastAsia="Symbol" w:hAnsi="Symbol" w:hint="default"/>
        <w:sz w:val="22"/>
        <w:szCs w:val="22"/>
      </w:rPr>
    </w:lvl>
    <w:lvl w:ilvl="2" w:tplc="F2843C36">
      <w:start w:val="1"/>
      <w:numFmt w:val="bullet"/>
      <w:lvlText w:val="•"/>
      <w:lvlJc w:val="left"/>
      <w:pPr>
        <w:ind w:left="769" w:hanging="358"/>
      </w:pPr>
      <w:rPr>
        <w:rFonts w:hint="default"/>
      </w:rPr>
    </w:lvl>
    <w:lvl w:ilvl="3" w:tplc="35BCCE74">
      <w:start w:val="1"/>
      <w:numFmt w:val="bullet"/>
      <w:lvlText w:val="•"/>
      <w:lvlJc w:val="left"/>
      <w:pPr>
        <w:ind w:left="1830" w:hanging="358"/>
      </w:pPr>
      <w:rPr>
        <w:rFonts w:hint="default"/>
      </w:rPr>
    </w:lvl>
    <w:lvl w:ilvl="4" w:tplc="F2928B4A">
      <w:start w:val="1"/>
      <w:numFmt w:val="bullet"/>
      <w:lvlText w:val="•"/>
      <w:lvlJc w:val="left"/>
      <w:pPr>
        <w:ind w:left="2891" w:hanging="358"/>
      </w:pPr>
      <w:rPr>
        <w:rFonts w:hint="default"/>
      </w:rPr>
    </w:lvl>
    <w:lvl w:ilvl="5" w:tplc="0CEC0328">
      <w:start w:val="1"/>
      <w:numFmt w:val="bullet"/>
      <w:lvlText w:val="•"/>
      <w:lvlJc w:val="left"/>
      <w:pPr>
        <w:ind w:left="3953" w:hanging="358"/>
      </w:pPr>
      <w:rPr>
        <w:rFonts w:hint="default"/>
      </w:rPr>
    </w:lvl>
    <w:lvl w:ilvl="6" w:tplc="81BA235A">
      <w:start w:val="1"/>
      <w:numFmt w:val="bullet"/>
      <w:lvlText w:val="•"/>
      <w:lvlJc w:val="left"/>
      <w:pPr>
        <w:ind w:left="5014" w:hanging="358"/>
      </w:pPr>
      <w:rPr>
        <w:rFonts w:hint="default"/>
      </w:rPr>
    </w:lvl>
    <w:lvl w:ilvl="7" w:tplc="8E528B94">
      <w:start w:val="1"/>
      <w:numFmt w:val="bullet"/>
      <w:lvlText w:val="•"/>
      <w:lvlJc w:val="left"/>
      <w:pPr>
        <w:ind w:left="6075" w:hanging="358"/>
      </w:pPr>
      <w:rPr>
        <w:rFonts w:hint="default"/>
      </w:rPr>
    </w:lvl>
    <w:lvl w:ilvl="8" w:tplc="478AD21C">
      <w:start w:val="1"/>
      <w:numFmt w:val="bullet"/>
      <w:lvlText w:val="•"/>
      <w:lvlJc w:val="left"/>
      <w:pPr>
        <w:ind w:left="7137" w:hanging="358"/>
      </w:pPr>
      <w:rPr>
        <w:rFonts w:hint="default"/>
      </w:rPr>
    </w:lvl>
  </w:abstractNum>
  <w:abstractNum w:abstractNumId="16" w15:restartNumberingAfterBreak="0">
    <w:nsid w:val="611A62A1"/>
    <w:multiLevelType w:val="hybridMultilevel"/>
    <w:tmpl w:val="22163256"/>
    <w:lvl w:ilvl="0" w:tplc="79E4BF4A">
      <w:start w:val="4"/>
      <w:numFmt w:val="decimal"/>
      <w:lvlText w:val="%1"/>
      <w:lvlJc w:val="left"/>
      <w:pPr>
        <w:ind w:left="690" w:hanging="468"/>
      </w:pPr>
      <w:rPr>
        <w:rFonts w:hint="default"/>
      </w:rPr>
    </w:lvl>
    <w:lvl w:ilvl="1" w:tplc="0D7489CE">
      <w:start w:val="1"/>
      <w:numFmt w:val="decimal"/>
      <w:lvlText w:val="%1.%2"/>
      <w:lvlJc w:val="left"/>
      <w:pPr>
        <w:ind w:left="690" w:hanging="468"/>
      </w:pPr>
      <w:rPr>
        <w:rFonts w:ascii="Verdana" w:eastAsia="Verdana" w:hAnsi="Verdana" w:hint="default"/>
        <w:spacing w:val="-2"/>
        <w:w w:val="99"/>
        <w:sz w:val="24"/>
        <w:szCs w:val="24"/>
      </w:rPr>
    </w:lvl>
    <w:lvl w:ilvl="2" w:tplc="32BA989C">
      <w:start w:val="1"/>
      <w:numFmt w:val="bullet"/>
      <w:lvlText w:val="•"/>
      <w:lvlJc w:val="left"/>
      <w:pPr>
        <w:ind w:left="2094" w:hanging="468"/>
      </w:pPr>
      <w:rPr>
        <w:rFonts w:hint="default"/>
      </w:rPr>
    </w:lvl>
    <w:lvl w:ilvl="3" w:tplc="1F5A217C">
      <w:start w:val="1"/>
      <w:numFmt w:val="bullet"/>
      <w:lvlText w:val="•"/>
      <w:lvlJc w:val="left"/>
      <w:pPr>
        <w:ind w:left="2990" w:hanging="468"/>
      </w:pPr>
      <w:rPr>
        <w:rFonts w:hint="default"/>
      </w:rPr>
    </w:lvl>
    <w:lvl w:ilvl="4" w:tplc="088AFDFA">
      <w:start w:val="1"/>
      <w:numFmt w:val="bullet"/>
      <w:lvlText w:val="•"/>
      <w:lvlJc w:val="left"/>
      <w:pPr>
        <w:ind w:left="3886" w:hanging="468"/>
      </w:pPr>
      <w:rPr>
        <w:rFonts w:hint="default"/>
      </w:rPr>
    </w:lvl>
    <w:lvl w:ilvl="5" w:tplc="19867234">
      <w:start w:val="1"/>
      <w:numFmt w:val="bullet"/>
      <w:lvlText w:val="•"/>
      <w:lvlJc w:val="left"/>
      <w:pPr>
        <w:ind w:left="4781" w:hanging="468"/>
      </w:pPr>
      <w:rPr>
        <w:rFonts w:hint="default"/>
      </w:rPr>
    </w:lvl>
    <w:lvl w:ilvl="6" w:tplc="D8E8F81C">
      <w:start w:val="1"/>
      <w:numFmt w:val="bullet"/>
      <w:lvlText w:val="•"/>
      <w:lvlJc w:val="left"/>
      <w:pPr>
        <w:ind w:left="5677" w:hanging="468"/>
      </w:pPr>
      <w:rPr>
        <w:rFonts w:hint="default"/>
      </w:rPr>
    </w:lvl>
    <w:lvl w:ilvl="7" w:tplc="02CED3EA">
      <w:start w:val="1"/>
      <w:numFmt w:val="bullet"/>
      <w:lvlText w:val="•"/>
      <w:lvlJc w:val="left"/>
      <w:pPr>
        <w:ind w:left="6573" w:hanging="468"/>
      </w:pPr>
      <w:rPr>
        <w:rFonts w:hint="default"/>
      </w:rPr>
    </w:lvl>
    <w:lvl w:ilvl="8" w:tplc="537AFB9A">
      <w:start w:val="1"/>
      <w:numFmt w:val="bullet"/>
      <w:lvlText w:val="•"/>
      <w:lvlJc w:val="left"/>
      <w:pPr>
        <w:ind w:left="7468" w:hanging="468"/>
      </w:pPr>
      <w:rPr>
        <w:rFonts w:hint="default"/>
      </w:rPr>
    </w:lvl>
  </w:abstractNum>
  <w:abstractNum w:abstractNumId="17" w15:restartNumberingAfterBreak="0">
    <w:nsid w:val="63D05C7A"/>
    <w:multiLevelType w:val="hybridMultilevel"/>
    <w:tmpl w:val="225EBE40"/>
    <w:lvl w:ilvl="0" w:tplc="16C6F9FE">
      <w:start w:val="1"/>
      <w:numFmt w:val="bullet"/>
      <w:lvlText w:val=""/>
      <w:lvlJc w:val="left"/>
      <w:pPr>
        <w:ind w:left="934" w:hanging="356"/>
      </w:pPr>
      <w:rPr>
        <w:rFonts w:ascii="Symbol" w:eastAsia="Symbol" w:hAnsi="Symbol" w:hint="default"/>
        <w:sz w:val="24"/>
        <w:szCs w:val="24"/>
      </w:rPr>
    </w:lvl>
    <w:lvl w:ilvl="1" w:tplc="468CFED2">
      <w:start w:val="1"/>
      <w:numFmt w:val="bullet"/>
      <w:lvlText w:val="•"/>
      <w:lvlJc w:val="left"/>
      <w:pPr>
        <w:ind w:left="1767" w:hanging="356"/>
      </w:pPr>
      <w:rPr>
        <w:rFonts w:hint="default"/>
      </w:rPr>
    </w:lvl>
    <w:lvl w:ilvl="2" w:tplc="63B0E4FE">
      <w:start w:val="1"/>
      <w:numFmt w:val="bullet"/>
      <w:lvlText w:val="•"/>
      <w:lvlJc w:val="left"/>
      <w:pPr>
        <w:ind w:left="2599" w:hanging="356"/>
      </w:pPr>
      <w:rPr>
        <w:rFonts w:hint="default"/>
      </w:rPr>
    </w:lvl>
    <w:lvl w:ilvl="3" w:tplc="9F225448">
      <w:start w:val="1"/>
      <w:numFmt w:val="bullet"/>
      <w:lvlText w:val="•"/>
      <w:lvlJc w:val="left"/>
      <w:pPr>
        <w:ind w:left="3432" w:hanging="356"/>
      </w:pPr>
      <w:rPr>
        <w:rFonts w:hint="default"/>
      </w:rPr>
    </w:lvl>
    <w:lvl w:ilvl="4" w:tplc="A2B0AAAC">
      <w:start w:val="1"/>
      <w:numFmt w:val="bullet"/>
      <w:lvlText w:val="•"/>
      <w:lvlJc w:val="left"/>
      <w:pPr>
        <w:ind w:left="4264" w:hanging="356"/>
      </w:pPr>
      <w:rPr>
        <w:rFonts w:hint="default"/>
      </w:rPr>
    </w:lvl>
    <w:lvl w:ilvl="5" w:tplc="181EA6D6">
      <w:start w:val="1"/>
      <w:numFmt w:val="bullet"/>
      <w:lvlText w:val="•"/>
      <w:lvlJc w:val="left"/>
      <w:pPr>
        <w:ind w:left="5097" w:hanging="356"/>
      </w:pPr>
      <w:rPr>
        <w:rFonts w:hint="default"/>
      </w:rPr>
    </w:lvl>
    <w:lvl w:ilvl="6" w:tplc="D1B6C704">
      <w:start w:val="1"/>
      <w:numFmt w:val="bullet"/>
      <w:lvlText w:val="•"/>
      <w:lvlJc w:val="left"/>
      <w:pPr>
        <w:ind w:left="5929" w:hanging="356"/>
      </w:pPr>
      <w:rPr>
        <w:rFonts w:hint="default"/>
      </w:rPr>
    </w:lvl>
    <w:lvl w:ilvl="7" w:tplc="8040AF30">
      <w:start w:val="1"/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47B45970">
      <w:start w:val="1"/>
      <w:numFmt w:val="bullet"/>
      <w:lvlText w:val="•"/>
      <w:lvlJc w:val="left"/>
      <w:pPr>
        <w:ind w:left="7594" w:hanging="356"/>
      </w:pPr>
      <w:rPr>
        <w:rFonts w:hint="default"/>
      </w:rPr>
    </w:lvl>
  </w:abstractNum>
  <w:abstractNum w:abstractNumId="18" w15:restartNumberingAfterBreak="0">
    <w:nsid w:val="67AB5E1F"/>
    <w:multiLevelType w:val="hybridMultilevel"/>
    <w:tmpl w:val="35E606BA"/>
    <w:lvl w:ilvl="0" w:tplc="63149510">
      <w:start w:val="4"/>
      <w:numFmt w:val="decimal"/>
      <w:lvlText w:val="%1"/>
      <w:lvlJc w:val="left"/>
      <w:pPr>
        <w:ind w:left="1849" w:hanging="922"/>
      </w:pPr>
      <w:rPr>
        <w:rFonts w:hint="default"/>
      </w:rPr>
    </w:lvl>
    <w:lvl w:ilvl="1" w:tplc="ED5A3BCC">
      <w:start w:val="2"/>
      <w:numFmt w:val="decimal"/>
      <w:lvlText w:val="%1.%2"/>
      <w:lvlJc w:val="left"/>
      <w:pPr>
        <w:ind w:left="1849" w:hanging="922"/>
      </w:pPr>
      <w:rPr>
        <w:rFonts w:hint="default"/>
      </w:rPr>
    </w:lvl>
    <w:lvl w:ilvl="2" w:tplc="61346828">
      <w:start w:val="2"/>
      <w:numFmt w:val="decimal"/>
      <w:lvlText w:val="%1.%2.%3"/>
      <w:lvlJc w:val="left"/>
      <w:pPr>
        <w:ind w:left="1849" w:hanging="922"/>
      </w:pPr>
      <w:rPr>
        <w:rFonts w:hint="default"/>
      </w:rPr>
    </w:lvl>
    <w:lvl w:ilvl="3" w:tplc="31866C44">
      <w:start w:val="1"/>
      <w:numFmt w:val="decimal"/>
      <w:lvlText w:val="%1.%2.%3.%4"/>
      <w:lvlJc w:val="left"/>
      <w:pPr>
        <w:ind w:left="1849" w:hanging="922"/>
      </w:pPr>
      <w:rPr>
        <w:rFonts w:ascii="Verdana" w:eastAsia="Verdana" w:hAnsi="Verdana" w:hint="default"/>
        <w:b/>
        <w:bCs/>
        <w:i/>
        <w:spacing w:val="-4"/>
        <w:sz w:val="22"/>
        <w:szCs w:val="22"/>
      </w:rPr>
    </w:lvl>
    <w:lvl w:ilvl="4" w:tplc="DA58EA8A">
      <w:start w:val="1"/>
      <w:numFmt w:val="bullet"/>
      <w:lvlText w:val="•"/>
      <w:lvlJc w:val="left"/>
      <w:pPr>
        <w:ind w:left="4813" w:hanging="922"/>
      </w:pPr>
      <w:rPr>
        <w:rFonts w:hint="default"/>
      </w:rPr>
    </w:lvl>
    <w:lvl w:ilvl="5" w:tplc="522A947E">
      <w:start w:val="1"/>
      <w:numFmt w:val="bullet"/>
      <w:lvlText w:val="•"/>
      <w:lvlJc w:val="left"/>
      <w:pPr>
        <w:ind w:left="5554" w:hanging="922"/>
      </w:pPr>
      <w:rPr>
        <w:rFonts w:hint="default"/>
      </w:rPr>
    </w:lvl>
    <w:lvl w:ilvl="6" w:tplc="1C867FB4">
      <w:start w:val="1"/>
      <w:numFmt w:val="bullet"/>
      <w:lvlText w:val="•"/>
      <w:lvlJc w:val="left"/>
      <w:pPr>
        <w:ind w:left="6295" w:hanging="922"/>
      </w:pPr>
      <w:rPr>
        <w:rFonts w:hint="default"/>
      </w:rPr>
    </w:lvl>
    <w:lvl w:ilvl="7" w:tplc="BFE0690A">
      <w:start w:val="1"/>
      <w:numFmt w:val="bullet"/>
      <w:lvlText w:val="•"/>
      <w:lvlJc w:val="left"/>
      <w:pPr>
        <w:ind w:left="7036" w:hanging="922"/>
      </w:pPr>
      <w:rPr>
        <w:rFonts w:hint="default"/>
      </w:rPr>
    </w:lvl>
    <w:lvl w:ilvl="8" w:tplc="21506A0E">
      <w:start w:val="1"/>
      <w:numFmt w:val="bullet"/>
      <w:lvlText w:val="•"/>
      <w:lvlJc w:val="left"/>
      <w:pPr>
        <w:ind w:left="7777" w:hanging="922"/>
      </w:pPr>
      <w:rPr>
        <w:rFonts w:hint="default"/>
      </w:rPr>
    </w:lvl>
  </w:abstractNum>
  <w:abstractNum w:abstractNumId="19" w15:restartNumberingAfterBreak="0">
    <w:nsid w:val="73FF5E2C"/>
    <w:multiLevelType w:val="hybridMultilevel"/>
    <w:tmpl w:val="013250D2"/>
    <w:lvl w:ilvl="0" w:tplc="FBF45FB0">
      <w:start w:val="3"/>
      <w:numFmt w:val="decimal"/>
      <w:lvlText w:val="%1"/>
      <w:lvlJc w:val="left"/>
      <w:pPr>
        <w:ind w:left="1630" w:hanging="701"/>
      </w:pPr>
      <w:rPr>
        <w:rFonts w:hint="default"/>
      </w:rPr>
    </w:lvl>
    <w:lvl w:ilvl="1" w:tplc="4D504B02">
      <w:start w:val="2"/>
      <w:numFmt w:val="decimal"/>
      <w:lvlText w:val="%1.%2"/>
      <w:lvlJc w:val="left"/>
      <w:pPr>
        <w:ind w:left="1630" w:hanging="701"/>
      </w:pPr>
      <w:rPr>
        <w:rFonts w:hint="default"/>
      </w:rPr>
    </w:lvl>
    <w:lvl w:ilvl="2" w:tplc="FDFE87F8">
      <w:start w:val="2"/>
      <w:numFmt w:val="decimal"/>
      <w:lvlText w:val="%1.%2.%3"/>
      <w:lvlJc w:val="left"/>
      <w:pPr>
        <w:ind w:left="1630" w:hanging="701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3" w:tplc="B65EB7B8">
      <w:start w:val="1"/>
      <w:numFmt w:val="bullet"/>
      <w:lvlText w:val="•"/>
      <w:lvlJc w:val="left"/>
      <w:pPr>
        <w:ind w:left="3919" w:hanging="701"/>
      </w:pPr>
      <w:rPr>
        <w:rFonts w:hint="default"/>
      </w:rPr>
    </w:lvl>
    <w:lvl w:ilvl="4" w:tplc="AAFC048E">
      <w:start w:val="1"/>
      <w:numFmt w:val="bullet"/>
      <w:lvlText w:val="•"/>
      <w:lvlJc w:val="left"/>
      <w:pPr>
        <w:ind w:left="4682" w:hanging="701"/>
      </w:pPr>
      <w:rPr>
        <w:rFonts w:hint="default"/>
      </w:rPr>
    </w:lvl>
    <w:lvl w:ilvl="5" w:tplc="1D746F1A">
      <w:start w:val="1"/>
      <w:numFmt w:val="bullet"/>
      <w:lvlText w:val="•"/>
      <w:lvlJc w:val="left"/>
      <w:pPr>
        <w:ind w:left="5445" w:hanging="701"/>
      </w:pPr>
      <w:rPr>
        <w:rFonts w:hint="default"/>
      </w:rPr>
    </w:lvl>
    <w:lvl w:ilvl="6" w:tplc="D500F744">
      <w:start w:val="1"/>
      <w:numFmt w:val="bullet"/>
      <w:lvlText w:val="•"/>
      <w:lvlJc w:val="left"/>
      <w:pPr>
        <w:ind w:left="6208" w:hanging="701"/>
      </w:pPr>
      <w:rPr>
        <w:rFonts w:hint="default"/>
      </w:rPr>
    </w:lvl>
    <w:lvl w:ilvl="7" w:tplc="9E3AC31E">
      <w:start w:val="1"/>
      <w:numFmt w:val="bullet"/>
      <w:lvlText w:val="•"/>
      <w:lvlJc w:val="left"/>
      <w:pPr>
        <w:ind w:left="6971" w:hanging="701"/>
      </w:pPr>
      <w:rPr>
        <w:rFonts w:hint="default"/>
      </w:rPr>
    </w:lvl>
    <w:lvl w:ilvl="8" w:tplc="F626AF48">
      <w:start w:val="1"/>
      <w:numFmt w:val="bullet"/>
      <w:lvlText w:val="•"/>
      <w:lvlJc w:val="left"/>
      <w:pPr>
        <w:ind w:left="7734" w:hanging="701"/>
      </w:pPr>
      <w:rPr>
        <w:rFonts w:hint="default"/>
      </w:rPr>
    </w:lvl>
  </w:abstractNum>
  <w:abstractNum w:abstractNumId="20" w15:restartNumberingAfterBreak="0">
    <w:nsid w:val="752449BC"/>
    <w:multiLevelType w:val="hybridMultilevel"/>
    <w:tmpl w:val="EE06E818"/>
    <w:lvl w:ilvl="0" w:tplc="7F460132">
      <w:start w:val="2"/>
      <w:numFmt w:val="decimal"/>
      <w:lvlText w:val="%1"/>
      <w:lvlJc w:val="left"/>
      <w:pPr>
        <w:ind w:left="690" w:hanging="468"/>
      </w:pPr>
      <w:rPr>
        <w:rFonts w:hint="default"/>
      </w:rPr>
    </w:lvl>
    <w:lvl w:ilvl="1" w:tplc="3EFCC686">
      <w:start w:val="1"/>
      <w:numFmt w:val="decimal"/>
      <w:lvlText w:val="%1.%2"/>
      <w:lvlJc w:val="left"/>
      <w:pPr>
        <w:ind w:left="690" w:hanging="468"/>
      </w:pPr>
      <w:rPr>
        <w:rFonts w:ascii="Verdana" w:eastAsia="Verdana" w:hAnsi="Verdana" w:hint="default"/>
        <w:spacing w:val="-2"/>
        <w:w w:val="99"/>
        <w:sz w:val="24"/>
        <w:szCs w:val="24"/>
      </w:rPr>
    </w:lvl>
    <w:lvl w:ilvl="2" w:tplc="8E9C8C78">
      <w:start w:val="1"/>
      <w:numFmt w:val="decimal"/>
      <w:lvlText w:val="%1.%2.%3"/>
      <w:lvlJc w:val="left"/>
      <w:pPr>
        <w:ind w:left="910" w:hanging="689"/>
      </w:pPr>
      <w:rPr>
        <w:rFonts w:ascii="Verdana" w:eastAsia="Verdana" w:hAnsi="Verdana" w:hint="default"/>
        <w:b/>
        <w:bCs/>
        <w:spacing w:val="-4"/>
        <w:sz w:val="22"/>
        <w:szCs w:val="22"/>
      </w:rPr>
    </w:lvl>
    <w:lvl w:ilvl="3" w:tplc="7640DEAE">
      <w:start w:val="1"/>
      <w:numFmt w:val="bullet"/>
      <w:lvlText w:val=""/>
      <w:lvlJc w:val="left"/>
      <w:pPr>
        <w:ind w:left="649" w:hanging="286"/>
      </w:pPr>
      <w:rPr>
        <w:rFonts w:ascii="Symbol" w:eastAsia="Symbol" w:hAnsi="Symbol" w:hint="default"/>
        <w:sz w:val="22"/>
        <w:szCs w:val="22"/>
      </w:rPr>
    </w:lvl>
    <w:lvl w:ilvl="4" w:tplc="72B61F32">
      <w:start w:val="1"/>
      <w:numFmt w:val="bullet"/>
      <w:lvlText w:val="•"/>
      <w:lvlJc w:val="left"/>
      <w:pPr>
        <w:ind w:left="2998" w:hanging="286"/>
      </w:pPr>
      <w:rPr>
        <w:rFonts w:hint="default"/>
      </w:rPr>
    </w:lvl>
    <w:lvl w:ilvl="5" w:tplc="35E056C4">
      <w:start w:val="1"/>
      <w:numFmt w:val="bullet"/>
      <w:lvlText w:val="•"/>
      <w:lvlJc w:val="left"/>
      <w:pPr>
        <w:ind w:left="4041" w:hanging="286"/>
      </w:pPr>
      <w:rPr>
        <w:rFonts w:hint="default"/>
      </w:rPr>
    </w:lvl>
    <w:lvl w:ilvl="6" w:tplc="1488EA92">
      <w:start w:val="1"/>
      <w:numFmt w:val="bullet"/>
      <w:lvlText w:val="•"/>
      <w:lvlJc w:val="left"/>
      <w:pPr>
        <w:ind w:left="5085" w:hanging="286"/>
      </w:pPr>
      <w:rPr>
        <w:rFonts w:hint="default"/>
      </w:rPr>
    </w:lvl>
    <w:lvl w:ilvl="7" w:tplc="A44EB4FE">
      <w:start w:val="1"/>
      <w:numFmt w:val="bullet"/>
      <w:lvlText w:val="•"/>
      <w:lvlJc w:val="left"/>
      <w:pPr>
        <w:ind w:left="6129" w:hanging="286"/>
      </w:pPr>
      <w:rPr>
        <w:rFonts w:hint="default"/>
      </w:rPr>
    </w:lvl>
    <w:lvl w:ilvl="8" w:tplc="E52EBB6E">
      <w:start w:val="1"/>
      <w:numFmt w:val="bullet"/>
      <w:lvlText w:val="•"/>
      <w:lvlJc w:val="left"/>
      <w:pPr>
        <w:ind w:left="7172" w:hanging="286"/>
      </w:pPr>
      <w:rPr>
        <w:rFonts w:hint="default"/>
      </w:rPr>
    </w:lvl>
  </w:abstractNum>
  <w:abstractNum w:abstractNumId="21" w15:restartNumberingAfterBreak="0">
    <w:nsid w:val="7A4D2E95"/>
    <w:multiLevelType w:val="hybridMultilevel"/>
    <w:tmpl w:val="941EEBDA"/>
    <w:lvl w:ilvl="0" w:tplc="AC420578">
      <w:start w:val="3"/>
      <w:numFmt w:val="decimal"/>
      <w:lvlText w:val="%1"/>
      <w:lvlJc w:val="left"/>
      <w:pPr>
        <w:ind w:left="690" w:hanging="468"/>
      </w:pPr>
      <w:rPr>
        <w:rFonts w:hint="default"/>
      </w:rPr>
    </w:lvl>
    <w:lvl w:ilvl="1" w:tplc="4238C992">
      <w:start w:val="2"/>
      <w:numFmt w:val="decimal"/>
      <w:lvlText w:val="%1.%2"/>
      <w:lvlJc w:val="left"/>
      <w:pPr>
        <w:ind w:left="690" w:hanging="468"/>
      </w:pPr>
      <w:rPr>
        <w:rFonts w:ascii="Verdana" w:eastAsia="Verdana" w:hAnsi="Verdana" w:hint="default"/>
        <w:spacing w:val="-2"/>
        <w:w w:val="99"/>
        <w:sz w:val="24"/>
        <w:szCs w:val="24"/>
      </w:rPr>
    </w:lvl>
    <w:lvl w:ilvl="2" w:tplc="A074281A">
      <w:start w:val="1"/>
      <w:numFmt w:val="bullet"/>
      <w:lvlText w:val=""/>
      <w:lvlJc w:val="left"/>
      <w:pPr>
        <w:ind w:left="649" w:hanging="286"/>
      </w:pPr>
      <w:rPr>
        <w:rFonts w:ascii="Symbol" w:eastAsia="Symbol" w:hAnsi="Symbol" w:hint="default"/>
        <w:sz w:val="22"/>
        <w:szCs w:val="22"/>
      </w:rPr>
    </w:lvl>
    <w:lvl w:ilvl="3" w:tplc="C172DCAE">
      <w:start w:val="1"/>
      <w:numFmt w:val="bullet"/>
      <w:lvlText w:val="•"/>
      <w:lvlJc w:val="left"/>
      <w:pPr>
        <w:ind w:left="2584" w:hanging="286"/>
      </w:pPr>
      <w:rPr>
        <w:rFonts w:hint="default"/>
      </w:rPr>
    </w:lvl>
    <w:lvl w:ilvl="4" w:tplc="8AE4CEBE">
      <w:start w:val="1"/>
      <w:numFmt w:val="bullet"/>
      <w:lvlText w:val="•"/>
      <w:lvlJc w:val="left"/>
      <w:pPr>
        <w:ind w:left="3538" w:hanging="286"/>
      </w:pPr>
      <w:rPr>
        <w:rFonts w:hint="default"/>
      </w:rPr>
    </w:lvl>
    <w:lvl w:ilvl="5" w:tplc="0040F65A">
      <w:start w:val="1"/>
      <w:numFmt w:val="bullet"/>
      <w:lvlText w:val="•"/>
      <w:lvlJc w:val="left"/>
      <w:pPr>
        <w:ind w:left="4491" w:hanging="286"/>
      </w:pPr>
      <w:rPr>
        <w:rFonts w:hint="default"/>
      </w:rPr>
    </w:lvl>
    <w:lvl w:ilvl="6" w:tplc="7A9C1F2C">
      <w:start w:val="1"/>
      <w:numFmt w:val="bullet"/>
      <w:lvlText w:val="•"/>
      <w:lvlJc w:val="left"/>
      <w:pPr>
        <w:ind w:left="5445" w:hanging="286"/>
      </w:pPr>
      <w:rPr>
        <w:rFonts w:hint="default"/>
      </w:rPr>
    </w:lvl>
    <w:lvl w:ilvl="7" w:tplc="4600CF9A">
      <w:start w:val="1"/>
      <w:numFmt w:val="bullet"/>
      <w:lvlText w:val="•"/>
      <w:lvlJc w:val="left"/>
      <w:pPr>
        <w:ind w:left="6399" w:hanging="286"/>
      </w:pPr>
      <w:rPr>
        <w:rFonts w:hint="default"/>
      </w:rPr>
    </w:lvl>
    <w:lvl w:ilvl="8" w:tplc="E41205C6">
      <w:start w:val="1"/>
      <w:numFmt w:val="bullet"/>
      <w:lvlText w:val="•"/>
      <w:lvlJc w:val="left"/>
      <w:pPr>
        <w:ind w:left="7352" w:hanging="286"/>
      </w:pPr>
      <w:rPr>
        <w:rFonts w:hint="default"/>
      </w:rPr>
    </w:lvl>
  </w:abstractNum>
  <w:abstractNum w:abstractNumId="22" w15:restartNumberingAfterBreak="0">
    <w:nsid w:val="7BBE0764"/>
    <w:multiLevelType w:val="hybridMultilevel"/>
    <w:tmpl w:val="7430B7F2"/>
    <w:lvl w:ilvl="0" w:tplc="6F78F212">
      <w:start w:val="3"/>
      <w:numFmt w:val="decimal"/>
      <w:lvlText w:val="%1"/>
      <w:lvlJc w:val="left"/>
      <w:pPr>
        <w:ind w:left="1630" w:hanging="701"/>
      </w:pPr>
      <w:rPr>
        <w:rFonts w:hint="default"/>
      </w:rPr>
    </w:lvl>
    <w:lvl w:ilvl="1" w:tplc="2B000080">
      <w:start w:val="1"/>
      <w:numFmt w:val="decimal"/>
      <w:lvlText w:val="%1.%2"/>
      <w:lvlJc w:val="left"/>
      <w:pPr>
        <w:ind w:left="1630" w:hanging="701"/>
      </w:pPr>
      <w:rPr>
        <w:rFonts w:hint="default"/>
      </w:rPr>
    </w:lvl>
    <w:lvl w:ilvl="2" w:tplc="94EA612E">
      <w:start w:val="2"/>
      <w:numFmt w:val="decimal"/>
      <w:lvlText w:val="%1.%2.%3"/>
      <w:lvlJc w:val="left"/>
      <w:pPr>
        <w:ind w:left="1630" w:hanging="701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3" w:tplc="B770EB20">
      <w:start w:val="1"/>
      <w:numFmt w:val="bullet"/>
      <w:lvlText w:val="•"/>
      <w:lvlJc w:val="left"/>
      <w:pPr>
        <w:ind w:left="3919" w:hanging="701"/>
      </w:pPr>
      <w:rPr>
        <w:rFonts w:hint="default"/>
      </w:rPr>
    </w:lvl>
    <w:lvl w:ilvl="4" w:tplc="E766E288">
      <w:start w:val="1"/>
      <w:numFmt w:val="bullet"/>
      <w:lvlText w:val="•"/>
      <w:lvlJc w:val="left"/>
      <w:pPr>
        <w:ind w:left="4682" w:hanging="701"/>
      </w:pPr>
      <w:rPr>
        <w:rFonts w:hint="default"/>
      </w:rPr>
    </w:lvl>
    <w:lvl w:ilvl="5" w:tplc="3D6001B8">
      <w:start w:val="1"/>
      <w:numFmt w:val="bullet"/>
      <w:lvlText w:val="•"/>
      <w:lvlJc w:val="left"/>
      <w:pPr>
        <w:ind w:left="5445" w:hanging="701"/>
      </w:pPr>
      <w:rPr>
        <w:rFonts w:hint="default"/>
      </w:rPr>
    </w:lvl>
    <w:lvl w:ilvl="6" w:tplc="5A803FA0">
      <w:start w:val="1"/>
      <w:numFmt w:val="bullet"/>
      <w:lvlText w:val="•"/>
      <w:lvlJc w:val="left"/>
      <w:pPr>
        <w:ind w:left="6208" w:hanging="701"/>
      </w:pPr>
      <w:rPr>
        <w:rFonts w:hint="default"/>
      </w:rPr>
    </w:lvl>
    <w:lvl w:ilvl="7" w:tplc="635AEF22">
      <w:start w:val="1"/>
      <w:numFmt w:val="bullet"/>
      <w:lvlText w:val="•"/>
      <w:lvlJc w:val="left"/>
      <w:pPr>
        <w:ind w:left="6971" w:hanging="701"/>
      </w:pPr>
      <w:rPr>
        <w:rFonts w:hint="default"/>
      </w:rPr>
    </w:lvl>
    <w:lvl w:ilvl="8" w:tplc="8F5AF218">
      <w:start w:val="1"/>
      <w:numFmt w:val="bullet"/>
      <w:lvlText w:val="•"/>
      <w:lvlJc w:val="left"/>
      <w:pPr>
        <w:ind w:left="7734" w:hanging="701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17"/>
  </w:num>
  <w:num w:numId="8">
    <w:abstractNumId w:val="12"/>
  </w:num>
  <w:num w:numId="9">
    <w:abstractNumId w:val="5"/>
  </w:num>
  <w:num w:numId="10">
    <w:abstractNumId w:val="18"/>
  </w:num>
  <w:num w:numId="11">
    <w:abstractNumId w:val="3"/>
  </w:num>
  <w:num w:numId="12">
    <w:abstractNumId w:val="15"/>
  </w:num>
  <w:num w:numId="13">
    <w:abstractNumId w:val="6"/>
  </w:num>
  <w:num w:numId="14">
    <w:abstractNumId w:val="16"/>
  </w:num>
  <w:num w:numId="15">
    <w:abstractNumId w:val="0"/>
  </w:num>
  <w:num w:numId="16">
    <w:abstractNumId w:val="19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DA2"/>
    <w:rsid w:val="00076078"/>
    <w:rsid w:val="00084922"/>
    <w:rsid w:val="000A5348"/>
    <w:rsid w:val="0010213A"/>
    <w:rsid w:val="00162A3D"/>
    <w:rsid w:val="00361DA2"/>
    <w:rsid w:val="003F09A4"/>
    <w:rsid w:val="00454115"/>
    <w:rsid w:val="004D0B40"/>
    <w:rsid w:val="00531B5C"/>
    <w:rsid w:val="00660BEC"/>
    <w:rsid w:val="00662BA8"/>
    <w:rsid w:val="007A2D7E"/>
    <w:rsid w:val="008761CC"/>
    <w:rsid w:val="00B03E01"/>
    <w:rsid w:val="00CA657E"/>
    <w:rsid w:val="00E531C5"/>
    <w:rsid w:val="00E911B8"/>
    <w:rsid w:val="00E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7D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22"/>
      <w:outlineLvl w:val="1"/>
    </w:pPr>
    <w:rPr>
      <w:rFonts w:ascii="Verdana" w:eastAsia="Verdana" w:hAnsi="Verdana"/>
      <w:b/>
      <w:bCs/>
      <w:sz w:val="24"/>
      <w:szCs w:val="24"/>
      <w:u w:val="single"/>
    </w:rPr>
  </w:style>
  <w:style w:type="paragraph" w:styleId="Heading3">
    <w:name w:val="heading 3"/>
    <w:basedOn w:val="Normal"/>
    <w:uiPriority w:val="9"/>
    <w:unhideWhenUsed/>
    <w:qFormat/>
    <w:pPr>
      <w:ind w:left="690" w:hanging="468"/>
      <w:outlineLvl w:val="2"/>
    </w:pPr>
    <w:rPr>
      <w:rFonts w:ascii="Verdana" w:eastAsia="Verdana" w:hAnsi="Verdana"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630"/>
      <w:outlineLvl w:val="3"/>
    </w:pPr>
    <w:rPr>
      <w:rFonts w:ascii="Verdana" w:eastAsia="Verdana" w:hAnsi="Verdana"/>
      <w:b/>
      <w:bCs/>
    </w:rPr>
  </w:style>
  <w:style w:type="paragraph" w:styleId="Heading5">
    <w:name w:val="heading 5"/>
    <w:basedOn w:val="Normal"/>
    <w:uiPriority w:val="9"/>
    <w:unhideWhenUsed/>
    <w:qFormat/>
    <w:pPr>
      <w:spacing w:before="61"/>
      <w:ind w:left="1870" w:hanging="936"/>
      <w:outlineLvl w:val="4"/>
    </w:pPr>
    <w:rPr>
      <w:rFonts w:ascii="Verdana" w:eastAsia="Verdana" w:hAnsi="Verdan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9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660B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BEC"/>
  </w:style>
  <w:style w:type="paragraph" w:styleId="Footer">
    <w:name w:val="footer"/>
    <w:basedOn w:val="Normal"/>
    <w:link w:val="FooterChar"/>
    <w:unhideWhenUsed/>
    <w:rsid w:val="00660B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BEC"/>
  </w:style>
  <w:style w:type="paragraph" w:styleId="FootnoteText">
    <w:name w:val="footnote text"/>
    <w:basedOn w:val="Normal"/>
    <w:link w:val="FootnoteTextChar"/>
    <w:uiPriority w:val="99"/>
    <w:semiHidden/>
    <w:unhideWhenUsed/>
    <w:rsid w:val="00E911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11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11B8"/>
    <w:rPr>
      <w:vertAlign w:val="superscript"/>
    </w:rPr>
  </w:style>
  <w:style w:type="table" w:styleId="TableGrid">
    <w:name w:val="Table Grid"/>
    <w:basedOn w:val="TableNormal"/>
    <w:uiPriority w:val="39"/>
    <w:rsid w:val="003F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EF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47409639620A48BB08F713A1AC624B" ma:contentTypeVersion="4" ma:contentTypeDescription="Izveidot jaunu dokumentu." ma:contentTypeScope="" ma:versionID="dfb4b1a185c95c70208d6cdffb51d4d6">
  <xsd:schema xmlns:xsd="http://www.w3.org/2001/XMLSchema" xmlns:xs="http://www.w3.org/2001/XMLSchema" xmlns:p="http://schemas.microsoft.com/office/2006/metadata/properties" xmlns:ns2="1d57a815-79e8-498e-8f04-9c2e9221b678" targetNamespace="http://schemas.microsoft.com/office/2006/metadata/properties" ma:root="true" ma:fieldsID="16ae2a2f2cc2697d580df486339427f8" ns2:_="">
    <xsd:import namespace="1d57a815-79e8-498e-8f04-9c2e9221b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7a815-79e8-498e-8f04-9c2e9221b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9625DF-51DE-4C0E-8B80-E9BCC59660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868AF6-F54E-410C-BAD1-C1D0C4333177}"/>
</file>

<file path=customXml/itemProps3.xml><?xml version="1.0" encoding="utf-8"?>
<ds:datastoreItem xmlns:ds="http://schemas.openxmlformats.org/officeDocument/2006/customXml" ds:itemID="{3DD81374-8FAF-441D-8BFE-63E26289B146}"/>
</file>

<file path=customXml/itemProps4.xml><?xml version="1.0" encoding="utf-8"?>
<ds:datastoreItem xmlns:ds="http://schemas.openxmlformats.org/officeDocument/2006/customXml" ds:itemID="{D2FD0080-AB64-48ED-B28B-A4D8B9BD34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14450</Words>
  <Characters>8237</Characters>
  <Application>Microsoft Office Word</Application>
  <DocSecurity>0</DocSecurity>
  <Lines>68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2020-09-07T10:31:00Z</dcterms:created>
  <dcterms:modified xsi:type="dcterms:W3CDTF">2021-02-17T08:00:00Z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0x0101006747409639620A48BB08F713A1AC624B</vt:lpwstr>
  </property>
  <property fmtid="{D5CDD505-2E9C-101B-9397-08002B2CF9AE}" pid="3" name="Order">
    <vt:r8>281400</vt:r8>
  </property>
</Properties>
</file>