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575B4" w14:textId="77777777" w:rsidR="00904506" w:rsidRPr="008D627B" w:rsidRDefault="00904506" w:rsidP="008D627B">
      <w:pPr>
        <w:jc w:val="both"/>
        <w:rPr>
          <w:rFonts w:ascii="Times New Roman" w:eastAsia="Times New Roman" w:hAnsi="Times New Roman" w:cs="Times New Roman"/>
          <w:noProof/>
          <w:sz w:val="24"/>
          <w:szCs w:val="26"/>
        </w:rPr>
      </w:pPr>
    </w:p>
    <w:p w14:paraId="64F167A2" w14:textId="77777777" w:rsidR="00904506" w:rsidRPr="008D627B" w:rsidRDefault="00904506" w:rsidP="006F1C6B">
      <w:pPr>
        <w:pStyle w:val="Virsraksts1"/>
        <w:ind w:left="0"/>
        <w:jc w:val="center"/>
        <w:rPr>
          <w:noProof/>
          <w:color w:val="231F20"/>
        </w:rPr>
      </w:pPr>
      <w:r>
        <w:rPr>
          <w:color w:val="231F20"/>
        </w:rPr>
        <w:t>STARPTAUTISKIE PUBLISKĀ SEKTORA GRĀMATVEDĪBAS STANDARTI</w:t>
      </w:r>
    </w:p>
    <w:p w14:paraId="1C21ABC3" w14:textId="77777777" w:rsidR="00904506" w:rsidRPr="008D627B" w:rsidRDefault="00904506" w:rsidP="008D627B">
      <w:pPr>
        <w:jc w:val="both"/>
        <w:rPr>
          <w:rFonts w:ascii="Times New Roman" w:eastAsia="Times New Roman" w:hAnsi="Times New Roman" w:cs="Times New Roman"/>
          <w:b/>
          <w:bCs/>
          <w:noProof/>
          <w:sz w:val="24"/>
          <w:szCs w:val="24"/>
        </w:rPr>
      </w:pPr>
    </w:p>
    <w:p w14:paraId="52C71F9F" w14:textId="77777777" w:rsidR="00904506" w:rsidRPr="008D627B" w:rsidRDefault="00904506" w:rsidP="008D627B">
      <w:pPr>
        <w:jc w:val="both"/>
        <w:rPr>
          <w:rFonts w:ascii="Times New Roman" w:eastAsia="Times New Roman" w:hAnsi="Times New Roman" w:cs="Times New Roman"/>
          <w:b/>
          <w:bCs/>
          <w:noProof/>
          <w:sz w:val="24"/>
          <w:szCs w:val="24"/>
        </w:rPr>
      </w:pPr>
    </w:p>
    <w:p w14:paraId="1273A323" w14:textId="77777777" w:rsidR="00904506" w:rsidRPr="008D627B" w:rsidRDefault="00904506" w:rsidP="008D627B">
      <w:pPr>
        <w:jc w:val="both"/>
        <w:rPr>
          <w:rFonts w:ascii="Times New Roman" w:eastAsia="Times New Roman" w:hAnsi="Times New Roman" w:cs="Times New Roman"/>
          <w:b/>
          <w:bCs/>
          <w:noProof/>
          <w:sz w:val="24"/>
          <w:szCs w:val="18"/>
        </w:rPr>
      </w:pPr>
    </w:p>
    <w:p w14:paraId="79461FD2" w14:textId="77777777" w:rsidR="00904506" w:rsidRPr="008D627B" w:rsidRDefault="00904506" w:rsidP="006F1C6B">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36 “IEGULDĪJUMI ASOCIĒTAJOS UZŅĒMUMOS UN KOPUZŅĒMUMOS”</w:t>
      </w:r>
    </w:p>
    <w:p w14:paraId="123FBEA4" w14:textId="33634F27" w:rsidR="00904506" w:rsidRDefault="00904506" w:rsidP="008D627B">
      <w:pPr>
        <w:jc w:val="both"/>
        <w:rPr>
          <w:rFonts w:ascii="Times New Roman" w:eastAsia="Times New Roman" w:hAnsi="Times New Roman" w:cs="Times New Roman"/>
          <w:b/>
          <w:bCs/>
          <w:noProof/>
          <w:sz w:val="24"/>
          <w:szCs w:val="20"/>
        </w:rPr>
      </w:pPr>
    </w:p>
    <w:p w14:paraId="03E04996" w14:textId="4E73BEBB" w:rsidR="006F1C6B" w:rsidRDefault="006F1C6B" w:rsidP="008D627B">
      <w:pPr>
        <w:jc w:val="both"/>
        <w:rPr>
          <w:rFonts w:ascii="Times New Roman" w:eastAsia="Times New Roman" w:hAnsi="Times New Roman" w:cs="Times New Roman"/>
          <w:b/>
          <w:bCs/>
          <w:noProof/>
          <w:sz w:val="24"/>
          <w:szCs w:val="20"/>
        </w:rPr>
      </w:pPr>
    </w:p>
    <w:p w14:paraId="6A76AA47" w14:textId="77777777" w:rsidR="006F1C6B" w:rsidRPr="008D627B" w:rsidRDefault="006F1C6B" w:rsidP="008D627B">
      <w:pPr>
        <w:jc w:val="both"/>
        <w:rPr>
          <w:rFonts w:ascii="Times New Roman" w:eastAsia="Times New Roman" w:hAnsi="Times New Roman" w:cs="Times New Roman"/>
          <w:b/>
          <w:bCs/>
          <w:noProof/>
          <w:sz w:val="24"/>
          <w:szCs w:val="20"/>
        </w:rPr>
      </w:pPr>
    </w:p>
    <w:p w14:paraId="32815D17" w14:textId="62649E0E" w:rsidR="00904506" w:rsidRPr="008D627B" w:rsidRDefault="00C743CF" w:rsidP="006F1C6B">
      <w:pPr>
        <w:jc w:val="center"/>
        <w:rPr>
          <w:rFonts w:ascii="Times New Roman" w:eastAsia="Times New Roman" w:hAnsi="Times New Roman" w:cs="Times New Roman"/>
          <w:b/>
          <w:bCs/>
          <w:noProof/>
          <w:sz w:val="24"/>
          <w:szCs w:val="20"/>
        </w:rPr>
      </w:pPr>
      <w:r>
        <w:rPr>
          <w:rFonts w:ascii="Times New Roman" w:hAnsi="Times New Roman"/>
          <w:b/>
          <w:bCs/>
          <w:noProof/>
          <w:sz w:val="24"/>
          <w:szCs w:val="20"/>
        </w:rPr>
        <w:drawing>
          <wp:inline distT="0" distB="0" distL="0" distR="0" wp14:anchorId="5F9392AD" wp14:editId="7A5322A2">
            <wp:extent cx="1555750" cy="498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0" cy="498475"/>
                    </a:xfrm>
                    <a:prstGeom prst="rect">
                      <a:avLst/>
                    </a:prstGeom>
                    <a:noFill/>
                    <a:ln>
                      <a:noFill/>
                    </a:ln>
                  </pic:spPr>
                </pic:pic>
              </a:graphicData>
            </a:graphic>
          </wp:inline>
        </w:drawing>
      </w:r>
    </w:p>
    <w:p w14:paraId="27DD0815" w14:textId="15E0D6BF" w:rsidR="00904506" w:rsidRPr="00C743CF" w:rsidRDefault="00C743CF" w:rsidP="006F1C6B">
      <w:pPr>
        <w:jc w:val="center"/>
        <w:rPr>
          <w:rFonts w:ascii="Times New Roman" w:eastAsia="Times New Roman" w:hAnsi="Times New Roman" w:cs="Times New Roman"/>
          <w:b/>
          <w:bCs/>
          <w:noProof/>
          <w:sz w:val="24"/>
          <w:szCs w:val="20"/>
        </w:rPr>
      </w:pPr>
      <w:r>
        <w:rPr>
          <w:rFonts w:ascii="Times New Roman" w:hAnsi="Times New Roman"/>
          <w:b/>
          <w:bCs/>
          <w:i/>
          <w:iCs/>
          <w:sz w:val="24"/>
          <w:szCs w:val="20"/>
        </w:rPr>
        <w:t>IPSAS</w:t>
      </w:r>
      <w:r>
        <w:rPr>
          <w:rFonts w:ascii="Times New Roman" w:hAnsi="Times New Roman"/>
          <w:b/>
          <w:bCs/>
          <w:sz w:val="24"/>
          <w:szCs w:val="20"/>
        </w:rPr>
        <w:t>®</w:t>
      </w:r>
    </w:p>
    <w:p w14:paraId="3DC733E1" w14:textId="57FB9499" w:rsidR="00C743CF" w:rsidRDefault="00C743CF">
      <w:pPr>
        <w:rPr>
          <w:rFonts w:ascii="Times New Roman" w:eastAsia="Times New Roman" w:hAnsi="Times New Roman" w:cs="Times New Roman"/>
          <w:noProof/>
          <w:sz w:val="24"/>
        </w:rPr>
      </w:pPr>
      <w:r>
        <w:br w:type="page"/>
      </w:r>
    </w:p>
    <w:p w14:paraId="3C459A8B" w14:textId="77777777" w:rsidR="00C743CF" w:rsidRPr="008D627B" w:rsidRDefault="00C743CF" w:rsidP="008D627B">
      <w:pPr>
        <w:jc w:val="both"/>
        <w:rPr>
          <w:rFonts w:ascii="Times New Roman" w:eastAsia="Times New Roman" w:hAnsi="Times New Roman" w:cs="Times New Roman"/>
          <w:noProof/>
          <w:sz w:val="24"/>
        </w:rPr>
      </w:pPr>
    </w:p>
    <w:p w14:paraId="4D408C9E" w14:textId="77777777" w:rsidR="00C743CF" w:rsidRDefault="00904506" w:rsidP="00C743CF">
      <w:pPr>
        <w:jc w:val="center"/>
        <w:rPr>
          <w:rFonts w:ascii="Times New Roman" w:hAnsi="Times New Roman"/>
          <w:noProof/>
          <w:color w:val="231F20"/>
          <w:sz w:val="24"/>
        </w:rPr>
      </w:pPr>
      <w:r>
        <w:rPr>
          <w:rFonts w:ascii="Times New Roman" w:hAnsi="Times New Roman"/>
          <w:i/>
          <w:iCs/>
          <w:color w:val="231F20"/>
          <w:sz w:val="24"/>
        </w:rPr>
        <w:t>International Federation of Accountants</w:t>
      </w:r>
      <w:r>
        <w:rPr>
          <w:rFonts w:ascii="Times New Roman" w:hAnsi="Times New Roman"/>
          <w:color w:val="231F20"/>
          <w:sz w:val="24"/>
        </w:rPr>
        <w:t>® [Starptautiskā Grāmatvežu federācija]</w:t>
      </w:r>
    </w:p>
    <w:p w14:paraId="06A680F3" w14:textId="00FEE269" w:rsidR="00904506" w:rsidRPr="008D627B" w:rsidRDefault="00904506" w:rsidP="00C743CF">
      <w:pPr>
        <w:jc w:val="center"/>
        <w:rPr>
          <w:rFonts w:ascii="Times New Roman" w:eastAsia="Times New Roman" w:hAnsi="Times New Roman" w:cs="Times New Roman"/>
          <w:noProof/>
          <w:sz w:val="24"/>
          <w:szCs w:val="15"/>
        </w:rPr>
      </w:pPr>
      <w:r>
        <w:rPr>
          <w:rFonts w:ascii="Times New Roman" w:hAnsi="Times New Roman"/>
          <w:i/>
          <w:iCs/>
          <w:color w:val="231F20"/>
          <w:sz w:val="24"/>
        </w:rPr>
        <w:t>529 Fifth Avenue</w:t>
      </w:r>
    </w:p>
    <w:p w14:paraId="3CAD8FAB" w14:textId="77777777" w:rsidR="00904506" w:rsidRPr="008D627B" w:rsidRDefault="00904506" w:rsidP="00C743CF">
      <w:pPr>
        <w:jc w:val="center"/>
        <w:rPr>
          <w:rFonts w:ascii="Times New Roman" w:hAnsi="Times New Roman"/>
          <w:noProof/>
          <w:color w:val="231F20"/>
          <w:sz w:val="24"/>
        </w:rPr>
      </w:pPr>
      <w:r>
        <w:rPr>
          <w:rFonts w:ascii="Times New Roman" w:hAnsi="Times New Roman"/>
          <w:i/>
          <w:iCs/>
          <w:color w:val="231F20"/>
          <w:sz w:val="24"/>
        </w:rPr>
        <w:t>New York, New York 10017 USA</w:t>
      </w:r>
    </w:p>
    <w:p w14:paraId="696D5F19" w14:textId="77777777" w:rsidR="00904506" w:rsidRPr="008D627B" w:rsidRDefault="00904506" w:rsidP="008D627B">
      <w:pPr>
        <w:jc w:val="both"/>
        <w:rPr>
          <w:rFonts w:ascii="Times New Roman" w:eastAsia="Times New Roman" w:hAnsi="Times New Roman" w:cs="Times New Roman"/>
          <w:noProof/>
          <w:sz w:val="24"/>
          <w:szCs w:val="14"/>
        </w:rPr>
      </w:pPr>
    </w:p>
    <w:p w14:paraId="23E622F7" w14:textId="77777777" w:rsidR="00904506" w:rsidRPr="008D627B" w:rsidRDefault="00904506" w:rsidP="008D627B">
      <w:pPr>
        <w:jc w:val="both"/>
        <w:rPr>
          <w:rFonts w:ascii="Times New Roman" w:eastAsia="Times New Roman" w:hAnsi="Times New Roman" w:cs="Times New Roman"/>
          <w:noProof/>
          <w:sz w:val="24"/>
          <w:szCs w:val="17"/>
        </w:rPr>
      </w:pPr>
    </w:p>
    <w:p w14:paraId="4ED83240" w14:textId="77777777" w:rsidR="00904506" w:rsidRPr="008D627B" w:rsidRDefault="00904506" w:rsidP="008D627B">
      <w:pPr>
        <w:jc w:val="both"/>
        <w:rPr>
          <w:rFonts w:ascii="Times New Roman" w:hAnsi="Times New Roman"/>
          <w:noProof/>
          <w:color w:val="231F20"/>
          <w:sz w:val="24"/>
        </w:rPr>
      </w:pPr>
      <w:r>
        <w:rPr>
          <w:rFonts w:ascii="Times New Roman" w:hAnsi="Times New Roman"/>
          <w:color w:val="231F20"/>
          <w:sz w:val="24"/>
        </w:rPr>
        <w:t>Šo publikāciju publicējusi Starptautiskā Grāmatvežu federācija (</w:t>
      </w:r>
      <w:r>
        <w:rPr>
          <w:rFonts w:ascii="Times New Roman" w:hAnsi="Times New Roman"/>
          <w:i/>
          <w:iCs/>
          <w:color w:val="231F20"/>
          <w:sz w:val="24"/>
        </w:rPr>
        <w:t>IFAC</w:t>
      </w:r>
      <w:r>
        <w:rPr>
          <w:rFonts w:ascii="Times New Roman" w:hAnsi="Times New Roman"/>
          <w:color w:val="231F20"/>
          <w:sz w:val="24"/>
        </w:rPr>
        <w:t>®). Tās uzdevums ir kalpot sabiedrības interesēm un stiprināt grāmatvedības profesiju, atbalstot kvalitatīvu starptautisko standartu izstrādi, veicinot šo standartu pieņemšanu un ieviešanu, veidojot profesionālo grāmatvedības organizāciju spējas un izsakoties par sabiedrību interesējošiem jautājumiem.</w:t>
      </w:r>
    </w:p>
    <w:p w14:paraId="570C96E4" w14:textId="77777777" w:rsidR="00904506" w:rsidRPr="008D627B" w:rsidRDefault="00904506" w:rsidP="008D627B">
      <w:pPr>
        <w:jc w:val="both"/>
        <w:rPr>
          <w:rFonts w:ascii="Times New Roman" w:hAnsi="Times New Roman"/>
          <w:noProof/>
          <w:color w:val="231F20"/>
          <w:sz w:val="24"/>
        </w:rPr>
      </w:pPr>
    </w:p>
    <w:p w14:paraId="7B7243EC" w14:textId="77777777" w:rsidR="00904506" w:rsidRPr="008D627B" w:rsidRDefault="00904506" w:rsidP="008D627B">
      <w:pPr>
        <w:jc w:val="both"/>
        <w:rPr>
          <w:rFonts w:ascii="Times New Roman" w:hAnsi="Times New Roman"/>
          <w:noProof/>
          <w:color w:val="231F20"/>
          <w:sz w:val="24"/>
        </w:rPr>
      </w:pPr>
    </w:p>
    <w:p w14:paraId="69A4B8FB" w14:textId="77777777" w:rsidR="00904506" w:rsidRPr="008D627B" w:rsidRDefault="00904506" w:rsidP="008D627B">
      <w:pPr>
        <w:jc w:val="both"/>
        <w:rPr>
          <w:rFonts w:ascii="Times New Roman" w:hAnsi="Times New Roman"/>
          <w:noProof/>
          <w:color w:val="231F20"/>
          <w:sz w:val="24"/>
        </w:rPr>
      </w:pPr>
    </w:p>
    <w:p w14:paraId="6F5965F3" w14:textId="77777777" w:rsidR="00904506" w:rsidRPr="008D627B" w:rsidRDefault="00904506" w:rsidP="008D627B">
      <w:pPr>
        <w:jc w:val="both"/>
        <w:rPr>
          <w:rFonts w:ascii="Times New Roman" w:hAnsi="Times New Roman"/>
          <w:noProof/>
          <w:color w:val="231F20"/>
          <w:sz w:val="24"/>
        </w:rPr>
      </w:pPr>
      <w:r>
        <w:rPr>
          <w:rFonts w:ascii="Times New Roman" w:hAnsi="Times New Roman"/>
          <w:color w:val="231F20"/>
          <w:sz w:val="24"/>
        </w:rPr>
        <w:t xml:space="preserve">Starptautiskos publiskā sektora grāmatvedības standartus, publiskotos projektus, apspriežu dokumentus, ieteicamās prakses vadlīnijas un citas </w:t>
      </w:r>
      <w:r>
        <w:rPr>
          <w:rFonts w:ascii="Times New Roman" w:hAnsi="Times New Roman"/>
          <w:i/>
          <w:iCs/>
          <w:color w:val="231F20"/>
          <w:sz w:val="24"/>
        </w:rPr>
        <w:t>IPSASB</w:t>
      </w:r>
      <w:r>
        <w:rPr>
          <w:rFonts w:ascii="Times New Roman" w:hAnsi="Times New Roman"/>
          <w:color w:val="231F20"/>
          <w:sz w:val="24"/>
        </w:rPr>
        <w:t xml:space="preserve"> publikācijas publicē </w:t>
      </w:r>
      <w:r>
        <w:rPr>
          <w:rFonts w:ascii="Times New Roman" w:hAnsi="Times New Roman"/>
          <w:i/>
          <w:iCs/>
          <w:color w:val="231F20"/>
          <w:sz w:val="24"/>
        </w:rPr>
        <w:t>IFAC</w:t>
      </w:r>
      <w:r>
        <w:rPr>
          <w:rFonts w:ascii="Times New Roman" w:hAnsi="Times New Roman"/>
          <w:color w:val="231F20"/>
          <w:sz w:val="24"/>
        </w:rPr>
        <w:t>, kam uz to ir autortiesības.</w:t>
      </w:r>
    </w:p>
    <w:p w14:paraId="53A90347" w14:textId="77777777" w:rsidR="00904506" w:rsidRPr="008D627B" w:rsidRDefault="00904506" w:rsidP="008D627B">
      <w:pPr>
        <w:jc w:val="both"/>
        <w:rPr>
          <w:rFonts w:ascii="Times New Roman" w:eastAsia="Times New Roman" w:hAnsi="Times New Roman" w:cs="Times New Roman"/>
          <w:noProof/>
          <w:sz w:val="24"/>
          <w:szCs w:val="20"/>
        </w:rPr>
      </w:pPr>
    </w:p>
    <w:p w14:paraId="15EF9921" w14:textId="77777777" w:rsidR="00904506" w:rsidRPr="008D627B" w:rsidRDefault="00904506" w:rsidP="008D627B">
      <w:pPr>
        <w:jc w:val="both"/>
        <w:rPr>
          <w:rFonts w:ascii="Times New Roman" w:hAnsi="Times New Roman"/>
          <w:noProof/>
          <w:color w:val="231F20"/>
          <w:sz w:val="24"/>
        </w:rPr>
      </w:pPr>
      <w:r>
        <w:rPr>
          <w:rFonts w:ascii="Times New Roman" w:hAnsi="Times New Roman"/>
          <w:i/>
          <w:iCs/>
          <w:color w:val="231F20"/>
          <w:sz w:val="24"/>
        </w:rPr>
        <w:t>IPSASB</w:t>
      </w:r>
      <w:r>
        <w:rPr>
          <w:rFonts w:ascii="Times New Roman" w:hAnsi="Times New Roman"/>
          <w:color w:val="231F20"/>
          <w:sz w:val="24"/>
        </w:rPr>
        <w:t xml:space="preserve"> un </w:t>
      </w:r>
      <w:r>
        <w:rPr>
          <w:rFonts w:ascii="Times New Roman" w:hAnsi="Times New Roman"/>
          <w:i/>
          <w:iCs/>
          <w:color w:val="231F20"/>
          <w:sz w:val="24"/>
        </w:rPr>
        <w:t>IFAC</w:t>
      </w:r>
      <w:r>
        <w:rPr>
          <w:rFonts w:ascii="Times New Roman" w:hAnsi="Times New Roman"/>
          <w:color w:val="231F20"/>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23D254C4" w14:textId="77777777" w:rsidR="00904506" w:rsidRPr="008D627B" w:rsidRDefault="00904506" w:rsidP="008D627B">
      <w:pPr>
        <w:jc w:val="both"/>
        <w:rPr>
          <w:rFonts w:ascii="Times New Roman" w:eastAsia="Times New Roman" w:hAnsi="Times New Roman" w:cs="Times New Roman"/>
          <w:noProof/>
          <w:sz w:val="24"/>
          <w:szCs w:val="20"/>
        </w:rPr>
      </w:pPr>
    </w:p>
    <w:p w14:paraId="570AAB82" w14:textId="77777777" w:rsidR="00904506" w:rsidRPr="008D627B" w:rsidRDefault="00904506" w:rsidP="008D627B">
      <w:pPr>
        <w:jc w:val="both"/>
        <w:rPr>
          <w:rFonts w:ascii="Times New Roman" w:eastAsia="Times New Roman" w:hAnsi="Times New Roman" w:cs="Times New Roman"/>
          <w:noProof/>
          <w:color w:val="231F20"/>
          <w:sz w:val="24"/>
          <w:szCs w:val="15"/>
        </w:rPr>
      </w:pPr>
      <w:r>
        <w:rPr>
          <w:rFonts w:ascii="Times New Roman" w:hAnsi="Times New Roman"/>
          <w:color w:val="231F20"/>
          <w:sz w:val="24"/>
          <w:szCs w:val="15"/>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color w:val="231F20"/>
          <w:sz w:val="24"/>
          <w:szCs w:val="15"/>
        </w:rPr>
        <w:t>IPSASB</w:t>
      </w:r>
      <w:r>
        <w:rPr>
          <w:rFonts w:ascii="Times New Roman" w:hAnsi="Times New Roman"/>
          <w:color w:val="231F20"/>
          <w:sz w:val="24"/>
          <w:szCs w:val="15"/>
        </w:rPr>
        <w:t xml:space="preserve"> logotips un </w:t>
      </w:r>
      <w:r>
        <w:rPr>
          <w:rFonts w:ascii="Times New Roman" w:hAnsi="Times New Roman"/>
          <w:i/>
          <w:iCs/>
          <w:color w:val="231F20"/>
          <w:sz w:val="24"/>
          <w:szCs w:val="15"/>
        </w:rPr>
        <w:t>IFAC</w:t>
      </w:r>
      <w:r>
        <w:rPr>
          <w:rFonts w:ascii="Times New Roman" w:hAnsi="Times New Roman"/>
          <w:color w:val="231F20"/>
          <w:sz w:val="24"/>
          <w:szCs w:val="15"/>
        </w:rPr>
        <w:t xml:space="preserve"> logotips ir </w:t>
      </w:r>
      <w:r>
        <w:rPr>
          <w:rFonts w:ascii="Times New Roman" w:hAnsi="Times New Roman"/>
          <w:i/>
          <w:iCs/>
          <w:color w:val="231F20"/>
          <w:sz w:val="24"/>
          <w:szCs w:val="15"/>
        </w:rPr>
        <w:t>IFAC</w:t>
      </w:r>
      <w:r>
        <w:rPr>
          <w:rFonts w:ascii="Times New Roman" w:hAnsi="Times New Roman"/>
          <w:color w:val="231F20"/>
          <w:sz w:val="24"/>
          <w:szCs w:val="15"/>
        </w:rPr>
        <w:t xml:space="preserve"> preču zīmes vai </w:t>
      </w:r>
      <w:r>
        <w:rPr>
          <w:rFonts w:ascii="Times New Roman" w:hAnsi="Times New Roman"/>
          <w:i/>
          <w:iCs/>
          <w:color w:val="231F20"/>
          <w:sz w:val="24"/>
          <w:szCs w:val="15"/>
        </w:rPr>
        <w:t>IFAC</w:t>
      </w:r>
      <w:r>
        <w:rPr>
          <w:rFonts w:ascii="Times New Roman" w:hAnsi="Times New Roman"/>
          <w:color w:val="231F20"/>
          <w:sz w:val="24"/>
          <w:szCs w:val="15"/>
        </w:rPr>
        <w:t xml:space="preserve"> reģistrētas preču zīmes un pakalpojumu zīmes ASV un citās valstīs.</w:t>
      </w:r>
    </w:p>
    <w:p w14:paraId="4F627EEE" w14:textId="77777777" w:rsidR="00904506" w:rsidRPr="008D627B" w:rsidRDefault="00904506" w:rsidP="008D627B">
      <w:pPr>
        <w:jc w:val="both"/>
        <w:rPr>
          <w:rFonts w:ascii="Times New Roman" w:eastAsia="Times New Roman" w:hAnsi="Times New Roman" w:cs="Times New Roman"/>
          <w:noProof/>
          <w:sz w:val="24"/>
          <w:szCs w:val="20"/>
        </w:rPr>
      </w:pPr>
    </w:p>
    <w:p w14:paraId="10AC4F19" w14:textId="561D41A8" w:rsidR="00904506" w:rsidRPr="008D627B" w:rsidRDefault="00904506" w:rsidP="008D627B">
      <w:pPr>
        <w:jc w:val="both"/>
        <w:rPr>
          <w:rFonts w:ascii="Times New Roman" w:eastAsia="Times New Roman" w:hAnsi="Times New Roman" w:cs="Times New Roman"/>
          <w:noProof/>
          <w:sz w:val="24"/>
          <w:szCs w:val="15"/>
        </w:rPr>
      </w:pPr>
      <w:r>
        <w:rPr>
          <w:rFonts w:ascii="Times New Roman" w:hAnsi="Times New Roman"/>
          <w:color w:val="231F20"/>
          <w:sz w:val="24"/>
        </w:rPr>
        <w:t>Autortiesības© 2020. gada februāris, Starptautiskā Grāmatvežu federācija (</w:t>
      </w:r>
      <w:r>
        <w:rPr>
          <w:rFonts w:ascii="Times New Roman" w:hAnsi="Times New Roman"/>
          <w:i/>
          <w:iCs/>
          <w:color w:val="231F20"/>
          <w:sz w:val="24"/>
        </w:rPr>
        <w:t>IFAC</w:t>
      </w:r>
      <w:r>
        <w:rPr>
          <w:rFonts w:ascii="Times New Roman" w:hAnsi="Times New Roman"/>
          <w:color w:val="231F20"/>
          <w:sz w:val="24"/>
        </w:rPr>
        <w:t xml:space="preserve">). Visas tiesības saglabātas. Lai pavairotu, glabātu, pārsūtītu vai izmantotu šo dokumentu citā līdzīgā veidā, ir nepieciešama </w:t>
      </w:r>
      <w:r>
        <w:rPr>
          <w:rFonts w:ascii="Times New Roman" w:hAnsi="Times New Roman"/>
          <w:i/>
          <w:iCs/>
          <w:color w:val="231F20"/>
          <w:sz w:val="24"/>
        </w:rPr>
        <w:t>IFAC</w:t>
      </w:r>
      <w:r>
        <w:rPr>
          <w:rFonts w:ascii="Times New Roman" w:hAnsi="Times New Roman"/>
          <w:color w:val="231F20"/>
          <w:sz w:val="24"/>
        </w:rPr>
        <w:t xml:space="preserve"> rakstiska atļauja, izņemot gadījumus, kad dokuments tiek izmantots tikai individuālai, nekomerciālai lietošanai. Kontaktinformācija: </w:t>
      </w:r>
      <w:r>
        <w:rPr>
          <w:rFonts w:ascii="Times New Roman" w:hAnsi="Times New Roman"/>
          <w:color w:val="231F20"/>
          <w:sz w:val="24"/>
          <w:u w:val="single" w:color="231F20"/>
        </w:rPr>
        <w:t>permissions@ifac.org</w:t>
      </w:r>
      <w:r>
        <w:rPr>
          <w:rFonts w:ascii="Times New Roman" w:hAnsi="Times New Roman"/>
          <w:color w:val="231F20"/>
          <w:sz w:val="24"/>
        </w:rPr>
        <w:t>.</w:t>
      </w:r>
    </w:p>
    <w:p w14:paraId="3D63355E" w14:textId="77777777" w:rsidR="00904506" w:rsidRPr="008D627B" w:rsidRDefault="00904506" w:rsidP="008D627B">
      <w:pPr>
        <w:jc w:val="both"/>
        <w:rPr>
          <w:rFonts w:ascii="Times New Roman" w:eastAsia="Times New Roman" w:hAnsi="Times New Roman" w:cs="Times New Roman"/>
          <w:noProof/>
          <w:sz w:val="24"/>
          <w:szCs w:val="20"/>
        </w:rPr>
      </w:pPr>
    </w:p>
    <w:p w14:paraId="22033556" w14:textId="77777777" w:rsidR="00904506" w:rsidRPr="008D627B" w:rsidRDefault="00904506" w:rsidP="008D627B">
      <w:pPr>
        <w:jc w:val="both"/>
        <w:rPr>
          <w:rFonts w:ascii="Times New Roman" w:hAnsi="Times New Roman"/>
          <w:noProof/>
          <w:color w:val="231F20"/>
          <w:sz w:val="24"/>
        </w:rPr>
      </w:pPr>
      <w:r>
        <w:rPr>
          <w:rFonts w:ascii="Times New Roman" w:hAnsi="Times New Roman"/>
          <w:color w:val="231F20"/>
          <w:sz w:val="24"/>
        </w:rPr>
        <w:t>ISBN: 978-1-60815-433-3</w:t>
      </w:r>
    </w:p>
    <w:p w14:paraId="7021E414" w14:textId="77777777" w:rsidR="00904506" w:rsidRPr="008D627B" w:rsidRDefault="00904506" w:rsidP="008D627B">
      <w:pPr>
        <w:jc w:val="both"/>
        <w:rPr>
          <w:rFonts w:ascii="Times New Roman" w:eastAsia="Times New Roman" w:hAnsi="Times New Roman" w:cs="Times New Roman"/>
          <w:noProof/>
          <w:sz w:val="24"/>
          <w:szCs w:val="14"/>
        </w:rPr>
      </w:pPr>
    </w:p>
    <w:p w14:paraId="5F37CA2D" w14:textId="77777777" w:rsidR="00904506" w:rsidRPr="008D627B" w:rsidRDefault="00904506" w:rsidP="008D627B">
      <w:pPr>
        <w:jc w:val="both"/>
        <w:rPr>
          <w:rFonts w:ascii="Times New Roman" w:eastAsia="Times New Roman" w:hAnsi="Times New Roman" w:cs="Times New Roman"/>
          <w:noProof/>
          <w:sz w:val="24"/>
          <w:szCs w:val="14"/>
        </w:rPr>
      </w:pPr>
    </w:p>
    <w:p w14:paraId="0A77B5AF" w14:textId="379C2427" w:rsidR="00904506" w:rsidRDefault="00904506" w:rsidP="008D627B">
      <w:pPr>
        <w:jc w:val="both"/>
        <w:rPr>
          <w:rFonts w:ascii="Times New Roman" w:eastAsia="Times New Roman" w:hAnsi="Times New Roman" w:cs="Times New Roman"/>
          <w:noProof/>
          <w:sz w:val="24"/>
          <w:szCs w:val="16"/>
        </w:rPr>
      </w:pPr>
    </w:p>
    <w:p w14:paraId="7C23AEB3" w14:textId="7FF2149D" w:rsidR="00232CD0" w:rsidRDefault="00232CD0" w:rsidP="008D627B">
      <w:pPr>
        <w:jc w:val="both"/>
        <w:rPr>
          <w:rFonts w:ascii="Times New Roman" w:eastAsia="Times New Roman" w:hAnsi="Times New Roman" w:cs="Times New Roman"/>
          <w:noProof/>
          <w:sz w:val="24"/>
          <w:szCs w:val="16"/>
        </w:rPr>
      </w:pPr>
    </w:p>
    <w:p w14:paraId="050DDA87" w14:textId="7F851A85" w:rsidR="00232CD0" w:rsidRDefault="00232CD0" w:rsidP="008D627B">
      <w:pPr>
        <w:jc w:val="both"/>
        <w:rPr>
          <w:rFonts w:ascii="Times New Roman" w:eastAsia="Times New Roman" w:hAnsi="Times New Roman" w:cs="Times New Roman"/>
          <w:noProof/>
          <w:sz w:val="24"/>
          <w:szCs w:val="16"/>
        </w:rPr>
      </w:pPr>
    </w:p>
    <w:p w14:paraId="30576A56" w14:textId="24972F33" w:rsidR="00232CD0" w:rsidRDefault="00232CD0" w:rsidP="008D627B">
      <w:pPr>
        <w:jc w:val="both"/>
        <w:rPr>
          <w:rFonts w:ascii="Times New Roman" w:eastAsia="Times New Roman" w:hAnsi="Times New Roman" w:cs="Times New Roman"/>
          <w:noProof/>
          <w:sz w:val="24"/>
          <w:szCs w:val="16"/>
        </w:rPr>
      </w:pPr>
    </w:p>
    <w:p w14:paraId="56FA75B7" w14:textId="6182E48A" w:rsidR="00232CD0" w:rsidRDefault="00232CD0" w:rsidP="008D627B">
      <w:pPr>
        <w:jc w:val="both"/>
        <w:rPr>
          <w:rFonts w:ascii="Times New Roman" w:eastAsia="Times New Roman" w:hAnsi="Times New Roman" w:cs="Times New Roman"/>
          <w:noProof/>
          <w:sz w:val="24"/>
          <w:szCs w:val="16"/>
        </w:rPr>
      </w:pPr>
    </w:p>
    <w:p w14:paraId="75867405" w14:textId="77777777" w:rsidR="00232CD0" w:rsidRPr="008D627B" w:rsidRDefault="00232CD0" w:rsidP="008D627B">
      <w:pPr>
        <w:jc w:val="both"/>
        <w:rPr>
          <w:rFonts w:ascii="Times New Roman" w:eastAsia="Times New Roman" w:hAnsi="Times New Roman" w:cs="Times New Roman"/>
          <w:noProof/>
          <w:sz w:val="24"/>
          <w:szCs w:val="16"/>
        </w:rPr>
      </w:pPr>
    </w:p>
    <w:p w14:paraId="2D81B4B9" w14:textId="77777777" w:rsidR="00904506" w:rsidRPr="008D627B" w:rsidRDefault="00904506" w:rsidP="00232CD0">
      <w:pPr>
        <w:jc w:val="center"/>
        <w:rPr>
          <w:rFonts w:ascii="Times New Roman" w:hAnsi="Times New Roman"/>
          <w:noProof/>
          <w:color w:val="231F20"/>
          <w:sz w:val="24"/>
        </w:rPr>
      </w:pPr>
      <w:r>
        <w:rPr>
          <w:rFonts w:ascii="Times New Roman" w:hAnsi="Times New Roman"/>
          <w:color w:val="231F20"/>
          <w:sz w:val="24"/>
        </w:rPr>
        <w:t>Publicējusi:</w:t>
      </w:r>
    </w:p>
    <w:p w14:paraId="1E1E0EFD" w14:textId="1905CD44" w:rsidR="008D627B" w:rsidRDefault="008D627B" w:rsidP="008D627B">
      <w:pPr>
        <w:jc w:val="both"/>
        <w:rPr>
          <w:rFonts w:ascii="Times New Roman" w:eastAsia="Times New Roman" w:hAnsi="Times New Roman" w:cs="Times New Roman"/>
          <w:noProof/>
          <w:sz w:val="24"/>
          <w:szCs w:val="28"/>
        </w:rPr>
      </w:pPr>
    </w:p>
    <w:p w14:paraId="0EA05B16" w14:textId="11A0BD95" w:rsidR="008D627B" w:rsidRDefault="00C743CF" w:rsidP="00232CD0">
      <w:pPr>
        <w:jc w:val="center"/>
        <w:rPr>
          <w:rFonts w:ascii="Times New Roman" w:eastAsia="Times New Roman" w:hAnsi="Times New Roman" w:cs="Times New Roman"/>
          <w:noProof/>
          <w:sz w:val="24"/>
          <w:szCs w:val="28"/>
        </w:rPr>
      </w:pPr>
      <w:r>
        <w:rPr>
          <w:rFonts w:ascii="Times New Roman" w:hAnsi="Times New Roman"/>
          <w:noProof/>
          <w:sz w:val="24"/>
          <w:szCs w:val="28"/>
        </w:rPr>
        <w:drawing>
          <wp:inline distT="0" distB="0" distL="0" distR="0" wp14:anchorId="644989D8" wp14:editId="34894820">
            <wp:extent cx="1781175" cy="617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17220"/>
                    </a:xfrm>
                    <a:prstGeom prst="rect">
                      <a:avLst/>
                    </a:prstGeom>
                    <a:noFill/>
                    <a:ln>
                      <a:noFill/>
                    </a:ln>
                  </pic:spPr>
                </pic:pic>
              </a:graphicData>
            </a:graphic>
          </wp:inline>
        </w:drawing>
      </w:r>
    </w:p>
    <w:p w14:paraId="26BC94CE" w14:textId="3696006C" w:rsidR="00C743CF" w:rsidRDefault="00C743CF" w:rsidP="00232CD0">
      <w:pPr>
        <w:jc w:val="center"/>
        <w:rPr>
          <w:rFonts w:ascii="Times New Roman" w:eastAsia="Times New Roman" w:hAnsi="Times New Roman" w:cs="Times New Roman"/>
          <w:noProof/>
          <w:sz w:val="24"/>
          <w:szCs w:val="28"/>
        </w:rPr>
      </w:pPr>
      <w:r>
        <w:rPr>
          <w:rFonts w:ascii="Times New Roman" w:hAnsi="Times New Roman"/>
          <w:b/>
          <w:bCs/>
          <w:i/>
          <w:iCs/>
          <w:sz w:val="24"/>
          <w:szCs w:val="28"/>
        </w:rPr>
        <w:t>International Federation of Accountants</w:t>
      </w:r>
      <w:r>
        <w:rPr>
          <w:rFonts w:ascii="Times New Roman" w:hAnsi="Times New Roman"/>
          <w:b/>
          <w:bCs/>
          <w:sz w:val="24"/>
          <w:szCs w:val="28"/>
        </w:rPr>
        <w:t>® [Starptautiskā Grāmatvežu federācija]</w:t>
      </w:r>
      <w:r>
        <w:br w:type="page"/>
      </w:r>
    </w:p>
    <w:p w14:paraId="20A8F6C1" w14:textId="77777777" w:rsidR="00C743CF" w:rsidRDefault="00C743CF" w:rsidP="008D627B">
      <w:pPr>
        <w:jc w:val="both"/>
        <w:rPr>
          <w:rFonts w:ascii="Times New Roman" w:eastAsia="Times New Roman" w:hAnsi="Times New Roman" w:cs="Times New Roman"/>
          <w:noProof/>
          <w:sz w:val="24"/>
          <w:szCs w:val="28"/>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C743CF" w14:paraId="6F2D9FD6" w14:textId="77777777" w:rsidTr="00C743CF">
        <w:tc>
          <w:tcPr>
            <w:tcW w:w="9288" w:type="dxa"/>
          </w:tcPr>
          <w:p w14:paraId="602BBB8C" w14:textId="77777777" w:rsidR="00C743CF" w:rsidRPr="008D627B" w:rsidRDefault="00C743CF" w:rsidP="00C743CF">
            <w:pPr>
              <w:pStyle w:val="Virsraksts1"/>
              <w:ind w:left="0"/>
              <w:jc w:val="center"/>
              <w:rPr>
                <w:noProof/>
                <w:color w:val="231F20"/>
              </w:rPr>
            </w:pPr>
            <w:r>
              <w:rPr>
                <w:i/>
                <w:iCs/>
                <w:color w:val="231F20"/>
              </w:rPr>
              <w:t>IPSAS</w:t>
            </w:r>
            <w:r>
              <w:rPr>
                <w:color w:val="231F20"/>
              </w:rPr>
              <w:t> 36 “IEGULDĪJUMI ASOCIĒTAJOS UZŅĒMUMOS UN KOPUZŅĒMUMOS”</w:t>
            </w:r>
          </w:p>
          <w:p w14:paraId="08C6E605" w14:textId="77777777" w:rsidR="00C743CF" w:rsidRDefault="00C743CF" w:rsidP="00C743CF">
            <w:pPr>
              <w:pStyle w:val="Virsraksts2"/>
              <w:spacing w:before="0"/>
              <w:ind w:left="0"/>
              <w:jc w:val="center"/>
              <w:rPr>
                <w:noProof/>
                <w:color w:val="231F20"/>
                <w:sz w:val="24"/>
              </w:rPr>
            </w:pPr>
          </w:p>
          <w:p w14:paraId="51730078" w14:textId="77777777" w:rsidR="00C743CF" w:rsidRPr="008D627B" w:rsidRDefault="00C743CF" w:rsidP="00C743CF">
            <w:pPr>
              <w:pStyle w:val="Virsraksts2"/>
              <w:spacing w:before="0"/>
              <w:ind w:left="0"/>
              <w:jc w:val="center"/>
              <w:rPr>
                <w:noProof/>
                <w:color w:val="231F20"/>
                <w:sz w:val="24"/>
              </w:rPr>
            </w:pPr>
            <w:r>
              <w:rPr>
                <w:color w:val="231F20"/>
                <w:sz w:val="24"/>
              </w:rPr>
              <w:t>Atzinība</w:t>
            </w:r>
          </w:p>
          <w:p w14:paraId="43E5CD57" w14:textId="77777777" w:rsidR="00C743CF" w:rsidRDefault="00C743CF" w:rsidP="00C743CF">
            <w:pPr>
              <w:pStyle w:val="Pamatteksts"/>
              <w:spacing w:before="0"/>
              <w:ind w:left="0"/>
              <w:jc w:val="both"/>
              <w:rPr>
                <w:noProof/>
                <w:color w:val="231F20"/>
                <w:sz w:val="24"/>
              </w:rPr>
            </w:pPr>
          </w:p>
          <w:p w14:paraId="620362F6" w14:textId="77777777" w:rsidR="00C743CF" w:rsidRDefault="00C743CF" w:rsidP="00C743CF">
            <w:pPr>
              <w:pStyle w:val="Pamatteksts"/>
              <w:spacing w:before="0"/>
              <w:ind w:left="0"/>
              <w:jc w:val="both"/>
              <w:rPr>
                <w:noProof/>
                <w:color w:val="231F20"/>
                <w:sz w:val="24"/>
              </w:rPr>
            </w:pPr>
            <w:r>
              <w:rPr>
                <w:color w:val="231F20"/>
                <w:sz w:val="24"/>
              </w:rPr>
              <w:t>Šis starptautiskais publiskā sektora grāmatvedības standarts (</w:t>
            </w:r>
            <w:r>
              <w:rPr>
                <w:i/>
                <w:iCs/>
                <w:color w:val="231F20"/>
                <w:sz w:val="24"/>
              </w:rPr>
              <w:t>IPSAS</w:t>
            </w:r>
            <w:r>
              <w:rPr>
                <w:color w:val="231F20"/>
                <w:sz w:val="24"/>
              </w:rPr>
              <w:t>) ir sagatavots, pamatojoties galvenokārt uz 28. Starptautisko grāmatvedības standartu (</w:t>
            </w:r>
            <w:r>
              <w:rPr>
                <w:i/>
                <w:color w:val="231F20"/>
                <w:sz w:val="24"/>
              </w:rPr>
              <w:t>IAS</w:t>
            </w:r>
            <w:r>
              <w:rPr>
                <w:color w:val="231F20"/>
                <w:sz w:val="24"/>
              </w:rPr>
              <w:t>) “Ieguldījumi asociētajos uzņēmumos un kopuzņēmumos”, ko publicējusi Starptautisko grāmatvedības standartu padome (</w:t>
            </w:r>
            <w:r>
              <w:rPr>
                <w:i/>
                <w:iCs/>
                <w:color w:val="231F20"/>
                <w:sz w:val="24"/>
              </w:rPr>
              <w:t>IASB</w:t>
            </w:r>
            <w:r>
              <w:rPr>
                <w:color w:val="231F20"/>
                <w:sz w:val="24"/>
              </w:rPr>
              <w:t>). Ar Starptautisko finanšu pārskatu standartu (</w:t>
            </w:r>
            <w:r>
              <w:rPr>
                <w:i/>
                <w:iCs/>
                <w:color w:val="231F20"/>
                <w:sz w:val="24"/>
              </w:rPr>
              <w:t>IFRS</w:t>
            </w:r>
            <w:r>
              <w:rPr>
                <w:color w:val="231F20"/>
                <w:sz w:val="24"/>
              </w:rPr>
              <w:t>) fonda atļauju šajā Starptautiskās Grāmatvežu federācijas (</w:t>
            </w:r>
            <w:r>
              <w:rPr>
                <w:i/>
                <w:iCs/>
                <w:color w:val="231F20"/>
                <w:sz w:val="24"/>
              </w:rPr>
              <w:t>IFAC</w:t>
            </w:r>
            <w:r>
              <w:rPr>
                <w:color w:val="231F20"/>
                <w:sz w:val="24"/>
              </w:rPr>
              <w:t>) Starptautisko publiskā sektora grāmatvedības standartu padomes (</w:t>
            </w:r>
            <w:r>
              <w:rPr>
                <w:i/>
                <w:iCs/>
                <w:color w:val="231F20"/>
                <w:sz w:val="24"/>
              </w:rPr>
              <w:t>IPSASB</w:t>
            </w:r>
            <w:r>
              <w:rPr>
                <w:color w:val="231F20"/>
                <w:sz w:val="24"/>
              </w:rPr>
              <w:t xml:space="preserve">) publikācijā ir apkopoti izvilkumi no </w:t>
            </w:r>
            <w:r>
              <w:rPr>
                <w:i/>
                <w:color w:val="231F20"/>
                <w:sz w:val="24"/>
              </w:rPr>
              <w:t>IAS</w:t>
            </w:r>
            <w:r>
              <w:rPr>
                <w:color w:val="231F20"/>
                <w:sz w:val="24"/>
              </w:rPr>
              <w:t> 28.</w:t>
            </w:r>
          </w:p>
          <w:p w14:paraId="36F867D6" w14:textId="77777777" w:rsidR="00C743CF" w:rsidRPr="008D627B" w:rsidRDefault="00C743CF" w:rsidP="00C743CF">
            <w:pPr>
              <w:pStyle w:val="Pamatteksts"/>
              <w:spacing w:before="0"/>
              <w:ind w:left="0"/>
              <w:jc w:val="both"/>
              <w:rPr>
                <w:noProof/>
                <w:color w:val="231F20"/>
                <w:sz w:val="24"/>
              </w:rPr>
            </w:pPr>
          </w:p>
          <w:p w14:paraId="72B448DE" w14:textId="77777777" w:rsidR="00C743CF" w:rsidRDefault="00C743CF" w:rsidP="00C743CF">
            <w:pPr>
              <w:pStyle w:val="Pamatteksts"/>
              <w:spacing w:before="0"/>
              <w:ind w:left="0"/>
              <w:jc w:val="both"/>
              <w:rPr>
                <w:noProof/>
                <w:color w:val="231F20"/>
                <w:sz w:val="24"/>
              </w:rPr>
            </w:pPr>
            <w:r>
              <w:rPr>
                <w:color w:val="231F20"/>
                <w:sz w:val="24"/>
              </w:rPr>
              <w:t>Starptautisko finanšu pārskatu standartu (</w:t>
            </w:r>
            <w:r>
              <w:rPr>
                <w:i/>
                <w:iCs/>
                <w:color w:val="231F20"/>
                <w:sz w:val="24"/>
              </w:rPr>
              <w:t>IFRS</w:t>
            </w:r>
            <w:r>
              <w:rPr>
                <w:color w:val="231F20"/>
                <w:sz w:val="24"/>
              </w:rPr>
              <w:t xml:space="preserve">) apstiprinātais teksts ir tāds, ko </w:t>
            </w:r>
            <w:r>
              <w:rPr>
                <w:i/>
                <w:iCs/>
                <w:color w:val="231F20"/>
                <w:sz w:val="24"/>
              </w:rPr>
              <w:t>IASB</w:t>
            </w:r>
            <w:r>
              <w:rPr>
                <w:color w:val="231F20"/>
                <w:sz w:val="24"/>
              </w:rPr>
              <w:t xml:space="preserve"> publicējusi angļu valodā, un kopijas var iegūt tieši no </w:t>
            </w:r>
            <w:r>
              <w:rPr>
                <w:i/>
                <w:iCs/>
                <w:color w:val="231F20"/>
                <w:sz w:val="24"/>
              </w:rPr>
              <w:t>IFRS</w:t>
            </w:r>
            <w:r>
              <w:rPr>
                <w:color w:val="231F20"/>
                <w:sz w:val="24"/>
              </w:rPr>
              <w:t xml:space="preserve"> fonda Klientu apkalpošanas nodaļas: </w:t>
            </w:r>
            <w:r>
              <w:rPr>
                <w:i/>
                <w:iCs/>
                <w:color w:val="231F20"/>
                <w:sz w:val="24"/>
              </w:rPr>
              <w:t>Columbus Building</w:t>
            </w:r>
            <w:r>
              <w:rPr>
                <w:color w:val="231F20"/>
                <w:sz w:val="24"/>
              </w:rPr>
              <w:t>, 7</w:t>
            </w:r>
            <w:r>
              <w:rPr>
                <w:i/>
                <w:iCs/>
                <w:color w:val="231F20"/>
                <w:sz w:val="24"/>
              </w:rPr>
              <w:t> Westferry Circus</w:t>
            </w:r>
            <w:r>
              <w:rPr>
                <w:color w:val="231F20"/>
                <w:sz w:val="24"/>
              </w:rPr>
              <w:t>,</w:t>
            </w:r>
            <w:r>
              <w:rPr>
                <w:i/>
                <w:iCs/>
                <w:color w:val="231F20"/>
                <w:sz w:val="24"/>
              </w:rPr>
              <w:t xml:space="preserve"> Canary Wharf</w:t>
            </w:r>
            <w:r>
              <w:rPr>
                <w:color w:val="231F20"/>
                <w:sz w:val="24"/>
              </w:rPr>
              <w:t>, Londona E14 4HD, Apvienotā Karaliste.</w:t>
            </w:r>
          </w:p>
          <w:p w14:paraId="095C5B79" w14:textId="77777777" w:rsidR="00C743CF" w:rsidRPr="008D627B" w:rsidRDefault="00C743CF" w:rsidP="00C743CF">
            <w:pPr>
              <w:pStyle w:val="Pamatteksts"/>
              <w:spacing w:before="0"/>
              <w:ind w:left="0"/>
              <w:jc w:val="both"/>
              <w:rPr>
                <w:noProof/>
                <w:color w:val="231F20"/>
                <w:sz w:val="24"/>
              </w:rPr>
            </w:pPr>
          </w:p>
          <w:p w14:paraId="372DD6F2" w14:textId="77777777" w:rsidR="00C743CF" w:rsidRDefault="00C743CF" w:rsidP="00C743CF">
            <w:pPr>
              <w:pStyle w:val="Pamatteksts"/>
              <w:spacing w:before="0"/>
              <w:ind w:left="0"/>
              <w:jc w:val="center"/>
              <w:rPr>
                <w:noProof/>
                <w:color w:val="231F20"/>
                <w:sz w:val="24"/>
              </w:rPr>
            </w:pPr>
            <w:r>
              <w:rPr>
                <w:color w:val="231F20"/>
                <w:sz w:val="24"/>
              </w:rPr>
              <w:t>E-pasts: publications@ifrs.org</w:t>
            </w:r>
          </w:p>
          <w:p w14:paraId="749BDF46" w14:textId="77777777" w:rsidR="00C743CF" w:rsidRPr="008D627B" w:rsidRDefault="00C743CF" w:rsidP="00C743CF">
            <w:pPr>
              <w:pStyle w:val="Pamatteksts"/>
              <w:spacing w:before="0"/>
              <w:ind w:left="0"/>
              <w:jc w:val="center"/>
              <w:rPr>
                <w:noProof/>
                <w:sz w:val="24"/>
              </w:rPr>
            </w:pPr>
            <w:r>
              <w:rPr>
                <w:color w:val="231F20"/>
                <w:sz w:val="24"/>
              </w:rPr>
              <w:t>Tīmekļa vietne: www.ifrs.org</w:t>
            </w:r>
          </w:p>
          <w:p w14:paraId="1AD166B6" w14:textId="77777777" w:rsidR="00C743CF" w:rsidRDefault="00C743CF" w:rsidP="00C743CF">
            <w:pPr>
              <w:pStyle w:val="Pamatteksts"/>
              <w:spacing w:before="0"/>
              <w:ind w:left="0"/>
              <w:jc w:val="both"/>
              <w:rPr>
                <w:noProof/>
                <w:color w:val="231F20"/>
                <w:sz w:val="24"/>
              </w:rPr>
            </w:pPr>
          </w:p>
          <w:p w14:paraId="6E5E0558" w14:textId="77777777" w:rsidR="00C743CF" w:rsidRDefault="00C743CF" w:rsidP="00C743CF">
            <w:pPr>
              <w:pStyle w:val="Pamatteksts"/>
              <w:spacing w:before="0"/>
              <w:ind w:left="0"/>
              <w:jc w:val="both"/>
              <w:rPr>
                <w:noProof/>
                <w:color w:val="231F20"/>
                <w:sz w:val="24"/>
              </w:rPr>
            </w:pPr>
            <w:r>
              <w:rPr>
                <w:color w:val="231F20"/>
                <w:sz w:val="24"/>
              </w:rPr>
              <w:t xml:space="preserve">Autortiesības par </w:t>
            </w:r>
            <w:r>
              <w:rPr>
                <w:i/>
                <w:iCs/>
                <w:color w:val="231F20"/>
                <w:sz w:val="24"/>
              </w:rPr>
              <w:t>IFRS</w:t>
            </w:r>
            <w:r>
              <w:rPr>
                <w:color w:val="231F20"/>
                <w:sz w:val="24"/>
              </w:rPr>
              <w:t xml:space="preserve">, </w:t>
            </w:r>
            <w:r>
              <w:rPr>
                <w:i/>
                <w:iCs/>
                <w:color w:val="231F20"/>
                <w:sz w:val="24"/>
              </w:rPr>
              <w:t>IAS</w:t>
            </w:r>
            <w:r>
              <w:rPr>
                <w:color w:val="231F20"/>
                <w:sz w:val="24"/>
              </w:rPr>
              <w:t xml:space="preserve">, publiskotajiem projektiem un citām </w:t>
            </w:r>
            <w:r>
              <w:rPr>
                <w:i/>
                <w:iCs/>
                <w:color w:val="231F20"/>
                <w:sz w:val="24"/>
              </w:rPr>
              <w:t>IASB</w:t>
            </w:r>
            <w:r>
              <w:rPr>
                <w:color w:val="231F20"/>
                <w:sz w:val="24"/>
              </w:rPr>
              <w:t xml:space="preserve"> publikācijām pieder </w:t>
            </w:r>
            <w:r>
              <w:rPr>
                <w:i/>
                <w:iCs/>
                <w:color w:val="231F20"/>
                <w:sz w:val="24"/>
              </w:rPr>
              <w:t>IFRS</w:t>
            </w:r>
            <w:r>
              <w:rPr>
                <w:color w:val="231F20"/>
                <w:sz w:val="24"/>
              </w:rPr>
              <w:t xml:space="preserve"> fondam.</w:t>
            </w:r>
          </w:p>
          <w:p w14:paraId="27FFE7C6" w14:textId="77777777" w:rsidR="00C743CF" w:rsidRPr="008D627B" w:rsidRDefault="00C743CF" w:rsidP="00C743CF">
            <w:pPr>
              <w:pStyle w:val="Pamatteksts"/>
              <w:spacing w:before="0"/>
              <w:ind w:left="0"/>
              <w:jc w:val="both"/>
              <w:rPr>
                <w:noProof/>
                <w:color w:val="231F20"/>
                <w:sz w:val="24"/>
              </w:rPr>
            </w:pPr>
          </w:p>
          <w:p w14:paraId="17D2059A" w14:textId="7348BB7C" w:rsidR="00C743CF" w:rsidRPr="00C743CF" w:rsidRDefault="00C743CF" w:rsidP="00C743CF">
            <w:pPr>
              <w:pStyle w:val="Pamatteksts"/>
              <w:spacing w:before="0"/>
              <w:ind w:left="0"/>
              <w:jc w:val="both"/>
              <w:rPr>
                <w:noProof/>
                <w:color w:val="231F20"/>
                <w:sz w:val="24"/>
              </w:rPr>
            </w:pPr>
            <w:r>
              <w:rPr>
                <w:color w:val="231F20"/>
                <w:sz w:val="24"/>
              </w:rPr>
              <w:t xml:space="preserve">“IFRS”, “IAS”, “IASB”, “IFRS fonds”, “Starptautiskie grāmatvedības standarti” un “Starptautiskie finanšu pārskatu standarti” ir </w:t>
            </w:r>
            <w:r>
              <w:rPr>
                <w:i/>
                <w:iCs/>
                <w:color w:val="231F20"/>
                <w:sz w:val="24"/>
              </w:rPr>
              <w:t>IFRS</w:t>
            </w:r>
            <w:r>
              <w:rPr>
                <w:color w:val="231F20"/>
                <w:sz w:val="24"/>
              </w:rPr>
              <w:t xml:space="preserve"> fonda preču zīmes, un tās nedrīkst izmantot bez </w:t>
            </w:r>
            <w:r>
              <w:rPr>
                <w:i/>
                <w:iCs/>
                <w:color w:val="231F20"/>
                <w:sz w:val="24"/>
              </w:rPr>
              <w:t>IFRS</w:t>
            </w:r>
            <w:r>
              <w:rPr>
                <w:color w:val="231F20"/>
                <w:sz w:val="24"/>
              </w:rPr>
              <w:t xml:space="preserve"> fonda apstiprinājuma.</w:t>
            </w:r>
          </w:p>
        </w:tc>
      </w:tr>
    </w:tbl>
    <w:p w14:paraId="05FA928B" w14:textId="78D4847B" w:rsidR="00C743CF" w:rsidRDefault="00C743CF" w:rsidP="008D627B">
      <w:pPr>
        <w:jc w:val="both"/>
        <w:rPr>
          <w:rFonts w:ascii="Times New Roman" w:eastAsia="Times New Roman" w:hAnsi="Times New Roman" w:cs="Times New Roman"/>
          <w:noProof/>
          <w:sz w:val="24"/>
          <w:szCs w:val="28"/>
        </w:rPr>
      </w:pPr>
    </w:p>
    <w:p w14:paraId="0BEB6669" w14:textId="484D6CB9" w:rsidR="00C743CF" w:rsidRDefault="00C743CF">
      <w:pPr>
        <w:rPr>
          <w:rFonts w:ascii="Times New Roman" w:eastAsia="Times New Roman" w:hAnsi="Times New Roman" w:cs="Times New Roman"/>
          <w:noProof/>
          <w:sz w:val="24"/>
          <w:szCs w:val="28"/>
        </w:rPr>
      </w:pPr>
      <w:r>
        <w:br w:type="page"/>
      </w:r>
    </w:p>
    <w:p w14:paraId="5D50C59B" w14:textId="77777777" w:rsidR="00C743CF" w:rsidRDefault="00C743CF" w:rsidP="008D627B">
      <w:pPr>
        <w:jc w:val="both"/>
        <w:rPr>
          <w:rFonts w:ascii="Times New Roman" w:eastAsia="Times New Roman" w:hAnsi="Times New Roman" w:cs="Times New Roman"/>
          <w:noProof/>
          <w:sz w:val="24"/>
          <w:szCs w:val="28"/>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002BC8" w14:paraId="5E4D0952" w14:textId="77777777" w:rsidTr="00002BC8">
        <w:tc>
          <w:tcPr>
            <w:tcW w:w="9288" w:type="dxa"/>
          </w:tcPr>
          <w:p w14:paraId="6C961B57" w14:textId="77777777" w:rsidR="00002BC8" w:rsidRPr="008D627B" w:rsidRDefault="00002BC8" w:rsidP="00002BC8">
            <w:pPr>
              <w:pStyle w:val="Virsraksts1"/>
              <w:ind w:left="0"/>
              <w:jc w:val="center"/>
              <w:rPr>
                <w:noProof/>
                <w:color w:val="231F20"/>
              </w:rPr>
            </w:pPr>
            <w:r>
              <w:rPr>
                <w:i/>
                <w:iCs/>
                <w:color w:val="231F20"/>
              </w:rPr>
              <w:t>IPSAS</w:t>
            </w:r>
            <w:r>
              <w:rPr>
                <w:color w:val="231F20"/>
              </w:rPr>
              <w:t> 36 “IEGULDĪJUMI ASOCIĒTAJOS UZŅĒMUMOS UN KOPUZŅĒMUMOS”</w:t>
            </w:r>
          </w:p>
          <w:p w14:paraId="55A3D729" w14:textId="77777777" w:rsidR="00002BC8" w:rsidRDefault="00002BC8" w:rsidP="00002BC8">
            <w:pPr>
              <w:pStyle w:val="Virsraksts2"/>
              <w:spacing w:before="0"/>
              <w:ind w:left="0"/>
              <w:jc w:val="center"/>
              <w:rPr>
                <w:noProof/>
                <w:color w:val="231F20"/>
                <w:sz w:val="24"/>
              </w:rPr>
            </w:pPr>
          </w:p>
          <w:p w14:paraId="098211CB" w14:textId="77777777" w:rsidR="00002BC8" w:rsidRPr="008D627B" w:rsidRDefault="00002BC8" w:rsidP="00002BC8">
            <w:pPr>
              <w:pStyle w:val="Virsraksts2"/>
              <w:spacing w:before="0"/>
              <w:ind w:left="0"/>
              <w:jc w:val="center"/>
              <w:rPr>
                <w:noProof/>
                <w:color w:val="231F20"/>
                <w:sz w:val="24"/>
              </w:rPr>
            </w:pPr>
            <w:r>
              <w:rPr>
                <w:i/>
                <w:iCs/>
                <w:color w:val="231F20"/>
                <w:sz w:val="24"/>
              </w:rPr>
              <w:t>IPSAS</w:t>
            </w:r>
            <w:r>
              <w:rPr>
                <w:color w:val="231F20"/>
                <w:sz w:val="24"/>
              </w:rPr>
              <w:t xml:space="preserve"> vēsture</w:t>
            </w:r>
          </w:p>
          <w:p w14:paraId="5DF160AD" w14:textId="77777777" w:rsidR="00002BC8" w:rsidRDefault="00002BC8" w:rsidP="00002BC8">
            <w:pPr>
              <w:jc w:val="both"/>
              <w:rPr>
                <w:rFonts w:ascii="Times New Roman" w:hAnsi="Times New Roman"/>
                <w:i/>
                <w:noProof/>
                <w:color w:val="231F20"/>
                <w:sz w:val="24"/>
              </w:rPr>
            </w:pPr>
          </w:p>
          <w:p w14:paraId="1016B513" w14:textId="77777777" w:rsidR="00002BC8" w:rsidRPr="008D627B" w:rsidRDefault="00002BC8" w:rsidP="00002BC8">
            <w:pPr>
              <w:jc w:val="both"/>
              <w:rPr>
                <w:rFonts w:ascii="Times New Roman" w:hAnsi="Times New Roman"/>
                <w:i/>
                <w:noProof/>
                <w:color w:val="231F20"/>
                <w:sz w:val="24"/>
              </w:rPr>
            </w:pPr>
            <w:r>
              <w:rPr>
                <w:rFonts w:ascii="Times New Roman" w:hAnsi="Times New Roman"/>
                <w:i/>
                <w:color w:val="231F20"/>
                <w:sz w:val="24"/>
              </w:rPr>
              <w:t>Šajā redakcijā ir iekļauti grozījumi, kas izstrādāti saistībā ar IPSAS, kuri izdoti līdz 2019. gada 31. janvārim.</w:t>
            </w:r>
          </w:p>
          <w:p w14:paraId="522D66C7" w14:textId="77777777" w:rsidR="00002BC8" w:rsidRDefault="00002BC8" w:rsidP="00002BC8">
            <w:pPr>
              <w:jc w:val="both"/>
              <w:rPr>
                <w:rFonts w:ascii="Times New Roman" w:hAnsi="Times New Roman"/>
                <w:noProof/>
                <w:color w:val="231F20"/>
                <w:sz w:val="24"/>
              </w:rPr>
            </w:pPr>
          </w:p>
          <w:p w14:paraId="32CCC812" w14:textId="77777777" w:rsidR="00002BC8" w:rsidRPr="008D627B" w:rsidRDefault="00002BC8" w:rsidP="00002BC8">
            <w:pPr>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36 “Ieguldījumi asociētajos uzņēmumos un kopuzņēmumos” tika izdoti 2015. gada janvārī.</w:t>
            </w:r>
          </w:p>
          <w:p w14:paraId="752423F7" w14:textId="77777777" w:rsidR="00002BC8" w:rsidRDefault="00002BC8" w:rsidP="00002BC8">
            <w:pPr>
              <w:pStyle w:val="Pamatteksts"/>
              <w:spacing w:before="0"/>
              <w:ind w:left="0"/>
              <w:jc w:val="both"/>
              <w:rPr>
                <w:noProof/>
                <w:color w:val="231F20"/>
                <w:sz w:val="24"/>
              </w:rPr>
            </w:pPr>
          </w:p>
          <w:p w14:paraId="0684BB3C" w14:textId="77777777" w:rsidR="00002BC8" w:rsidRDefault="00002BC8" w:rsidP="00002BC8">
            <w:pPr>
              <w:pStyle w:val="Pamatteksts"/>
              <w:spacing w:before="0"/>
              <w:ind w:left="0"/>
              <w:jc w:val="both"/>
              <w:rPr>
                <w:noProof/>
                <w:color w:val="231F20"/>
                <w:sz w:val="24"/>
              </w:rPr>
            </w:pPr>
            <w:r>
              <w:rPr>
                <w:color w:val="231F20"/>
                <w:sz w:val="24"/>
              </w:rPr>
              <w:t xml:space="preserve">Kopš tā laika </w:t>
            </w:r>
            <w:r>
              <w:rPr>
                <w:i/>
                <w:iCs/>
                <w:color w:val="231F20"/>
                <w:sz w:val="24"/>
              </w:rPr>
              <w:t>IPSAS</w:t>
            </w:r>
            <w:r>
              <w:rPr>
                <w:color w:val="231F20"/>
                <w:sz w:val="24"/>
              </w:rPr>
              <w:t xml:space="preserve"> 36 ir grozīts ar šādiem </w:t>
            </w:r>
            <w:r>
              <w:rPr>
                <w:i/>
                <w:iCs/>
                <w:color w:val="231F20"/>
                <w:sz w:val="24"/>
              </w:rPr>
              <w:t>IPSAS</w:t>
            </w:r>
            <w:r>
              <w:rPr>
                <w:color w:val="231F20"/>
                <w:sz w:val="24"/>
              </w:rPr>
              <w:t>:</w:t>
            </w:r>
          </w:p>
          <w:p w14:paraId="2D0FB40E" w14:textId="77777777" w:rsidR="00002BC8" w:rsidRPr="008D627B" w:rsidRDefault="00002BC8" w:rsidP="00002BC8">
            <w:pPr>
              <w:pStyle w:val="Pamatteksts"/>
              <w:spacing w:before="0"/>
              <w:ind w:left="0"/>
              <w:jc w:val="both"/>
              <w:rPr>
                <w:noProof/>
                <w:color w:val="231F20"/>
                <w:sz w:val="24"/>
              </w:rPr>
            </w:pPr>
          </w:p>
          <w:p w14:paraId="4E7B4CF5" w14:textId="77777777" w:rsidR="00002BC8" w:rsidRPr="00002BC8" w:rsidRDefault="00002BC8" w:rsidP="00002BC8">
            <w:pPr>
              <w:pStyle w:val="Pamatteksts"/>
              <w:numPr>
                <w:ilvl w:val="0"/>
                <w:numId w:val="5"/>
              </w:numPr>
              <w:spacing w:before="0"/>
              <w:ind w:left="426" w:hanging="426"/>
              <w:jc w:val="both"/>
              <w:rPr>
                <w:noProof/>
                <w:color w:val="231F20"/>
                <w:sz w:val="24"/>
              </w:rPr>
            </w:pPr>
            <w:r>
              <w:rPr>
                <w:color w:val="231F20"/>
                <w:sz w:val="24"/>
              </w:rPr>
              <w:t>“Ilgtermiņa līdzdalība asociētajos uzņēmumos un kopuzņēmumos” (</w:t>
            </w:r>
            <w:r>
              <w:rPr>
                <w:i/>
                <w:iCs/>
                <w:color w:val="231F20"/>
                <w:sz w:val="24"/>
              </w:rPr>
              <w:t>IPSAS</w:t>
            </w:r>
            <w:r>
              <w:rPr>
                <w:color w:val="231F20"/>
                <w:sz w:val="24"/>
              </w:rPr>
              <w:t> 36 grozījumi) un “Priekšapmaksas iezīmes ar negatīvu kompensāciju” (</w:t>
            </w:r>
            <w:r>
              <w:rPr>
                <w:i/>
                <w:iCs/>
                <w:color w:val="231F20"/>
                <w:sz w:val="24"/>
              </w:rPr>
              <w:t>IPSAS</w:t>
            </w:r>
            <w:r>
              <w:rPr>
                <w:color w:val="231F20"/>
                <w:sz w:val="24"/>
              </w:rPr>
              <w:t> 41 grozījumi)</w:t>
            </w:r>
          </w:p>
          <w:p w14:paraId="6B4444F8" w14:textId="77777777" w:rsidR="00002BC8" w:rsidRPr="008D627B" w:rsidRDefault="00002BC8" w:rsidP="00002BC8">
            <w:pPr>
              <w:numPr>
                <w:ilvl w:val="0"/>
                <w:numId w:val="5"/>
              </w:numPr>
              <w:ind w:left="426" w:hanging="426"/>
              <w:jc w:val="both"/>
              <w:rPr>
                <w:rFonts w:ascii="Times New Roman" w:eastAsia="Times New Roman" w:hAnsi="Times New Roman" w:cs="Times New Roman"/>
                <w:noProof/>
                <w:sz w:val="24"/>
                <w:szCs w:val="20"/>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uzlabojumi 2018. gadā” (izdots 2018. gada oktobrī)</w:t>
            </w:r>
          </w:p>
          <w:p w14:paraId="3516C280" w14:textId="77777777" w:rsidR="00002BC8" w:rsidRPr="008D627B" w:rsidRDefault="00002BC8" w:rsidP="00002BC8">
            <w:pPr>
              <w:numPr>
                <w:ilvl w:val="0"/>
                <w:numId w:val="5"/>
              </w:numPr>
              <w:ind w:left="426" w:hanging="426"/>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41 “Finanšu instrumenti” (izdots 2018. gada augustā)</w:t>
            </w:r>
          </w:p>
          <w:p w14:paraId="45306B43" w14:textId="77777777" w:rsidR="00002BC8" w:rsidRPr="008D627B" w:rsidRDefault="00002BC8" w:rsidP="00002BC8">
            <w:pPr>
              <w:numPr>
                <w:ilvl w:val="0"/>
                <w:numId w:val="5"/>
              </w:numPr>
              <w:ind w:left="426" w:hanging="426"/>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40 “Publiskā sektora apvienošanas gadījumi” (izdots 2017. gada janvārī)</w:t>
            </w:r>
          </w:p>
          <w:p w14:paraId="6D8FBD1B" w14:textId="77777777" w:rsidR="00002BC8" w:rsidRPr="008D627B" w:rsidRDefault="00002BC8" w:rsidP="00002BC8">
            <w:pPr>
              <w:numPr>
                <w:ilvl w:val="0"/>
                <w:numId w:val="5"/>
              </w:numPr>
              <w:ind w:left="426" w:hanging="426"/>
              <w:jc w:val="both"/>
              <w:rPr>
                <w:rFonts w:ascii="Times New Roman" w:eastAsia="Times New Roman" w:hAnsi="Times New Roman" w:cs="Times New Roman"/>
                <w:noProof/>
                <w:sz w:val="24"/>
                <w:szCs w:val="20"/>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(izdots 2016. gada aprīlī)</w:t>
            </w:r>
          </w:p>
          <w:p w14:paraId="357ED8B9" w14:textId="3166EE51" w:rsidR="00002BC8" w:rsidRPr="00002BC8" w:rsidRDefault="00002BC8" w:rsidP="008D627B">
            <w:pPr>
              <w:numPr>
                <w:ilvl w:val="0"/>
                <w:numId w:val="5"/>
              </w:numPr>
              <w:ind w:left="426" w:hanging="426"/>
              <w:jc w:val="both"/>
              <w:rPr>
                <w:rFonts w:ascii="Times New Roman" w:eastAsia="Times New Roman" w:hAnsi="Times New Roman" w:cs="Times New Roman"/>
                <w:noProof/>
                <w:sz w:val="24"/>
                <w:szCs w:val="20"/>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uzlabojumi 2015. gadā” (izdots 2016. gada aprīlī)</w:t>
            </w:r>
          </w:p>
        </w:tc>
      </w:tr>
    </w:tbl>
    <w:p w14:paraId="644CE6DC" w14:textId="77777777" w:rsidR="00904506" w:rsidRPr="008D627B" w:rsidRDefault="00904506" w:rsidP="008D627B">
      <w:pPr>
        <w:jc w:val="both"/>
        <w:rPr>
          <w:rFonts w:ascii="Times New Roman" w:eastAsia="Times New Roman" w:hAnsi="Times New Roman" w:cs="Times New Roman"/>
          <w:noProof/>
          <w:sz w:val="24"/>
          <w:szCs w:val="20"/>
        </w:rPr>
      </w:pPr>
    </w:p>
    <w:p w14:paraId="75415F88" w14:textId="77777777" w:rsidR="00904506" w:rsidRPr="008D627B" w:rsidRDefault="00904506" w:rsidP="008D627B">
      <w:pPr>
        <w:pStyle w:val="Virsraksts2"/>
        <w:spacing w:before="0"/>
        <w:ind w:left="0"/>
        <w:jc w:val="both"/>
        <w:rPr>
          <w:noProof/>
          <w:color w:val="231F20"/>
          <w:sz w:val="24"/>
        </w:rPr>
      </w:pPr>
      <w:r>
        <w:rPr>
          <w:i/>
          <w:iCs/>
          <w:color w:val="231F20"/>
          <w:sz w:val="24"/>
        </w:rPr>
        <w:t>IPSAS</w:t>
      </w:r>
      <w:r>
        <w:rPr>
          <w:color w:val="231F20"/>
          <w:sz w:val="24"/>
        </w:rPr>
        <w:t> 36 grozīto punktu tabula</w:t>
      </w:r>
    </w:p>
    <w:p w14:paraId="67FAEDE6" w14:textId="77777777" w:rsidR="00904506" w:rsidRPr="008D627B" w:rsidRDefault="00904506" w:rsidP="008D627B">
      <w:pPr>
        <w:jc w:val="both"/>
        <w:rPr>
          <w:rFonts w:ascii="Times New Roman" w:eastAsia="Times New Roman" w:hAnsi="Times New Roman" w:cs="Times New Roman"/>
          <w:b/>
          <w:bCs/>
          <w:noProof/>
          <w:sz w:val="24"/>
          <w:szCs w:val="8"/>
        </w:rPr>
      </w:pPr>
    </w:p>
    <w:tbl>
      <w:tblPr>
        <w:tblW w:w="5000" w:type="pct"/>
        <w:jc w:val="center"/>
        <w:tblCellMar>
          <w:top w:w="28" w:type="dxa"/>
          <w:left w:w="28" w:type="dxa"/>
          <w:bottom w:w="28" w:type="dxa"/>
          <w:right w:w="28" w:type="dxa"/>
        </w:tblCellMar>
        <w:tblLook w:val="01E0" w:firstRow="1" w:lastRow="1" w:firstColumn="1" w:lastColumn="1" w:noHBand="0" w:noVBand="0"/>
      </w:tblPr>
      <w:tblGrid>
        <w:gridCol w:w="2722"/>
        <w:gridCol w:w="2550"/>
        <w:gridCol w:w="3856"/>
      </w:tblGrid>
      <w:tr w:rsidR="002D1B61" w:rsidRPr="008D627B" w14:paraId="30D85804"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20857662" w14:textId="77777777" w:rsidR="00904506" w:rsidRPr="008D627B" w:rsidRDefault="00904506" w:rsidP="002D1B61">
            <w:pPr>
              <w:pStyle w:val="TableParagraph"/>
              <w:jc w:val="center"/>
              <w:rPr>
                <w:rFonts w:ascii="Times New Roman" w:hAnsi="Times New Roman"/>
                <w:b/>
                <w:noProof/>
                <w:color w:val="231F20"/>
                <w:sz w:val="24"/>
              </w:rPr>
            </w:pPr>
            <w:r>
              <w:rPr>
                <w:rFonts w:ascii="Times New Roman" w:hAnsi="Times New Roman"/>
                <w:b/>
                <w:color w:val="231F20"/>
                <w:sz w:val="24"/>
              </w:rPr>
              <w:t>Grozītais punkts</w:t>
            </w:r>
          </w:p>
        </w:tc>
        <w:tc>
          <w:tcPr>
            <w:tcW w:w="1397" w:type="pct"/>
            <w:tcBorders>
              <w:top w:val="single" w:sz="4" w:space="0" w:color="231F20"/>
              <w:left w:val="single" w:sz="4" w:space="0" w:color="231F20"/>
              <w:bottom w:val="single" w:sz="4" w:space="0" w:color="231F20"/>
              <w:right w:val="single" w:sz="4" w:space="0" w:color="231F20"/>
            </w:tcBorders>
          </w:tcPr>
          <w:p w14:paraId="3B1B61AC" w14:textId="77777777" w:rsidR="00904506" w:rsidRPr="008D627B" w:rsidRDefault="00904506" w:rsidP="002D1B61">
            <w:pPr>
              <w:pStyle w:val="TableParagraph"/>
              <w:jc w:val="center"/>
              <w:rPr>
                <w:rFonts w:ascii="Times New Roman" w:hAnsi="Times New Roman"/>
                <w:b/>
                <w:noProof/>
                <w:color w:val="231F20"/>
                <w:sz w:val="24"/>
              </w:rPr>
            </w:pPr>
            <w:r>
              <w:rPr>
                <w:rFonts w:ascii="Times New Roman" w:hAnsi="Times New Roman"/>
                <w:b/>
                <w:color w:val="231F20"/>
                <w:sz w:val="24"/>
              </w:rPr>
              <w:t>Kā grozīts</w:t>
            </w:r>
          </w:p>
        </w:tc>
        <w:tc>
          <w:tcPr>
            <w:tcW w:w="2112" w:type="pct"/>
            <w:tcBorders>
              <w:top w:val="single" w:sz="4" w:space="0" w:color="231F20"/>
              <w:left w:val="single" w:sz="4" w:space="0" w:color="231F20"/>
              <w:bottom w:val="single" w:sz="4" w:space="0" w:color="231F20"/>
              <w:right w:val="single" w:sz="4" w:space="0" w:color="231F20"/>
            </w:tcBorders>
          </w:tcPr>
          <w:p w14:paraId="247ED5AF" w14:textId="77777777" w:rsidR="00904506" w:rsidRPr="008D627B" w:rsidRDefault="00904506" w:rsidP="002D1B61">
            <w:pPr>
              <w:pStyle w:val="TableParagraph"/>
              <w:jc w:val="center"/>
              <w:rPr>
                <w:rFonts w:ascii="Times New Roman" w:hAnsi="Times New Roman"/>
                <w:b/>
                <w:noProof/>
                <w:color w:val="231F20"/>
                <w:sz w:val="24"/>
              </w:rPr>
            </w:pPr>
            <w:r>
              <w:rPr>
                <w:rFonts w:ascii="Times New Roman" w:hAnsi="Times New Roman"/>
                <w:b/>
                <w:color w:val="231F20"/>
                <w:sz w:val="24"/>
              </w:rPr>
              <w:t>Ar ko grozīts</w:t>
            </w:r>
          </w:p>
        </w:tc>
      </w:tr>
      <w:tr w:rsidR="002D1B61" w:rsidRPr="008D627B" w14:paraId="7A08E620"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76B56931"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4.</w:t>
            </w:r>
          </w:p>
        </w:tc>
        <w:tc>
          <w:tcPr>
            <w:tcW w:w="1397" w:type="pct"/>
            <w:tcBorders>
              <w:top w:val="single" w:sz="4" w:space="0" w:color="231F20"/>
              <w:left w:val="single" w:sz="4" w:space="0" w:color="231F20"/>
              <w:bottom w:val="single" w:sz="4" w:space="0" w:color="231F20"/>
              <w:right w:val="single" w:sz="4" w:space="0" w:color="231F20"/>
            </w:tcBorders>
          </w:tcPr>
          <w:p w14:paraId="2891718A"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2112" w:type="pct"/>
            <w:tcBorders>
              <w:top w:val="single" w:sz="4" w:space="0" w:color="231F20"/>
              <w:left w:val="single" w:sz="4" w:space="0" w:color="231F20"/>
              <w:bottom w:val="single" w:sz="4" w:space="0" w:color="231F20"/>
              <w:right w:val="single" w:sz="4" w:space="0" w:color="231F20"/>
            </w:tcBorders>
          </w:tcPr>
          <w:p w14:paraId="6EBD94F8"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uzlabojumi”, 2016. gada aprīlis</w:t>
            </w:r>
          </w:p>
        </w:tc>
      </w:tr>
      <w:tr w:rsidR="002D1B61" w:rsidRPr="008D627B" w14:paraId="0B62C5D3"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42715987"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6.</w:t>
            </w:r>
          </w:p>
        </w:tc>
        <w:tc>
          <w:tcPr>
            <w:tcW w:w="1397" w:type="pct"/>
            <w:tcBorders>
              <w:top w:val="single" w:sz="4" w:space="0" w:color="231F20"/>
              <w:left w:val="single" w:sz="4" w:space="0" w:color="231F20"/>
              <w:bottom w:val="single" w:sz="4" w:space="0" w:color="231F20"/>
              <w:right w:val="single" w:sz="4" w:space="0" w:color="231F20"/>
            </w:tcBorders>
          </w:tcPr>
          <w:p w14:paraId="11846C48"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2112" w:type="pct"/>
            <w:tcBorders>
              <w:top w:val="single" w:sz="4" w:space="0" w:color="231F20"/>
              <w:left w:val="single" w:sz="4" w:space="0" w:color="231F20"/>
              <w:bottom w:val="single" w:sz="4" w:space="0" w:color="231F20"/>
              <w:right w:val="single" w:sz="4" w:space="0" w:color="231F20"/>
            </w:tcBorders>
          </w:tcPr>
          <w:p w14:paraId="203AD0A3"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2D1B61" w:rsidRPr="008D627B" w14:paraId="74CB0441"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674BE380"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7.</w:t>
            </w:r>
          </w:p>
        </w:tc>
        <w:tc>
          <w:tcPr>
            <w:tcW w:w="1397" w:type="pct"/>
            <w:tcBorders>
              <w:top w:val="single" w:sz="4" w:space="0" w:color="231F20"/>
              <w:left w:val="single" w:sz="4" w:space="0" w:color="231F20"/>
              <w:bottom w:val="single" w:sz="4" w:space="0" w:color="231F20"/>
              <w:right w:val="single" w:sz="4" w:space="0" w:color="231F20"/>
            </w:tcBorders>
          </w:tcPr>
          <w:p w14:paraId="65639A03"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2112" w:type="pct"/>
            <w:tcBorders>
              <w:top w:val="single" w:sz="4" w:space="0" w:color="231F20"/>
              <w:left w:val="single" w:sz="4" w:space="0" w:color="231F20"/>
              <w:bottom w:val="single" w:sz="4" w:space="0" w:color="231F20"/>
              <w:right w:val="single" w:sz="4" w:space="0" w:color="231F20"/>
            </w:tcBorders>
          </w:tcPr>
          <w:p w14:paraId="3918503D"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2D1B61" w:rsidRPr="008D627B" w14:paraId="0F0F5EBB"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2B6F387C"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20.</w:t>
            </w:r>
          </w:p>
        </w:tc>
        <w:tc>
          <w:tcPr>
            <w:tcW w:w="1397" w:type="pct"/>
            <w:tcBorders>
              <w:top w:val="single" w:sz="4" w:space="0" w:color="231F20"/>
              <w:left w:val="single" w:sz="4" w:space="0" w:color="231F20"/>
              <w:bottom w:val="single" w:sz="4" w:space="0" w:color="231F20"/>
              <w:right w:val="single" w:sz="4" w:space="0" w:color="231F20"/>
            </w:tcBorders>
          </w:tcPr>
          <w:p w14:paraId="64D6C516"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2112" w:type="pct"/>
            <w:tcBorders>
              <w:top w:val="single" w:sz="4" w:space="0" w:color="231F20"/>
              <w:left w:val="single" w:sz="4" w:space="0" w:color="231F20"/>
              <w:bottom w:val="single" w:sz="4" w:space="0" w:color="231F20"/>
              <w:right w:val="single" w:sz="4" w:space="0" w:color="231F20"/>
            </w:tcBorders>
          </w:tcPr>
          <w:p w14:paraId="1E53C73E"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2D1B61" w:rsidRPr="008D627B" w14:paraId="3461E0B5"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5BB1F12A"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20.A</w:t>
            </w:r>
          </w:p>
        </w:tc>
        <w:tc>
          <w:tcPr>
            <w:tcW w:w="1397" w:type="pct"/>
            <w:tcBorders>
              <w:top w:val="single" w:sz="4" w:space="0" w:color="231F20"/>
              <w:left w:val="single" w:sz="4" w:space="0" w:color="231F20"/>
              <w:bottom w:val="single" w:sz="4" w:space="0" w:color="231F20"/>
              <w:right w:val="single" w:sz="4" w:space="0" w:color="231F20"/>
            </w:tcBorders>
          </w:tcPr>
          <w:p w14:paraId="547DD22A"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79F48366"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“Ilgtermiņa līdzdalība asociētajos uzņēmumos un kopuzņēmumos” (</w:t>
            </w:r>
            <w:r>
              <w:rPr>
                <w:rFonts w:ascii="Times New Roman" w:hAnsi="Times New Roman"/>
                <w:i/>
                <w:iCs/>
                <w:color w:val="231F20"/>
                <w:sz w:val="24"/>
              </w:rPr>
              <w:t>IPSAS</w:t>
            </w:r>
            <w:r>
              <w:rPr>
                <w:rFonts w:ascii="Times New Roman" w:hAnsi="Times New Roman"/>
                <w:color w:val="231F20"/>
                <w:sz w:val="24"/>
              </w:rPr>
              <w:t> 36 grozījumi) un “Priekšapmaksas iezīmes ar negatīvu kompensāciju” (</w:t>
            </w:r>
            <w:r>
              <w:rPr>
                <w:rFonts w:ascii="Times New Roman" w:hAnsi="Times New Roman"/>
                <w:i/>
                <w:iCs/>
                <w:color w:val="231F20"/>
                <w:sz w:val="24"/>
              </w:rPr>
              <w:t>IPSAS</w:t>
            </w:r>
            <w:r>
              <w:rPr>
                <w:rFonts w:ascii="Times New Roman" w:hAnsi="Times New Roman"/>
                <w:color w:val="231F20"/>
                <w:sz w:val="24"/>
              </w:rPr>
              <w:t> 41 grozījumi), 2019. gada janvāris</w:t>
            </w:r>
          </w:p>
        </w:tc>
      </w:tr>
      <w:tr w:rsidR="002D1B61" w:rsidRPr="008D627B" w14:paraId="4589C3CD"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4A9EBE83"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24.</w:t>
            </w:r>
          </w:p>
        </w:tc>
        <w:tc>
          <w:tcPr>
            <w:tcW w:w="1397" w:type="pct"/>
            <w:tcBorders>
              <w:top w:val="single" w:sz="4" w:space="0" w:color="231F20"/>
              <w:left w:val="single" w:sz="4" w:space="0" w:color="231F20"/>
              <w:bottom w:val="single" w:sz="4" w:space="0" w:color="231F20"/>
              <w:right w:val="single" w:sz="4" w:space="0" w:color="231F20"/>
            </w:tcBorders>
          </w:tcPr>
          <w:p w14:paraId="46FF8DA4"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2112" w:type="pct"/>
            <w:tcBorders>
              <w:top w:val="single" w:sz="4" w:space="0" w:color="231F20"/>
              <w:left w:val="single" w:sz="4" w:space="0" w:color="231F20"/>
              <w:bottom w:val="single" w:sz="4" w:space="0" w:color="231F20"/>
              <w:right w:val="single" w:sz="4" w:space="0" w:color="231F20"/>
            </w:tcBorders>
          </w:tcPr>
          <w:p w14:paraId="54E9B58D"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p w14:paraId="24E6CE6C"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uzlabojumi”, 2018. gada oktobris</w:t>
            </w:r>
          </w:p>
        </w:tc>
      </w:tr>
      <w:tr w:rsidR="002D1B61" w:rsidRPr="008D627B" w14:paraId="25D1D7E6"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51295CA6"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25.</w:t>
            </w:r>
          </w:p>
        </w:tc>
        <w:tc>
          <w:tcPr>
            <w:tcW w:w="1397" w:type="pct"/>
            <w:tcBorders>
              <w:top w:val="single" w:sz="4" w:space="0" w:color="231F20"/>
              <w:left w:val="single" w:sz="4" w:space="0" w:color="231F20"/>
              <w:bottom w:val="single" w:sz="4" w:space="0" w:color="231F20"/>
              <w:right w:val="single" w:sz="4" w:space="0" w:color="231F20"/>
            </w:tcBorders>
          </w:tcPr>
          <w:p w14:paraId="3AD42997"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2112" w:type="pct"/>
            <w:tcBorders>
              <w:top w:val="single" w:sz="4" w:space="0" w:color="231F20"/>
              <w:left w:val="single" w:sz="4" w:space="0" w:color="231F20"/>
              <w:bottom w:val="single" w:sz="4" w:space="0" w:color="231F20"/>
              <w:right w:val="single" w:sz="4" w:space="0" w:color="231F20"/>
            </w:tcBorders>
          </w:tcPr>
          <w:p w14:paraId="784C6529"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2D1B61" w:rsidRPr="008D627B" w14:paraId="049B8E10"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7E544BB9"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26.</w:t>
            </w:r>
          </w:p>
        </w:tc>
        <w:tc>
          <w:tcPr>
            <w:tcW w:w="1397" w:type="pct"/>
            <w:tcBorders>
              <w:top w:val="single" w:sz="4" w:space="0" w:color="231F20"/>
              <w:left w:val="single" w:sz="4" w:space="0" w:color="231F20"/>
              <w:bottom w:val="single" w:sz="4" w:space="0" w:color="231F20"/>
              <w:right w:val="single" w:sz="4" w:space="0" w:color="231F20"/>
            </w:tcBorders>
          </w:tcPr>
          <w:p w14:paraId="02E9E8C1"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2112" w:type="pct"/>
            <w:tcBorders>
              <w:top w:val="single" w:sz="4" w:space="0" w:color="231F20"/>
              <w:left w:val="single" w:sz="4" w:space="0" w:color="231F20"/>
              <w:bottom w:val="single" w:sz="4" w:space="0" w:color="231F20"/>
              <w:right w:val="single" w:sz="4" w:space="0" w:color="231F20"/>
            </w:tcBorders>
          </w:tcPr>
          <w:p w14:paraId="6292E0FE"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p w14:paraId="37CE68E9"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2D1B61" w:rsidRPr="008D627B" w14:paraId="71898EAE"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5EA5A000"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31.</w:t>
            </w:r>
          </w:p>
        </w:tc>
        <w:tc>
          <w:tcPr>
            <w:tcW w:w="1397" w:type="pct"/>
            <w:tcBorders>
              <w:top w:val="single" w:sz="4" w:space="0" w:color="231F20"/>
              <w:left w:val="single" w:sz="4" w:space="0" w:color="231F20"/>
              <w:bottom w:val="single" w:sz="4" w:space="0" w:color="231F20"/>
              <w:right w:val="single" w:sz="4" w:space="0" w:color="231F20"/>
            </w:tcBorders>
          </w:tcPr>
          <w:p w14:paraId="12F815F1"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2112" w:type="pct"/>
            <w:tcBorders>
              <w:top w:val="single" w:sz="4" w:space="0" w:color="231F20"/>
              <w:left w:val="single" w:sz="4" w:space="0" w:color="231F20"/>
              <w:bottom w:val="single" w:sz="4" w:space="0" w:color="231F20"/>
              <w:right w:val="single" w:sz="4" w:space="0" w:color="231F20"/>
            </w:tcBorders>
          </w:tcPr>
          <w:p w14:paraId="526E6E48"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2D1B61" w:rsidRPr="008D627B" w14:paraId="5B68020D"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453390D6"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33.</w:t>
            </w:r>
          </w:p>
        </w:tc>
        <w:tc>
          <w:tcPr>
            <w:tcW w:w="1397" w:type="pct"/>
            <w:tcBorders>
              <w:top w:val="single" w:sz="4" w:space="0" w:color="231F20"/>
              <w:left w:val="single" w:sz="4" w:space="0" w:color="231F20"/>
              <w:bottom w:val="single" w:sz="4" w:space="0" w:color="231F20"/>
              <w:right w:val="single" w:sz="4" w:space="0" w:color="231F20"/>
            </w:tcBorders>
          </w:tcPr>
          <w:p w14:paraId="664843AC"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2112" w:type="pct"/>
            <w:tcBorders>
              <w:top w:val="single" w:sz="4" w:space="0" w:color="231F20"/>
              <w:left w:val="single" w:sz="4" w:space="0" w:color="231F20"/>
              <w:bottom w:val="single" w:sz="4" w:space="0" w:color="231F20"/>
              <w:right w:val="single" w:sz="4" w:space="0" w:color="231F20"/>
            </w:tcBorders>
          </w:tcPr>
          <w:p w14:paraId="7D5906D5"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2D1B61" w:rsidRPr="008D627B" w14:paraId="79C04AAD"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4023A37C"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34.A</w:t>
            </w:r>
          </w:p>
        </w:tc>
        <w:tc>
          <w:tcPr>
            <w:tcW w:w="1397" w:type="pct"/>
            <w:tcBorders>
              <w:top w:val="single" w:sz="4" w:space="0" w:color="231F20"/>
              <w:left w:val="single" w:sz="4" w:space="0" w:color="231F20"/>
              <w:bottom w:val="single" w:sz="4" w:space="0" w:color="231F20"/>
              <w:right w:val="single" w:sz="4" w:space="0" w:color="231F20"/>
            </w:tcBorders>
          </w:tcPr>
          <w:p w14:paraId="3243A211"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67AD2DBB"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2D1B61" w:rsidRPr="008D627B" w14:paraId="0749CD6E"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60FDD6B1"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34.B</w:t>
            </w:r>
          </w:p>
        </w:tc>
        <w:tc>
          <w:tcPr>
            <w:tcW w:w="1397" w:type="pct"/>
            <w:tcBorders>
              <w:top w:val="single" w:sz="4" w:space="0" w:color="231F20"/>
              <w:left w:val="single" w:sz="4" w:space="0" w:color="231F20"/>
              <w:bottom w:val="single" w:sz="4" w:space="0" w:color="231F20"/>
              <w:right w:val="single" w:sz="4" w:space="0" w:color="231F20"/>
            </w:tcBorders>
          </w:tcPr>
          <w:p w14:paraId="05222A48"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0ABCC7CE"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2D1B61" w:rsidRPr="008D627B" w14:paraId="207AD2C9"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355AB327"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43.</w:t>
            </w:r>
          </w:p>
        </w:tc>
        <w:tc>
          <w:tcPr>
            <w:tcW w:w="1397" w:type="pct"/>
            <w:tcBorders>
              <w:top w:val="single" w:sz="4" w:space="0" w:color="231F20"/>
              <w:left w:val="single" w:sz="4" w:space="0" w:color="231F20"/>
              <w:bottom w:val="single" w:sz="4" w:space="0" w:color="231F20"/>
              <w:right w:val="single" w:sz="4" w:space="0" w:color="231F20"/>
            </w:tcBorders>
          </w:tcPr>
          <w:p w14:paraId="7397AFDD"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2112" w:type="pct"/>
            <w:tcBorders>
              <w:top w:val="single" w:sz="4" w:space="0" w:color="231F20"/>
              <w:left w:val="single" w:sz="4" w:space="0" w:color="231F20"/>
              <w:bottom w:val="single" w:sz="4" w:space="0" w:color="231F20"/>
              <w:right w:val="single" w:sz="4" w:space="0" w:color="231F20"/>
            </w:tcBorders>
          </w:tcPr>
          <w:p w14:paraId="1D42A32E"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2D1B61" w:rsidRPr="008D627B" w14:paraId="4A1C2699"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22F52FE7"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lastRenderedPageBreak/>
              <w:t>44.</w:t>
            </w:r>
          </w:p>
        </w:tc>
        <w:tc>
          <w:tcPr>
            <w:tcW w:w="1397" w:type="pct"/>
            <w:tcBorders>
              <w:top w:val="single" w:sz="4" w:space="0" w:color="231F20"/>
              <w:left w:val="single" w:sz="4" w:space="0" w:color="231F20"/>
              <w:bottom w:val="single" w:sz="4" w:space="0" w:color="231F20"/>
              <w:right w:val="single" w:sz="4" w:space="0" w:color="231F20"/>
            </w:tcBorders>
          </w:tcPr>
          <w:p w14:paraId="333B8450"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2112" w:type="pct"/>
            <w:tcBorders>
              <w:top w:val="single" w:sz="4" w:space="0" w:color="231F20"/>
              <w:left w:val="single" w:sz="4" w:space="0" w:color="231F20"/>
              <w:bottom w:val="single" w:sz="4" w:space="0" w:color="231F20"/>
              <w:right w:val="single" w:sz="4" w:space="0" w:color="231F20"/>
            </w:tcBorders>
          </w:tcPr>
          <w:p w14:paraId="0D4FD146"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“Ilgtermiņa līdzdalība asociētajos uzņēmumos un kopuzņēmumos” (</w:t>
            </w:r>
            <w:r>
              <w:rPr>
                <w:rFonts w:ascii="Times New Roman" w:hAnsi="Times New Roman"/>
                <w:i/>
                <w:iCs/>
                <w:color w:val="231F20"/>
                <w:sz w:val="24"/>
              </w:rPr>
              <w:t>IPSAS</w:t>
            </w:r>
            <w:r>
              <w:rPr>
                <w:rFonts w:ascii="Times New Roman" w:hAnsi="Times New Roman"/>
                <w:color w:val="231F20"/>
                <w:sz w:val="24"/>
              </w:rPr>
              <w:t> 36 grozījumi) un “Priekšapmaksas iezīmes ar negatīvu kompensāciju” (</w:t>
            </w:r>
            <w:r>
              <w:rPr>
                <w:rFonts w:ascii="Times New Roman" w:hAnsi="Times New Roman"/>
                <w:i/>
                <w:iCs/>
                <w:color w:val="231F20"/>
                <w:sz w:val="24"/>
              </w:rPr>
              <w:t>IPSAS</w:t>
            </w:r>
            <w:r>
              <w:rPr>
                <w:rFonts w:ascii="Times New Roman" w:hAnsi="Times New Roman"/>
                <w:color w:val="231F20"/>
                <w:sz w:val="24"/>
              </w:rPr>
              <w:t> 41 grozījumi), 2019. gada janvāris</w:t>
            </w:r>
          </w:p>
        </w:tc>
      </w:tr>
      <w:tr w:rsidR="002D1B61" w:rsidRPr="008D627B" w14:paraId="6332A7E8"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35018FF4"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44.A</w:t>
            </w:r>
          </w:p>
        </w:tc>
        <w:tc>
          <w:tcPr>
            <w:tcW w:w="1397" w:type="pct"/>
            <w:tcBorders>
              <w:top w:val="single" w:sz="4" w:space="0" w:color="231F20"/>
              <w:left w:val="single" w:sz="4" w:space="0" w:color="231F20"/>
              <w:bottom w:val="single" w:sz="4" w:space="0" w:color="231F20"/>
              <w:right w:val="single" w:sz="4" w:space="0" w:color="231F20"/>
            </w:tcBorders>
          </w:tcPr>
          <w:p w14:paraId="17FC4B5A"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44E368A7"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2D1B61" w:rsidRPr="008D627B" w14:paraId="4AB573E1"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296055EF"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44.B</w:t>
            </w:r>
          </w:p>
        </w:tc>
        <w:tc>
          <w:tcPr>
            <w:tcW w:w="1397" w:type="pct"/>
            <w:tcBorders>
              <w:top w:val="single" w:sz="4" w:space="0" w:color="231F20"/>
              <w:left w:val="single" w:sz="4" w:space="0" w:color="231F20"/>
              <w:bottom w:val="single" w:sz="4" w:space="0" w:color="231F20"/>
              <w:right w:val="single" w:sz="4" w:space="0" w:color="231F20"/>
            </w:tcBorders>
          </w:tcPr>
          <w:p w14:paraId="6FCD85D1"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3A939485"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2D1B61" w:rsidRPr="008D627B" w14:paraId="1F5F3FCD"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2E2B561B"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44.C</w:t>
            </w:r>
          </w:p>
        </w:tc>
        <w:tc>
          <w:tcPr>
            <w:tcW w:w="1397" w:type="pct"/>
            <w:tcBorders>
              <w:top w:val="single" w:sz="4" w:space="0" w:color="231F20"/>
              <w:left w:val="single" w:sz="4" w:space="0" w:color="231F20"/>
              <w:bottom w:val="single" w:sz="4" w:space="0" w:color="231F20"/>
              <w:right w:val="single" w:sz="4" w:space="0" w:color="231F20"/>
            </w:tcBorders>
          </w:tcPr>
          <w:p w14:paraId="4F931BB4"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599AB6AF"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2D1B61" w:rsidRPr="008D627B" w14:paraId="54CED315"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241F685A"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45.</w:t>
            </w:r>
          </w:p>
        </w:tc>
        <w:tc>
          <w:tcPr>
            <w:tcW w:w="1397" w:type="pct"/>
            <w:tcBorders>
              <w:top w:val="single" w:sz="4" w:space="0" w:color="231F20"/>
              <w:left w:val="single" w:sz="4" w:space="0" w:color="231F20"/>
              <w:bottom w:val="single" w:sz="4" w:space="0" w:color="231F20"/>
              <w:right w:val="single" w:sz="4" w:space="0" w:color="231F20"/>
            </w:tcBorders>
          </w:tcPr>
          <w:p w14:paraId="63F3061B"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2112" w:type="pct"/>
            <w:tcBorders>
              <w:top w:val="single" w:sz="4" w:space="0" w:color="231F20"/>
              <w:left w:val="single" w:sz="4" w:space="0" w:color="231F20"/>
              <w:bottom w:val="single" w:sz="4" w:space="0" w:color="231F20"/>
              <w:right w:val="single" w:sz="4" w:space="0" w:color="231F20"/>
            </w:tcBorders>
          </w:tcPr>
          <w:p w14:paraId="7D3E2999"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2D1B61" w:rsidRPr="008D627B" w14:paraId="476CF179"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1D84BA40"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51.A</w:t>
            </w:r>
          </w:p>
        </w:tc>
        <w:tc>
          <w:tcPr>
            <w:tcW w:w="1397" w:type="pct"/>
            <w:tcBorders>
              <w:top w:val="single" w:sz="4" w:space="0" w:color="231F20"/>
              <w:left w:val="single" w:sz="4" w:space="0" w:color="231F20"/>
              <w:bottom w:val="single" w:sz="4" w:space="0" w:color="231F20"/>
              <w:right w:val="single" w:sz="4" w:space="0" w:color="231F20"/>
            </w:tcBorders>
          </w:tcPr>
          <w:p w14:paraId="07E9F921"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36070C3B"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2D1B61" w:rsidRPr="008D627B" w14:paraId="115B30F4"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39789815"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51.B</w:t>
            </w:r>
          </w:p>
        </w:tc>
        <w:tc>
          <w:tcPr>
            <w:tcW w:w="1397" w:type="pct"/>
            <w:tcBorders>
              <w:top w:val="single" w:sz="4" w:space="0" w:color="231F20"/>
              <w:left w:val="single" w:sz="4" w:space="0" w:color="231F20"/>
              <w:bottom w:val="single" w:sz="4" w:space="0" w:color="231F20"/>
              <w:right w:val="single" w:sz="4" w:space="0" w:color="231F20"/>
            </w:tcBorders>
          </w:tcPr>
          <w:p w14:paraId="626F3166"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5EC6F2BD"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2D1B61" w:rsidRPr="008D627B" w14:paraId="258DE632"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7271B084"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51.C</w:t>
            </w:r>
          </w:p>
        </w:tc>
        <w:tc>
          <w:tcPr>
            <w:tcW w:w="1397" w:type="pct"/>
            <w:tcBorders>
              <w:top w:val="single" w:sz="4" w:space="0" w:color="231F20"/>
              <w:left w:val="single" w:sz="4" w:space="0" w:color="231F20"/>
              <w:bottom w:val="single" w:sz="4" w:space="0" w:color="231F20"/>
              <w:right w:val="single" w:sz="4" w:space="0" w:color="231F20"/>
            </w:tcBorders>
          </w:tcPr>
          <w:p w14:paraId="0E8DBAC8"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6E4343D3"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2D1B61" w:rsidRPr="008D627B" w14:paraId="354DEFC7"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4FC4DF69"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51.D</w:t>
            </w:r>
          </w:p>
        </w:tc>
        <w:tc>
          <w:tcPr>
            <w:tcW w:w="1397" w:type="pct"/>
            <w:tcBorders>
              <w:top w:val="single" w:sz="4" w:space="0" w:color="231F20"/>
              <w:left w:val="single" w:sz="4" w:space="0" w:color="231F20"/>
              <w:bottom w:val="single" w:sz="4" w:space="0" w:color="231F20"/>
              <w:right w:val="single" w:sz="4" w:space="0" w:color="231F20"/>
            </w:tcBorders>
          </w:tcPr>
          <w:p w14:paraId="4EBB916A"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0CC67A49"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2D1B61" w:rsidRPr="008D627B" w14:paraId="042DE943"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09F4740C"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51.E</w:t>
            </w:r>
          </w:p>
        </w:tc>
        <w:tc>
          <w:tcPr>
            <w:tcW w:w="1397" w:type="pct"/>
            <w:tcBorders>
              <w:top w:val="single" w:sz="4" w:space="0" w:color="231F20"/>
              <w:left w:val="single" w:sz="4" w:space="0" w:color="231F20"/>
              <w:bottom w:val="single" w:sz="4" w:space="0" w:color="231F20"/>
              <w:right w:val="single" w:sz="4" w:space="0" w:color="231F20"/>
            </w:tcBorders>
          </w:tcPr>
          <w:p w14:paraId="0214A02B"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6C5140C0"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uzlabojumi”, 2018. gada oktobris</w:t>
            </w:r>
          </w:p>
        </w:tc>
      </w:tr>
      <w:tr w:rsidR="002D1B61" w:rsidRPr="008D627B" w14:paraId="4BDC7A8A"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25DEF2F8"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51.F</w:t>
            </w:r>
          </w:p>
        </w:tc>
        <w:tc>
          <w:tcPr>
            <w:tcW w:w="1397" w:type="pct"/>
            <w:tcBorders>
              <w:top w:val="single" w:sz="4" w:space="0" w:color="231F20"/>
              <w:left w:val="single" w:sz="4" w:space="0" w:color="231F20"/>
              <w:bottom w:val="single" w:sz="4" w:space="0" w:color="231F20"/>
              <w:right w:val="single" w:sz="4" w:space="0" w:color="231F20"/>
            </w:tcBorders>
          </w:tcPr>
          <w:p w14:paraId="751BC8EA"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45F7BB62"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“Ilgtermiņa līdzdalība asociētajos uzņēmumos un kopuzņēmumos” (</w:t>
            </w:r>
            <w:r>
              <w:rPr>
                <w:rFonts w:ascii="Times New Roman" w:hAnsi="Times New Roman"/>
                <w:i/>
                <w:iCs/>
                <w:color w:val="231F20"/>
                <w:sz w:val="24"/>
              </w:rPr>
              <w:t>IPSAS</w:t>
            </w:r>
            <w:r>
              <w:rPr>
                <w:rFonts w:ascii="Times New Roman" w:hAnsi="Times New Roman"/>
                <w:color w:val="231F20"/>
                <w:sz w:val="24"/>
              </w:rPr>
              <w:t> 36 grozījumi) un “Priekšapmaksas iezīmes ar negatīvu kompensāciju” (</w:t>
            </w:r>
            <w:r>
              <w:rPr>
                <w:rFonts w:ascii="Times New Roman" w:hAnsi="Times New Roman"/>
                <w:i/>
                <w:iCs/>
                <w:color w:val="231F20"/>
                <w:sz w:val="24"/>
              </w:rPr>
              <w:t>IPSAS</w:t>
            </w:r>
            <w:r>
              <w:rPr>
                <w:rFonts w:ascii="Times New Roman" w:hAnsi="Times New Roman"/>
                <w:color w:val="231F20"/>
                <w:sz w:val="24"/>
              </w:rPr>
              <w:t> 41 grozījumi), 2019. gada janvāris</w:t>
            </w:r>
          </w:p>
        </w:tc>
      </w:tr>
      <w:tr w:rsidR="002D1B61" w:rsidRPr="008D627B" w14:paraId="5BFFA848"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6455D519"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51.G</w:t>
            </w:r>
          </w:p>
        </w:tc>
        <w:tc>
          <w:tcPr>
            <w:tcW w:w="1397" w:type="pct"/>
            <w:tcBorders>
              <w:top w:val="single" w:sz="4" w:space="0" w:color="231F20"/>
              <w:left w:val="single" w:sz="4" w:space="0" w:color="231F20"/>
              <w:bottom w:val="single" w:sz="4" w:space="0" w:color="231F20"/>
              <w:right w:val="single" w:sz="4" w:space="0" w:color="231F20"/>
            </w:tcBorders>
          </w:tcPr>
          <w:p w14:paraId="4BDD1F89"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7D0FA37B"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“Ilgtermiņa līdzdalība asociētajos uzņēmumos un kopuzņēmumos” (</w:t>
            </w:r>
            <w:r>
              <w:rPr>
                <w:rFonts w:ascii="Times New Roman" w:hAnsi="Times New Roman"/>
                <w:i/>
                <w:iCs/>
                <w:color w:val="231F20"/>
                <w:sz w:val="24"/>
              </w:rPr>
              <w:t>IPSAS</w:t>
            </w:r>
            <w:r>
              <w:rPr>
                <w:rFonts w:ascii="Times New Roman" w:hAnsi="Times New Roman"/>
                <w:color w:val="231F20"/>
                <w:sz w:val="24"/>
              </w:rPr>
              <w:t> 36 grozījumi) un “Priekšapmaksas iezīmes ar negatīvu kompensāciju” (</w:t>
            </w:r>
            <w:r>
              <w:rPr>
                <w:rFonts w:ascii="Times New Roman" w:hAnsi="Times New Roman"/>
                <w:i/>
                <w:iCs/>
                <w:color w:val="231F20"/>
                <w:sz w:val="24"/>
              </w:rPr>
              <w:t>IPSAS</w:t>
            </w:r>
            <w:r>
              <w:rPr>
                <w:rFonts w:ascii="Times New Roman" w:hAnsi="Times New Roman"/>
                <w:color w:val="231F20"/>
                <w:sz w:val="24"/>
              </w:rPr>
              <w:t> 41 grozījumi), 2019. gada janvāris</w:t>
            </w:r>
          </w:p>
        </w:tc>
      </w:tr>
      <w:tr w:rsidR="002D1B61" w:rsidRPr="008D627B" w14:paraId="65160DC6"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79E7C312"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51.H</w:t>
            </w:r>
          </w:p>
        </w:tc>
        <w:tc>
          <w:tcPr>
            <w:tcW w:w="1397" w:type="pct"/>
            <w:tcBorders>
              <w:top w:val="single" w:sz="4" w:space="0" w:color="231F20"/>
              <w:left w:val="single" w:sz="4" w:space="0" w:color="231F20"/>
              <w:bottom w:val="single" w:sz="4" w:space="0" w:color="231F20"/>
              <w:right w:val="single" w:sz="4" w:space="0" w:color="231F20"/>
            </w:tcBorders>
          </w:tcPr>
          <w:p w14:paraId="4B337F7A"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11AE4191"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“Ilgtermiņa līdzdalība asociētajos uzņēmumos un kopuzņēmumos” (</w:t>
            </w:r>
            <w:r>
              <w:rPr>
                <w:rFonts w:ascii="Times New Roman" w:hAnsi="Times New Roman"/>
                <w:i/>
                <w:iCs/>
                <w:color w:val="231F20"/>
                <w:sz w:val="24"/>
              </w:rPr>
              <w:t>IPSAS</w:t>
            </w:r>
            <w:r>
              <w:rPr>
                <w:rFonts w:ascii="Times New Roman" w:hAnsi="Times New Roman"/>
                <w:color w:val="231F20"/>
                <w:sz w:val="24"/>
              </w:rPr>
              <w:t> 36 grozījumi) un “Priekšapmaksas iezīmes ar negatīvu kompensāciju” (</w:t>
            </w:r>
            <w:r>
              <w:rPr>
                <w:rFonts w:ascii="Times New Roman" w:hAnsi="Times New Roman"/>
                <w:i/>
                <w:iCs/>
                <w:color w:val="231F20"/>
                <w:sz w:val="24"/>
              </w:rPr>
              <w:t>IPSAS</w:t>
            </w:r>
            <w:r>
              <w:rPr>
                <w:rFonts w:ascii="Times New Roman" w:hAnsi="Times New Roman"/>
                <w:color w:val="231F20"/>
                <w:sz w:val="24"/>
              </w:rPr>
              <w:t> 41 grozījumi), 2019. gada janvāris</w:t>
            </w:r>
          </w:p>
        </w:tc>
      </w:tr>
      <w:tr w:rsidR="002D1B61" w:rsidRPr="008D627B" w14:paraId="0E2D8C75"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1A1B4451"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51.I</w:t>
            </w:r>
          </w:p>
        </w:tc>
        <w:tc>
          <w:tcPr>
            <w:tcW w:w="1397" w:type="pct"/>
            <w:tcBorders>
              <w:top w:val="single" w:sz="4" w:space="0" w:color="231F20"/>
              <w:left w:val="single" w:sz="4" w:space="0" w:color="231F20"/>
              <w:bottom w:val="single" w:sz="4" w:space="0" w:color="231F20"/>
              <w:right w:val="single" w:sz="4" w:space="0" w:color="231F20"/>
            </w:tcBorders>
          </w:tcPr>
          <w:p w14:paraId="231893AC"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00E5E276"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“Ilgtermiņa līdzdalība asociētajos uzņēmumos un kopuzņēmumos” (</w:t>
            </w:r>
            <w:r>
              <w:rPr>
                <w:rFonts w:ascii="Times New Roman" w:hAnsi="Times New Roman"/>
                <w:i/>
                <w:iCs/>
                <w:color w:val="231F20"/>
                <w:sz w:val="24"/>
              </w:rPr>
              <w:t>IPSAS</w:t>
            </w:r>
            <w:r>
              <w:rPr>
                <w:rFonts w:ascii="Times New Roman" w:hAnsi="Times New Roman"/>
                <w:color w:val="231F20"/>
                <w:sz w:val="24"/>
              </w:rPr>
              <w:t> 36 grozījumi) un “Priekšapmaksas iezīmes ar negatīvu kompensāciju” (</w:t>
            </w:r>
            <w:r>
              <w:rPr>
                <w:rFonts w:ascii="Times New Roman" w:hAnsi="Times New Roman"/>
                <w:i/>
                <w:iCs/>
                <w:color w:val="231F20"/>
                <w:sz w:val="24"/>
              </w:rPr>
              <w:t>IPSAS</w:t>
            </w:r>
            <w:r>
              <w:rPr>
                <w:rFonts w:ascii="Times New Roman" w:hAnsi="Times New Roman"/>
                <w:color w:val="231F20"/>
                <w:sz w:val="24"/>
              </w:rPr>
              <w:t> 41 grozījumi), 2019. gada janvāris</w:t>
            </w:r>
          </w:p>
        </w:tc>
      </w:tr>
      <w:tr w:rsidR="002D1B61" w:rsidRPr="008D627B" w14:paraId="27CB9918" w14:textId="77777777" w:rsidTr="00551766">
        <w:trPr>
          <w:jc w:val="center"/>
        </w:trPr>
        <w:tc>
          <w:tcPr>
            <w:tcW w:w="1491" w:type="pct"/>
            <w:tcBorders>
              <w:top w:val="single" w:sz="4" w:space="0" w:color="231F20"/>
              <w:left w:val="single" w:sz="4" w:space="0" w:color="231F20"/>
              <w:bottom w:val="single" w:sz="4" w:space="0" w:color="231F20"/>
              <w:right w:val="single" w:sz="4" w:space="0" w:color="231F20"/>
            </w:tcBorders>
          </w:tcPr>
          <w:p w14:paraId="047211D7"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Ilustratīvs piemērs</w:t>
            </w:r>
          </w:p>
        </w:tc>
        <w:tc>
          <w:tcPr>
            <w:tcW w:w="1397" w:type="pct"/>
            <w:tcBorders>
              <w:top w:val="single" w:sz="4" w:space="0" w:color="231F20"/>
              <w:left w:val="single" w:sz="4" w:space="0" w:color="231F20"/>
              <w:bottom w:val="single" w:sz="4" w:space="0" w:color="231F20"/>
              <w:right w:val="single" w:sz="4" w:space="0" w:color="231F20"/>
            </w:tcBorders>
          </w:tcPr>
          <w:p w14:paraId="27231FF7"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2112" w:type="pct"/>
            <w:tcBorders>
              <w:top w:val="single" w:sz="4" w:space="0" w:color="231F20"/>
              <w:left w:val="single" w:sz="4" w:space="0" w:color="231F20"/>
              <w:bottom w:val="single" w:sz="4" w:space="0" w:color="231F20"/>
              <w:right w:val="single" w:sz="4" w:space="0" w:color="231F20"/>
            </w:tcBorders>
          </w:tcPr>
          <w:p w14:paraId="098E0111" w14:textId="77777777" w:rsidR="00904506" w:rsidRPr="008D627B" w:rsidRDefault="00904506" w:rsidP="002D1B61">
            <w:pPr>
              <w:pStyle w:val="TableParagraph"/>
              <w:jc w:val="center"/>
              <w:rPr>
                <w:rFonts w:ascii="Times New Roman" w:hAnsi="Times New Roman"/>
                <w:noProof/>
                <w:color w:val="231F20"/>
                <w:sz w:val="24"/>
              </w:rPr>
            </w:pPr>
            <w:r>
              <w:rPr>
                <w:rFonts w:ascii="Times New Roman" w:hAnsi="Times New Roman"/>
                <w:color w:val="231F20"/>
                <w:sz w:val="24"/>
              </w:rPr>
              <w:t>“Ilgtermiņa līdzdalība asociētajos uzņēmumos un kopuzņēmumos” (</w:t>
            </w:r>
            <w:r>
              <w:rPr>
                <w:rFonts w:ascii="Times New Roman" w:hAnsi="Times New Roman"/>
                <w:i/>
                <w:iCs/>
                <w:color w:val="231F20"/>
                <w:sz w:val="24"/>
              </w:rPr>
              <w:t>IPSAS</w:t>
            </w:r>
            <w:r>
              <w:rPr>
                <w:rFonts w:ascii="Times New Roman" w:hAnsi="Times New Roman"/>
                <w:color w:val="231F20"/>
                <w:sz w:val="24"/>
              </w:rPr>
              <w:t> 36 grozījumi) un “Priekšapmaksas iezīmes ar negatīvu kompensāciju” (</w:t>
            </w:r>
            <w:r>
              <w:rPr>
                <w:rFonts w:ascii="Times New Roman" w:hAnsi="Times New Roman"/>
                <w:i/>
                <w:iCs/>
                <w:color w:val="231F20"/>
                <w:sz w:val="24"/>
              </w:rPr>
              <w:t>IPSAS</w:t>
            </w:r>
            <w:r>
              <w:rPr>
                <w:rFonts w:ascii="Times New Roman" w:hAnsi="Times New Roman"/>
                <w:color w:val="231F20"/>
                <w:sz w:val="24"/>
              </w:rPr>
              <w:t> 41 grozījumi), 2019. gada janvāris</w:t>
            </w:r>
          </w:p>
        </w:tc>
      </w:tr>
    </w:tbl>
    <w:p w14:paraId="48440AF4" w14:textId="77777777" w:rsidR="008D627B" w:rsidRPr="008D627B" w:rsidRDefault="008D627B" w:rsidP="008D627B">
      <w:pPr>
        <w:jc w:val="both"/>
        <w:rPr>
          <w:rFonts w:ascii="Times New Roman" w:eastAsia="Times New Roman" w:hAnsi="Times New Roman" w:cs="Times New Roman"/>
          <w:noProof/>
          <w:sz w:val="24"/>
          <w:szCs w:val="20"/>
        </w:rPr>
      </w:pPr>
    </w:p>
    <w:p w14:paraId="14E23131" w14:textId="77777777" w:rsidR="00904506" w:rsidRPr="008D627B" w:rsidRDefault="00904506" w:rsidP="002D1B61">
      <w:pPr>
        <w:jc w:val="right"/>
        <w:rPr>
          <w:rFonts w:ascii="Times New Roman" w:hAnsi="Times New Roman"/>
          <w:b/>
          <w:noProof/>
          <w:color w:val="231F20"/>
          <w:sz w:val="24"/>
        </w:rPr>
      </w:pPr>
      <w:r>
        <w:rPr>
          <w:rFonts w:ascii="Times New Roman" w:hAnsi="Times New Roman"/>
          <w:b/>
          <w:color w:val="231F20"/>
          <w:sz w:val="24"/>
        </w:rPr>
        <w:t>2015. gada janvāris</w:t>
      </w:r>
    </w:p>
    <w:p w14:paraId="4485E131" w14:textId="77777777" w:rsidR="00904506" w:rsidRPr="008D627B" w:rsidRDefault="00904506" w:rsidP="008D627B">
      <w:pPr>
        <w:jc w:val="both"/>
        <w:rPr>
          <w:rFonts w:ascii="Times New Roman" w:eastAsia="Times New Roman" w:hAnsi="Times New Roman" w:cs="Times New Roman"/>
          <w:b/>
          <w:bCs/>
          <w:noProof/>
          <w:sz w:val="24"/>
          <w:szCs w:val="21"/>
        </w:rPr>
      </w:pPr>
    </w:p>
    <w:p w14:paraId="5F1CFE13" w14:textId="2F56A4FC" w:rsidR="00904506" w:rsidRDefault="00904506" w:rsidP="002D1B61">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36 “IEGULDĪJUMI ASOCIĒTAJOS UZŅĒMUMOS UN KOPUZŅĒMUMOS”</w:t>
      </w:r>
    </w:p>
    <w:p w14:paraId="2A0429D2" w14:textId="7CC521B2" w:rsidR="002D1B61" w:rsidRDefault="002D1B61" w:rsidP="002D1B61">
      <w:pPr>
        <w:jc w:val="center"/>
        <w:rPr>
          <w:rFonts w:ascii="Times New Roman" w:eastAsia="Times New Roman" w:hAnsi="Times New Roman" w:cs="Times New Roman"/>
          <w:b/>
          <w:bCs/>
          <w:noProof/>
          <w:color w:val="231F20"/>
          <w:sz w:val="24"/>
          <w:szCs w:val="24"/>
        </w:rPr>
      </w:pPr>
    </w:p>
    <w:p w14:paraId="31AAA3A6" w14:textId="283D1EEF" w:rsidR="002D1B61" w:rsidRDefault="002D1B61" w:rsidP="002D1B61">
      <w:pPr>
        <w:jc w:val="center"/>
        <w:rPr>
          <w:rFonts w:ascii="Times New Roman" w:eastAsia="Times New Roman" w:hAnsi="Times New Roman" w:cs="Times New Roman"/>
          <w:b/>
          <w:bCs/>
          <w:noProof/>
          <w:color w:val="231F20"/>
          <w:sz w:val="24"/>
          <w:szCs w:val="24"/>
        </w:rPr>
      </w:pPr>
      <w:r>
        <w:rPr>
          <w:rFonts w:ascii="Times New Roman" w:hAnsi="Times New Roman"/>
          <w:b/>
          <w:bCs/>
          <w:color w:val="231F20"/>
          <w:sz w:val="24"/>
          <w:szCs w:val="24"/>
        </w:rPr>
        <w:t>SATURS</w:t>
      </w:r>
    </w:p>
    <w:p w14:paraId="260A7D41" w14:textId="279E6CFF" w:rsidR="002D1B61" w:rsidRDefault="002D1B61" w:rsidP="008D627B">
      <w:pPr>
        <w:jc w:val="both"/>
        <w:rPr>
          <w:rFonts w:ascii="Times New Roman" w:eastAsia="Times New Roman" w:hAnsi="Times New Roman" w:cs="Times New Roman"/>
          <w:noProof/>
          <w:color w:val="231F20"/>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21"/>
        <w:gridCol w:w="283"/>
        <w:gridCol w:w="285"/>
        <w:gridCol w:w="283"/>
        <w:gridCol w:w="142"/>
        <w:gridCol w:w="283"/>
        <w:gridCol w:w="141"/>
        <w:gridCol w:w="285"/>
        <w:gridCol w:w="283"/>
        <w:gridCol w:w="708"/>
        <w:gridCol w:w="142"/>
        <w:gridCol w:w="283"/>
        <w:gridCol w:w="568"/>
        <w:gridCol w:w="708"/>
        <w:gridCol w:w="283"/>
        <w:gridCol w:w="142"/>
        <w:gridCol w:w="1559"/>
        <w:gridCol w:w="568"/>
        <w:gridCol w:w="1161"/>
      </w:tblGrid>
      <w:tr w:rsidR="004347DD" w14:paraId="1F5A0FF4" w14:textId="77777777" w:rsidTr="004347DD">
        <w:tc>
          <w:tcPr>
            <w:tcW w:w="4053" w:type="pct"/>
            <w:gridSpan w:val="17"/>
          </w:tcPr>
          <w:p w14:paraId="5184C509" w14:textId="77777777" w:rsidR="004347DD" w:rsidRDefault="004347DD" w:rsidP="004E3F4C">
            <w:pPr>
              <w:jc w:val="both"/>
              <w:rPr>
                <w:rFonts w:ascii="Times New Roman" w:hAnsi="Times New Roman"/>
                <w:noProof/>
                <w:color w:val="231F20"/>
                <w:sz w:val="24"/>
              </w:rPr>
            </w:pPr>
          </w:p>
        </w:tc>
        <w:tc>
          <w:tcPr>
            <w:tcW w:w="311" w:type="pct"/>
          </w:tcPr>
          <w:p w14:paraId="6D87C35B" w14:textId="77777777" w:rsidR="004347DD" w:rsidRDefault="004347DD" w:rsidP="004E3F4C">
            <w:pPr>
              <w:jc w:val="both"/>
              <w:rPr>
                <w:rFonts w:ascii="Times New Roman" w:hAnsi="Times New Roman"/>
                <w:noProof/>
                <w:color w:val="231F20"/>
                <w:sz w:val="24"/>
              </w:rPr>
            </w:pPr>
          </w:p>
        </w:tc>
        <w:tc>
          <w:tcPr>
            <w:tcW w:w="637" w:type="pct"/>
          </w:tcPr>
          <w:p w14:paraId="0C5E7924"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Punkts</w:t>
            </w:r>
          </w:p>
        </w:tc>
      </w:tr>
      <w:tr w:rsidR="004347DD" w14:paraId="11286D70" w14:textId="77777777" w:rsidTr="004347DD">
        <w:tc>
          <w:tcPr>
            <w:tcW w:w="559" w:type="pct"/>
          </w:tcPr>
          <w:p w14:paraId="5D22CE1E"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Mērķis</w:t>
            </w:r>
          </w:p>
        </w:tc>
        <w:tc>
          <w:tcPr>
            <w:tcW w:w="3804" w:type="pct"/>
            <w:gridSpan w:val="17"/>
            <w:tcBorders>
              <w:bottom w:val="dotted" w:sz="4" w:space="0" w:color="auto"/>
            </w:tcBorders>
          </w:tcPr>
          <w:p w14:paraId="1B4A43DF" w14:textId="77777777" w:rsidR="004347DD" w:rsidRDefault="004347DD" w:rsidP="004E3F4C">
            <w:pPr>
              <w:jc w:val="both"/>
              <w:rPr>
                <w:rFonts w:ascii="Times New Roman" w:hAnsi="Times New Roman"/>
                <w:noProof/>
                <w:color w:val="231F20"/>
                <w:sz w:val="24"/>
              </w:rPr>
            </w:pPr>
          </w:p>
        </w:tc>
        <w:tc>
          <w:tcPr>
            <w:tcW w:w="637" w:type="pct"/>
          </w:tcPr>
          <w:p w14:paraId="0B1A75DE"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1.</w:t>
            </w:r>
          </w:p>
        </w:tc>
      </w:tr>
      <w:tr w:rsidR="004347DD" w14:paraId="1517D443" w14:textId="77777777" w:rsidTr="004347DD">
        <w:tc>
          <w:tcPr>
            <w:tcW w:w="870" w:type="pct"/>
            <w:gridSpan w:val="3"/>
          </w:tcPr>
          <w:p w14:paraId="56FB2678"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Darbības joma</w:t>
            </w:r>
          </w:p>
        </w:tc>
        <w:tc>
          <w:tcPr>
            <w:tcW w:w="3494" w:type="pct"/>
            <w:gridSpan w:val="15"/>
            <w:tcBorders>
              <w:bottom w:val="dotted" w:sz="4" w:space="0" w:color="auto"/>
            </w:tcBorders>
          </w:tcPr>
          <w:p w14:paraId="7BFFC00D" w14:textId="77777777" w:rsidR="004347DD" w:rsidRDefault="004347DD" w:rsidP="004E3F4C">
            <w:pPr>
              <w:jc w:val="both"/>
              <w:rPr>
                <w:rFonts w:ascii="Times New Roman" w:hAnsi="Times New Roman"/>
                <w:noProof/>
                <w:color w:val="231F20"/>
                <w:sz w:val="24"/>
              </w:rPr>
            </w:pPr>
          </w:p>
        </w:tc>
        <w:tc>
          <w:tcPr>
            <w:tcW w:w="637" w:type="pct"/>
          </w:tcPr>
          <w:p w14:paraId="1D77B999"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2.–7.</w:t>
            </w:r>
          </w:p>
        </w:tc>
      </w:tr>
      <w:tr w:rsidR="004347DD" w14:paraId="0235E918" w14:textId="77777777" w:rsidTr="004347DD">
        <w:tc>
          <w:tcPr>
            <w:tcW w:w="714" w:type="pct"/>
            <w:gridSpan w:val="2"/>
          </w:tcPr>
          <w:p w14:paraId="4E36D239"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Definīcijas</w:t>
            </w:r>
          </w:p>
        </w:tc>
        <w:tc>
          <w:tcPr>
            <w:tcW w:w="3649" w:type="pct"/>
            <w:gridSpan w:val="16"/>
            <w:tcBorders>
              <w:bottom w:val="dotted" w:sz="4" w:space="0" w:color="auto"/>
            </w:tcBorders>
          </w:tcPr>
          <w:p w14:paraId="282BC447" w14:textId="77777777" w:rsidR="004347DD" w:rsidRDefault="004347DD" w:rsidP="004E3F4C">
            <w:pPr>
              <w:jc w:val="both"/>
              <w:rPr>
                <w:rFonts w:ascii="Times New Roman" w:hAnsi="Times New Roman"/>
                <w:noProof/>
                <w:color w:val="231F20"/>
                <w:sz w:val="24"/>
              </w:rPr>
            </w:pPr>
          </w:p>
        </w:tc>
        <w:tc>
          <w:tcPr>
            <w:tcW w:w="637" w:type="pct"/>
          </w:tcPr>
          <w:p w14:paraId="32159D07"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8., 9.</w:t>
            </w:r>
          </w:p>
        </w:tc>
      </w:tr>
      <w:tr w:rsidR="004347DD" w14:paraId="4598F902" w14:textId="77777777" w:rsidTr="004347DD">
        <w:tc>
          <w:tcPr>
            <w:tcW w:w="1335" w:type="pct"/>
            <w:gridSpan w:val="7"/>
          </w:tcPr>
          <w:p w14:paraId="693BDF22" w14:textId="77777777" w:rsidR="004347DD" w:rsidRDefault="004347DD" w:rsidP="004E3F4C">
            <w:pPr>
              <w:ind w:left="284"/>
              <w:jc w:val="both"/>
              <w:rPr>
                <w:rFonts w:ascii="Times New Roman" w:hAnsi="Times New Roman"/>
                <w:noProof/>
                <w:color w:val="231F20"/>
                <w:sz w:val="24"/>
              </w:rPr>
            </w:pPr>
            <w:r>
              <w:rPr>
                <w:rFonts w:ascii="Times New Roman" w:hAnsi="Times New Roman"/>
                <w:color w:val="231F20"/>
                <w:sz w:val="24"/>
              </w:rPr>
              <w:t>Saistoša vienošanās</w:t>
            </w:r>
          </w:p>
        </w:tc>
        <w:tc>
          <w:tcPr>
            <w:tcW w:w="3028" w:type="pct"/>
            <w:gridSpan w:val="11"/>
            <w:tcBorders>
              <w:bottom w:val="dotted" w:sz="4" w:space="0" w:color="auto"/>
            </w:tcBorders>
          </w:tcPr>
          <w:p w14:paraId="38EC1C02" w14:textId="77777777" w:rsidR="004347DD" w:rsidRDefault="004347DD" w:rsidP="004E3F4C">
            <w:pPr>
              <w:jc w:val="both"/>
              <w:rPr>
                <w:rFonts w:ascii="Times New Roman" w:hAnsi="Times New Roman"/>
                <w:noProof/>
                <w:color w:val="231F20"/>
                <w:sz w:val="24"/>
              </w:rPr>
            </w:pPr>
          </w:p>
        </w:tc>
        <w:tc>
          <w:tcPr>
            <w:tcW w:w="637" w:type="pct"/>
          </w:tcPr>
          <w:p w14:paraId="54FB3E7C"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9.</w:t>
            </w:r>
          </w:p>
        </w:tc>
      </w:tr>
      <w:tr w:rsidR="004347DD" w14:paraId="3F29D651" w14:textId="77777777" w:rsidTr="004347DD">
        <w:tc>
          <w:tcPr>
            <w:tcW w:w="1025" w:type="pct"/>
            <w:gridSpan w:val="4"/>
          </w:tcPr>
          <w:p w14:paraId="18959307"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Būtiska ietekme</w:t>
            </w:r>
          </w:p>
        </w:tc>
        <w:tc>
          <w:tcPr>
            <w:tcW w:w="3339" w:type="pct"/>
            <w:gridSpan w:val="14"/>
            <w:tcBorders>
              <w:bottom w:val="dotted" w:sz="4" w:space="0" w:color="auto"/>
            </w:tcBorders>
          </w:tcPr>
          <w:p w14:paraId="3D362A17" w14:textId="77777777" w:rsidR="004347DD" w:rsidRDefault="004347DD" w:rsidP="004E3F4C">
            <w:pPr>
              <w:jc w:val="both"/>
              <w:rPr>
                <w:rFonts w:ascii="Times New Roman" w:hAnsi="Times New Roman"/>
                <w:noProof/>
                <w:color w:val="231F20"/>
                <w:sz w:val="24"/>
              </w:rPr>
            </w:pPr>
          </w:p>
        </w:tc>
        <w:tc>
          <w:tcPr>
            <w:tcW w:w="637" w:type="pct"/>
          </w:tcPr>
          <w:p w14:paraId="61F9972F"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10.–15.</w:t>
            </w:r>
          </w:p>
        </w:tc>
      </w:tr>
      <w:tr w:rsidR="004347DD" w14:paraId="1DBCAE12" w14:textId="77777777" w:rsidTr="004347DD">
        <w:tc>
          <w:tcPr>
            <w:tcW w:w="1335" w:type="pct"/>
            <w:gridSpan w:val="7"/>
          </w:tcPr>
          <w:p w14:paraId="430FBF03"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Pašu kapitāla metode</w:t>
            </w:r>
          </w:p>
        </w:tc>
        <w:tc>
          <w:tcPr>
            <w:tcW w:w="3028" w:type="pct"/>
            <w:gridSpan w:val="11"/>
            <w:tcBorders>
              <w:top w:val="dotted" w:sz="4" w:space="0" w:color="auto"/>
              <w:bottom w:val="dotted" w:sz="4" w:space="0" w:color="auto"/>
            </w:tcBorders>
          </w:tcPr>
          <w:p w14:paraId="4E1FAAE8" w14:textId="77777777" w:rsidR="004347DD" w:rsidRDefault="004347DD" w:rsidP="004E3F4C">
            <w:pPr>
              <w:jc w:val="both"/>
              <w:rPr>
                <w:rFonts w:ascii="Times New Roman" w:hAnsi="Times New Roman"/>
                <w:noProof/>
                <w:color w:val="231F20"/>
                <w:sz w:val="24"/>
              </w:rPr>
            </w:pPr>
          </w:p>
        </w:tc>
        <w:tc>
          <w:tcPr>
            <w:tcW w:w="637" w:type="pct"/>
          </w:tcPr>
          <w:p w14:paraId="2FEC77CD"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16.–21.</w:t>
            </w:r>
          </w:p>
        </w:tc>
      </w:tr>
      <w:tr w:rsidR="004347DD" w14:paraId="64144C23" w14:textId="77777777" w:rsidTr="004347DD">
        <w:tc>
          <w:tcPr>
            <w:tcW w:w="2034" w:type="pct"/>
            <w:gridSpan w:val="10"/>
          </w:tcPr>
          <w:p w14:paraId="6A6E9DA9"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Pašu kapitāla metodes piemērošana</w:t>
            </w:r>
          </w:p>
        </w:tc>
        <w:tc>
          <w:tcPr>
            <w:tcW w:w="2329" w:type="pct"/>
            <w:gridSpan w:val="8"/>
            <w:tcBorders>
              <w:bottom w:val="dotted" w:sz="4" w:space="0" w:color="auto"/>
            </w:tcBorders>
          </w:tcPr>
          <w:p w14:paraId="30A35448" w14:textId="77777777" w:rsidR="004347DD" w:rsidRDefault="004347DD" w:rsidP="004E3F4C">
            <w:pPr>
              <w:jc w:val="both"/>
              <w:rPr>
                <w:rFonts w:ascii="Times New Roman" w:hAnsi="Times New Roman"/>
                <w:noProof/>
                <w:color w:val="231F20"/>
                <w:sz w:val="24"/>
              </w:rPr>
            </w:pPr>
          </w:p>
        </w:tc>
        <w:tc>
          <w:tcPr>
            <w:tcW w:w="637" w:type="pct"/>
          </w:tcPr>
          <w:p w14:paraId="04E5199D"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22.–48.</w:t>
            </w:r>
          </w:p>
        </w:tc>
      </w:tr>
      <w:tr w:rsidR="004347DD" w14:paraId="5081120B" w14:textId="77777777" w:rsidTr="004347DD">
        <w:tc>
          <w:tcPr>
            <w:tcW w:w="3121" w:type="pct"/>
            <w:gridSpan w:val="15"/>
          </w:tcPr>
          <w:p w14:paraId="79B9CC14" w14:textId="77777777" w:rsidR="004347DD" w:rsidRDefault="004347DD" w:rsidP="004E3F4C">
            <w:pPr>
              <w:ind w:left="284"/>
              <w:jc w:val="both"/>
              <w:rPr>
                <w:rFonts w:ascii="Times New Roman" w:hAnsi="Times New Roman"/>
                <w:noProof/>
                <w:color w:val="231F20"/>
                <w:sz w:val="24"/>
              </w:rPr>
            </w:pPr>
            <w:r>
              <w:rPr>
                <w:rFonts w:ascii="Times New Roman" w:hAnsi="Times New Roman"/>
                <w:color w:val="231F20"/>
                <w:sz w:val="24"/>
              </w:rPr>
              <w:t>Atbrīvojums no pašu kapitāla metodes piemērošanas</w:t>
            </w:r>
          </w:p>
        </w:tc>
        <w:tc>
          <w:tcPr>
            <w:tcW w:w="1242" w:type="pct"/>
            <w:gridSpan w:val="3"/>
            <w:tcBorders>
              <w:bottom w:val="dotted" w:sz="4" w:space="0" w:color="auto"/>
            </w:tcBorders>
          </w:tcPr>
          <w:p w14:paraId="67D714A6" w14:textId="77777777" w:rsidR="004347DD" w:rsidRDefault="004347DD" w:rsidP="004E3F4C">
            <w:pPr>
              <w:jc w:val="both"/>
              <w:rPr>
                <w:rFonts w:ascii="Times New Roman" w:hAnsi="Times New Roman"/>
                <w:noProof/>
                <w:color w:val="231F20"/>
                <w:sz w:val="24"/>
              </w:rPr>
            </w:pPr>
          </w:p>
        </w:tc>
        <w:tc>
          <w:tcPr>
            <w:tcW w:w="637" w:type="pct"/>
          </w:tcPr>
          <w:p w14:paraId="41400809"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23.–25.</w:t>
            </w:r>
          </w:p>
        </w:tc>
      </w:tr>
      <w:tr w:rsidR="004347DD" w14:paraId="3B1DFFE8" w14:textId="77777777" w:rsidTr="004347DD">
        <w:tc>
          <w:tcPr>
            <w:tcW w:w="2966" w:type="pct"/>
            <w:gridSpan w:val="14"/>
          </w:tcPr>
          <w:p w14:paraId="029E027F" w14:textId="77777777" w:rsidR="004347DD" w:rsidRDefault="004347DD" w:rsidP="004E3F4C">
            <w:pPr>
              <w:ind w:left="284"/>
              <w:jc w:val="both"/>
              <w:rPr>
                <w:rFonts w:ascii="Times New Roman" w:hAnsi="Times New Roman"/>
                <w:noProof/>
                <w:color w:val="231F20"/>
                <w:sz w:val="24"/>
              </w:rPr>
            </w:pPr>
            <w:r>
              <w:rPr>
                <w:rFonts w:ascii="Times New Roman" w:hAnsi="Times New Roman"/>
                <w:color w:val="231F20"/>
                <w:sz w:val="24"/>
              </w:rPr>
              <w:t>Pašu kapitāla metodes izmantošanas pārtraukšana</w:t>
            </w:r>
          </w:p>
        </w:tc>
        <w:tc>
          <w:tcPr>
            <w:tcW w:w="1397" w:type="pct"/>
            <w:gridSpan w:val="4"/>
            <w:tcBorders>
              <w:bottom w:val="dotted" w:sz="4" w:space="0" w:color="auto"/>
            </w:tcBorders>
          </w:tcPr>
          <w:p w14:paraId="02D27518" w14:textId="77777777" w:rsidR="004347DD" w:rsidRDefault="004347DD" w:rsidP="004E3F4C">
            <w:pPr>
              <w:jc w:val="both"/>
              <w:rPr>
                <w:rFonts w:ascii="Times New Roman" w:hAnsi="Times New Roman"/>
                <w:noProof/>
                <w:color w:val="231F20"/>
                <w:sz w:val="24"/>
              </w:rPr>
            </w:pPr>
          </w:p>
        </w:tc>
        <w:tc>
          <w:tcPr>
            <w:tcW w:w="637" w:type="pct"/>
          </w:tcPr>
          <w:p w14:paraId="5EE2BA9D"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26., 27.</w:t>
            </w:r>
          </w:p>
        </w:tc>
      </w:tr>
      <w:tr w:rsidR="004347DD" w14:paraId="54C9BD47" w14:textId="77777777" w:rsidTr="004347DD">
        <w:tc>
          <w:tcPr>
            <w:tcW w:w="1335" w:type="pct"/>
            <w:gridSpan w:val="7"/>
          </w:tcPr>
          <w:p w14:paraId="08EF488B" w14:textId="77777777" w:rsidR="004347DD" w:rsidRDefault="004347DD" w:rsidP="004E3F4C">
            <w:pPr>
              <w:ind w:left="284"/>
              <w:jc w:val="both"/>
              <w:rPr>
                <w:rFonts w:ascii="Times New Roman" w:hAnsi="Times New Roman"/>
                <w:noProof/>
                <w:color w:val="231F20"/>
                <w:sz w:val="24"/>
              </w:rPr>
            </w:pPr>
            <w:r>
              <w:rPr>
                <w:rFonts w:ascii="Times New Roman" w:hAnsi="Times New Roman"/>
                <w:color w:val="231F20"/>
                <w:sz w:val="24"/>
              </w:rPr>
              <w:t>Izmaiņas līdzdalībā</w:t>
            </w:r>
          </w:p>
        </w:tc>
        <w:tc>
          <w:tcPr>
            <w:tcW w:w="3028" w:type="pct"/>
            <w:gridSpan w:val="11"/>
            <w:tcBorders>
              <w:bottom w:val="dotted" w:sz="4" w:space="0" w:color="auto"/>
            </w:tcBorders>
          </w:tcPr>
          <w:p w14:paraId="5EBEA721" w14:textId="77777777" w:rsidR="004347DD" w:rsidRDefault="004347DD" w:rsidP="004E3F4C">
            <w:pPr>
              <w:jc w:val="both"/>
              <w:rPr>
                <w:rFonts w:ascii="Times New Roman" w:hAnsi="Times New Roman"/>
                <w:noProof/>
                <w:color w:val="231F20"/>
                <w:sz w:val="24"/>
              </w:rPr>
            </w:pPr>
          </w:p>
        </w:tc>
        <w:tc>
          <w:tcPr>
            <w:tcW w:w="637" w:type="pct"/>
          </w:tcPr>
          <w:p w14:paraId="531E8463"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28.</w:t>
            </w:r>
          </w:p>
        </w:tc>
      </w:tr>
      <w:tr w:rsidR="004347DD" w14:paraId="7838F555" w14:textId="77777777" w:rsidTr="004347DD">
        <w:tc>
          <w:tcPr>
            <w:tcW w:w="2112" w:type="pct"/>
            <w:gridSpan w:val="11"/>
          </w:tcPr>
          <w:p w14:paraId="5A6F3B89" w14:textId="77777777" w:rsidR="004347DD" w:rsidRDefault="004347DD" w:rsidP="004E3F4C">
            <w:pPr>
              <w:ind w:left="284"/>
              <w:jc w:val="both"/>
              <w:rPr>
                <w:rFonts w:ascii="Times New Roman" w:hAnsi="Times New Roman"/>
                <w:noProof/>
                <w:color w:val="231F20"/>
                <w:sz w:val="24"/>
              </w:rPr>
            </w:pPr>
            <w:r>
              <w:rPr>
                <w:rFonts w:ascii="Times New Roman" w:hAnsi="Times New Roman"/>
                <w:color w:val="231F20"/>
                <w:sz w:val="24"/>
              </w:rPr>
              <w:t>Pašu kapitāla metodes procedūras</w:t>
            </w:r>
          </w:p>
        </w:tc>
        <w:tc>
          <w:tcPr>
            <w:tcW w:w="2251" w:type="pct"/>
            <w:gridSpan w:val="7"/>
            <w:tcBorders>
              <w:bottom w:val="dotted" w:sz="4" w:space="0" w:color="auto"/>
            </w:tcBorders>
          </w:tcPr>
          <w:p w14:paraId="784BE270" w14:textId="77777777" w:rsidR="004347DD" w:rsidRDefault="004347DD" w:rsidP="004E3F4C">
            <w:pPr>
              <w:jc w:val="both"/>
              <w:rPr>
                <w:rFonts w:ascii="Times New Roman" w:hAnsi="Times New Roman"/>
                <w:noProof/>
                <w:color w:val="231F20"/>
                <w:sz w:val="24"/>
              </w:rPr>
            </w:pPr>
          </w:p>
        </w:tc>
        <w:tc>
          <w:tcPr>
            <w:tcW w:w="637" w:type="pct"/>
          </w:tcPr>
          <w:p w14:paraId="123AE391"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29.–42.</w:t>
            </w:r>
          </w:p>
        </w:tc>
      </w:tr>
      <w:tr w:rsidR="004347DD" w14:paraId="7F9CA005" w14:textId="77777777" w:rsidTr="004347DD">
        <w:tc>
          <w:tcPr>
            <w:tcW w:w="2267" w:type="pct"/>
            <w:gridSpan w:val="12"/>
          </w:tcPr>
          <w:p w14:paraId="3C28BEE8" w14:textId="77777777" w:rsidR="004347DD" w:rsidRDefault="004347DD" w:rsidP="004E3F4C">
            <w:pPr>
              <w:ind w:left="284"/>
              <w:jc w:val="both"/>
              <w:rPr>
                <w:rFonts w:ascii="Times New Roman" w:hAnsi="Times New Roman"/>
                <w:noProof/>
                <w:color w:val="231F20"/>
                <w:sz w:val="24"/>
              </w:rPr>
            </w:pPr>
            <w:r>
              <w:rPr>
                <w:rFonts w:ascii="Times New Roman" w:hAnsi="Times New Roman"/>
                <w:color w:val="231F20"/>
                <w:sz w:val="24"/>
              </w:rPr>
              <w:t>Zaudējumi no vērtības samazināšanās</w:t>
            </w:r>
          </w:p>
        </w:tc>
        <w:tc>
          <w:tcPr>
            <w:tcW w:w="2096" w:type="pct"/>
            <w:gridSpan w:val="6"/>
            <w:tcBorders>
              <w:top w:val="dotted" w:sz="4" w:space="0" w:color="auto"/>
              <w:bottom w:val="dotted" w:sz="4" w:space="0" w:color="auto"/>
            </w:tcBorders>
          </w:tcPr>
          <w:p w14:paraId="02309C08" w14:textId="77777777" w:rsidR="004347DD" w:rsidRDefault="004347DD" w:rsidP="004E3F4C">
            <w:pPr>
              <w:jc w:val="both"/>
              <w:rPr>
                <w:rFonts w:ascii="Times New Roman" w:hAnsi="Times New Roman"/>
                <w:noProof/>
                <w:color w:val="231F20"/>
                <w:sz w:val="24"/>
              </w:rPr>
            </w:pPr>
          </w:p>
        </w:tc>
        <w:tc>
          <w:tcPr>
            <w:tcW w:w="637" w:type="pct"/>
          </w:tcPr>
          <w:p w14:paraId="1DDE98E7"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43.–48.</w:t>
            </w:r>
          </w:p>
        </w:tc>
      </w:tr>
      <w:tr w:rsidR="004347DD" w14:paraId="5610C6BB" w14:textId="77777777" w:rsidTr="004347DD">
        <w:tc>
          <w:tcPr>
            <w:tcW w:w="1646" w:type="pct"/>
            <w:gridSpan w:val="9"/>
          </w:tcPr>
          <w:p w14:paraId="36B3E950"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Atsevišķie finanšu pārskati</w:t>
            </w:r>
          </w:p>
        </w:tc>
        <w:tc>
          <w:tcPr>
            <w:tcW w:w="2717" w:type="pct"/>
            <w:gridSpan w:val="9"/>
            <w:tcBorders>
              <w:bottom w:val="dotted" w:sz="4" w:space="0" w:color="auto"/>
            </w:tcBorders>
          </w:tcPr>
          <w:p w14:paraId="2F0A6187" w14:textId="77777777" w:rsidR="004347DD" w:rsidRDefault="004347DD" w:rsidP="004E3F4C">
            <w:pPr>
              <w:jc w:val="both"/>
              <w:rPr>
                <w:rFonts w:ascii="Times New Roman" w:hAnsi="Times New Roman"/>
                <w:noProof/>
                <w:color w:val="231F20"/>
                <w:sz w:val="24"/>
              </w:rPr>
            </w:pPr>
          </w:p>
        </w:tc>
        <w:tc>
          <w:tcPr>
            <w:tcW w:w="637" w:type="pct"/>
          </w:tcPr>
          <w:p w14:paraId="3C4C4C1D"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49.</w:t>
            </w:r>
          </w:p>
        </w:tc>
      </w:tr>
      <w:tr w:rsidR="004347DD" w14:paraId="7EFF9B6F" w14:textId="77777777" w:rsidTr="004347DD">
        <w:tc>
          <w:tcPr>
            <w:tcW w:w="1103" w:type="pct"/>
            <w:gridSpan w:val="5"/>
          </w:tcPr>
          <w:p w14:paraId="5CA4D7BD"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Pārejas noteikumi</w:t>
            </w:r>
          </w:p>
        </w:tc>
        <w:tc>
          <w:tcPr>
            <w:tcW w:w="3261" w:type="pct"/>
            <w:gridSpan w:val="13"/>
            <w:tcBorders>
              <w:bottom w:val="dotted" w:sz="4" w:space="0" w:color="auto"/>
            </w:tcBorders>
          </w:tcPr>
          <w:p w14:paraId="3AF54567" w14:textId="77777777" w:rsidR="004347DD" w:rsidRDefault="004347DD" w:rsidP="004E3F4C">
            <w:pPr>
              <w:jc w:val="both"/>
              <w:rPr>
                <w:rFonts w:ascii="Times New Roman" w:hAnsi="Times New Roman"/>
                <w:noProof/>
                <w:color w:val="231F20"/>
                <w:sz w:val="24"/>
              </w:rPr>
            </w:pPr>
          </w:p>
        </w:tc>
        <w:tc>
          <w:tcPr>
            <w:tcW w:w="637" w:type="pct"/>
          </w:tcPr>
          <w:p w14:paraId="6E744ECA"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50.</w:t>
            </w:r>
          </w:p>
        </w:tc>
      </w:tr>
      <w:tr w:rsidR="004347DD" w14:paraId="58ACB983" w14:textId="77777777" w:rsidTr="004347DD">
        <w:tc>
          <w:tcPr>
            <w:tcW w:w="1258" w:type="pct"/>
            <w:gridSpan w:val="6"/>
          </w:tcPr>
          <w:p w14:paraId="2EFADB80"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Spēkā stāšanās diena</w:t>
            </w:r>
          </w:p>
        </w:tc>
        <w:tc>
          <w:tcPr>
            <w:tcW w:w="3106" w:type="pct"/>
            <w:gridSpan w:val="12"/>
            <w:tcBorders>
              <w:top w:val="dotted" w:sz="4" w:space="0" w:color="auto"/>
              <w:bottom w:val="dotted" w:sz="4" w:space="0" w:color="auto"/>
            </w:tcBorders>
          </w:tcPr>
          <w:p w14:paraId="68C37FCF" w14:textId="77777777" w:rsidR="004347DD" w:rsidRDefault="004347DD" w:rsidP="004E3F4C">
            <w:pPr>
              <w:jc w:val="both"/>
              <w:rPr>
                <w:rFonts w:ascii="Times New Roman" w:hAnsi="Times New Roman"/>
                <w:noProof/>
                <w:color w:val="231F20"/>
                <w:sz w:val="24"/>
              </w:rPr>
            </w:pPr>
          </w:p>
        </w:tc>
        <w:tc>
          <w:tcPr>
            <w:tcW w:w="637" w:type="pct"/>
          </w:tcPr>
          <w:p w14:paraId="2F0B1EE3"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51., 52.</w:t>
            </w:r>
          </w:p>
        </w:tc>
      </w:tr>
      <w:tr w:rsidR="004347DD" w14:paraId="4EA5AF30" w14:textId="77777777" w:rsidTr="004347DD">
        <w:tc>
          <w:tcPr>
            <w:tcW w:w="3199" w:type="pct"/>
            <w:gridSpan w:val="16"/>
          </w:tcPr>
          <w:p w14:paraId="7555C8A1" w14:textId="77777777" w:rsidR="004347DD" w:rsidRDefault="004347DD" w:rsidP="004E3F4C">
            <w:pPr>
              <w:jc w:val="both"/>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7 (2006. gada decembris) atsaukšana un aizstāšana</w:t>
            </w:r>
          </w:p>
        </w:tc>
        <w:tc>
          <w:tcPr>
            <w:tcW w:w="1165" w:type="pct"/>
            <w:gridSpan w:val="2"/>
            <w:tcBorders>
              <w:bottom w:val="dotted" w:sz="4" w:space="0" w:color="auto"/>
            </w:tcBorders>
          </w:tcPr>
          <w:p w14:paraId="76FEB3DC" w14:textId="77777777" w:rsidR="004347DD" w:rsidRDefault="004347DD" w:rsidP="004E3F4C">
            <w:pPr>
              <w:jc w:val="both"/>
              <w:rPr>
                <w:rFonts w:ascii="Times New Roman" w:hAnsi="Times New Roman"/>
                <w:noProof/>
                <w:color w:val="231F20"/>
                <w:sz w:val="24"/>
              </w:rPr>
            </w:pPr>
          </w:p>
        </w:tc>
        <w:tc>
          <w:tcPr>
            <w:tcW w:w="637" w:type="pct"/>
          </w:tcPr>
          <w:p w14:paraId="2446E401" w14:textId="77777777" w:rsidR="004347DD" w:rsidRDefault="004347DD" w:rsidP="004E3F4C">
            <w:pPr>
              <w:jc w:val="right"/>
              <w:rPr>
                <w:rFonts w:ascii="Times New Roman" w:hAnsi="Times New Roman"/>
                <w:noProof/>
                <w:color w:val="231F20"/>
                <w:sz w:val="24"/>
              </w:rPr>
            </w:pPr>
            <w:r>
              <w:rPr>
                <w:rFonts w:ascii="Times New Roman" w:hAnsi="Times New Roman"/>
                <w:color w:val="231F20"/>
                <w:sz w:val="24"/>
              </w:rPr>
              <w:t>53.</w:t>
            </w:r>
          </w:p>
        </w:tc>
      </w:tr>
      <w:tr w:rsidR="004347DD" w14:paraId="4437E0DE" w14:textId="77777777" w:rsidTr="004347DD">
        <w:tc>
          <w:tcPr>
            <w:tcW w:w="1491" w:type="pct"/>
            <w:gridSpan w:val="8"/>
          </w:tcPr>
          <w:p w14:paraId="453EA073"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Secinājumu pamats</w:t>
            </w:r>
          </w:p>
        </w:tc>
        <w:tc>
          <w:tcPr>
            <w:tcW w:w="2872" w:type="pct"/>
            <w:gridSpan w:val="10"/>
          </w:tcPr>
          <w:p w14:paraId="0E9E37B8" w14:textId="77777777" w:rsidR="004347DD" w:rsidRDefault="004347DD" w:rsidP="004E3F4C">
            <w:pPr>
              <w:jc w:val="both"/>
              <w:rPr>
                <w:rFonts w:ascii="Times New Roman" w:hAnsi="Times New Roman"/>
                <w:noProof/>
                <w:color w:val="231F20"/>
                <w:sz w:val="24"/>
              </w:rPr>
            </w:pPr>
          </w:p>
        </w:tc>
        <w:tc>
          <w:tcPr>
            <w:tcW w:w="637" w:type="pct"/>
          </w:tcPr>
          <w:p w14:paraId="66CC3C72" w14:textId="77777777" w:rsidR="004347DD" w:rsidRDefault="004347DD" w:rsidP="004E3F4C">
            <w:pPr>
              <w:jc w:val="right"/>
              <w:rPr>
                <w:rFonts w:ascii="Times New Roman" w:hAnsi="Times New Roman"/>
                <w:noProof/>
                <w:color w:val="231F20"/>
                <w:sz w:val="24"/>
              </w:rPr>
            </w:pPr>
          </w:p>
        </w:tc>
      </w:tr>
      <w:tr w:rsidR="004347DD" w14:paraId="5E31A900" w14:textId="77777777" w:rsidTr="004347DD">
        <w:tc>
          <w:tcPr>
            <w:tcW w:w="2578" w:type="pct"/>
            <w:gridSpan w:val="13"/>
          </w:tcPr>
          <w:p w14:paraId="2EBA7D5D" w14:textId="77777777" w:rsidR="004347DD" w:rsidRDefault="004347DD" w:rsidP="004E3F4C">
            <w:pPr>
              <w:jc w:val="both"/>
              <w:rPr>
                <w:rFonts w:ascii="Times New Roman" w:hAnsi="Times New Roman"/>
                <w:noProof/>
                <w:color w:val="231F20"/>
                <w:sz w:val="24"/>
              </w:rPr>
            </w:pPr>
            <w:r>
              <w:rPr>
                <w:rFonts w:ascii="Times New Roman" w:hAnsi="Times New Roman"/>
                <w:color w:val="231F20"/>
                <w:sz w:val="24"/>
              </w:rPr>
              <w:t xml:space="preserve">Salīdzinājums ar </w:t>
            </w:r>
            <w:r>
              <w:rPr>
                <w:rFonts w:ascii="Times New Roman" w:hAnsi="Times New Roman"/>
                <w:i/>
                <w:iCs/>
                <w:color w:val="231F20"/>
                <w:sz w:val="24"/>
              </w:rPr>
              <w:t>IAS</w:t>
            </w:r>
            <w:r>
              <w:rPr>
                <w:rFonts w:ascii="Times New Roman" w:hAnsi="Times New Roman"/>
                <w:color w:val="231F20"/>
                <w:sz w:val="24"/>
              </w:rPr>
              <w:t> 28 (grozīts 2011. gadā)</w:t>
            </w:r>
          </w:p>
        </w:tc>
        <w:tc>
          <w:tcPr>
            <w:tcW w:w="1786" w:type="pct"/>
            <w:gridSpan w:val="5"/>
          </w:tcPr>
          <w:p w14:paraId="43683506" w14:textId="77777777" w:rsidR="004347DD" w:rsidRDefault="004347DD" w:rsidP="004E3F4C">
            <w:pPr>
              <w:jc w:val="both"/>
              <w:rPr>
                <w:rFonts w:ascii="Times New Roman" w:hAnsi="Times New Roman"/>
                <w:noProof/>
                <w:color w:val="231F20"/>
                <w:sz w:val="24"/>
              </w:rPr>
            </w:pPr>
          </w:p>
        </w:tc>
        <w:tc>
          <w:tcPr>
            <w:tcW w:w="637" w:type="pct"/>
          </w:tcPr>
          <w:p w14:paraId="0FC6F1A9" w14:textId="77777777" w:rsidR="004347DD" w:rsidRDefault="004347DD" w:rsidP="004E3F4C">
            <w:pPr>
              <w:jc w:val="right"/>
              <w:rPr>
                <w:rFonts w:ascii="Times New Roman" w:hAnsi="Times New Roman"/>
                <w:noProof/>
                <w:color w:val="231F20"/>
                <w:sz w:val="24"/>
              </w:rPr>
            </w:pPr>
          </w:p>
        </w:tc>
      </w:tr>
    </w:tbl>
    <w:p w14:paraId="40159D2F" w14:textId="326A2C93" w:rsidR="00904506" w:rsidRPr="002D1B61" w:rsidRDefault="00904506" w:rsidP="008D627B">
      <w:pPr>
        <w:jc w:val="both"/>
        <w:rPr>
          <w:rFonts w:ascii="Times New Roman" w:hAnsi="Times New Roman"/>
          <w:noProof/>
          <w:color w:val="231F20"/>
          <w:sz w:val="24"/>
        </w:rPr>
      </w:pPr>
    </w:p>
    <w:p w14:paraId="2E3CCF75" w14:textId="28CB0D66" w:rsidR="00A43A4E" w:rsidRDefault="00A43A4E">
      <w:pPr>
        <w:rPr>
          <w:rFonts w:ascii="Times New Roman" w:hAnsi="Times New Roman"/>
          <w:noProof/>
          <w:color w:val="231F20"/>
          <w:sz w:val="24"/>
        </w:rPr>
      </w:pPr>
      <w:r>
        <w:br w:type="page"/>
      </w:r>
    </w:p>
    <w:p w14:paraId="10CDC8DD" w14:textId="77777777" w:rsidR="002D1B61" w:rsidRPr="002D1B61" w:rsidRDefault="002D1B61" w:rsidP="008D627B">
      <w:pPr>
        <w:jc w:val="both"/>
        <w:rPr>
          <w:rFonts w:ascii="Times New Roman" w:hAnsi="Times New Roman"/>
          <w:noProof/>
          <w:color w:val="231F20"/>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A43A4E" w14:paraId="3204DB92" w14:textId="77777777" w:rsidTr="00A43A4E">
        <w:tc>
          <w:tcPr>
            <w:tcW w:w="9288" w:type="dxa"/>
          </w:tcPr>
          <w:p w14:paraId="21CC3473" w14:textId="7AEEA1B8" w:rsidR="00A43A4E" w:rsidRPr="00A43A4E" w:rsidRDefault="00A43A4E" w:rsidP="008D627B">
            <w:pPr>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Starptautiskais publiskā sektora grāmatvedības standarts Nr. 36 “Ieguldījumi asociētajos uzņēmumos un kopuzņēmumos” ir izklāstīts 1.–53. punktā. Visi punkti ir līdzvērtīgi. </w:t>
            </w:r>
            <w:r>
              <w:rPr>
                <w:rFonts w:ascii="Times New Roman" w:hAnsi="Times New Roman"/>
                <w:i/>
                <w:iCs/>
                <w:color w:val="231F20"/>
                <w:sz w:val="24"/>
                <w:szCs w:val="20"/>
              </w:rPr>
              <w:t>IPSAS</w:t>
            </w:r>
            <w:r>
              <w:rPr>
                <w:rFonts w:ascii="Times New Roman" w:hAnsi="Times New Roman"/>
                <w:color w:val="231F20"/>
                <w:sz w:val="24"/>
                <w:szCs w:val="20"/>
              </w:rPr>
              <w:t xml:space="preserve"> 36 būtu jālasa saistībā ar tā mērķi, secinājumu pamatu, “Starptautisko publiskā sektora grāmatvedības standartu priekšvārdu” un “Publiskā sektora institūciju vispārīgo finanšu pārskatu sniegšanas konceptuālajām pamatnostādnēm”. </w:t>
            </w:r>
            <w:r>
              <w:rPr>
                <w:rFonts w:ascii="Times New Roman" w:hAnsi="Times New Roman"/>
                <w:i/>
                <w:iCs/>
                <w:color w:val="231F20"/>
                <w:sz w:val="24"/>
                <w:szCs w:val="20"/>
              </w:rPr>
              <w:t>IPSAS</w:t>
            </w:r>
            <w:r>
              <w:rPr>
                <w:rFonts w:ascii="Times New Roman" w:hAnsi="Times New Roman"/>
                <w:color w:val="231F20"/>
                <w:sz w:val="24"/>
                <w:szCs w:val="20"/>
              </w:rPr>
              <w:t> 3 “Grāmatvedības politika, izmaiņas grāmatvedības aplēsēs un kļūdas” nodrošina pamatu grāmatvedības politikas atlasei un piemērošanai, ja nav skaidru norādījumu.</w:t>
            </w:r>
          </w:p>
        </w:tc>
      </w:tr>
    </w:tbl>
    <w:p w14:paraId="179AECAD" w14:textId="2D765894" w:rsidR="002D1B61" w:rsidRPr="002D1B61" w:rsidRDefault="002D1B61" w:rsidP="008D627B">
      <w:pPr>
        <w:jc w:val="both"/>
        <w:rPr>
          <w:rFonts w:ascii="Times New Roman" w:hAnsi="Times New Roman"/>
          <w:noProof/>
          <w:color w:val="231F20"/>
          <w:sz w:val="24"/>
        </w:rPr>
      </w:pPr>
    </w:p>
    <w:p w14:paraId="3030F44B" w14:textId="2FBF1212" w:rsidR="00A43A4E" w:rsidRDefault="00A43A4E">
      <w:pPr>
        <w:rPr>
          <w:rFonts w:ascii="Times New Roman" w:hAnsi="Times New Roman"/>
          <w:noProof/>
          <w:color w:val="231F20"/>
          <w:sz w:val="24"/>
        </w:rPr>
      </w:pPr>
      <w:r>
        <w:br w:type="page"/>
      </w:r>
    </w:p>
    <w:p w14:paraId="15E7BEFB" w14:textId="77777777" w:rsidR="00904506" w:rsidRPr="008D627B" w:rsidRDefault="00904506" w:rsidP="008D627B">
      <w:pPr>
        <w:jc w:val="both"/>
        <w:rPr>
          <w:rFonts w:ascii="Times New Roman" w:eastAsia="Times New Roman" w:hAnsi="Times New Roman" w:cs="Times New Roman"/>
          <w:noProof/>
          <w:sz w:val="24"/>
          <w:szCs w:val="20"/>
        </w:rPr>
      </w:pPr>
    </w:p>
    <w:p w14:paraId="76965BFA" w14:textId="77777777" w:rsidR="00904506" w:rsidRPr="008D627B" w:rsidRDefault="00904506" w:rsidP="008D627B">
      <w:pPr>
        <w:pStyle w:val="Virsraksts1"/>
        <w:ind w:left="0"/>
        <w:jc w:val="both"/>
        <w:rPr>
          <w:noProof/>
          <w:color w:val="231F20"/>
        </w:rPr>
      </w:pPr>
      <w:r>
        <w:rPr>
          <w:color w:val="231F20"/>
        </w:rPr>
        <w:t>Mērķis</w:t>
      </w:r>
      <w:bookmarkStart w:id="0" w:name="_bookmark0"/>
      <w:bookmarkEnd w:id="0"/>
    </w:p>
    <w:p w14:paraId="08EF3518" w14:textId="77777777" w:rsidR="00A43A4E" w:rsidRDefault="00A43A4E" w:rsidP="00A43A4E">
      <w:pPr>
        <w:pStyle w:val="Pamatteksts"/>
        <w:tabs>
          <w:tab w:val="left" w:pos="840"/>
        </w:tabs>
        <w:spacing w:before="0"/>
        <w:ind w:left="0"/>
        <w:jc w:val="both"/>
        <w:rPr>
          <w:noProof/>
          <w:color w:val="231F20"/>
          <w:sz w:val="24"/>
        </w:rPr>
      </w:pPr>
    </w:p>
    <w:p w14:paraId="01538564" w14:textId="04BE2368" w:rsidR="00904506" w:rsidRPr="008D627B" w:rsidRDefault="00A43A4E" w:rsidP="00A43A4E">
      <w:pPr>
        <w:pStyle w:val="Pamatteksts"/>
        <w:tabs>
          <w:tab w:val="left" w:pos="840"/>
        </w:tabs>
        <w:spacing w:before="0"/>
        <w:ind w:left="0"/>
        <w:jc w:val="both"/>
        <w:rPr>
          <w:noProof/>
          <w:color w:val="231F20"/>
          <w:sz w:val="24"/>
        </w:rPr>
      </w:pPr>
      <w:r>
        <w:rPr>
          <w:color w:val="231F20"/>
          <w:sz w:val="24"/>
        </w:rPr>
        <w:t>1. Šā standarta mērķis ir noteikt uzskaiti attiecībā uz ieguldījumiem asociētajos uzņēmumos un kopuzņēmumos un prasības pašu kapitāla metodes piemērošanai gadījumos, kad tiek uzskaitīti ieguldījumi asociētajos uzņēmumos un kopuzņēmumos.</w:t>
      </w:r>
    </w:p>
    <w:p w14:paraId="7C30F70F" w14:textId="77777777" w:rsidR="00904506" w:rsidRPr="008D627B" w:rsidRDefault="00904506" w:rsidP="008D627B">
      <w:pPr>
        <w:jc w:val="both"/>
        <w:rPr>
          <w:rFonts w:ascii="Times New Roman" w:eastAsia="Times New Roman" w:hAnsi="Times New Roman" w:cs="Times New Roman"/>
          <w:noProof/>
          <w:sz w:val="24"/>
          <w:szCs w:val="9"/>
        </w:rPr>
      </w:pPr>
    </w:p>
    <w:p w14:paraId="7D830151" w14:textId="77777777" w:rsidR="00904506" w:rsidRPr="008D627B" w:rsidRDefault="00904506" w:rsidP="008D627B">
      <w:pPr>
        <w:pStyle w:val="Virsraksts1"/>
        <w:ind w:left="0"/>
        <w:jc w:val="both"/>
        <w:rPr>
          <w:noProof/>
          <w:color w:val="231F20"/>
        </w:rPr>
      </w:pPr>
      <w:r>
        <w:rPr>
          <w:color w:val="231F20"/>
        </w:rPr>
        <w:t>Darbības joma</w:t>
      </w:r>
      <w:bookmarkStart w:id="1" w:name="_bookmark1"/>
      <w:bookmarkEnd w:id="1"/>
    </w:p>
    <w:p w14:paraId="6D96ABCD" w14:textId="77777777" w:rsidR="00A43A4E" w:rsidRDefault="00A43A4E" w:rsidP="00A43A4E">
      <w:pPr>
        <w:pStyle w:val="Virsraksts2"/>
        <w:tabs>
          <w:tab w:val="left" w:pos="840"/>
        </w:tabs>
        <w:spacing w:before="0"/>
        <w:ind w:left="0"/>
        <w:jc w:val="both"/>
        <w:rPr>
          <w:noProof/>
          <w:color w:val="231F20"/>
          <w:sz w:val="24"/>
        </w:rPr>
      </w:pPr>
    </w:p>
    <w:p w14:paraId="25D68A5F" w14:textId="671F7C93" w:rsidR="00904506" w:rsidRPr="008D627B" w:rsidRDefault="00A43A4E" w:rsidP="00A43A4E">
      <w:pPr>
        <w:pStyle w:val="Virsraksts2"/>
        <w:tabs>
          <w:tab w:val="left" w:pos="840"/>
        </w:tabs>
        <w:spacing w:before="0"/>
        <w:ind w:left="0"/>
        <w:jc w:val="both"/>
        <w:rPr>
          <w:noProof/>
          <w:color w:val="231F20"/>
          <w:sz w:val="24"/>
        </w:rPr>
      </w:pPr>
      <w:r>
        <w:rPr>
          <w:color w:val="231F20"/>
          <w:sz w:val="24"/>
        </w:rPr>
        <w:t>2. Institūcija, kas finanšu pārskatus sagatavo un sniedz saskaņā ar uzkrāšanas principu grāmatvedībā, piemēro šo standartu, veicot uzskaiti attiecībā uz ieguldījumiem asociētajos uzņēmumos un kopuzņēmumos.</w:t>
      </w:r>
    </w:p>
    <w:p w14:paraId="78810467" w14:textId="77777777" w:rsidR="00A43A4E" w:rsidRDefault="00A43A4E" w:rsidP="00A43A4E">
      <w:pPr>
        <w:tabs>
          <w:tab w:val="left" w:pos="840"/>
        </w:tabs>
        <w:jc w:val="both"/>
        <w:rPr>
          <w:rFonts w:ascii="Times New Roman" w:hAnsi="Times New Roman"/>
          <w:b/>
          <w:noProof/>
          <w:color w:val="231F20"/>
          <w:sz w:val="24"/>
        </w:rPr>
      </w:pPr>
    </w:p>
    <w:p w14:paraId="3287216D" w14:textId="75C94CB0" w:rsidR="00904506" w:rsidRPr="008D627B" w:rsidRDefault="00A43A4E" w:rsidP="00A43A4E">
      <w:pPr>
        <w:tabs>
          <w:tab w:val="left" w:pos="840"/>
        </w:tabs>
        <w:jc w:val="both"/>
        <w:rPr>
          <w:rFonts w:ascii="Times New Roman" w:hAnsi="Times New Roman"/>
          <w:b/>
          <w:noProof/>
          <w:color w:val="231F20"/>
          <w:sz w:val="24"/>
        </w:rPr>
      </w:pPr>
      <w:r>
        <w:rPr>
          <w:rFonts w:ascii="Times New Roman" w:hAnsi="Times New Roman"/>
          <w:b/>
          <w:color w:val="231F20"/>
          <w:sz w:val="24"/>
        </w:rPr>
        <w:t>3. Šo standartu piemēro visas institūcijas, kas ir ieguldītāji ar būtisku ietekmi uz ieguldījumu saņēmēju vai ar kopīgu kontroli pār to, ja ieguldījuma rezultātā tiek iegūta skaitliski novērtējama līdzdalība.</w:t>
      </w:r>
    </w:p>
    <w:p w14:paraId="3A0B185E" w14:textId="77777777" w:rsidR="00A43A4E" w:rsidRDefault="00A43A4E" w:rsidP="00A43A4E">
      <w:pPr>
        <w:pStyle w:val="Pamatteksts"/>
        <w:tabs>
          <w:tab w:val="left" w:pos="840"/>
        </w:tabs>
        <w:spacing w:before="0"/>
        <w:ind w:left="0"/>
        <w:jc w:val="both"/>
        <w:rPr>
          <w:noProof/>
          <w:color w:val="231F20"/>
          <w:sz w:val="24"/>
        </w:rPr>
      </w:pPr>
    </w:p>
    <w:p w14:paraId="051A0DF2" w14:textId="450DD883" w:rsidR="00904506" w:rsidRPr="008D627B" w:rsidRDefault="00A43A4E" w:rsidP="00A43A4E">
      <w:pPr>
        <w:pStyle w:val="Pamatteksts"/>
        <w:tabs>
          <w:tab w:val="left" w:pos="840"/>
        </w:tabs>
        <w:spacing w:before="0"/>
        <w:ind w:left="0"/>
        <w:jc w:val="both"/>
        <w:rPr>
          <w:noProof/>
          <w:color w:val="231F20"/>
          <w:sz w:val="24"/>
        </w:rPr>
      </w:pPr>
      <w:r>
        <w:rPr>
          <w:color w:val="231F20"/>
          <w:sz w:val="24"/>
        </w:rPr>
        <w:t>4. Šis standarts nodrošina pamatu līdzdalības uzskaitei asociētajos uzņēmumos un kopuzņēmumos. Proti, ieguldījums citā institūcijā piešķir institūcijai ar līdzdalību saistīto risku un ieguvumus. Šis standarts attiecas tikai uz skaitliski novērtējamu līdzdalību. Tas ietver līdzdalību, kas tiek iegūta, ieguldot citas institūcijas formālajā pašu kapitāla struktūrā. Formāla pašu kapitāla struktūra nozīmē akciju kapitālu vai līdzvērtīgu kapitāla formu, piemēram, daļas īpašuma trastā. Skaitliski novērtējama līdzdalība var ietvert arī līdzdalību, kas tiek iegūta, veicot citus ieguldījumus, kuros ir iespējams ticami novērtēt institūcijas līdzdalību</w:t>
      </w:r>
      <w:r w:rsidR="00F23CA6">
        <w:rPr>
          <w:rStyle w:val="Vresatsauce"/>
          <w:rFonts w:cs="Times New Roman"/>
          <w:noProof/>
          <w:color w:val="231F20"/>
          <w:sz w:val="24"/>
        </w:rPr>
        <w:footnoteReference w:id="1"/>
      </w:r>
      <w:r>
        <w:rPr>
          <w:color w:val="231F20"/>
          <w:sz w:val="24"/>
          <w:szCs w:val="11"/>
        </w:rPr>
        <w:t xml:space="preserve"> </w:t>
      </w:r>
      <w:r>
        <w:rPr>
          <w:color w:val="231F20"/>
          <w:sz w:val="24"/>
        </w:rPr>
        <w:t>(piemēram, līdzdalību partnerībā). Līdzdalību var nebūt iespējams ticami novērtēt, ja otras institūcijas pašu kapitāla struktūra ir slikti funkcionējoša.</w:t>
      </w:r>
    </w:p>
    <w:p w14:paraId="208E06FE" w14:textId="77777777" w:rsidR="00A43A4E" w:rsidRDefault="00A43A4E" w:rsidP="00A43A4E">
      <w:pPr>
        <w:pStyle w:val="Pamatteksts"/>
        <w:tabs>
          <w:tab w:val="left" w:pos="841"/>
        </w:tabs>
        <w:spacing w:before="0"/>
        <w:ind w:left="0"/>
        <w:jc w:val="both"/>
        <w:rPr>
          <w:noProof/>
          <w:color w:val="231F20"/>
          <w:sz w:val="24"/>
        </w:rPr>
      </w:pPr>
    </w:p>
    <w:p w14:paraId="5395AAFE" w14:textId="0BF71DB1" w:rsidR="00904506" w:rsidRPr="008D627B" w:rsidRDefault="00A43A4E" w:rsidP="00A43A4E">
      <w:pPr>
        <w:pStyle w:val="Pamatteksts"/>
        <w:tabs>
          <w:tab w:val="left" w:pos="841"/>
        </w:tabs>
        <w:spacing w:before="0"/>
        <w:ind w:left="0"/>
        <w:jc w:val="both"/>
        <w:rPr>
          <w:noProof/>
          <w:color w:val="231F20"/>
          <w:sz w:val="24"/>
        </w:rPr>
      </w:pPr>
      <w:r>
        <w:rPr>
          <w:color w:val="231F20"/>
          <w:sz w:val="24"/>
        </w:rPr>
        <w:t>5. Daži publiskā sektora institūciju veikti maksājumi var būt dēvēti par “ieguldījumiem”, taču neradīt pamatu līdzdalības iegūšanai. Piemēram, publiskā sektora institūcija var veikt būtisku ieguldījumu tādas slimnīcas attīstībā, kas pieder labdarības organizācijai, kura vada šīs slimnīcas darbu. Lai gan šādi maksājumi pēc būtības notiek bez atlīdzības, tie sniedz publiskā sektora institūcijai iespēju piedalīties slimnīcas darbībā, un labdarības organizācija atskaitās šai publiskā sektora institūcijai par to, kā tā ir izlietojusi valsts līdzekļus. Tomēr publiskā sektora institūcijas veiktie maksājumi nerada līdzdalību, jo labdarības organizācija var meklēt alternatīvu finansējumu un tādējādi novērst publiskā sektora institūcijas dalību slimnīcas darbībā. Tādējādi publiskā sektora institūcija nav pakļauta ar līdzdalību saistītajam riskam un arī nesaņem ar līdzdalību saistītos ieguvumus.</w:t>
      </w:r>
    </w:p>
    <w:p w14:paraId="4965A5EB" w14:textId="77777777" w:rsidR="00A43A4E" w:rsidRDefault="00A43A4E" w:rsidP="00A43A4E">
      <w:pPr>
        <w:pStyle w:val="Pamatteksts"/>
        <w:tabs>
          <w:tab w:val="left" w:pos="841"/>
        </w:tabs>
        <w:spacing w:before="0"/>
        <w:ind w:left="0"/>
        <w:jc w:val="both"/>
        <w:rPr>
          <w:noProof/>
          <w:color w:val="231F20"/>
          <w:sz w:val="24"/>
        </w:rPr>
      </w:pPr>
    </w:p>
    <w:p w14:paraId="2FCDC750" w14:textId="0865DDE5" w:rsidR="00904506" w:rsidRPr="008D627B" w:rsidRDefault="00A43A4E" w:rsidP="00A43A4E">
      <w:pPr>
        <w:pStyle w:val="Pamatteksts"/>
        <w:tabs>
          <w:tab w:val="left" w:pos="841"/>
        </w:tabs>
        <w:spacing w:before="0"/>
        <w:ind w:left="0"/>
        <w:jc w:val="both"/>
        <w:rPr>
          <w:noProof/>
          <w:color w:val="231F20"/>
          <w:sz w:val="24"/>
        </w:rPr>
      </w:pPr>
      <w:r>
        <w:rPr>
          <w:color w:val="231F20"/>
          <w:sz w:val="24"/>
        </w:rPr>
        <w:t>6. [Svītrots]</w:t>
      </w:r>
    </w:p>
    <w:p w14:paraId="0371A1BE" w14:textId="77777777" w:rsidR="00A43A4E" w:rsidRDefault="00A43A4E" w:rsidP="00A43A4E">
      <w:pPr>
        <w:pStyle w:val="Pamatteksts"/>
        <w:tabs>
          <w:tab w:val="left" w:pos="841"/>
        </w:tabs>
        <w:spacing w:before="0"/>
        <w:ind w:left="0"/>
        <w:jc w:val="both"/>
        <w:rPr>
          <w:noProof/>
          <w:color w:val="231F20"/>
          <w:sz w:val="24"/>
        </w:rPr>
      </w:pPr>
    </w:p>
    <w:p w14:paraId="04641744" w14:textId="3ED58E9B" w:rsidR="00904506" w:rsidRPr="008D627B" w:rsidRDefault="00A43A4E" w:rsidP="00A43A4E">
      <w:pPr>
        <w:pStyle w:val="Pamatteksts"/>
        <w:tabs>
          <w:tab w:val="left" w:pos="841"/>
        </w:tabs>
        <w:spacing w:before="0"/>
        <w:ind w:left="0"/>
        <w:jc w:val="both"/>
        <w:rPr>
          <w:noProof/>
          <w:color w:val="231F20"/>
          <w:sz w:val="24"/>
        </w:rPr>
      </w:pPr>
      <w:r>
        <w:rPr>
          <w:color w:val="231F20"/>
          <w:sz w:val="24"/>
        </w:rPr>
        <w:t>7. [Svītrots]</w:t>
      </w:r>
    </w:p>
    <w:p w14:paraId="60A671DF" w14:textId="77777777" w:rsidR="00904506" w:rsidRPr="008D627B" w:rsidRDefault="00904506" w:rsidP="008D627B">
      <w:pPr>
        <w:jc w:val="both"/>
        <w:rPr>
          <w:rFonts w:ascii="Times New Roman" w:hAnsi="Times New Roman"/>
          <w:noProof/>
          <w:color w:val="231F20"/>
          <w:sz w:val="24"/>
        </w:rPr>
      </w:pPr>
    </w:p>
    <w:p w14:paraId="6C6B5346" w14:textId="77777777" w:rsidR="00904506" w:rsidRPr="008D627B" w:rsidRDefault="00904506" w:rsidP="008D627B">
      <w:pPr>
        <w:pStyle w:val="Virsraksts1"/>
        <w:ind w:left="0"/>
        <w:jc w:val="both"/>
        <w:rPr>
          <w:noProof/>
          <w:color w:val="231F20"/>
        </w:rPr>
      </w:pPr>
      <w:r>
        <w:rPr>
          <w:color w:val="231F20"/>
        </w:rPr>
        <w:t>Definīcijas</w:t>
      </w:r>
      <w:bookmarkStart w:id="2" w:name="_bookmark2"/>
      <w:bookmarkEnd w:id="2"/>
    </w:p>
    <w:p w14:paraId="7032AD93" w14:textId="77777777" w:rsidR="00F23CA6" w:rsidRDefault="00F23CA6" w:rsidP="00F23CA6">
      <w:pPr>
        <w:pStyle w:val="Virsraksts2"/>
        <w:tabs>
          <w:tab w:val="left" w:pos="820"/>
        </w:tabs>
        <w:spacing w:before="0"/>
        <w:ind w:left="0"/>
        <w:jc w:val="both"/>
        <w:rPr>
          <w:noProof/>
          <w:color w:val="231F20"/>
          <w:sz w:val="24"/>
        </w:rPr>
      </w:pPr>
    </w:p>
    <w:p w14:paraId="368D8635" w14:textId="42EA9E8E" w:rsidR="00904506" w:rsidRPr="00F23CA6" w:rsidRDefault="00F23CA6" w:rsidP="00F23CA6">
      <w:pPr>
        <w:pStyle w:val="Virsraksts2"/>
        <w:tabs>
          <w:tab w:val="left" w:pos="820"/>
        </w:tabs>
        <w:spacing w:before="0"/>
        <w:ind w:left="0"/>
        <w:jc w:val="both"/>
        <w:rPr>
          <w:noProof/>
          <w:color w:val="231F20"/>
          <w:sz w:val="24"/>
        </w:rPr>
      </w:pPr>
      <w:r>
        <w:rPr>
          <w:color w:val="231F20"/>
          <w:sz w:val="24"/>
        </w:rPr>
        <w:t>8. Turpmāk minētie termini šajā standartā tiek izmantoti zemāk norādītajās nozīmēs.</w:t>
      </w:r>
    </w:p>
    <w:p w14:paraId="2ABDECD7" w14:textId="77777777" w:rsidR="00F23CA6" w:rsidRDefault="00F23CA6" w:rsidP="008D627B">
      <w:pPr>
        <w:jc w:val="both"/>
        <w:rPr>
          <w:rFonts w:ascii="Times New Roman" w:hAnsi="Times New Roman"/>
          <w:b/>
          <w:noProof/>
          <w:color w:val="231F20"/>
          <w:sz w:val="24"/>
        </w:rPr>
      </w:pPr>
    </w:p>
    <w:p w14:paraId="6E6263A9" w14:textId="3DD18A93" w:rsidR="00904506" w:rsidRPr="008D627B" w:rsidRDefault="00904506" w:rsidP="008D627B">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 xml:space="preserve">Asociētais uzņēmums </w:t>
      </w:r>
      <w:r>
        <w:rPr>
          <w:rFonts w:ascii="Times New Roman" w:hAnsi="Times New Roman"/>
          <w:b/>
          <w:color w:val="231F20"/>
          <w:sz w:val="24"/>
        </w:rPr>
        <w:t>ir institūcija, pār kuru ieguldītājam ir ievērojama ietekme.</w:t>
      </w:r>
    </w:p>
    <w:p w14:paraId="026E3140" w14:textId="77777777" w:rsidR="00F23CA6" w:rsidRDefault="00F23CA6" w:rsidP="008D627B">
      <w:pPr>
        <w:jc w:val="both"/>
        <w:rPr>
          <w:rFonts w:ascii="Times New Roman" w:hAnsi="Times New Roman"/>
          <w:b/>
          <w:noProof/>
          <w:color w:val="231F20"/>
          <w:sz w:val="24"/>
          <w:u w:val="single" w:color="231F20"/>
        </w:rPr>
      </w:pPr>
    </w:p>
    <w:p w14:paraId="4F964461" w14:textId="5333B9DD" w:rsidR="00904506" w:rsidRPr="008D627B" w:rsidRDefault="00904506" w:rsidP="008D627B">
      <w:pPr>
        <w:jc w:val="both"/>
        <w:rPr>
          <w:rFonts w:ascii="Times New Roman" w:hAnsi="Times New Roman"/>
          <w:b/>
          <w:noProof/>
          <w:color w:val="231F20"/>
          <w:sz w:val="24"/>
        </w:rPr>
      </w:pPr>
      <w:r>
        <w:rPr>
          <w:rFonts w:ascii="Times New Roman" w:hAnsi="Times New Roman"/>
          <w:b/>
          <w:color w:val="231F20"/>
          <w:sz w:val="24"/>
          <w:u w:val="single" w:color="231F20"/>
        </w:rPr>
        <w:t>Saistoša vienošanās</w:t>
      </w:r>
      <w:r>
        <w:rPr>
          <w:rFonts w:ascii="Times New Roman" w:hAnsi="Times New Roman"/>
          <w:b/>
          <w:color w:val="231F20"/>
          <w:sz w:val="24"/>
        </w:rPr>
        <w:t xml:space="preserve"> – šajā standartā saistoša vienošanās ir vienošanās, kas piešķir pusēm izpildāmas tiesības un pienākumus tā, it kā tā būtu noslēgta kā līgums. Tā ietver tiesības no līgumiem vai citas likumīgas tiesības.</w:t>
      </w:r>
    </w:p>
    <w:p w14:paraId="11A75AFE" w14:textId="77777777" w:rsidR="00F23CA6" w:rsidRDefault="00F23CA6" w:rsidP="008D627B">
      <w:pPr>
        <w:jc w:val="both"/>
        <w:rPr>
          <w:rFonts w:ascii="Times New Roman" w:hAnsi="Times New Roman"/>
          <w:b/>
          <w:noProof/>
          <w:color w:val="231F20"/>
          <w:sz w:val="24"/>
          <w:u w:val="single" w:color="231F20"/>
        </w:rPr>
      </w:pPr>
    </w:p>
    <w:p w14:paraId="52CA0BFD" w14:textId="58640F2F" w:rsidR="00904506" w:rsidRPr="008D627B" w:rsidRDefault="00904506" w:rsidP="008D627B">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Konsolidētie finanšu pārskati</w:t>
      </w:r>
      <w:r>
        <w:rPr>
          <w:rFonts w:ascii="Times New Roman" w:hAnsi="Times New Roman"/>
          <w:b/>
          <w:color w:val="231F20"/>
          <w:sz w:val="24"/>
        </w:rPr>
        <w:t xml:space="preserve"> ir saimnieciskas institūcijas finanšu pārskati, kuros dati par kontrolējošās institūcijas un tās kontrolēto institūciju aktīviem, saistībām, neto aktīviem / pašu kapitālu, ieņēmumiem, izdevumiem un naudas plūsmām ir sniegti kā dati par vienu saimniecisko institūciju.</w:t>
      </w:r>
    </w:p>
    <w:p w14:paraId="146FC36B" w14:textId="77777777" w:rsidR="00F23CA6" w:rsidRDefault="00F23CA6" w:rsidP="008D627B">
      <w:pPr>
        <w:jc w:val="both"/>
        <w:rPr>
          <w:rFonts w:ascii="Times New Roman" w:eastAsia="Times New Roman" w:hAnsi="Times New Roman" w:cs="Times New Roman"/>
          <w:b/>
          <w:bCs/>
          <w:noProof/>
          <w:color w:val="231F20"/>
          <w:sz w:val="24"/>
          <w:szCs w:val="20"/>
        </w:rPr>
      </w:pPr>
    </w:p>
    <w:p w14:paraId="2C3ABF14" w14:textId="5C5A6F61" w:rsidR="00904506" w:rsidRPr="008D627B" w:rsidRDefault="00904506" w:rsidP="008D627B">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u w:val="single" w:color="231F20"/>
        </w:rPr>
        <w:t>Pašu kapitāla metode</w:t>
      </w:r>
      <w:r>
        <w:rPr>
          <w:rFonts w:ascii="Times New Roman" w:hAnsi="Times New Roman"/>
          <w:b/>
          <w:bCs/>
          <w:color w:val="231F20"/>
          <w:sz w:val="24"/>
          <w:szCs w:val="20"/>
        </w:rPr>
        <w:t xml:space="preserve"> ir uzskaites metode, ar kuru ieguldījumu sākotnēji atzīst atbilstoši izmaksu vērtībai un pēc tam koriģē, ņemot vērā izmaiņas, kas pēc iegūšanas notikušas ieguldītājam piederošajā asociētā uzņēmuma vai kopuzņēmuma ieguldījuma saņēmēja neto aktīvu / pašu kapitāla daļā. Ieguldītāja pārsniegumā vai iztrūkumā ietilpst tā daļa ieguldījuma saņēmēja pārsniegumā vai iztrūkumā, un ieguldītāja neto aktīvos / pašu kapitālā ietilpst ieguldītāja daļa tajās ieguldījuma saņēmēja neto aktīvu / pašu kapitāla izmaiņās, kuras nav atzītas ieguldījuma saņēmēja pārsniegumā vai iztrūkumā.</w:t>
      </w:r>
    </w:p>
    <w:p w14:paraId="44D8E71D" w14:textId="77777777" w:rsidR="00F23CA6" w:rsidRDefault="00F23CA6" w:rsidP="008D627B">
      <w:pPr>
        <w:jc w:val="both"/>
        <w:rPr>
          <w:rFonts w:ascii="Times New Roman" w:hAnsi="Times New Roman"/>
          <w:b/>
          <w:noProof/>
          <w:color w:val="231F20"/>
          <w:sz w:val="24"/>
        </w:rPr>
      </w:pPr>
    </w:p>
    <w:p w14:paraId="64C137C2" w14:textId="1EA897EB" w:rsidR="00904506" w:rsidRPr="008D627B" w:rsidRDefault="00904506" w:rsidP="008D627B">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Kopīga struktūra</w:t>
      </w:r>
      <w:r>
        <w:rPr>
          <w:rFonts w:ascii="Times New Roman" w:hAnsi="Times New Roman"/>
          <w:b/>
          <w:color w:val="231F20"/>
          <w:sz w:val="24"/>
        </w:rPr>
        <w:t xml:space="preserve"> ir struktūra, kurā divām vai vairākām pusēm ir kopīga kontrole.</w:t>
      </w:r>
    </w:p>
    <w:p w14:paraId="0A1FC0B6" w14:textId="77777777" w:rsidR="00F23CA6" w:rsidRDefault="00F23CA6" w:rsidP="008D627B">
      <w:pPr>
        <w:jc w:val="both"/>
        <w:rPr>
          <w:rFonts w:ascii="Times New Roman" w:hAnsi="Times New Roman"/>
          <w:b/>
          <w:noProof/>
          <w:color w:val="231F20"/>
          <w:sz w:val="24"/>
          <w:u w:val="single" w:color="231F20"/>
        </w:rPr>
      </w:pPr>
    </w:p>
    <w:p w14:paraId="6384F0FB" w14:textId="50272E15" w:rsidR="00904506" w:rsidRPr="008D627B" w:rsidRDefault="00904506" w:rsidP="008D627B">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Kopīga kontrole</w:t>
      </w:r>
      <w:r>
        <w:rPr>
          <w:rFonts w:ascii="Times New Roman" w:hAnsi="Times New Roman"/>
          <w:b/>
          <w:color w:val="231F20"/>
          <w:sz w:val="24"/>
        </w:rPr>
        <w:t xml:space="preserve"> ir saskaņota kontroles dalīšana attiecībā uz struktūru, izmantojot saistošu vienošanos, kas pastāv tikai tad, ja lēmumiem par atbilstošākajām darbībām nepieciešama kontroli dalošo pušu pilnīga vienprātība.</w:t>
      </w:r>
    </w:p>
    <w:p w14:paraId="0B7DABB2" w14:textId="77777777" w:rsidR="00F23CA6" w:rsidRDefault="00F23CA6" w:rsidP="008D627B">
      <w:pPr>
        <w:jc w:val="both"/>
        <w:rPr>
          <w:rFonts w:ascii="Times New Roman" w:hAnsi="Times New Roman"/>
          <w:b/>
          <w:noProof/>
          <w:color w:val="231F20"/>
          <w:sz w:val="24"/>
        </w:rPr>
      </w:pPr>
    </w:p>
    <w:p w14:paraId="7E1DAF69" w14:textId="7F30BADD" w:rsidR="00904506" w:rsidRPr="008D627B" w:rsidRDefault="00904506" w:rsidP="008D627B">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Kopuzņēmums</w:t>
      </w:r>
      <w:r>
        <w:rPr>
          <w:rFonts w:ascii="Times New Roman" w:hAnsi="Times New Roman"/>
          <w:b/>
          <w:color w:val="231F20"/>
          <w:sz w:val="24"/>
        </w:rPr>
        <w:t xml:space="preserve"> ir kopīga struktūra, kurā pusēm, kas kopīgi kontrolē šo struktūru, ir tiesības uz struktūras neto aktīviem.</w:t>
      </w:r>
    </w:p>
    <w:p w14:paraId="337BCEE3" w14:textId="77777777" w:rsidR="00F23CA6" w:rsidRDefault="00F23CA6" w:rsidP="008D627B">
      <w:pPr>
        <w:jc w:val="both"/>
        <w:rPr>
          <w:rFonts w:ascii="Times New Roman" w:hAnsi="Times New Roman"/>
          <w:b/>
          <w:noProof/>
          <w:color w:val="231F20"/>
          <w:sz w:val="24"/>
        </w:rPr>
      </w:pPr>
    </w:p>
    <w:p w14:paraId="53DF545E" w14:textId="6F30856E" w:rsidR="00904506" w:rsidRPr="008D627B" w:rsidRDefault="00904506" w:rsidP="008D627B">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Kopuzņēmuma dalībnieks</w:t>
      </w:r>
      <w:r>
        <w:rPr>
          <w:rFonts w:ascii="Times New Roman" w:hAnsi="Times New Roman"/>
          <w:b/>
          <w:color w:val="231F20"/>
          <w:sz w:val="24"/>
        </w:rPr>
        <w:t xml:space="preserve"> ir kopuzņēmuma puse, kas piedalās šā kopuzņēmuma kopīgā kontrolēšanā.</w:t>
      </w:r>
    </w:p>
    <w:p w14:paraId="752FE813" w14:textId="77777777" w:rsidR="00F23CA6" w:rsidRDefault="00F23CA6" w:rsidP="008D627B">
      <w:pPr>
        <w:jc w:val="both"/>
        <w:rPr>
          <w:rFonts w:ascii="Times New Roman" w:hAnsi="Times New Roman"/>
          <w:b/>
          <w:noProof/>
          <w:color w:val="231F20"/>
          <w:sz w:val="24"/>
          <w:u w:val="single" w:color="231F20"/>
        </w:rPr>
      </w:pPr>
    </w:p>
    <w:p w14:paraId="39B4727D" w14:textId="2FBCB31B" w:rsidR="00904506" w:rsidRPr="008D627B" w:rsidRDefault="00904506" w:rsidP="008D627B">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Būtiska ietekme</w:t>
      </w:r>
      <w:r>
        <w:rPr>
          <w:rFonts w:ascii="Times New Roman" w:hAnsi="Times New Roman"/>
          <w:b/>
          <w:color w:val="231F20"/>
          <w:sz w:val="24"/>
        </w:rPr>
        <w:t xml:space="preserve"> ir spēja piedalīties otras institūcijas finanšu un pamatdarbības politikas lēmumu pieņemšanā, bet tā nav šādas politikas kontrole vai kopīga kontrole.</w:t>
      </w:r>
    </w:p>
    <w:p w14:paraId="413EADF4" w14:textId="77777777" w:rsidR="00F23CA6" w:rsidRDefault="00F23CA6" w:rsidP="008D627B">
      <w:pPr>
        <w:jc w:val="both"/>
        <w:rPr>
          <w:rFonts w:ascii="Times New Roman" w:hAnsi="Times New Roman"/>
          <w:b/>
          <w:noProof/>
          <w:color w:val="231F20"/>
          <w:sz w:val="24"/>
        </w:rPr>
      </w:pPr>
    </w:p>
    <w:p w14:paraId="5A99052B" w14:textId="49E715DD" w:rsidR="00904506" w:rsidRPr="008D627B" w:rsidRDefault="00904506" w:rsidP="008D627B">
      <w:pPr>
        <w:jc w:val="both"/>
        <w:rPr>
          <w:rFonts w:ascii="Times New Roman" w:eastAsia="Times New Roman" w:hAnsi="Times New Roman" w:cs="Times New Roman"/>
          <w:noProof/>
          <w:sz w:val="24"/>
          <w:szCs w:val="20"/>
        </w:rPr>
      </w:pPr>
      <w:r>
        <w:rPr>
          <w:rFonts w:ascii="Times New Roman" w:hAnsi="Times New Roman"/>
          <w:b/>
          <w:color w:val="231F20"/>
          <w:sz w:val="24"/>
        </w:rPr>
        <w:t xml:space="preserve">Citos </w:t>
      </w:r>
      <w:r>
        <w:rPr>
          <w:rFonts w:ascii="Times New Roman" w:hAnsi="Times New Roman"/>
          <w:b/>
          <w:i/>
          <w:iCs/>
          <w:color w:val="231F20"/>
          <w:sz w:val="24"/>
        </w:rPr>
        <w:t>IPSAS</w:t>
      </w:r>
      <w:r>
        <w:rPr>
          <w:rFonts w:ascii="Times New Roman" w:hAnsi="Times New Roman"/>
          <w:b/>
          <w:color w:val="231F20"/>
          <w:sz w:val="24"/>
        </w:rPr>
        <w:t xml:space="preserve"> definētie termini šajā standartā tiek lietoti tādā pašā nozīmē kā minētajos standartos, un tie ir norādīti definēto terminu skaidrojumā, kuru publicē atsevišķi. Turpmāk norādītie termini ir noteikti </w:t>
      </w:r>
      <w:r>
        <w:rPr>
          <w:rFonts w:ascii="Times New Roman" w:hAnsi="Times New Roman"/>
          <w:b/>
          <w:i/>
          <w:iCs/>
          <w:color w:val="231F20"/>
          <w:sz w:val="24"/>
        </w:rPr>
        <w:t>IPSAS</w:t>
      </w:r>
      <w:r>
        <w:rPr>
          <w:rFonts w:ascii="Times New Roman" w:hAnsi="Times New Roman"/>
          <w:b/>
          <w:color w:val="231F20"/>
          <w:sz w:val="24"/>
        </w:rPr>
        <w:t xml:space="preserve"> 34 “Atsevišķie finanšu pārskati”, </w:t>
      </w:r>
      <w:r>
        <w:rPr>
          <w:rFonts w:ascii="Times New Roman" w:hAnsi="Times New Roman"/>
          <w:b/>
          <w:i/>
          <w:iCs/>
          <w:color w:val="231F20"/>
          <w:sz w:val="24"/>
        </w:rPr>
        <w:t>IPSAS</w:t>
      </w:r>
      <w:r>
        <w:rPr>
          <w:rFonts w:ascii="Times New Roman" w:hAnsi="Times New Roman"/>
          <w:b/>
          <w:color w:val="231F20"/>
          <w:sz w:val="24"/>
        </w:rPr>
        <w:t xml:space="preserve"> 35 “Konsolidētie finanšu pārskati” vai </w:t>
      </w:r>
      <w:r>
        <w:rPr>
          <w:rFonts w:ascii="Times New Roman" w:hAnsi="Times New Roman"/>
          <w:b/>
          <w:i/>
          <w:iCs/>
          <w:color w:val="231F20"/>
          <w:sz w:val="24"/>
        </w:rPr>
        <w:t>IPSAS</w:t>
      </w:r>
      <w:r>
        <w:rPr>
          <w:rFonts w:ascii="Times New Roman" w:hAnsi="Times New Roman"/>
          <w:b/>
          <w:color w:val="231F20"/>
          <w:sz w:val="24"/>
        </w:rPr>
        <w:t> 37 “Kopīgas struktūras”: labumi, kontrole, kontrolētā institūcija, kontrolējošā institūcija, saimnieciskā institūcija, ieguldījumu institūcija, kopīga darbība, vara un atsevišķie finanšu pārskati.</w:t>
      </w:r>
    </w:p>
    <w:p w14:paraId="0636D9E3" w14:textId="77777777" w:rsidR="008D627B" w:rsidRPr="008D627B" w:rsidRDefault="008D627B" w:rsidP="008D627B">
      <w:pPr>
        <w:jc w:val="both"/>
        <w:rPr>
          <w:rFonts w:ascii="Times New Roman" w:eastAsia="Times New Roman" w:hAnsi="Times New Roman" w:cs="Times New Roman"/>
          <w:noProof/>
          <w:sz w:val="24"/>
          <w:szCs w:val="20"/>
        </w:rPr>
      </w:pPr>
    </w:p>
    <w:p w14:paraId="08E0F7DF" w14:textId="77777777" w:rsidR="00904506" w:rsidRPr="008D627B" w:rsidRDefault="00904506" w:rsidP="008D627B">
      <w:pPr>
        <w:pStyle w:val="Virsraksts1"/>
        <w:ind w:left="0"/>
        <w:jc w:val="both"/>
        <w:rPr>
          <w:noProof/>
          <w:color w:val="231F20"/>
        </w:rPr>
      </w:pPr>
      <w:r>
        <w:rPr>
          <w:color w:val="231F20"/>
        </w:rPr>
        <w:t>Saistoša vienošanās</w:t>
      </w:r>
      <w:bookmarkStart w:id="3" w:name="_bookmark3"/>
      <w:bookmarkEnd w:id="3"/>
    </w:p>
    <w:p w14:paraId="665E649A" w14:textId="77777777" w:rsidR="00F23CA6" w:rsidRDefault="00F23CA6" w:rsidP="00F23CA6">
      <w:pPr>
        <w:pStyle w:val="Pamatteksts"/>
        <w:tabs>
          <w:tab w:val="left" w:pos="820"/>
        </w:tabs>
        <w:spacing w:before="0"/>
        <w:ind w:left="0"/>
        <w:jc w:val="both"/>
        <w:rPr>
          <w:noProof/>
          <w:color w:val="231F20"/>
          <w:sz w:val="24"/>
        </w:rPr>
      </w:pPr>
    </w:p>
    <w:p w14:paraId="3991E819" w14:textId="0F8FDFA0" w:rsidR="00904506" w:rsidRPr="008D627B" w:rsidRDefault="00F23CA6" w:rsidP="00F23CA6">
      <w:pPr>
        <w:pStyle w:val="Pamatteksts"/>
        <w:tabs>
          <w:tab w:val="left" w:pos="820"/>
        </w:tabs>
        <w:spacing w:before="0"/>
        <w:ind w:left="0"/>
        <w:jc w:val="both"/>
        <w:rPr>
          <w:noProof/>
          <w:color w:val="231F20"/>
          <w:sz w:val="24"/>
        </w:rPr>
      </w:pPr>
      <w:r>
        <w:rPr>
          <w:color w:val="231F20"/>
          <w:sz w:val="24"/>
        </w:rPr>
        <w:t>9. Par saistošu vienošanos pastāvēšanu var liecināt vairāki apstākļi. Saistoša vienošanās bieži, bet ne vienmēr ir sagatavota rakstiski pušu savstarpēja līguma vai pušu apspriedes protokola formā. Izpildāmas saistības, kas līdzinās līgumiskām saistībām un tiek noteiktas atsevišķi vai kopā ar pušu savstarpējiem līgumiem, var radīt arī likumā noteikti mehānismi, piemēram, likumdevēja varas vai izpildvaras mehānismi.</w:t>
      </w:r>
    </w:p>
    <w:p w14:paraId="2D81E8DD" w14:textId="77777777" w:rsidR="00904506" w:rsidRPr="008D627B" w:rsidRDefault="00904506" w:rsidP="008D627B">
      <w:pPr>
        <w:jc w:val="both"/>
        <w:rPr>
          <w:rFonts w:ascii="Times New Roman" w:eastAsia="Times New Roman" w:hAnsi="Times New Roman" w:cs="Times New Roman"/>
          <w:noProof/>
          <w:sz w:val="24"/>
          <w:szCs w:val="15"/>
        </w:rPr>
      </w:pPr>
    </w:p>
    <w:p w14:paraId="6BCF41B2" w14:textId="295B5409" w:rsidR="00904506" w:rsidRPr="008D627B" w:rsidRDefault="00904506" w:rsidP="008D627B">
      <w:pPr>
        <w:pStyle w:val="Virsraksts1"/>
        <w:ind w:left="0"/>
        <w:jc w:val="both"/>
        <w:rPr>
          <w:noProof/>
          <w:color w:val="231F20"/>
        </w:rPr>
      </w:pPr>
      <w:r>
        <w:rPr>
          <w:color w:val="231F20"/>
        </w:rPr>
        <w:t>Būtiska ietekme</w:t>
      </w:r>
      <w:bookmarkStart w:id="4" w:name="_bookmark4"/>
      <w:bookmarkEnd w:id="4"/>
    </w:p>
    <w:p w14:paraId="0A3B0F77" w14:textId="77777777" w:rsidR="00F23CA6" w:rsidRDefault="00F23CA6" w:rsidP="00F23CA6">
      <w:pPr>
        <w:pStyle w:val="Pamatteksts"/>
        <w:tabs>
          <w:tab w:val="left" w:pos="820"/>
        </w:tabs>
        <w:spacing w:before="0"/>
        <w:ind w:left="0"/>
        <w:jc w:val="both"/>
        <w:rPr>
          <w:noProof/>
          <w:color w:val="231F20"/>
          <w:sz w:val="24"/>
        </w:rPr>
      </w:pPr>
    </w:p>
    <w:p w14:paraId="09183A96" w14:textId="2DB513C2" w:rsidR="00904506" w:rsidRPr="008D627B" w:rsidRDefault="00F23CA6" w:rsidP="00F23CA6">
      <w:pPr>
        <w:pStyle w:val="Pamatteksts"/>
        <w:tabs>
          <w:tab w:val="left" w:pos="820"/>
        </w:tabs>
        <w:spacing w:before="0"/>
        <w:ind w:left="0"/>
        <w:jc w:val="both"/>
        <w:rPr>
          <w:noProof/>
          <w:color w:val="231F20"/>
          <w:sz w:val="24"/>
        </w:rPr>
      </w:pPr>
      <w:r>
        <w:rPr>
          <w:color w:val="231F20"/>
          <w:sz w:val="24"/>
        </w:rPr>
        <w:t xml:space="preserve">10. To, vai ieguldītājam ir būtiska ietekme uz ieguldījuma saņēmēju, nosaka, pamatojoties uz </w:t>
      </w:r>
      <w:r>
        <w:rPr>
          <w:color w:val="231F20"/>
          <w:sz w:val="24"/>
        </w:rPr>
        <w:lastRenderedPageBreak/>
        <w:t>ieguldītāja un ieguldījuma saņēmēja savstarpējo attiecību būtību un būtiskas ietekmes definīciju, kas sniegta šajā standartā. Šis standarts ir piemērojams tikai attiecībā uz tiem asociētajiem uzņēmumiem, kuros institūcijai ir skaitliski novērtējama līdzdalība akciju vai citas formālas pašu kapitāla struktūras veidā, vai citā formā, kurā var ticami novērtēt institūcijas līdzdalību.</w:t>
      </w:r>
    </w:p>
    <w:p w14:paraId="1760B920" w14:textId="77777777" w:rsidR="00F23CA6" w:rsidRDefault="00F23CA6" w:rsidP="00F23CA6">
      <w:pPr>
        <w:pStyle w:val="Pamatteksts"/>
        <w:tabs>
          <w:tab w:val="left" w:pos="820"/>
        </w:tabs>
        <w:spacing w:before="0"/>
        <w:ind w:left="0"/>
        <w:jc w:val="both"/>
        <w:rPr>
          <w:noProof/>
          <w:color w:val="231F20"/>
          <w:sz w:val="24"/>
        </w:rPr>
      </w:pPr>
    </w:p>
    <w:p w14:paraId="018C35C8" w14:textId="44A03223" w:rsidR="00904506" w:rsidRPr="008D627B" w:rsidRDefault="00F23CA6" w:rsidP="00F23CA6">
      <w:pPr>
        <w:pStyle w:val="Pamatteksts"/>
        <w:tabs>
          <w:tab w:val="left" w:pos="820"/>
        </w:tabs>
        <w:spacing w:before="0"/>
        <w:ind w:left="0"/>
        <w:jc w:val="both"/>
        <w:rPr>
          <w:noProof/>
          <w:color w:val="231F20"/>
          <w:sz w:val="24"/>
        </w:rPr>
      </w:pPr>
      <w:r>
        <w:rPr>
          <w:color w:val="231F20"/>
          <w:sz w:val="24"/>
        </w:rPr>
        <w:t>11. Ja institūcijai ir skaitliski novērtējama līdzdalība un tai tieši vai netieši (piemēram, ar kontrolētu institūciju starpniecību) pieder ne mazāk par 20 procentiem no ieguldījuma saņēmēja balsstiesībām, tiek pieņemts, ka šādai institūcijai ir būtiska ietekme, ja vien nevar skaidri pierādīt, ka tai nav šādas ietekmes. Ja savukārt institūcijai tieši vai netieši (piemēram, ar kontrolētu institūciju starpniecību) pieder mazāk par 20 procentiem no ieguldījuma saņēmēja balsstiesībām, tiek pieņemts, ka šādai institūcijai nav būtiskas ietekmes, ja vien nevar skaidri pierādīt, ka tai ir šāda ietekme. Tas, ka citam ieguldītājam ir ievērojama līdzdalība vai vairākuma līdzdalība, ne vienmēr nozīmē, ka institūcijai nevar būt būtiska ietekme.</w:t>
      </w:r>
    </w:p>
    <w:p w14:paraId="728C958F" w14:textId="77777777" w:rsidR="00F23CA6" w:rsidRDefault="00F23CA6" w:rsidP="00F23CA6">
      <w:pPr>
        <w:pStyle w:val="Pamatteksts"/>
        <w:tabs>
          <w:tab w:val="left" w:pos="820"/>
        </w:tabs>
        <w:spacing w:before="0"/>
        <w:ind w:left="0"/>
        <w:jc w:val="both"/>
        <w:rPr>
          <w:noProof/>
          <w:color w:val="231F20"/>
          <w:sz w:val="24"/>
        </w:rPr>
      </w:pPr>
    </w:p>
    <w:p w14:paraId="14CC9D77" w14:textId="0EFAC41B" w:rsidR="00904506" w:rsidRPr="008D627B" w:rsidRDefault="00F23CA6" w:rsidP="00F23CA6">
      <w:pPr>
        <w:pStyle w:val="Pamatteksts"/>
        <w:tabs>
          <w:tab w:val="left" w:pos="820"/>
        </w:tabs>
        <w:spacing w:before="0"/>
        <w:ind w:left="0"/>
        <w:jc w:val="both"/>
        <w:rPr>
          <w:noProof/>
          <w:color w:val="231F20"/>
          <w:sz w:val="24"/>
        </w:rPr>
      </w:pPr>
      <w:r>
        <w:rPr>
          <w:color w:val="231F20"/>
          <w:sz w:val="24"/>
        </w:rPr>
        <w:t>12. Par to, ka institūcijai ir būtiska ietekme, parasti liecina viens vai vairāki šādi apstākļi:</w:t>
      </w:r>
    </w:p>
    <w:p w14:paraId="1077CE2A" w14:textId="77777777" w:rsidR="00F23CA6" w:rsidRDefault="00F23CA6" w:rsidP="00F23CA6">
      <w:pPr>
        <w:pStyle w:val="Pamatteksts"/>
        <w:tabs>
          <w:tab w:val="left" w:pos="1340"/>
        </w:tabs>
        <w:spacing w:before="0"/>
        <w:ind w:left="0"/>
        <w:jc w:val="both"/>
        <w:rPr>
          <w:noProof/>
          <w:color w:val="231F20"/>
          <w:sz w:val="24"/>
        </w:rPr>
      </w:pPr>
    </w:p>
    <w:p w14:paraId="08C1AB7C" w14:textId="6A2E6B08" w:rsidR="00904506" w:rsidRPr="008D627B" w:rsidRDefault="00F23CA6" w:rsidP="00F23CA6">
      <w:pPr>
        <w:pStyle w:val="Pamatteksts"/>
        <w:tabs>
          <w:tab w:val="left" w:pos="1340"/>
        </w:tabs>
        <w:spacing w:before="0"/>
        <w:ind w:left="0"/>
        <w:jc w:val="both"/>
        <w:rPr>
          <w:noProof/>
          <w:color w:val="231F20"/>
          <w:sz w:val="24"/>
        </w:rPr>
      </w:pPr>
      <w:r>
        <w:rPr>
          <w:color w:val="231F20"/>
          <w:sz w:val="24"/>
        </w:rPr>
        <w:t>a) pārstāvība ieguldījuma saņēmēja valdē vai līdzvērtīgā vadības struktūrā;</w:t>
      </w:r>
    </w:p>
    <w:p w14:paraId="08DC71F1" w14:textId="2689CAE7" w:rsidR="00904506" w:rsidRPr="008D627B" w:rsidRDefault="00F23CA6" w:rsidP="00F23CA6">
      <w:pPr>
        <w:pStyle w:val="Pamatteksts"/>
        <w:tabs>
          <w:tab w:val="left" w:pos="1340"/>
        </w:tabs>
        <w:spacing w:before="0"/>
        <w:ind w:left="0"/>
        <w:jc w:val="both"/>
        <w:rPr>
          <w:noProof/>
          <w:color w:val="231F20"/>
          <w:sz w:val="24"/>
        </w:rPr>
      </w:pPr>
      <w:r>
        <w:rPr>
          <w:color w:val="231F20"/>
          <w:sz w:val="24"/>
        </w:rPr>
        <w:t>b) līdzdalība politikas veidošanas procesos, tostarp līdzdalība lēmumu pieņemšanā par dividendēm vai līdzīgu peļņas sadali;</w:t>
      </w:r>
    </w:p>
    <w:p w14:paraId="0C0BDF61" w14:textId="3AD1B58C" w:rsidR="00904506" w:rsidRPr="008D627B" w:rsidRDefault="00F23CA6" w:rsidP="00F23CA6">
      <w:pPr>
        <w:pStyle w:val="Pamatteksts"/>
        <w:tabs>
          <w:tab w:val="left" w:pos="1340"/>
        </w:tabs>
        <w:spacing w:before="0"/>
        <w:ind w:left="0"/>
        <w:jc w:val="both"/>
        <w:rPr>
          <w:noProof/>
          <w:color w:val="231F20"/>
          <w:sz w:val="24"/>
        </w:rPr>
      </w:pPr>
      <w:r>
        <w:rPr>
          <w:color w:val="231F20"/>
          <w:sz w:val="24"/>
        </w:rPr>
        <w:t>c) būtiski darījumi starp institūciju un tās ieguldījuma saņēmēju;</w:t>
      </w:r>
    </w:p>
    <w:p w14:paraId="3E8541E3" w14:textId="2C8E5B08" w:rsidR="00904506" w:rsidRPr="008D627B" w:rsidRDefault="00F23CA6" w:rsidP="00F23CA6">
      <w:pPr>
        <w:pStyle w:val="Pamatteksts"/>
        <w:tabs>
          <w:tab w:val="left" w:pos="1340"/>
        </w:tabs>
        <w:spacing w:before="0"/>
        <w:ind w:left="0"/>
        <w:jc w:val="both"/>
        <w:rPr>
          <w:noProof/>
          <w:color w:val="231F20"/>
          <w:sz w:val="24"/>
        </w:rPr>
      </w:pPr>
      <w:r>
        <w:rPr>
          <w:color w:val="231F20"/>
          <w:sz w:val="24"/>
        </w:rPr>
        <w:t>d) vadības personāla savstarpējā apmaiņa vai</w:t>
      </w:r>
    </w:p>
    <w:p w14:paraId="193D7D68" w14:textId="3A030875" w:rsidR="00904506" w:rsidRPr="008D627B" w:rsidRDefault="00F23CA6" w:rsidP="00F23CA6">
      <w:pPr>
        <w:pStyle w:val="Pamatteksts"/>
        <w:tabs>
          <w:tab w:val="left" w:pos="1340"/>
        </w:tabs>
        <w:spacing w:before="0"/>
        <w:ind w:left="0"/>
        <w:jc w:val="both"/>
        <w:rPr>
          <w:noProof/>
          <w:color w:val="231F20"/>
          <w:sz w:val="24"/>
        </w:rPr>
      </w:pPr>
      <w:r>
        <w:rPr>
          <w:color w:val="231F20"/>
          <w:sz w:val="24"/>
        </w:rPr>
        <w:t>e) būtiskās tehniskās informācijas sniegšana.</w:t>
      </w:r>
    </w:p>
    <w:p w14:paraId="7B861736" w14:textId="77777777" w:rsidR="00F23CA6" w:rsidRDefault="00F23CA6" w:rsidP="00F23CA6">
      <w:pPr>
        <w:pStyle w:val="Pamatteksts"/>
        <w:tabs>
          <w:tab w:val="left" w:pos="820"/>
        </w:tabs>
        <w:spacing w:before="0"/>
        <w:ind w:left="0"/>
        <w:jc w:val="both"/>
        <w:rPr>
          <w:noProof/>
          <w:color w:val="231F20"/>
          <w:sz w:val="24"/>
        </w:rPr>
      </w:pPr>
    </w:p>
    <w:p w14:paraId="6A07B599" w14:textId="7B389670" w:rsidR="00904506" w:rsidRPr="008D627B" w:rsidRDefault="00F23CA6" w:rsidP="00F23CA6">
      <w:pPr>
        <w:pStyle w:val="Pamatteksts"/>
        <w:tabs>
          <w:tab w:val="left" w:pos="820"/>
        </w:tabs>
        <w:spacing w:before="0"/>
        <w:ind w:left="0"/>
        <w:jc w:val="both"/>
        <w:rPr>
          <w:noProof/>
          <w:color w:val="231F20"/>
          <w:sz w:val="24"/>
        </w:rPr>
      </w:pPr>
      <w:r>
        <w:rPr>
          <w:color w:val="231F20"/>
          <w:sz w:val="24"/>
        </w:rPr>
        <w:t>13. Institūcijai var piederēt akciju garantijas, akciju pirkšanas iespēju līgumi, parāda vai pašu kapitāla instrumenti, kas ir pārvēršami parastās akcijās, vai citi līdzīgi instrumenti, kas izmantošanas vai pārvēršanas gadījumā var dot institūcijai papildu balsstiesības vai samazināt citas puses balsstiesības attiecībā uz otras institūcijas finanšu un pamatdarbības politiku (t. i., potenciālās balsstiesības). Kad tiek novērtēts, vai institūcijai ir būtiska ietekme, ņem vērā to potenciālo balsstiesību esību un ietekmi, kuras noteiktajā laikā ir īstenojamas vai pārvēršamas, tostarp potenciālās balsstiesības, kas pieder citām institūcijām. Potenciālās balsstiesības noteiktajā laikā nav īstenojamas vai pārvēršamas, ja, piemēram, tās nav iespējams īstenot vai pārvērst līdz nākotnes datumam vai līdz brīdim, kad notiks kāds nākotnes notikums.</w:t>
      </w:r>
    </w:p>
    <w:p w14:paraId="4F8C19C8" w14:textId="77777777" w:rsidR="00F23CA6" w:rsidRDefault="00F23CA6" w:rsidP="00F23CA6">
      <w:pPr>
        <w:pStyle w:val="Pamatteksts"/>
        <w:tabs>
          <w:tab w:val="left" w:pos="820"/>
        </w:tabs>
        <w:spacing w:before="0"/>
        <w:ind w:left="0"/>
        <w:jc w:val="both"/>
        <w:rPr>
          <w:noProof/>
          <w:color w:val="231F20"/>
          <w:sz w:val="24"/>
        </w:rPr>
      </w:pPr>
    </w:p>
    <w:p w14:paraId="44CE8E31" w14:textId="2D5A20C5" w:rsidR="00904506" w:rsidRPr="008D627B" w:rsidRDefault="00F23CA6" w:rsidP="00F23CA6">
      <w:pPr>
        <w:pStyle w:val="Pamatteksts"/>
        <w:tabs>
          <w:tab w:val="left" w:pos="820"/>
        </w:tabs>
        <w:spacing w:before="0"/>
        <w:ind w:left="0"/>
        <w:jc w:val="both"/>
        <w:rPr>
          <w:noProof/>
          <w:color w:val="231F20"/>
          <w:sz w:val="24"/>
        </w:rPr>
      </w:pPr>
      <w:r>
        <w:rPr>
          <w:color w:val="231F20"/>
          <w:sz w:val="24"/>
        </w:rPr>
        <w:t>14. Kad institūcija novērtē to, vai potenciālās balsstiesības sekmē būtisku ietekmi, tā pārbauda visus faktus un apstākļus (tostarp potenciālo balsstiesību un jebkādu citu saistošu vienošanos izmantošanas nosacījumus, izskatot tos atsevišķi vai kopā), kuri ietekmē potenciālās tiesības, izņemot vadības nodomus un finansiālās iespējas īstenot vai pārvērst šīs potenciālās tiesības.</w:t>
      </w:r>
    </w:p>
    <w:p w14:paraId="3A890EFF" w14:textId="77777777" w:rsidR="00F23CA6" w:rsidRDefault="00F23CA6" w:rsidP="00F23CA6">
      <w:pPr>
        <w:pStyle w:val="Pamatteksts"/>
        <w:tabs>
          <w:tab w:val="left" w:pos="820"/>
        </w:tabs>
        <w:spacing w:before="0"/>
        <w:ind w:left="0"/>
        <w:jc w:val="both"/>
        <w:rPr>
          <w:noProof/>
          <w:color w:val="231F20"/>
          <w:sz w:val="24"/>
        </w:rPr>
      </w:pPr>
    </w:p>
    <w:p w14:paraId="4331BEF3" w14:textId="54214640" w:rsidR="00904506" w:rsidRPr="008D627B" w:rsidRDefault="00F23CA6" w:rsidP="00F23CA6">
      <w:pPr>
        <w:pStyle w:val="Pamatteksts"/>
        <w:tabs>
          <w:tab w:val="left" w:pos="820"/>
        </w:tabs>
        <w:spacing w:before="0"/>
        <w:ind w:left="0"/>
        <w:jc w:val="both"/>
        <w:rPr>
          <w:noProof/>
          <w:color w:val="231F20"/>
          <w:sz w:val="24"/>
        </w:rPr>
      </w:pPr>
      <w:r>
        <w:rPr>
          <w:color w:val="231F20"/>
          <w:sz w:val="24"/>
        </w:rPr>
        <w:t>15. Institūcija zaudē būtisku ietekmi pār ieguldījuma saņēmēju, kad tā zaudē tiesības piedalīties šā ieguldījuma saņēmēja finanšu un pamatdarbības politikas lēmumu pieņemšanā. Būtiska ietekme var tikt zaudēta līdz ar izmaiņām absolūtajos vai relatīvajos līdzdalības apmēros vai bez šādām izmaiņām. Tas var notikt, piemēram, kad asociētais uzņēmums nonāk citas valdības, tiesas vai administratora pakļautībā. Tas var notikt arī saistošas vienošanās rezultātā.</w:t>
      </w:r>
    </w:p>
    <w:p w14:paraId="66773F40" w14:textId="77777777" w:rsidR="00904506" w:rsidRPr="008D627B" w:rsidRDefault="00904506" w:rsidP="008D627B">
      <w:pPr>
        <w:jc w:val="both"/>
        <w:rPr>
          <w:rFonts w:ascii="Times New Roman" w:eastAsia="Times New Roman" w:hAnsi="Times New Roman" w:cs="Times New Roman"/>
          <w:noProof/>
          <w:sz w:val="24"/>
          <w:szCs w:val="15"/>
        </w:rPr>
      </w:pPr>
    </w:p>
    <w:p w14:paraId="07C26554" w14:textId="77777777" w:rsidR="00904506" w:rsidRPr="008D627B" w:rsidRDefault="00904506" w:rsidP="008D627B">
      <w:pPr>
        <w:pStyle w:val="Virsraksts1"/>
        <w:ind w:left="0"/>
        <w:jc w:val="both"/>
        <w:rPr>
          <w:noProof/>
          <w:color w:val="231F20"/>
        </w:rPr>
      </w:pPr>
      <w:r>
        <w:rPr>
          <w:color w:val="231F20"/>
        </w:rPr>
        <w:t>Pašu kapitāla metode</w:t>
      </w:r>
      <w:bookmarkStart w:id="5" w:name="_bookmark5"/>
      <w:bookmarkEnd w:id="5"/>
    </w:p>
    <w:p w14:paraId="23A3408F" w14:textId="77777777" w:rsidR="00F23CA6" w:rsidRDefault="00F23CA6" w:rsidP="00F23CA6">
      <w:pPr>
        <w:pStyle w:val="Pamatteksts"/>
        <w:tabs>
          <w:tab w:val="left" w:pos="820"/>
        </w:tabs>
        <w:spacing w:before="0"/>
        <w:ind w:left="0"/>
        <w:jc w:val="both"/>
        <w:rPr>
          <w:noProof/>
          <w:color w:val="231F20"/>
          <w:sz w:val="24"/>
        </w:rPr>
      </w:pPr>
    </w:p>
    <w:p w14:paraId="47B5EA48" w14:textId="116A5BC8" w:rsidR="00904506" w:rsidRPr="008D627B" w:rsidRDefault="00F23CA6" w:rsidP="00F23CA6">
      <w:pPr>
        <w:pStyle w:val="Pamatteksts"/>
        <w:tabs>
          <w:tab w:val="left" w:pos="820"/>
        </w:tabs>
        <w:spacing w:before="0"/>
        <w:ind w:left="0"/>
        <w:jc w:val="both"/>
        <w:rPr>
          <w:noProof/>
          <w:color w:val="231F20"/>
          <w:sz w:val="24"/>
        </w:rPr>
      </w:pPr>
      <w:r>
        <w:rPr>
          <w:color w:val="231F20"/>
          <w:sz w:val="24"/>
        </w:rPr>
        <w:t xml:space="preserve">16. Piemērojot pašu kapitāla metodi, sākotnējā atzīšanā ieguldījums asociētajā uzņēmumā vai kopuzņēmumā tiek atzīts atbilstoši izmaksu vērtībai un uzskaites vērtība tiek palielināta vai </w:t>
      </w:r>
      <w:r>
        <w:rPr>
          <w:color w:val="231F20"/>
          <w:sz w:val="24"/>
        </w:rPr>
        <w:lastRenderedPageBreak/>
        <w:t>samazināta, lai atzītu ieguldītāja daļu ieguldījuma saņēmēja pārsniegumā vai iztrūkumā pēc iegūšanas datuma. Ieguldītāja daļa ieguldījuma saņēmēja pārsniegumā vai iztrūkumā tiek atzīta ieguldītāja pārsniegumā vai iztrūkumā. Peļņas sadale, kas saņemta no ieguldījuma saņēmēja, samazina ieguldījuma uzskaites vērtību. Uzskaites vērtības korekcijas var būt vajadzīgas arī attiecībā uz izmaiņām ieguldītāja proporcionālajā līdzdalībā ieguldījuma saņēmējā, kas rodas no tām izmaiņām ieguldījuma saņēmēja pašu kapitālā, kuras nav atzītas ieguldījuma saņēmēja pārsniegumā vai iztrūkumā. Šādas izmaiņas ietver izmaiņas, kas izriet no pamatlīdzekļu pārvērtēšanas un no ārvalsts valūtas pārrēķināšanas atšķirībām. Ieguldītāja daļu šādās izmaiņās atzīst ieguldītāja neto aktīvos / pašu kapitālā.</w:t>
      </w:r>
    </w:p>
    <w:p w14:paraId="4133484B" w14:textId="77777777" w:rsidR="00F23CA6" w:rsidRDefault="00F23CA6" w:rsidP="00F23CA6">
      <w:pPr>
        <w:pStyle w:val="Pamatteksts"/>
        <w:tabs>
          <w:tab w:val="left" w:pos="820"/>
        </w:tabs>
        <w:spacing w:before="0"/>
        <w:ind w:left="0"/>
        <w:jc w:val="both"/>
        <w:rPr>
          <w:noProof/>
          <w:color w:val="231F20"/>
          <w:sz w:val="24"/>
        </w:rPr>
      </w:pPr>
    </w:p>
    <w:p w14:paraId="28E9B0C9" w14:textId="5638DA1B" w:rsidR="00904506" w:rsidRPr="008D627B" w:rsidRDefault="00F23CA6" w:rsidP="00F23CA6">
      <w:pPr>
        <w:pStyle w:val="Pamatteksts"/>
        <w:tabs>
          <w:tab w:val="left" w:pos="820"/>
        </w:tabs>
        <w:spacing w:before="0"/>
        <w:ind w:left="0"/>
        <w:jc w:val="both"/>
        <w:rPr>
          <w:noProof/>
          <w:color w:val="231F20"/>
          <w:sz w:val="24"/>
        </w:rPr>
      </w:pPr>
      <w:r>
        <w:rPr>
          <w:color w:val="231F20"/>
          <w:sz w:val="24"/>
        </w:rPr>
        <w:t>17. Ieņēmumu atzīšana, pamatojoties uz saņemto peļņas sadali, var nebūt atbilstošs to ieņēmumu novērtējums, kurus ieguldītājs guvis no ieguldījuma asociētajā uzņēmumā vai kopuzņēmumā, jo saņemtajai peļņas sadalei var būt maza saistība ar asociētā uzņēmuma vai kopuzņēmuma darbības rezultātiem. Tā kā ieguldītājs kopīgi kontrolē ieguldījuma saņēmēju vai tam ir būtiska ietekme uz šo ieguldījuma saņēmēju, ieguldītājam ir līdzdalības daļa asociētā uzņēmuma vai kopuzņēmuma darbības rezultātos un tādējādi ieņēmumi no sava ieguldījuma. Ieguldītājs uzskaita šo līdzdalības daļu, paplašinot savu finanšu pārskatu tvērumu tā, lai iekļautu tajos savu daļu no šāda ieguldījuma saņēmēja pārsnieguma vai iztrūkuma. Rezultātā pašu kapitāla metodes piemērošana nodrošina saturīgāku pārskatu par ieguldītāja neto aktīviem / pašu kapitālu un pārsniegumu vai iztrūkumu.</w:t>
      </w:r>
    </w:p>
    <w:p w14:paraId="4C86CEC7" w14:textId="77777777" w:rsidR="00904506" w:rsidRPr="008D627B" w:rsidRDefault="00904506" w:rsidP="008D627B">
      <w:pPr>
        <w:jc w:val="both"/>
        <w:rPr>
          <w:rFonts w:ascii="Times New Roman" w:eastAsia="Times New Roman" w:hAnsi="Times New Roman" w:cs="Times New Roman"/>
          <w:noProof/>
          <w:sz w:val="24"/>
          <w:szCs w:val="19"/>
        </w:rPr>
      </w:pPr>
    </w:p>
    <w:p w14:paraId="6AB79204" w14:textId="5B83F11C" w:rsidR="00904506" w:rsidRPr="008D627B" w:rsidRDefault="00F23CA6" w:rsidP="00F23CA6">
      <w:pPr>
        <w:pStyle w:val="Pamatteksts"/>
        <w:tabs>
          <w:tab w:val="left" w:pos="820"/>
        </w:tabs>
        <w:spacing w:before="0"/>
        <w:ind w:left="0"/>
        <w:jc w:val="both"/>
        <w:rPr>
          <w:noProof/>
          <w:color w:val="231F20"/>
          <w:sz w:val="24"/>
        </w:rPr>
      </w:pPr>
      <w:r>
        <w:rPr>
          <w:color w:val="231F20"/>
          <w:sz w:val="24"/>
        </w:rPr>
        <w:t>18. Ja pastāv potenciālās balsstiesības vai citi atvasinātie instrumenti, kuros iekļautas potenciālās balsstiesības, institūcijas līdzdalību asociētajā uzņēmumā vai kopuzņēmumā nosaka, pamatojoties vienīgi uz pastāvošo līdzdalību, un tā neatspoguļo potenciālo balsstiesību un citu atvasināto instrumentu iespējamo izmantošanu vai pārvēršanu, ja vien nav jāpiemēro 19. punkts.</w:t>
      </w:r>
    </w:p>
    <w:p w14:paraId="766F8C55" w14:textId="77777777" w:rsidR="00F23CA6" w:rsidRDefault="00F23CA6" w:rsidP="00F23CA6">
      <w:pPr>
        <w:pStyle w:val="Pamatteksts"/>
        <w:tabs>
          <w:tab w:val="left" w:pos="820"/>
        </w:tabs>
        <w:spacing w:before="0"/>
        <w:ind w:left="0"/>
        <w:jc w:val="both"/>
        <w:rPr>
          <w:noProof/>
          <w:color w:val="231F20"/>
          <w:sz w:val="24"/>
        </w:rPr>
      </w:pPr>
    </w:p>
    <w:p w14:paraId="1F69889C" w14:textId="5A7D148F" w:rsidR="00904506" w:rsidRPr="008D627B" w:rsidRDefault="00F23CA6" w:rsidP="00F23CA6">
      <w:pPr>
        <w:pStyle w:val="Pamatteksts"/>
        <w:tabs>
          <w:tab w:val="left" w:pos="820"/>
        </w:tabs>
        <w:spacing w:before="0"/>
        <w:ind w:left="0"/>
        <w:jc w:val="both"/>
        <w:rPr>
          <w:noProof/>
          <w:color w:val="231F20"/>
          <w:sz w:val="24"/>
        </w:rPr>
      </w:pPr>
      <w:r>
        <w:rPr>
          <w:color w:val="231F20"/>
          <w:sz w:val="24"/>
        </w:rPr>
        <w:t>19. Dažos gadījumos institūcijai pēc būtības ir spēkā esoša līdzdalība, kas ir iegūta darījumā un konkrētajā brīdī sniedz tai piekļuvi ar līdzdalību saistītajiem labumiem. Šādos apstākļos uz institūciju attiecināmo proporcionālo daļu nosaka, ņemot vērā to potenciālo balsstiesību un citu atvasināto instrumentu faktisko izmantošanu, kas konkrētajā brīdī dod institūcijai piekļuvi labumiem.</w:t>
      </w:r>
    </w:p>
    <w:p w14:paraId="246B521A" w14:textId="77777777" w:rsidR="00F23CA6" w:rsidRDefault="00F23CA6" w:rsidP="00F23CA6">
      <w:pPr>
        <w:pStyle w:val="Pamatteksts"/>
        <w:tabs>
          <w:tab w:val="left" w:pos="820"/>
        </w:tabs>
        <w:spacing w:before="0"/>
        <w:ind w:left="0"/>
        <w:jc w:val="both"/>
        <w:rPr>
          <w:noProof/>
          <w:color w:val="231F20"/>
          <w:sz w:val="24"/>
        </w:rPr>
      </w:pPr>
    </w:p>
    <w:p w14:paraId="2EAA8464" w14:textId="55602C6C" w:rsidR="00904506" w:rsidRPr="008D627B" w:rsidRDefault="00F23CA6" w:rsidP="00F23CA6">
      <w:pPr>
        <w:pStyle w:val="Pamatteksts"/>
        <w:tabs>
          <w:tab w:val="left" w:pos="820"/>
        </w:tabs>
        <w:spacing w:before="0"/>
        <w:ind w:left="0"/>
        <w:jc w:val="both"/>
        <w:rPr>
          <w:noProof/>
          <w:color w:val="231F20"/>
          <w:sz w:val="24"/>
        </w:rPr>
      </w:pPr>
      <w:r>
        <w:rPr>
          <w:color w:val="231F20"/>
          <w:sz w:val="24"/>
        </w:rPr>
        <w:t xml:space="preserve">20. </w:t>
      </w:r>
      <w:r>
        <w:rPr>
          <w:i/>
          <w:iCs/>
          <w:color w:val="231F20"/>
          <w:sz w:val="24"/>
        </w:rPr>
        <w:t>IPSAS</w:t>
      </w:r>
      <w:r>
        <w:rPr>
          <w:color w:val="231F20"/>
          <w:sz w:val="24"/>
        </w:rPr>
        <w:t xml:space="preserve"> 41 “Finanšu instrumenti” nav piemērojams attiecībā uz tādu līdzdalību asociētajos uzņēmumos un kopuzņēmumos, kas tiek uzskaitīta, izmantojot pašu kapitāla metodi. Ja instrumenti, kas satur potenciālās balsstiesības, pēc būtības konkrētajā brīdī sniedz piekļuvi labumiem, kas ir saistīti ar līdzdalību asociētajā uzņēmumā vai kopuzņēmumā, uz šiem instrumentiem neattiecas </w:t>
      </w:r>
      <w:r>
        <w:rPr>
          <w:i/>
          <w:iCs/>
          <w:color w:val="231F20"/>
          <w:sz w:val="24"/>
        </w:rPr>
        <w:t>IPSAS</w:t>
      </w:r>
      <w:r>
        <w:rPr>
          <w:color w:val="231F20"/>
          <w:sz w:val="24"/>
        </w:rPr>
        <w:t xml:space="preserve"> 41 prasības. Visos pārējos gadījumos instrumentus, kuros iekļautas potenciālās balsstiesības asociētajā uzņēmumā vai kopuzņēmumā, uzskaita saskaņā ar </w:t>
      </w:r>
      <w:r>
        <w:rPr>
          <w:i/>
          <w:iCs/>
          <w:color w:val="231F20"/>
          <w:sz w:val="24"/>
        </w:rPr>
        <w:t>IPSAS</w:t>
      </w:r>
      <w:r>
        <w:rPr>
          <w:color w:val="231F20"/>
          <w:sz w:val="24"/>
        </w:rPr>
        <w:t> 41.</w:t>
      </w:r>
    </w:p>
    <w:p w14:paraId="33463CF0" w14:textId="77777777" w:rsidR="00D87D70" w:rsidRDefault="00D87D70" w:rsidP="008D627B">
      <w:pPr>
        <w:pStyle w:val="Pamatteksts"/>
        <w:spacing w:before="0"/>
        <w:ind w:left="0"/>
        <w:jc w:val="both"/>
        <w:rPr>
          <w:noProof/>
          <w:color w:val="231F20"/>
          <w:sz w:val="24"/>
        </w:rPr>
      </w:pPr>
    </w:p>
    <w:p w14:paraId="5EA5C140" w14:textId="7F852E18" w:rsidR="00904506" w:rsidRPr="008D627B" w:rsidRDefault="00904506" w:rsidP="008D627B">
      <w:pPr>
        <w:pStyle w:val="Pamatteksts"/>
        <w:spacing w:before="0"/>
        <w:ind w:left="0"/>
        <w:jc w:val="both"/>
        <w:rPr>
          <w:noProof/>
          <w:color w:val="231F20"/>
          <w:sz w:val="24"/>
        </w:rPr>
      </w:pPr>
      <w:r>
        <w:rPr>
          <w:color w:val="231F20"/>
          <w:sz w:val="24"/>
        </w:rPr>
        <w:t xml:space="preserve">20.A Institūcija piemēro </w:t>
      </w:r>
      <w:r>
        <w:rPr>
          <w:i/>
          <w:iCs/>
          <w:color w:val="231F20"/>
          <w:sz w:val="24"/>
        </w:rPr>
        <w:t>IPSAS</w:t>
      </w:r>
      <w:r>
        <w:rPr>
          <w:color w:val="231F20"/>
          <w:sz w:val="24"/>
        </w:rPr>
        <w:t xml:space="preserve"> 41 arī attiecībā uz citiem finanšu instrumentiem asociētajā uzņēmumā vai kopuzņēmumā, kam nepiemēro pašu kapitāla metodi. Tie ietver ilgtermiņa līdzdalību, kas pēc būtības veido daļu no institūcijas neto ieguldījumiem asociētajā uzņēmumā vai kopuzņēmumā (sk. 41. punktu). Institūcija piemēro </w:t>
      </w:r>
      <w:r>
        <w:rPr>
          <w:i/>
          <w:iCs/>
          <w:color w:val="231F20"/>
          <w:sz w:val="24"/>
        </w:rPr>
        <w:t>IPSAS</w:t>
      </w:r>
      <w:r>
        <w:rPr>
          <w:color w:val="231F20"/>
          <w:sz w:val="24"/>
        </w:rPr>
        <w:t xml:space="preserve"> 41 šādai ilgtermiņa līdzdalībai, pirms tā piemēro šā standarta 41. punktu un 43.–48. punktu. Piemērojot </w:t>
      </w:r>
      <w:r>
        <w:rPr>
          <w:i/>
          <w:iCs/>
          <w:color w:val="231F20"/>
          <w:sz w:val="24"/>
        </w:rPr>
        <w:t>IPSAS</w:t>
      </w:r>
      <w:r>
        <w:rPr>
          <w:color w:val="231F20"/>
          <w:sz w:val="24"/>
        </w:rPr>
        <w:t> 41, institūcija neņem vērā ilgtermiņa līdzdalības uzskaites vērtības korekcijas, kuras izriet no šā standarta piemērošanas.</w:t>
      </w:r>
    </w:p>
    <w:p w14:paraId="11C0319D" w14:textId="77777777" w:rsidR="00D87D70" w:rsidRDefault="00D87D70" w:rsidP="00D87D70">
      <w:pPr>
        <w:pStyle w:val="Virsraksts2"/>
        <w:tabs>
          <w:tab w:val="left" w:pos="820"/>
        </w:tabs>
        <w:spacing w:before="0"/>
        <w:ind w:left="0"/>
        <w:jc w:val="both"/>
        <w:rPr>
          <w:noProof/>
          <w:color w:val="231F20"/>
          <w:sz w:val="24"/>
        </w:rPr>
      </w:pPr>
    </w:p>
    <w:p w14:paraId="769BCEA5" w14:textId="2FF5BC68" w:rsidR="00904506" w:rsidRPr="00D87D70" w:rsidRDefault="00D87D70" w:rsidP="001143AE">
      <w:pPr>
        <w:pStyle w:val="Virsraksts2"/>
        <w:keepNext/>
        <w:tabs>
          <w:tab w:val="left" w:pos="820"/>
        </w:tabs>
        <w:spacing w:before="0"/>
        <w:ind w:left="0"/>
        <w:jc w:val="both"/>
        <w:rPr>
          <w:noProof/>
          <w:color w:val="231F20"/>
          <w:sz w:val="24"/>
        </w:rPr>
      </w:pPr>
      <w:r>
        <w:rPr>
          <w:color w:val="231F20"/>
          <w:sz w:val="24"/>
        </w:rPr>
        <w:lastRenderedPageBreak/>
        <w:t>21. Ieguldījumu asociētajā uzņēmumā vai kopuzņēmumā, kas tiek uzskaitīts, izmantojot pašu kapitāla metodi, klasificē kā ilgtermiņa aktīvu.</w:t>
      </w:r>
    </w:p>
    <w:p w14:paraId="52537E4F" w14:textId="77777777" w:rsidR="00904506" w:rsidRPr="008D627B" w:rsidRDefault="00904506" w:rsidP="001143AE">
      <w:pPr>
        <w:keepNext/>
        <w:jc w:val="both"/>
        <w:rPr>
          <w:rFonts w:ascii="Times New Roman" w:eastAsia="Times New Roman" w:hAnsi="Times New Roman" w:cs="Times New Roman"/>
          <w:b/>
          <w:bCs/>
          <w:noProof/>
          <w:sz w:val="24"/>
          <w:szCs w:val="16"/>
        </w:rPr>
      </w:pPr>
    </w:p>
    <w:p w14:paraId="68218BF7" w14:textId="77777777" w:rsidR="00904506" w:rsidRPr="008D627B" w:rsidRDefault="00904506" w:rsidP="008D627B">
      <w:pPr>
        <w:pStyle w:val="Virsraksts1"/>
        <w:ind w:left="0"/>
        <w:jc w:val="both"/>
        <w:rPr>
          <w:noProof/>
          <w:color w:val="231F20"/>
        </w:rPr>
      </w:pPr>
      <w:r>
        <w:rPr>
          <w:color w:val="231F20"/>
        </w:rPr>
        <w:t>Pašu kapitāla metodes piemērošana</w:t>
      </w:r>
      <w:bookmarkStart w:id="6" w:name="_bookmark6"/>
      <w:bookmarkEnd w:id="6"/>
    </w:p>
    <w:p w14:paraId="119E77B4" w14:textId="77777777" w:rsidR="00D87D70" w:rsidRDefault="00D87D70" w:rsidP="00D87D70">
      <w:pPr>
        <w:tabs>
          <w:tab w:val="left" w:pos="820"/>
        </w:tabs>
        <w:jc w:val="both"/>
        <w:rPr>
          <w:rFonts w:ascii="Times New Roman" w:eastAsia="Times New Roman" w:hAnsi="Times New Roman" w:cs="Times New Roman"/>
          <w:b/>
          <w:bCs/>
          <w:noProof/>
          <w:color w:val="231F20"/>
          <w:sz w:val="24"/>
          <w:szCs w:val="20"/>
        </w:rPr>
      </w:pPr>
    </w:p>
    <w:p w14:paraId="6A0378D1" w14:textId="1BDBFFEF" w:rsidR="00904506" w:rsidRPr="008D627B" w:rsidRDefault="00D87D70" w:rsidP="00D87D70">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22. Institūcija, kas kopīgi kontrolē ieguldījumu saņēmēju vai kam ir būtiska ietekme uz šo ieguldījumu saņēmēju, uzskaita savu ieguldījumu asociētajā uzņēmumā vai kopuzņēmumā, izmantojot pašu kapitāla metodi, izņemot gadījumus, kad attiecībā uz šo ieguldījumu var piemērot 23.–25. punktā noteikto atbrīvojumu.</w:t>
      </w:r>
    </w:p>
    <w:p w14:paraId="223ECDF5" w14:textId="77777777" w:rsidR="00904506" w:rsidRPr="008D627B" w:rsidRDefault="00904506" w:rsidP="008D627B">
      <w:pPr>
        <w:jc w:val="both"/>
        <w:rPr>
          <w:rFonts w:ascii="Times New Roman" w:eastAsia="Times New Roman" w:hAnsi="Times New Roman" w:cs="Times New Roman"/>
          <w:b/>
          <w:bCs/>
          <w:noProof/>
          <w:sz w:val="24"/>
          <w:szCs w:val="15"/>
        </w:rPr>
      </w:pPr>
    </w:p>
    <w:p w14:paraId="5E6FF649" w14:textId="77777777" w:rsidR="00904506" w:rsidRPr="008D627B" w:rsidRDefault="00904506" w:rsidP="008D627B">
      <w:pPr>
        <w:jc w:val="both"/>
        <w:rPr>
          <w:rFonts w:ascii="Times New Roman" w:hAnsi="Times New Roman"/>
          <w:b/>
          <w:noProof/>
          <w:color w:val="231F20"/>
          <w:sz w:val="24"/>
        </w:rPr>
      </w:pPr>
      <w:r>
        <w:rPr>
          <w:rFonts w:ascii="Times New Roman" w:hAnsi="Times New Roman"/>
          <w:b/>
          <w:color w:val="231F20"/>
          <w:sz w:val="24"/>
        </w:rPr>
        <w:t>Atbrīvojums no pašu kapitāla metodes piemērošanas</w:t>
      </w:r>
      <w:bookmarkStart w:id="7" w:name="_bookmark7"/>
      <w:bookmarkEnd w:id="7"/>
    </w:p>
    <w:p w14:paraId="7312662D" w14:textId="77777777" w:rsidR="00D87D70" w:rsidRDefault="00D87D70" w:rsidP="00D87D70">
      <w:pPr>
        <w:pStyle w:val="Pamatteksts"/>
        <w:tabs>
          <w:tab w:val="left" w:pos="820"/>
        </w:tabs>
        <w:spacing w:before="0"/>
        <w:ind w:left="0"/>
        <w:jc w:val="both"/>
        <w:rPr>
          <w:noProof/>
          <w:color w:val="231F20"/>
          <w:sz w:val="24"/>
        </w:rPr>
      </w:pPr>
    </w:p>
    <w:p w14:paraId="084836E6" w14:textId="60831378" w:rsidR="00904506" w:rsidRPr="008D627B" w:rsidRDefault="00D87D70" w:rsidP="00D87D70">
      <w:pPr>
        <w:pStyle w:val="Pamatteksts"/>
        <w:tabs>
          <w:tab w:val="left" w:pos="820"/>
        </w:tabs>
        <w:spacing w:before="0"/>
        <w:ind w:left="0"/>
        <w:jc w:val="both"/>
        <w:rPr>
          <w:noProof/>
          <w:color w:val="231F20"/>
          <w:sz w:val="24"/>
        </w:rPr>
      </w:pPr>
      <w:r>
        <w:rPr>
          <w:color w:val="231F20"/>
          <w:sz w:val="24"/>
        </w:rPr>
        <w:t xml:space="preserve">23. Institūcija var nepiemērot pašu kapitāla metodi attiecībā uz savu ieguldījumu asociētajā uzņēmumā vai kopuzņēmumā, ja šī institūcija ir kontrolējošā institūcija, kas ir atbrīvota no pienākuma sagatavot konsolidētos finanšu pārskatus, jo uz to attiecas </w:t>
      </w:r>
      <w:r>
        <w:rPr>
          <w:i/>
          <w:iCs/>
          <w:color w:val="231F20"/>
          <w:sz w:val="24"/>
        </w:rPr>
        <w:t>IPSAS</w:t>
      </w:r>
      <w:r>
        <w:rPr>
          <w:color w:val="231F20"/>
          <w:sz w:val="24"/>
        </w:rPr>
        <w:t> 35 5. punktā paredzētais izņēmums, vai ja ir izpildīti šādi nosacījumi:</w:t>
      </w:r>
    </w:p>
    <w:p w14:paraId="3354EA77" w14:textId="77777777" w:rsidR="00D87D70" w:rsidRDefault="00D87D70" w:rsidP="00D87D70">
      <w:pPr>
        <w:pStyle w:val="Pamatteksts"/>
        <w:tabs>
          <w:tab w:val="left" w:pos="1340"/>
        </w:tabs>
        <w:spacing w:before="0"/>
        <w:ind w:left="0"/>
        <w:jc w:val="both"/>
        <w:rPr>
          <w:noProof/>
          <w:color w:val="231F20"/>
          <w:sz w:val="24"/>
        </w:rPr>
      </w:pPr>
    </w:p>
    <w:p w14:paraId="29323711" w14:textId="448EDE8C" w:rsidR="00904506" w:rsidRPr="008D627B" w:rsidRDefault="00D87D70" w:rsidP="00D87D70">
      <w:pPr>
        <w:pStyle w:val="Pamatteksts"/>
        <w:tabs>
          <w:tab w:val="left" w:pos="1340"/>
        </w:tabs>
        <w:spacing w:before="0"/>
        <w:ind w:left="0"/>
        <w:jc w:val="both"/>
        <w:rPr>
          <w:noProof/>
          <w:color w:val="231F20"/>
          <w:sz w:val="24"/>
        </w:rPr>
      </w:pPr>
      <w:r>
        <w:rPr>
          <w:color w:val="231F20"/>
          <w:sz w:val="24"/>
        </w:rPr>
        <w:t>a) institūcija pati ir kontrolēta institūcija, un lietotāju informācijas pieprasījumus var nodrošināt, izmantojot attiecīgās kontrolējošās institūcijas konsolidētos finanšu pārskatus, un, ja tā ir daļēji piederoša kontrolētā institūcija, visi pārējie tās īpašnieki, tostarp tie, kuriem citādi nav balsstiesību, ir informēti par to, ka šī institūcija nepiemēro pašu kapitāla metodi, un neiebilst pret to;</w:t>
      </w:r>
    </w:p>
    <w:p w14:paraId="067755EE" w14:textId="330B79DA" w:rsidR="00904506" w:rsidRPr="008D627B" w:rsidRDefault="00D87D70" w:rsidP="00D87D70">
      <w:pPr>
        <w:pStyle w:val="Pamatteksts"/>
        <w:tabs>
          <w:tab w:val="left" w:pos="1360"/>
        </w:tabs>
        <w:spacing w:before="0"/>
        <w:ind w:left="0"/>
        <w:jc w:val="both"/>
        <w:rPr>
          <w:noProof/>
          <w:color w:val="231F20"/>
          <w:sz w:val="24"/>
        </w:rPr>
      </w:pPr>
      <w:r>
        <w:rPr>
          <w:color w:val="231F20"/>
          <w:sz w:val="24"/>
        </w:rPr>
        <w:t>b) institūcijas parāda vai pašu kapitāla instrumenti netiek tirgoti vērtspapīru publiskajā tirgū (vietējā vai ārvalstu biržā vai ārpusbiržas tirgū, tostarp vietējos un reģionālajos tirgos);</w:t>
      </w:r>
    </w:p>
    <w:p w14:paraId="2B283B44" w14:textId="1C17074F" w:rsidR="00904506" w:rsidRPr="008D627B" w:rsidRDefault="00D87D70" w:rsidP="00D87D70">
      <w:pPr>
        <w:pStyle w:val="Pamatteksts"/>
        <w:tabs>
          <w:tab w:val="left" w:pos="1360"/>
        </w:tabs>
        <w:spacing w:before="0"/>
        <w:ind w:left="0"/>
        <w:jc w:val="both"/>
        <w:rPr>
          <w:noProof/>
          <w:color w:val="231F20"/>
          <w:sz w:val="24"/>
        </w:rPr>
      </w:pPr>
      <w:r>
        <w:rPr>
          <w:color w:val="231F20"/>
          <w:sz w:val="24"/>
        </w:rPr>
        <w:t>c) institūcijas finanšu pārskati nav reģistrēti un neatrodas reģistrēšanas procesā vērtspapīru tirgus uzraudzības komisijā vai citā reglamentējošajā iestādē ar mērķi emitēt jebkādas kategorijas instrumentus vērtspapīru publiskajā tirgū, un</w:t>
      </w:r>
    </w:p>
    <w:p w14:paraId="41767532" w14:textId="54815271" w:rsidR="00904506" w:rsidRPr="008D627B" w:rsidRDefault="00D87D70" w:rsidP="00D87D70">
      <w:pPr>
        <w:pStyle w:val="Pamatteksts"/>
        <w:tabs>
          <w:tab w:val="left" w:pos="1360"/>
        </w:tabs>
        <w:spacing w:before="0"/>
        <w:ind w:left="0"/>
        <w:jc w:val="both"/>
        <w:rPr>
          <w:noProof/>
          <w:color w:val="231F20"/>
          <w:sz w:val="24"/>
        </w:rPr>
      </w:pPr>
      <w:r>
        <w:rPr>
          <w:color w:val="231F20"/>
          <w:sz w:val="24"/>
        </w:rPr>
        <w:t xml:space="preserve">d) institūcijas galīgā vai jebkura starpposma kontrolējošā institūcija sagatavo finanšu pārskatus, kuri ir pieejami publiskai lietošanai, atbilst </w:t>
      </w:r>
      <w:r>
        <w:rPr>
          <w:i/>
          <w:iCs/>
          <w:color w:val="231F20"/>
          <w:sz w:val="24"/>
        </w:rPr>
        <w:t>IPSAS</w:t>
      </w:r>
      <w:r>
        <w:rPr>
          <w:color w:val="231F20"/>
          <w:sz w:val="24"/>
        </w:rPr>
        <w:t xml:space="preserve"> un kuros kontrolētās institūcijas ir konsolidētas vai novērtētas to patiesajā vērtībā saskaņā ar </w:t>
      </w:r>
      <w:r>
        <w:rPr>
          <w:i/>
          <w:iCs/>
          <w:color w:val="231F20"/>
          <w:sz w:val="24"/>
        </w:rPr>
        <w:t>IPSAS</w:t>
      </w:r>
      <w:r>
        <w:rPr>
          <w:color w:val="231F20"/>
          <w:sz w:val="24"/>
        </w:rPr>
        <w:t> 35.</w:t>
      </w:r>
    </w:p>
    <w:p w14:paraId="6C560F74" w14:textId="77777777" w:rsidR="00D87D70" w:rsidRDefault="00D87D70" w:rsidP="00D87D70">
      <w:pPr>
        <w:pStyle w:val="Pamatteksts"/>
        <w:tabs>
          <w:tab w:val="left" w:pos="840"/>
        </w:tabs>
        <w:spacing w:before="0"/>
        <w:ind w:left="0"/>
        <w:jc w:val="both"/>
        <w:rPr>
          <w:noProof/>
          <w:color w:val="231F20"/>
          <w:sz w:val="24"/>
        </w:rPr>
      </w:pPr>
    </w:p>
    <w:p w14:paraId="787AE2AA" w14:textId="3CF1D4CE" w:rsidR="00904506" w:rsidRPr="008D627B" w:rsidRDefault="00D87D70" w:rsidP="00D87D70">
      <w:pPr>
        <w:pStyle w:val="Pamatteksts"/>
        <w:tabs>
          <w:tab w:val="left" w:pos="840"/>
        </w:tabs>
        <w:spacing w:before="0"/>
        <w:ind w:left="0"/>
        <w:jc w:val="both"/>
        <w:rPr>
          <w:noProof/>
          <w:color w:val="231F20"/>
          <w:sz w:val="24"/>
        </w:rPr>
      </w:pPr>
      <w:r>
        <w:rPr>
          <w:color w:val="231F20"/>
          <w:sz w:val="24"/>
        </w:rPr>
        <w:t xml:space="preserve">24. Kad ieguldījumu asociētajā uzņēmumā vai kopuzņēmumā tur tāda institūcija, kas ir riska kapitāla organizācija vai kopieguldījumu fonds, daļu pārvaldījuma fonds vai līdzīga institūcija, tostarp ar ieguldījumiem saistīts apdrošināšanas fonds, vai kad šāds ieguldījums asociētajā uzņēmumā vai kopuzņēmumā tiek turēts netieši ar šādas institūcijas starpniecību, institūcija var pieņemt lēmumu novērtēt minēto ieguldījumu pēc patiesās vērtības, uzrādot pārsniegumu vai iztrūkumu atbilstoši </w:t>
      </w:r>
      <w:r>
        <w:rPr>
          <w:i/>
          <w:iCs/>
          <w:color w:val="231F20"/>
          <w:sz w:val="24"/>
        </w:rPr>
        <w:t>IPSAS</w:t>
      </w:r>
      <w:r>
        <w:rPr>
          <w:color w:val="231F20"/>
          <w:sz w:val="24"/>
        </w:rPr>
        <w:t> 41</w:t>
      </w:r>
      <w:r>
        <w:rPr>
          <w:rStyle w:val="Vresatsauce"/>
          <w:rFonts w:cs="Times New Roman"/>
          <w:noProof/>
          <w:color w:val="231F20"/>
          <w:sz w:val="24"/>
        </w:rPr>
        <w:footnoteReference w:id="2"/>
      </w:r>
      <w:r>
        <w:rPr>
          <w:color w:val="231F20"/>
          <w:sz w:val="24"/>
        </w:rPr>
        <w:t>. Institūcija šādu lēmumu pieņem attiecībā uz katru asociēto uzņēmumu vai kopuzņēmumu atsevišķi asociētā uzņēmuma vai kopuzņēmuma sākotnējās atzīšanas brīdī. Ieguldījumu institūcija parasti būs pieņēmusi šādu lēmumu attiecībā uz saviem ieguldījumiem.</w:t>
      </w:r>
    </w:p>
    <w:p w14:paraId="6FBBC181" w14:textId="77777777" w:rsidR="00D87D70" w:rsidRDefault="00D87D70" w:rsidP="00D87D70">
      <w:pPr>
        <w:pStyle w:val="Pamatteksts"/>
        <w:tabs>
          <w:tab w:val="left" w:pos="840"/>
        </w:tabs>
        <w:spacing w:before="0"/>
        <w:ind w:left="0"/>
        <w:jc w:val="both"/>
        <w:rPr>
          <w:noProof/>
          <w:color w:val="231F20"/>
          <w:sz w:val="24"/>
        </w:rPr>
      </w:pPr>
    </w:p>
    <w:p w14:paraId="1D569C5B" w14:textId="288F758A" w:rsidR="00904506" w:rsidRPr="008D627B" w:rsidRDefault="00D87D70" w:rsidP="00D87D70">
      <w:pPr>
        <w:pStyle w:val="Pamatteksts"/>
        <w:tabs>
          <w:tab w:val="left" w:pos="840"/>
        </w:tabs>
        <w:spacing w:before="0"/>
        <w:ind w:left="0"/>
        <w:jc w:val="both"/>
        <w:rPr>
          <w:noProof/>
          <w:color w:val="231F20"/>
          <w:sz w:val="24"/>
        </w:rPr>
      </w:pPr>
      <w:r>
        <w:rPr>
          <w:color w:val="231F20"/>
          <w:sz w:val="24"/>
        </w:rPr>
        <w:t xml:space="preserve">25. Ja institūcija ir veikusi ieguldījumu asociētajā uzņēmumā, kura daļa tiek netieši turēta ar riska kapitāla organizācijas, kopieguldījumu fonda, daļu pārvaldījuma fonda vai līdzīgu institūciju starpniecību, tostarp ar ieguldījumiem saistītu apdrošināšanas fondu starpniecību, institūcija var novērtēt šo ieguldījuma daļu asociētajā uzņēmumā pēc patiesās vērtības, uzrādot pārsniegumu vai iztrūkumu atbilstoši </w:t>
      </w:r>
      <w:r>
        <w:rPr>
          <w:i/>
          <w:iCs/>
          <w:color w:val="231F20"/>
          <w:sz w:val="24"/>
        </w:rPr>
        <w:t>IPSAS</w:t>
      </w:r>
      <w:r>
        <w:rPr>
          <w:color w:val="231F20"/>
          <w:sz w:val="24"/>
        </w:rPr>
        <w:t xml:space="preserve"> 41, neatkarīgi no tā, vai riska kapitāla organizācijai, kopieguldījumu fondam, daļu pārvaldījuma fondam vai līdzīgai institūcijai, tostarp ar ieguldījumiem saistītam apdrošināšanas fondam, ir būtiska ietekme uz šo </w:t>
      </w:r>
      <w:r>
        <w:rPr>
          <w:color w:val="231F20"/>
          <w:sz w:val="24"/>
        </w:rPr>
        <w:lastRenderedPageBreak/>
        <w:t xml:space="preserve">ieguldījuma daļu. Ja institūcija šādi nolemj, tā piemēro pašu kapitāla metodi attiecībā uz jebkuru atlikušo savu ieguldījuma daļu asociētajā uzņēmumā, kas netiek turēta ar riska kapitāla organizācijas, kopieguldījumu fonda, daļu pārvaldījuma fonda vai līdzīgas institūcijas, tostarp ar ieguldījumiem saistīta apdrošināšanas fonda, starpniecību. Ja institūcijai ir ieguldījums asociētajā uzņēmumā, kura daļa tiek turēta netieši ar ieguldījumu institūcijas starpniecību, institūcija novērtē šo daļu pēc patiesās vērtības, uzrādot pārsniegumu vai iztrūkumu atbilstoši </w:t>
      </w:r>
      <w:r>
        <w:rPr>
          <w:i/>
          <w:iCs/>
          <w:color w:val="231F20"/>
          <w:sz w:val="24"/>
        </w:rPr>
        <w:t>IPSAS</w:t>
      </w:r>
      <w:r>
        <w:rPr>
          <w:color w:val="231F20"/>
          <w:sz w:val="24"/>
        </w:rPr>
        <w:t> 41.</w:t>
      </w:r>
    </w:p>
    <w:p w14:paraId="1EB907A2" w14:textId="77777777" w:rsidR="00904506" w:rsidRPr="008D627B" w:rsidRDefault="00904506" w:rsidP="008D627B">
      <w:pPr>
        <w:jc w:val="both"/>
        <w:rPr>
          <w:rFonts w:ascii="Times New Roman" w:eastAsia="Times New Roman" w:hAnsi="Times New Roman" w:cs="Times New Roman"/>
          <w:noProof/>
          <w:sz w:val="24"/>
          <w:szCs w:val="15"/>
        </w:rPr>
      </w:pPr>
    </w:p>
    <w:p w14:paraId="3B668AA6" w14:textId="77777777" w:rsidR="00904506" w:rsidRPr="008D627B" w:rsidRDefault="00904506" w:rsidP="008D627B">
      <w:pPr>
        <w:pStyle w:val="Virsraksts2"/>
        <w:spacing w:before="0"/>
        <w:ind w:left="0"/>
        <w:jc w:val="both"/>
        <w:rPr>
          <w:noProof/>
          <w:color w:val="231F20"/>
          <w:sz w:val="24"/>
        </w:rPr>
      </w:pPr>
      <w:r>
        <w:rPr>
          <w:color w:val="231F20"/>
          <w:sz w:val="24"/>
        </w:rPr>
        <w:t>Pašu kapitāla metodes izmantošanas pārtraukšana</w:t>
      </w:r>
      <w:bookmarkStart w:id="8" w:name="_bookmark8"/>
      <w:bookmarkEnd w:id="8"/>
    </w:p>
    <w:p w14:paraId="74B9F218" w14:textId="77777777" w:rsidR="00D87D70" w:rsidRDefault="00D87D70" w:rsidP="00D87D70">
      <w:pPr>
        <w:tabs>
          <w:tab w:val="left" w:pos="840"/>
        </w:tabs>
        <w:jc w:val="both"/>
        <w:rPr>
          <w:rFonts w:ascii="Times New Roman" w:hAnsi="Times New Roman"/>
          <w:b/>
          <w:noProof/>
          <w:color w:val="231F20"/>
          <w:sz w:val="24"/>
        </w:rPr>
      </w:pPr>
    </w:p>
    <w:p w14:paraId="5CF59E10" w14:textId="4EF57A69" w:rsidR="00904506" w:rsidRPr="00D87D70" w:rsidRDefault="00D87D70" w:rsidP="00D87D70">
      <w:pPr>
        <w:tabs>
          <w:tab w:val="left" w:pos="840"/>
        </w:tabs>
        <w:jc w:val="both"/>
        <w:rPr>
          <w:rFonts w:ascii="Times New Roman" w:hAnsi="Times New Roman"/>
          <w:b/>
          <w:noProof/>
          <w:color w:val="231F20"/>
          <w:sz w:val="24"/>
        </w:rPr>
      </w:pPr>
      <w:r>
        <w:rPr>
          <w:rFonts w:ascii="Times New Roman" w:hAnsi="Times New Roman"/>
          <w:b/>
          <w:color w:val="231F20"/>
          <w:sz w:val="24"/>
        </w:rPr>
        <w:t>26. Institūcija pārtrauc pašu kapitāla metodes izmantošanu no dienas, kad tās ieguldījums pārstāj būt asociētais uzņēmums vai kopuzņēmums atbilstoši tam, kā noteikts turpmāk:</w:t>
      </w:r>
    </w:p>
    <w:p w14:paraId="11FB39E7" w14:textId="77777777" w:rsidR="00904506" w:rsidRPr="008D627B" w:rsidRDefault="00904506" w:rsidP="008D627B">
      <w:pPr>
        <w:jc w:val="both"/>
        <w:rPr>
          <w:rFonts w:ascii="Times New Roman" w:eastAsia="Times New Roman" w:hAnsi="Times New Roman" w:cs="Times New Roman"/>
          <w:noProof/>
          <w:sz w:val="24"/>
          <w:szCs w:val="19"/>
        </w:rPr>
      </w:pPr>
    </w:p>
    <w:p w14:paraId="6DE90471" w14:textId="3F2E5BD4" w:rsidR="00904506" w:rsidRPr="008D627B" w:rsidRDefault="00D87D70" w:rsidP="00D87D70">
      <w:pPr>
        <w:pStyle w:val="Virsraksts2"/>
        <w:tabs>
          <w:tab w:val="left" w:pos="1340"/>
        </w:tabs>
        <w:spacing w:before="0"/>
        <w:ind w:left="0"/>
        <w:jc w:val="both"/>
        <w:rPr>
          <w:rFonts w:cs="Times New Roman"/>
          <w:b w:val="0"/>
          <w:bCs w:val="0"/>
          <w:noProof/>
          <w:sz w:val="24"/>
        </w:rPr>
      </w:pPr>
      <w:r>
        <w:rPr>
          <w:color w:val="231F20"/>
          <w:sz w:val="24"/>
        </w:rPr>
        <w:t xml:space="preserve">a) ja ieguldījums kļūst par kontrolēto institūciju, tad institūcija savu ieguldījumu uzskaita atbilstoši </w:t>
      </w:r>
      <w:r>
        <w:rPr>
          <w:i/>
          <w:iCs/>
          <w:color w:val="231F20"/>
          <w:sz w:val="24"/>
        </w:rPr>
        <w:t>IPSAS</w:t>
      </w:r>
      <w:r>
        <w:rPr>
          <w:color w:val="231F20"/>
          <w:sz w:val="24"/>
        </w:rPr>
        <w:t xml:space="preserve"> 40 “Publiskā sektora apvienošanas gadījumi” un </w:t>
      </w:r>
      <w:r>
        <w:rPr>
          <w:i/>
          <w:iCs/>
          <w:color w:val="231F20"/>
          <w:sz w:val="24"/>
        </w:rPr>
        <w:t>IPSAS</w:t>
      </w:r>
      <w:r>
        <w:rPr>
          <w:color w:val="231F20"/>
          <w:sz w:val="24"/>
        </w:rPr>
        <w:t> 35;</w:t>
      </w:r>
    </w:p>
    <w:p w14:paraId="1F5C65BA" w14:textId="37534CEC" w:rsidR="00904506" w:rsidRPr="008D627B" w:rsidRDefault="00D87D70" w:rsidP="00D87D70">
      <w:pPr>
        <w:tabs>
          <w:tab w:val="left" w:pos="1340"/>
        </w:tabs>
        <w:jc w:val="both"/>
        <w:rPr>
          <w:rFonts w:ascii="Times New Roman" w:hAnsi="Times New Roman"/>
          <w:b/>
          <w:noProof/>
          <w:color w:val="231F20"/>
          <w:sz w:val="24"/>
        </w:rPr>
      </w:pPr>
      <w:r>
        <w:rPr>
          <w:rFonts w:ascii="Times New Roman" w:hAnsi="Times New Roman"/>
          <w:b/>
          <w:color w:val="231F20"/>
          <w:sz w:val="24"/>
        </w:rPr>
        <w:t xml:space="preserve">b) ja bijušajā asociētajā uzņēmumā vai kopuzņēmumā saglabātā līdzdalība veido finanšu aktīvu, institūcija novērtē saglabāto līdzdalību pēc patiesās vērtības. Saglabātās līdzdalības patiesā vērtība ir tās patiesā vērtība brīdī, kad līdzdalību sākotnēji atzina kā finanšu aktīvu saskaņā ar </w:t>
      </w:r>
      <w:r>
        <w:rPr>
          <w:rFonts w:ascii="Times New Roman" w:hAnsi="Times New Roman"/>
          <w:b/>
          <w:i/>
          <w:iCs/>
          <w:color w:val="231F20"/>
          <w:sz w:val="24"/>
        </w:rPr>
        <w:t>IPSAS</w:t>
      </w:r>
      <w:r>
        <w:rPr>
          <w:rFonts w:ascii="Times New Roman" w:hAnsi="Times New Roman"/>
          <w:b/>
          <w:color w:val="231F20"/>
          <w:sz w:val="24"/>
        </w:rPr>
        <w:t> 41. Institūcija atzīst pārsniegumā vai iztrūkumā jebkuru starpību starp:</w:t>
      </w:r>
    </w:p>
    <w:p w14:paraId="7085E978" w14:textId="77777777" w:rsidR="00D87D70" w:rsidRDefault="00D87D70" w:rsidP="00D87D70">
      <w:pPr>
        <w:tabs>
          <w:tab w:val="left" w:pos="1920"/>
        </w:tabs>
        <w:jc w:val="both"/>
        <w:rPr>
          <w:rFonts w:ascii="Times New Roman" w:hAnsi="Times New Roman"/>
          <w:b/>
          <w:noProof/>
          <w:color w:val="231F20"/>
          <w:sz w:val="24"/>
        </w:rPr>
      </w:pPr>
    </w:p>
    <w:p w14:paraId="36B76205" w14:textId="6DA2399F" w:rsidR="00904506" w:rsidRPr="008D627B" w:rsidRDefault="00D87D70" w:rsidP="00D87D70">
      <w:pPr>
        <w:tabs>
          <w:tab w:val="left" w:pos="1920"/>
        </w:tabs>
        <w:jc w:val="both"/>
        <w:rPr>
          <w:rFonts w:ascii="Times New Roman" w:hAnsi="Times New Roman"/>
          <w:b/>
          <w:noProof/>
          <w:color w:val="231F20"/>
          <w:sz w:val="24"/>
        </w:rPr>
      </w:pPr>
      <w:r>
        <w:rPr>
          <w:rFonts w:ascii="Times New Roman" w:hAnsi="Times New Roman"/>
          <w:b/>
          <w:color w:val="231F20"/>
          <w:sz w:val="24"/>
        </w:rPr>
        <w:t>i) jebkādas saglabātās līdzdalības un jebkādu ieņēmumu no līdzdalības daļas atsavināšanas asociētajā uzņēmumā vai kopuzņēmumā patieso vērtību un</w:t>
      </w:r>
    </w:p>
    <w:p w14:paraId="34381E4D" w14:textId="3D9134EB" w:rsidR="00904506" w:rsidRPr="008D627B" w:rsidRDefault="00D87D70" w:rsidP="00D87D70">
      <w:pPr>
        <w:tabs>
          <w:tab w:val="left" w:pos="1920"/>
        </w:tabs>
        <w:jc w:val="both"/>
        <w:rPr>
          <w:rFonts w:ascii="Times New Roman" w:hAnsi="Times New Roman"/>
          <w:b/>
          <w:noProof/>
          <w:color w:val="231F20"/>
          <w:sz w:val="24"/>
        </w:rPr>
      </w:pPr>
      <w:r>
        <w:rPr>
          <w:rFonts w:ascii="Times New Roman" w:hAnsi="Times New Roman"/>
          <w:b/>
          <w:color w:val="231F20"/>
          <w:sz w:val="24"/>
        </w:rPr>
        <w:t>ii) ieguldījuma uzskaites vērtību dienā, kad tika pārtraukta pašu kapitāla metodes piemērošana;</w:t>
      </w:r>
    </w:p>
    <w:p w14:paraId="41937BFA" w14:textId="77777777" w:rsidR="00D87D70" w:rsidRDefault="00D87D70" w:rsidP="00D87D70">
      <w:pPr>
        <w:tabs>
          <w:tab w:val="left" w:pos="1340"/>
        </w:tabs>
        <w:jc w:val="both"/>
        <w:rPr>
          <w:rFonts w:ascii="Times New Roman" w:eastAsia="Times New Roman" w:hAnsi="Times New Roman" w:cs="Times New Roman"/>
          <w:b/>
          <w:bCs/>
          <w:noProof/>
          <w:color w:val="231F20"/>
          <w:sz w:val="24"/>
          <w:szCs w:val="20"/>
        </w:rPr>
      </w:pPr>
    </w:p>
    <w:p w14:paraId="67EF4A8F" w14:textId="2C271B32" w:rsidR="00904506" w:rsidRPr="008D627B" w:rsidRDefault="00D87D70" w:rsidP="00D87D70">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c) ja institūcija pārtrauc pašu kapitāla metodes izmantošanu, institūcija uzskaita visas summas, kas iepriekš ir tieši atzītas institūcijas neto aktīvos / pašu kapitālā attiecībā uz šo ieguldījumu saskaņā ar tādu pašu pamatojumu, kāds būtu nepieciešams, ja ieguldījuma saņēmējs būtu tieši atsavinājis saistītos aktīvus vai saistības.</w:t>
      </w:r>
    </w:p>
    <w:p w14:paraId="68FC31A0" w14:textId="77777777" w:rsidR="00D87D70" w:rsidRDefault="00D87D70" w:rsidP="00D87D70">
      <w:pPr>
        <w:tabs>
          <w:tab w:val="left" w:pos="820"/>
        </w:tabs>
        <w:jc w:val="both"/>
        <w:rPr>
          <w:rFonts w:ascii="Times New Roman" w:hAnsi="Times New Roman"/>
          <w:b/>
          <w:noProof/>
          <w:color w:val="231F20"/>
          <w:sz w:val="24"/>
        </w:rPr>
      </w:pPr>
    </w:p>
    <w:p w14:paraId="620C40F0" w14:textId="2E074E03" w:rsidR="00904506" w:rsidRPr="008D627B" w:rsidRDefault="00D87D70" w:rsidP="00D87D70">
      <w:pPr>
        <w:tabs>
          <w:tab w:val="left" w:pos="820"/>
        </w:tabs>
        <w:jc w:val="both"/>
        <w:rPr>
          <w:rFonts w:ascii="Times New Roman" w:hAnsi="Times New Roman"/>
          <w:b/>
          <w:noProof/>
          <w:color w:val="231F20"/>
          <w:sz w:val="24"/>
        </w:rPr>
      </w:pPr>
      <w:r>
        <w:rPr>
          <w:rFonts w:ascii="Times New Roman" w:hAnsi="Times New Roman"/>
          <w:b/>
          <w:color w:val="231F20"/>
          <w:sz w:val="24"/>
        </w:rPr>
        <w:t>27. Ja ieguldījums asociētajā uzņēmumā kļūst par ieguldījumu kopuzņēmumā vai ieguldījums kopuzņēmumā kļūst par ieguldījumu asociētajā uzņēmumā, institūcija turpina piemērot pašu kapitāla metodi un neveic saglabātās līdzdalības atkārtotu novērtēšanu.</w:t>
      </w:r>
    </w:p>
    <w:p w14:paraId="0B243419" w14:textId="77777777" w:rsidR="00904506" w:rsidRPr="008D627B" w:rsidRDefault="00904506" w:rsidP="008D627B">
      <w:pPr>
        <w:jc w:val="both"/>
        <w:rPr>
          <w:rFonts w:ascii="Times New Roman" w:eastAsia="Times New Roman" w:hAnsi="Times New Roman" w:cs="Times New Roman"/>
          <w:b/>
          <w:bCs/>
          <w:noProof/>
          <w:sz w:val="24"/>
          <w:szCs w:val="15"/>
        </w:rPr>
      </w:pPr>
    </w:p>
    <w:p w14:paraId="06EF4EB2" w14:textId="77777777" w:rsidR="00904506" w:rsidRPr="008D627B" w:rsidRDefault="00904506" w:rsidP="008D627B">
      <w:pPr>
        <w:jc w:val="both"/>
        <w:rPr>
          <w:rFonts w:ascii="Times New Roman" w:hAnsi="Times New Roman"/>
          <w:b/>
          <w:noProof/>
          <w:color w:val="231F20"/>
          <w:sz w:val="24"/>
        </w:rPr>
      </w:pPr>
      <w:r>
        <w:rPr>
          <w:rFonts w:ascii="Times New Roman" w:hAnsi="Times New Roman"/>
          <w:b/>
          <w:color w:val="231F20"/>
          <w:sz w:val="24"/>
        </w:rPr>
        <w:t>Izmaiņas līdzdalībā</w:t>
      </w:r>
      <w:bookmarkStart w:id="9" w:name="_bookmark9"/>
      <w:bookmarkEnd w:id="9"/>
    </w:p>
    <w:p w14:paraId="0B49B05F" w14:textId="77777777" w:rsidR="00D87D70" w:rsidRDefault="00D87D70" w:rsidP="00D87D70">
      <w:pPr>
        <w:pStyle w:val="Pamatteksts"/>
        <w:tabs>
          <w:tab w:val="left" w:pos="820"/>
        </w:tabs>
        <w:spacing w:before="0"/>
        <w:ind w:left="0"/>
        <w:jc w:val="both"/>
        <w:rPr>
          <w:noProof/>
          <w:color w:val="231F20"/>
          <w:sz w:val="24"/>
        </w:rPr>
      </w:pPr>
    </w:p>
    <w:p w14:paraId="25AAAB34" w14:textId="398097D2" w:rsidR="00904506" w:rsidRPr="008D627B" w:rsidRDefault="00D87D70" w:rsidP="00D87D70">
      <w:pPr>
        <w:pStyle w:val="Pamatteksts"/>
        <w:tabs>
          <w:tab w:val="left" w:pos="820"/>
        </w:tabs>
        <w:spacing w:before="0"/>
        <w:ind w:left="0"/>
        <w:jc w:val="both"/>
        <w:rPr>
          <w:noProof/>
          <w:color w:val="231F20"/>
          <w:sz w:val="24"/>
        </w:rPr>
      </w:pPr>
      <w:r>
        <w:rPr>
          <w:color w:val="231F20"/>
          <w:sz w:val="24"/>
        </w:rPr>
        <w:t>28. Ja institūcijas līdzdalība asociētajā uzņēmumā vai kopuzņēmumā tiek samazināta, bet ieguldījumu turpina klasificēt attiecīgi kā asociēto uzņēmumu vai kopuzņēmumu, tad institūcija tieši pārved uz uzkrāto pārsniegumu vai iztrūkumu to guvumu vai zaudējumu daļu, kura iepriekš bija atzīta neto aktīvos / pašu kapitālā un kura bija saistīta ar šo līdzdalības samazinājumu, ja šis guvums vai zaudējums būtu tieši jāpārved uz uzkrātajiem pārsniegumiem vai iztrūkumiem brīdī, kad tika atsavināti attiecīgie aktīvi vai saistības.</w:t>
      </w:r>
    </w:p>
    <w:p w14:paraId="1F76A7A2" w14:textId="77777777" w:rsidR="00904506" w:rsidRPr="008D627B" w:rsidRDefault="00904506" w:rsidP="008D627B">
      <w:pPr>
        <w:jc w:val="both"/>
        <w:rPr>
          <w:rFonts w:ascii="Times New Roman" w:eastAsia="Times New Roman" w:hAnsi="Times New Roman" w:cs="Times New Roman"/>
          <w:noProof/>
          <w:sz w:val="24"/>
          <w:szCs w:val="15"/>
        </w:rPr>
      </w:pPr>
    </w:p>
    <w:p w14:paraId="2609BF1B" w14:textId="77777777" w:rsidR="00904506" w:rsidRPr="008D627B" w:rsidRDefault="00904506" w:rsidP="008D627B">
      <w:pPr>
        <w:pStyle w:val="Virsraksts2"/>
        <w:spacing w:before="0"/>
        <w:ind w:left="0"/>
        <w:jc w:val="both"/>
        <w:rPr>
          <w:noProof/>
          <w:color w:val="231F20"/>
          <w:sz w:val="24"/>
        </w:rPr>
      </w:pPr>
      <w:r>
        <w:rPr>
          <w:color w:val="231F20"/>
          <w:sz w:val="24"/>
        </w:rPr>
        <w:t>Pašu kapitāla metodes procedūras</w:t>
      </w:r>
      <w:bookmarkStart w:id="10" w:name="_bookmark10"/>
      <w:bookmarkEnd w:id="10"/>
    </w:p>
    <w:p w14:paraId="0CDB3A65" w14:textId="77777777" w:rsidR="00D87D70" w:rsidRDefault="00D87D70" w:rsidP="00D87D70">
      <w:pPr>
        <w:pStyle w:val="Pamatteksts"/>
        <w:tabs>
          <w:tab w:val="left" w:pos="820"/>
        </w:tabs>
        <w:spacing w:before="0"/>
        <w:ind w:left="0"/>
        <w:jc w:val="both"/>
        <w:rPr>
          <w:noProof/>
          <w:color w:val="231F20"/>
          <w:sz w:val="24"/>
        </w:rPr>
      </w:pPr>
    </w:p>
    <w:p w14:paraId="5EF52CB3" w14:textId="5BE513D9" w:rsidR="00904506" w:rsidRPr="008D627B" w:rsidRDefault="00D87D70" w:rsidP="00D87D70">
      <w:pPr>
        <w:pStyle w:val="Pamatteksts"/>
        <w:tabs>
          <w:tab w:val="left" w:pos="820"/>
        </w:tabs>
        <w:spacing w:before="0"/>
        <w:ind w:left="0"/>
        <w:jc w:val="both"/>
        <w:rPr>
          <w:noProof/>
          <w:color w:val="231F20"/>
          <w:sz w:val="24"/>
        </w:rPr>
      </w:pPr>
      <w:r>
        <w:rPr>
          <w:color w:val="231F20"/>
          <w:sz w:val="24"/>
        </w:rPr>
        <w:t xml:space="preserve">29. Daudzas procedūras, kas ir atbilstošas pašu kapitāla metodes piemērošanai, līdzinās konsolidācijas procedūrām, kas izklāstītas </w:t>
      </w:r>
      <w:r>
        <w:rPr>
          <w:i/>
          <w:iCs/>
          <w:color w:val="231F20"/>
          <w:sz w:val="24"/>
        </w:rPr>
        <w:t>IPSAS</w:t>
      </w:r>
      <w:r>
        <w:rPr>
          <w:color w:val="231F20"/>
          <w:sz w:val="24"/>
        </w:rPr>
        <w:t xml:space="preserve"> 35. Turklāt koncepcijas, kas ir kontrolētās institūcijas iegūšanas uzskaitīšanai izmantoto procedūru pamatā, tiek izmantotas, uzskaitot arī </w:t>
      </w:r>
      <w:r>
        <w:rPr>
          <w:color w:val="231F20"/>
          <w:sz w:val="24"/>
        </w:rPr>
        <w:lastRenderedPageBreak/>
        <w:t>ieguldījuma iegūšanu asociētajā uzņēmumā vai kopuzņēmumā.</w:t>
      </w:r>
    </w:p>
    <w:p w14:paraId="0D727761" w14:textId="77777777" w:rsidR="00D87D70" w:rsidRDefault="00D87D70" w:rsidP="00D87D70">
      <w:pPr>
        <w:pStyle w:val="Pamatteksts"/>
        <w:tabs>
          <w:tab w:val="left" w:pos="820"/>
        </w:tabs>
        <w:spacing w:before="0"/>
        <w:ind w:left="0"/>
        <w:jc w:val="both"/>
        <w:rPr>
          <w:noProof/>
          <w:color w:val="231F20"/>
          <w:sz w:val="24"/>
        </w:rPr>
      </w:pPr>
    </w:p>
    <w:p w14:paraId="719EA294" w14:textId="554259D5" w:rsidR="00904506" w:rsidRPr="008D627B" w:rsidRDefault="00D87D70" w:rsidP="00D87D70">
      <w:pPr>
        <w:pStyle w:val="Pamatteksts"/>
        <w:tabs>
          <w:tab w:val="left" w:pos="820"/>
        </w:tabs>
        <w:spacing w:before="0"/>
        <w:ind w:left="0"/>
        <w:jc w:val="both"/>
        <w:rPr>
          <w:noProof/>
          <w:color w:val="231F20"/>
          <w:sz w:val="24"/>
        </w:rPr>
      </w:pPr>
      <w:r>
        <w:rPr>
          <w:color w:val="231F20"/>
          <w:sz w:val="24"/>
        </w:rPr>
        <w:t>30. Saimnieciskās institūcijas daļa asociētajā uzņēmumā vai kopuzņēmumā ir kontrolējošās institūcijas un tās kontrolēto institūciju līdzdalības daļu apkopojums šajā asociētajā uzņēmumā vai kopuzņēmumā. Šajā saistībā netiek ņemtas vērā citu saimnieciskās institūcijas asociēto uzņēmumu vai kopuzņēmumu līdzdalības daļas. Ja asociētajam uzņēmumam vai kopuzņēmumam ir kontrolētās institūcijas, asociētie uzņēmumi vai kopuzņēmumi, tad pašu kapitāla metodes piemērošanā tiek ņemts vērā tas pārsniegums vai iztrūkums un tie neto aktīvi, kas ir atzīti šā asociētā uzņēmuma vai kopuzņēmuma finanšu pārskatos (tostarp asociētā uzņēmuma vai kopuzņēmuma pārsnieguma vai iztrūkuma un neto aktīvu daļa to asociētajos uzņēmumos un kopuzņēmumos), pēc tam, kad ir veiktas korekcijas, kas ir nepieciešamas, lai varētu piemērot vienotu grāmatvedības politiku (sk. 37.–39. punktu).</w:t>
      </w:r>
    </w:p>
    <w:p w14:paraId="75469249" w14:textId="77777777" w:rsidR="00D87D70" w:rsidRDefault="00D87D70" w:rsidP="00D87D70">
      <w:pPr>
        <w:pStyle w:val="Pamatteksts"/>
        <w:tabs>
          <w:tab w:val="left" w:pos="840"/>
        </w:tabs>
        <w:spacing w:before="0"/>
        <w:ind w:left="0"/>
        <w:jc w:val="both"/>
        <w:rPr>
          <w:noProof/>
          <w:color w:val="231F20"/>
          <w:sz w:val="24"/>
        </w:rPr>
      </w:pPr>
    </w:p>
    <w:p w14:paraId="6DD006D7" w14:textId="31E63D4E" w:rsidR="00904506" w:rsidRPr="008D627B" w:rsidRDefault="00D87D70" w:rsidP="00D87D70">
      <w:pPr>
        <w:pStyle w:val="Pamatteksts"/>
        <w:tabs>
          <w:tab w:val="left" w:pos="840"/>
        </w:tabs>
        <w:spacing w:before="0"/>
        <w:ind w:left="0"/>
        <w:jc w:val="both"/>
        <w:rPr>
          <w:noProof/>
          <w:color w:val="231F20"/>
          <w:sz w:val="24"/>
        </w:rPr>
      </w:pPr>
      <w:r>
        <w:rPr>
          <w:color w:val="231F20"/>
          <w:sz w:val="24"/>
        </w:rPr>
        <w:t xml:space="preserve">31. Guvumus un zaudējumus no “augšupējiem” un “lejupējiem” darījumiem ar aktīviem, kuri neveido </w:t>
      </w:r>
      <w:r>
        <w:rPr>
          <w:i/>
          <w:iCs/>
          <w:color w:val="231F20"/>
          <w:sz w:val="24"/>
        </w:rPr>
        <w:t>IPSAS</w:t>
      </w:r>
      <w:r>
        <w:rPr>
          <w:color w:val="231F20"/>
          <w:sz w:val="24"/>
        </w:rPr>
        <w:t> 40 standartā noteikto darbību starp institūciju (tostarp tās konsolidētajām kontrolētajām institūcijām) un tās asociēto uzņēmumu vai kopuzņēmumu, atzīst institūcijas finanšu pārskatos vienīgi tādā apjomā, kas atbilst nesaistītu ieguldītāju līdzdalībai asociētajā uzņēmumā vai kopuzņēmumā. “Augšupēji” darījumi ir, piemēram, asociētā uzņēmuma vai kopuzņēmuma aktīvu pārdošana ieguldītājam. Izslēdz institūcijas daļu tajos asociētā uzņēmuma vai kopuzņēmuma guvumos vai zaudējumos, kuri rodas šajos darījumos. “Lejupēji” darījumi ir, piemēram, ieguldītāja aktīvu pārdošana tā asociētajam uzņēmumam vai kopuzņēmumam vai šo aktīvu ieguldīšana minētajos uzņēmumos.</w:t>
      </w:r>
    </w:p>
    <w:p w14:paraId="432EB82F" w14:textId="77777777" w:rsidR="00D87D70" w:rsidRDefault="00D87D70" w:rsidP="00D87D70">
      <w:pPr>
        <w:pStyle w:val="Pamatteksts"/>
        <w:tabs>
          <w:tab w:val="left" w:pos="840"/>
        </w:tabs>
        <w:spacing w:before="0"/>
        <w:ind w:left="0"/>
        <w:jc w:val="both"/>
        <w:rPr>
          <w:noProof/>
          <w:color w:val="231F20"/>
          <w:sz w:val="24"/>
        </w:rPr>
      </w:pPr>
    </w:p>
    <w:p w14:paraId="60A368B4" w14:textId="66996760" w:rsidR="00904506" w:rsidRPr="008D627B" w:rsidRDefault="00D87D70" w:rsidP="00D87D70">
      <w:pPr>
        <w:pStyle w:val="Pamatteksts"/>
        <w:tabs>
          <w:tab w:val="left" w:pos="840"/>
        </w:tabs>
        <w:spacing w:before="0"/>
        <w:ind w:left="0"/>
        <w:jc w:val="both"/>
        <w:rPr>
          <w:noProof/>
          <w:color w:val="231F20"/>
          <w:sz w:val="24"/>
        </w:rPr>
      </w:pPr>
      <w:r>
        <w:rPr>
          <w:color w:val="231F20"/>
          <w:sz w:val="24"/>
        </w:rPr>
        <w:t>32. Ja lejupēji darījumi liecina par pārdodamo vai ieguldāmo aktīvu neto pārdošanas vērtības samazināšanos vai par zaudējumiem no minēto aktīvu vērtības samazināšanās, ieguldītājs atzīst šos zaudējumus pilnā apmērā. Ja augšupēji darījumi liecina par pērkamo aktīvu neto pārdošanas vērtības samazināšanos vai par zaudējumiem no minēto aktīvu vērtības samazināšanās, ieguldītājs atzīst tikai savu daļu šajos zaudējumos.</w:t>
      </w:r>
    </w:p>
    <w:p w14:paraId="48897072" w14:textId="77777777" w:rsidR="00D87D70" w:rsidRDefault="00D87D70" w:rsidP="00D87D70">
      <w:pPr>
        <w:pStyle w:val="Pamatteksts"/>
        <w:tabs>
          <w:tab w:val="left" w:pos="840"/>
        </w:tabs>
        <w:spacing w:before="0"/>
        <w:ind w:left="0"/>
        <w:jc w:val="both"/>
        <w:rPr>
          <w:noProof/>
          <w:color w:val="231F20"/>
          <w:sz w:val="24"/>
        </w:rPr>
      </w:pPr>
    </w:p>
    <w:p w14:paraId="77F4B24E" w14:textId="2E39F9D8" w:rsidR="00904506" w:rsidRPr="008D627B" w:rsidRDefault="00D87D70" w:rsidP="00D87D70">
      <w:pPr>
        <w:pStyle w:val="Pamatteksts"/>
        <w:tabs>
          <w:tab w:val="left" w:pos="840"/>
        </w:tabs>
        <w:spacing w:before="0"/>
        <w:ind w:left="0"/>
        <w:jc w:val="both"/>
        <w:rPr>
          <w:noProof/>
          <w:color w:val="231F20"/>
          <w:sz w:val="24"/>
        </w:rPr>
      </w:pPr>
      <w:r>
        <w:rPr>
          <w:color w:val="231F20"/>
          <w:sz w:val="24"/>
        </w:rPr>
        <w:t xml:space="preserve">33. Guvumus vai zaudējumus no tādu nemonetāru aktīvu ieguldījuma asociētajā uzņēmumā vai kopuzņēmumā, kuri neveido </w:t>
      </w:r>
      <w:r>
        <w:rPr>
          <w:i/>
          <w:iCs/>
          <w:color w:val="231F20"/>
          <w:sz w:val="24"/>
        </w:rPr>
        <w:t>IPSAS</w:t>
      </w:r>
      <w:r>
        <w:rPr>
          <w:color w:val="231F20"/>
          <w:sz w:val="24"/>
        </w:rPr>
        <w:t xml:space="preserve"> 40 standartā noteikto darbību, apmaiņā pret līdzdalību šā asociētā uzņēmuma vai kopuzņēmuma pašu kapitālā uzskaita atbilstoši 31. punktam, izņemot gadījumu, kad šādai ieguldīšanai nav komerciālu iezīmju atbilstoši šā termina izpratnei, kas izklāstīta </w:t>
      </w:r>
      <w:r>
        <w:rPr>
          <w:i/>
          <w:iCs/>
          <w:color w:val="231F20"/>
          <w:sz w:val="24"/>
        </w:rPr>
        <w:t>IPSAS</w:t>
      </w:r>
      <w:r>
        <w:rPr>
          <w:color w:val="231F20"/>
          <w:sz w:val="24"/>
        </w:rPr>
        <w:t> 17 “Pamatlīdzekļi”.</w:t>
      </w:r>
      <w:r>
        <w:rPr>
          <w:i/>
          <w:color w:val="231F20"/>
          <w:sz w:val="24"/>
        </w:rPr>
        <w:t xml:space="preserve"> </w:t>
      </w:r>
      <w:r>
        <w:rPr>
          <w:color w:val="231F20"/>
          <w:sz w:val="24"/>
        </w:rPr>
        <w:t>Ja šādam ieguldījumam nav komerciālu iezīmju, guvumu vai zaudējumu uzskata par nerealizētu un neatzītu, ja vien nav piemērojams arī 34. punkts. Šādus nerealizētus guvumus un zaudējumus izslēdz no ieguldījuma, kas uzskaitīts, izmantojot pašu kapitāla metodi, un nenorāda kā atliktus guvumus vai zaudējumus institūcijas konsolidētajā pārskatā par finansiālo stāvokli vai institūcijas pārskatā par finansiālo stāvokli, kurā ieguldījumi tiek uzskaitīti, izmantojot pašu kapitāla metodi.</w:t>
      </w:r>
    </w:p>
    <w:p w14:paraId="2845CE8F" w14:textId="77777777" w:rsidR="00D87D70" w:rsidRDefault="00D87D70" w:rsidP="00D87D70">
      <w:pPr>
        <w:pStyle w:val="Pamatteksts"/>
        <w:tabs>
          <w:tab w:val="left" w:pos="840"/>
        </w:tabs>
        <w:spacing w:before="0"/>
        <w:ind w:left="0"/>
        <w:jc w:val="both"/>
        <w:rPr>
          <w:noProof/>
          <w:color w:val="231F20"/>
          <w:sz w:val="24"/>
        </w:rPr>
      </w:pPr>
    </w:p>
    <w:p w14:paraId="01695047" w14:textId="5275AF08" w:rsidR="00904506" w:rsidRPr="008D627B" w:rsidRDefault="00D87D70" w:rsidP="00D87D70">
      <w:pPr>
        <w:pStyle w:val="Pamatteksts"/>
        <w:tabs>
          <w:tab w:val="left" w:pos="840"/>
        </w:tabs>
        <w:spacing w:before="0"/>
        <w:ind w:left="0"/>
        <w:jc w:val="both"/>
        <w:rPr>
          <w:noProof/>
          <w:color w:val="231F20"/>
          <w:sz w:val="24"/>
        </w:rPr>
      </w:pPr>
      <w:r>
        <w:rPr>
          <w:color w:val="231F20"/>
          <w:sz w:val="24"/>
        </w:rPr>
        <w:t>34. Ja papildus līdzdalības pašu kapitālā saņemšanai asociētajā uzņēmumā vai kopuzņēmumā institūcija saņem monetāros vai nemonetāros aktīvus, institūcija pārsniegumā vai iztrūkumā pilnā apmērā atzīst to no šā ieguldījuma saņemto guvumu vai zaudējumu daļu, kas ir saistīta ar saņemtajiem monetārajiem vai nemonetārajiem aktīviem.</w:t>
      </w:r>
    </w:p>
    <w:p w14:paraId="5C6BC3C3" w14:textId="77777777" w:rsidR="00904506" w:rsidRPr="008D627B" w:rsidRDefault="00904506" w:rsidP="008D627B">
      <w:pPr>
        <w:jc w:val="both"/>
        <w:rPr>
          <w:rFonts w:ascii="Times New Roman" w:eastAsia="Times New Roman" w:hAnsi="Times New Roman" w:cs="Times New Roman"/>
          <w:noProof/>
          <w:sz w:val="24"/>
          <w:szCs w:val="19"/>
        </w:rPr>
      </w:pPr>
    </w:p>
    <w:p w14:paraId="2D41EA94" w14:textId="77777777" w:rsidR="00904506" w:rsidRPr="008D627B" w:rsidRDefault="00904506" w:rsidP="008D627B">
      <w:pPr>
        <w:pStyle w:val="Pamatteksts"/>
        <w:spacing w:before="0"/>
        <w:ind w:left="0"/>
        <w:jc w:val="both"/>
        <w:rPr>
          <w:noProof/>
          <w:color w:val="231F20"/>
          <w:sz w:val="24"/>
        </w:rPr>
      </w:pPr>
      <w:r>
        <w:rPr>
          <w:color w:val="231F20"/>
          <w:sz w:val="24"/>
        </w:rPr>
        <w:t xml:space="preserve">34.A Guvums vai zaudējums no lejupēja darījuma ar aktīviem, kas veido </w:t>
      </w:r>
      <w:r>
        <w:rPr>
          <w:i/>
          <w:iCs/>
          <w:color w:val="231F20"/>
          <w:sz w:val="24"/>
        </w:rPr>
        <w:t>IPSAS</w:t>
      </w:r>
      <w:r>
        <w:rPr>
          <w:color w:val="231F20"/>
          <w:sz w:val="24"/>
        </w:rPr>
        <w:t> 40 standartā noteikto darbību starp institūciju (tostarp tās konsolidētajām kontrolētajām institūcijām) un tās asociēto uzņēmumu vai kopuzņēmumu, ir atzīts pilnā apmērā ieguldītāja finanšu pārskatos.</w:t>
      </w:r>
    </w:p>
    <w:p w14:paraId="35CDEEF5" w14:textId="77777777" w:rsidR="00D87D70" w:rsidRDefault="00D87D70" w:rsidP="008D627B">
      <w:pPr>
        <w:pStyle w:val="Pamatteksts"/>
        <w:spacing w:before="0"/>
        <w:ind w:left="0"/>
        <w:jc w:val="both"/>
        <w:rPr>
          <w:noProof/>
          <w:color w:val="231F20"/>
          <w:sz w:val="24"/>
        </w:rPr>
      </w:pPr>
    </w:p>
    <w:p w14:paraId="54D10854" w14:textId="285A9334" w:rsidR="00904506" w:rsidRPr="008D627B" w:rsidRDefault="00904506" w:rsidP="008D627B">
      <w:pPr>
        <w:pStyle w:val="Pamatteksts"/>
        <w:spacing w:before="0"/>
        <w:ind w:left="0"/>
        <w:jc w:val="both"/>
        <w:rPr>
          <w:noProof/>
          <w:color w:val="231F20"/>
          <w:sz w:val="24"/>
        </w:rPr>
      </w:pPr>
      <w:r>
        <w:rPr>
          <w:color w:val="231F20"/>
          <w:sz w:val="24"/>
        </w:rPr>
        <w:t xml:space="preserve">34.B Institūcija var pārdot vai ieguldīt aktīvus divās vai vairākās vienošanās (darījumos). Kad tiek noteikts, vai aktīvi, kas tiek pārdoti vai ieguldīti, veido </w:t>
      </w:r>
      <w:r>
        <w:rPr>
          <w:i/>
          <w:iCs/>
          <w:color w:val="231F20"/>
          <w:sz w:val="24"/>
        </w:rPr>
        <w:t>IPSAS</w:t>
      </w:r>
      <w:r>
        <w:rPr>
          <w:color w:val="231F20"/>
          <w:sz w:val="24"/>
        </w:rPr>
        <w:t xml:space="preserve"> 40 standartā noteikto </w:t>
      </w:r>
      <w:r>
        <w:rPr>
          <w:color w:val="231F20"/>
          <w:sz w:val="24"/>
        </w:rPr>
        <w:lastRenderedPageBreak/>
        <w:t xml:space="preserve">darbību, institūcija apsver, vai šo aktīvu pārdošana vai ieguldīšana ir tādu vairāku vienošanās daļa, kas ir jāuzskaita kā viens darījums atbilstoši </w:t>
      </w:r>
      <w:r>
        <w:rPr>
          <w:i/>
          <w:iCs/>
          <w:color w:val="231F20"/>
          <w:sz w:val="24"/>
        </w:rPr>
        <w:t>IPSAS</w:t>
      </w:r>
      <w:r>
        <w:rPr>
          <w:color w:val="231F20"/>
          <w:sz w:val="24"/>
        </w:rPr>
        <w:t> 35 53. punkta prasībām.</w:t>
      </w:r>
    </w:p>
    <w:p w14:paraId="312AFBAF" w14:textId="77777777" w:rsidR="00D87D70" w:rsidRDefault="00D87D70" w:rsidP="00D87D70">
      <w:pPr>
        <w:pStyle w:val="Pamatteksts"/>
        <w:tabs>
          <w:tab w:val="left" w:pos="840"/>
        </w:tabs>
        <w:spacing w:before="0"/>
        <w:ind w:left="0"/>
        <w:jc w:val="both"/>
        <w:rPr>
          <w:noProof/>
          <w:color w:val="231F20"/>
          <w:sz w:val="24"/>
        </w:rPr>
      </w:pPr>
    </w:p>
    <w:p w14:paraId="7239732D" w14:textId="5380E232" w:rsidR="00904506" w:rsidRPr="008D627B" w:rsidRDefault="00D87D70" w:rsidP="00D87D70">
      <w:pPr>
        <w:pStyle w:val="Pamatteksts"/>
        <w:tabs>
          <w:tab w:val="left" w:pos="840"/>
        </w:tabs>
        <w:spacing w:before="0"/>
        <w:ind w:left="0"/>
        <w:jc w:val="both"/>
        <w:rPr>
          <w:noProof/>
          <w:color w:val="231F20"/>
          <w:sz w:val="24"/>
        </w:rPr>
      </w:pPr>
      <w:r>
        <w:rPr>
          <w:color w:val="231F20"/>
          <w:sz w:val="24"/>
        </w:rPr>
        <w:t>35. Ieguldījumu uzskaita, izmantojot pašu kapitāla metodi, no dienas, kad tas kļūst par asociēto uzņēmumu vai kopuzņēmumu. Saņemot ieguldījumu, jebkuru starpību starp ieguldījuma izmaksām un institūcijas daļu ieguldījuma saņēmēja identificējamo aktīvu un saistību neto patiesajā vērtībā uzskaita šādi:</w:t>
      </w:r>
    </w:p>
    <w:p w14:paraId="68942ECA" w14:textId="77777777" w:rsidR="00D87D70" w:rsidRDefault="00D87D70" w:rsidP="00D87D70">
      <w:pPr>
        <w:pStyle w:val="Pamatteksts"/>
        <w:tabs>
          <w:tab w:val="left" w:pos="1360"/>
        </w:tabs>
        <w:spacing w:before="0"/>
        <w:ind w:left="0"/>
        <w:jc w:val="both"/>
        <w:rPr>
          <w:noProof/>
          <w:color w:val="231F20"/>
          <w:sz w:val="24"/>
        </w:rPr>
      </w:pPr>
    </w:p>
    <w:p w14:paraId="21047E6F" w14:textId="7E7FA155" w:rsidR="00904506" w:rsidRPr="008D627B" w:rsidRDefault="00D87D70" w:rsidP="00D87D70">
      <w:pPr>
        <w:pStyle w:val="Pamatteksts"/>
        <w:tabs>
          <w:tab w:val="left" w:pos="1360"/>
        </w:tabs>
        <w:spacing w:before="0"/>
        <w:ind w:left="0"/>
        <w:jc w:val="both"/>
        <w:rPr>
          <w:noProof/>
          <w:color w:val="231F20"/>
          <w:sz w:val="24"/>
        </w:rPr>
      </w:pPr>
      <w:r>
        <w:rPr>
          <w:color w:val="231F20"/>
          <w:sz w:val="24"/>
        </w:rPr>
        <w:t>a) ja institūcija ir iekļāvusi ieguldījuma uzskaites vērtībā ar asociēto uzņēmumu vai kopuzņēmumu saistītu nemateriālo vērtību, ir aizliegta šīs nemateriālās vērtības amortizācija;</w:t>
      </w:r>
    </w:p>
    <w:p w14:paraId="4473302E" w14:textId="034F7EFE" w:rsidR="00904506" w:rsidRPr="008D627B" w:rsidRDefault="00D87D70" w:rsidP="00D87D70">
      <w:pPr>
        <w:pStyle w:val="Pamatteksts"/>
        <w:tabs>
          <w:tab w:val="left" w:pos="1360"/>
        </w:tabs>
        <w:spacing w:before="0"/>
        <w:ind w:left="0"/>
        <w:jc w:val="both"/>
        <w:rPr>
          <w:noProof/>
          <w:color w:val="231F20"/>
          <w:sz w:val="24"/>
        </w:rPr>
      </w:pPr>
      <w:r>
        <w:rPr>
          <w:color w:val="231F20"/>
          <w:sz w:val="24"/>
        </w:rPr>
        <w:t>b) nosakot institūcijas daļu asociētā uzņēmuma vai kopuzņēmuma pārsniegumā vai iztrūkumā tajā periodā, kurā ir iegūts ieguldījums, jebkuru institūcijai piederošās ieguldījumu saņēmēja identificējamo aktīvu un saistību neto patiesās vērtības daļas apmēru virs ieguldījuma izmaksām iekļauj kā ieņēmumus.</w:t>
      </w:r>
    </w:p>
    <w:p w14:paraId="32807BBA" w14:textId="77777777" w:rsidR="00D87D70" w:rsidRDefault="00D87D70" w:rsidP="008D627B">
      <w:pPr>
        <w:pStyle w:val="Pamatteksts"/>
        <w:spacing w:before="0"/>
        <w:ind w:left="0"/>
        <w:jc w:val="both"/>
        <w:rPr>
          <w:noProof/>
          <w:color w:val="231F20"/>
          <w:sz w:val="24"/>
        </w:rPr>
      </w:pPr>
    </w:p>
    <w:p w14:paraId="120C35F9" w14:textId="6B157D9A" w:rsidR="00904506" w:rsidRPr="008D627B" w:rsidRDefault="00904506" w:rsidP="008D627B">
      <w:pPr>
        <w:pStyle w:val="Pamatteksts"/>
        <w:spacing w:before="0"/>
        <w:ind w:left="0"/>
        <w:jc w:val="both"/>
        <w:rPr>
          <w:noProof/>
          <w:color w:val="231F20"/>
          <w:sz w:val="24"/>
        </w:rPr>
      </w:pPr>
      <w:r>
        <w:rPr>
          <w:color w:val="231F20"/>
          <w:sz w:val="24"/>
        </w:rPr>
        <w:t>Institūcijas daļa asociētā uzņēmuma vai kopuzņēmuma pārsniegumā vai iztrūkumā pēc iegūšanas tiek atbilstoši koriģēta, lai uzskaitītu, piemēram, nolietojamo aktīvu vērtības samazināšanos, pamatojoties uz to patiesajām vērtībām iegūšanas dienā. Līdzīgi institūcijas daļa asociētā uzņēmuma vai kopuzņēmuma pārsniegumā vai iztrūkumā pēc iegūšanas tiek atbilstoši koriģēta saistībā ar zaudējumiem no vērtības samazināšanās, piemēram, saistībā ar pamatlīdzekļiem vai attiecīgā gadījumā saistībā ar nemateriālo vērtību.</w:t>
      </w:r>
    </w:p>
    <w:p w14:paraId="473C01C9" w14:textId="77777777" w:rsidR="00D87D70" w:rsidRDefault="00D87D70" w:rsidP="00D87D70">
      <w:pPr>
        <w:pStyle w:val="Virsraksts2"/>
        <w:tabs>
          <w:tab w:val="left" w:pos="840"/>
        </w:tabs>
        <w:spacing w:before="0"/>
        <w:ind w:left="0"/>
        <w:jc w:val="both"/>
        <w:rPr>
          <w:noProof/>
          <w:color w:val="231F20"/>
          <w:sz w:val="24"/>
        </w:rPr>
      </w:pPr>
    </w:p>
    <w:p w14:paraId="797F3C17" w14:textId="2A41DE06" w:rsidR="00904506" w:rsidRPr="008D627B" w:rsidRDefault="00D87D70" w:rsidP="00D87D70">
      <w:pPr>
        <w:pStyle w:val="Virsraksts2"/>
        <w:tabs>
          <w:tab w:val="left" w:pos="840"/>
        </w:tabs>
        <w:spacing w:before="0"/>
        <w:ind w:left="0"/>
        <w:jc w:val="both"/>
        <w:rPr>
          <w:noProof/>
          <w:color w:val="231F20"/>
          <w:sz w:val="24"/>
        </w:rPr>
      </w:pPr>
      <w:r>
        <w:rPr>
          <w:color w:val="231F20"/>
          <w:sz w:val="24"/>
        </w:rPr>
        <w:t>36. Pašu kapitāla metodes piemērošanā institūcija izmanto jaunākos pieejamos asociētā uzņēmuma vai kopuzņēmuma finanšu pārskatus. Ja institūcijas pārskata perioda beigu datums atšķiras no asociētā uzņēmuma vai kopuzņēmuma pārskata perioda beigu datuma, institūcija:</w:t>
      </w:r>
    </w:p>
    <w:p w14:paraId="2ED5D978" w14:textId="77777777" w:rsidR="00D87D70" w:rsidRDefault="00D87D70" w:rsidP="00D87D70">
      <w:pPr>
        <w:tabs>
          <w:tab w:val="left" w:pos="1360"/>
        </w:tabs>
        <w:jc w:val="both"/>
        <w:rPr>
          <w:rFonts w:ascii="Times New Roman" w:hAnsi="Times New Roman"/>
          <w:b/>
          <w:noProof/>
          <w:color w:val="231F20"/>
          <w:sz w:val="24"/>
        </w:rPr>
      </w:pPr>
    </w:p>
    <w:p w14:paraId="213125C2" w14:textId="0177916A" w:rsidR="00904506" w:rsidRPr="008D627B" w:rsidRDefault="00D87D70" w:rsidP="00D87D70">
      <w:pPr>
        <w:tabs>
          <w:tab w:val="left" w:pos="1360"/>
        </w:tabs>
        <w:jc w:val="both"/>
        <w:rPr>
          <w:rFonts w:ascii="Times New Roman" w:hAnsi="Times New Roman"/>
          <w:b/>
          <w:noProof/>
          <w:color w:val="231F20"/>
          <w:sz w:val="24"/>
        </w:rPr>
      </w:pPr>
      <w:r>
        <w:rPr>
          <w:rFonts w:ascii="Times New Roman" w:hAnsi="Times New Roman"/>
          <w:b/>
          <w:color w:val="231F20"/>
          <w:sz w:val="24"/>
        </w:rPr>
        <w:t>a) pašu kapitāla metodes piemērošanas nolūkā iegūst papildu finanšu informāciju, sākot no tā paša datuma, no kura sagatavoti institūcijas finanšu pārskati, vai</w:t>
      </w:r>
    </w:p>
    <w:p w14:paraId="7582506D" w14:textId="790E8001" w:rsidR="00904506" w:rsidRPr="008D627B" w:rsidRDefault="00D87D70" w:rsidP="00D87D70">
      <w:pPr>
        <w:tabs>
          <w:tab w:val="left" w:pos="136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izmanto jaunākos asociētā uzņēmuma vai kopuzņēmuma finanšu pārskatus, kuri koriģēti saistībā ar tādu būtisko darījumu vai citu notikumu ietekmi, kas notikuši laikā starp šo finanšu pārskatu datumu un institūcijas finanšu pārskatu datumu.</w:t>
      </w:r>
    </w:p>
    <w:p w14:paraId="7923330B" w14:textId="77777777" w:rsidR="00904506" w:rsidRPr="008D627B" w:rsidRDefault="00904506" w:rsidP="008D627B">
      <w:pPr>
        <w:jc w:val="both"/>
        <w:rPr>
          <w:rFonts w:ascii="Times New Roman" w:eastAsia="Times New Roman" w:hAnsi="Times New Roman" w:cs="Times New Roman"/>
          <w:b/>
          <w:bCs/>
          <w:noProof/>
          <w:sz w:val="24"/>
          <w:szCs w:val="19"/>
        </w:rPr>
      </w:pPr>
    </w:p>
    <w:p w14:paraId="566A354A" w14:textId="49DAE1AB" w:rsidR="00904506" w:rsidRPr="008D627B" w:rsidRDefault="00D87D70" w:rsidP="00D87D70">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37. Institūcija sagatavo finanšu pārskatus, izmantojot vienotu grāmatvedības politiku līdzīgiem darījumiem un notikumiem līdzīgos apstākļos.</w:t>
      </w:r>
    </w:p>
    <w:p w14:paraId="032475F5" w14:textId="77777777" w:rsidR="00D87D70" w:rsidRDefault="00D87D70" w:rsidP="00D87D70">
      <w:pPr>
        <w:pStyle w:val="Pamatteksts"/>
        <w:tabs>
          <w:tab w:val="left" w:pos="820"/>
        </w:tabs>
        <w:spacing w:before="0"/>
        <w:ind w:left="0"/>
        <w:jc w:val="both"/>
        <w:rPr>
          <w:noProof/>
          <w:color w:val="231F20"/>
          <w:sz w:val="24"/>
        </w:rPr>
      </w:pPr>
    </w:p>
    <w:p w14:paraId="438B414F" w14:textId="79EBE7C0" w:rsidR="00904506" w:rsidRPr="008D627B" w:rsidRDefault="00D87D70" w:rsidP="00D87D70">
      <w:pPr>
        <w:pStyle w:val="Pamatteksts"/>
        <w:tabs>
          <w:tab w:val="left" w:pos="820"/>
        </w:tabs>
        <w:spacing w:before="0"/>
        <w:ind w:left="0"/>
        <w:jc w:val="both"/>
        <w:rPr>
          <w:noProof/>
          <w:color w:val="231F20"/>
          <w:sz w:val="24"/>
        </w:rPr>
      </w:pPr>
      <w:r>
        <w:rPr>
          <w:color w:val="231F20"/>
          <w:sz w:val="24"/>
        </w:rPr>
        <w:t>38. Izņemot to, kā noteikts 39. punktā, gadījumos, kad asociētais uzņēmums vai kopuzņēmums izmanto citu grāmatvedības politiku, nevis to institūcijas grāmatvedības politiku, kas paredzēta līdzīgiem darījumiem vai notikumiem līdzīgos apstākļos, veic korekcijas, lai panāktu, ka asociētā uzņēmuma vai kopuzņēmuma grāmatvedības politika atbilst institūcijas grāmatvedības politikai, kad institūcija pašu kapitāla metodes piemērošanā izmanto asociētā uzņēmuma vai kopuzņēmuma finanšu pārskatus.</w:t>
      </w:r>
    </w:p>
    <w:p w14:paraId="178583C5" w14:textId="77777777" w:rsidR="00D87D70" w:rsidRDefault="00D87D70" w:rsidP="00D87D70">
      <w:pPr>
        <w:pStyle w:val="Virsraksts2"/>
        <w:tabs>
          <w:tab w:val="left" w:pos="820"/>
        </w:tabs>
        <w:spacing w:before="0"/>
        <w:ind w:left="0"/>
        <w:jc w:val="both"/>
        <w:rPr>
          <w:noProof/>
          <w:color w:val="231F20"/>
          <w:sz w:val="24"/>
        </w:rPr>
      </w:pPr>
    </w:p>
    <w:p w14:paraId="50553CFA" w14:textId="72A2CED6" w:rsidR="00904506" w:rsidRPr="008D627B" w:rsidRDefault="00D87D70" w:rsidP="00D87D70">
      <w:pPr>
        <w:pStyle w:val="Virsraksts2"/>
        <w:tabs>
          <w:tab w:val="left" w:pos="820"/>
        </w:tabs>
        <w:spacing w:before="0"/>
        <w:ind w:left="0"/>
        <w:jc w:val="both"/>
        <w:rPr>
          <w:noProof/>
          <w:color w:val="231F20"/>
          <w:sz w:val="24"/>
        </w:rPr>
      </w:pPr>
      <w:r>
        <w:rPr>
          <w:color w:val="231F20"/>
          <w:sz w:val="24"/>
        </w:rPr>
        <w:t>39. Atkāpjoties no 38. punkta prasībām, gadījumā, ja institūcijai ir līdzdalība asociētajā uzņēmumā vai kopuzņēmumā, kas ir ieguldījumu institūcija, institūcija pašu kapitāla metodes piemērošanā patur patiesās vērtības novērtējumu, ko šīs ieguldījumu institūcijas asociētais uzņēmums vai kopuzņēmums ir piemērojis attiecībā uz savu līdzdalību kontrolētajās institūcijās.</w:t>
      </w:r>
    </w:p>
    <w:p w14:paraId="450CA352" w14:textId="77777777" w:rsidR="00D87D70" w:rsidRDefault="00D87D70" w:rsidP="00D87D70">
      <w:pPr>
        <w:pStyle w:val="Pamatteksts"/>
        <w:tabs>
          <w:tab w:val="left" w:pos="820"/>
        </w:tabs>
        <w:spacing w:before="0"/>
        <w:ind w:left="0"/>
        <w:jc w:val="both"/>
        <w:rPr>
          <w:noProof/>
          <w:color w:val="231F20"/>
          <w:sz w:val="24"/>
        </w:rPr>
      </w:pPr>
    </w:p>
    <w:p w14:paraId="71113562" w14:textId="575B32D4" w:rsidR="00904506" w:rsidRPr="008D627B" w:rsidRDefault="00D87D70" w:rsidP="00D87D70">
      <w:pPr>
        <w:pStyle w:val="Pamatteksts"/>
        <w:tabs>
          <w:tab w:val="left" w:pos="820"/>
        </w:tabs>
        <w:spacing w:before="0"/>
        <w:ind w:left="0"/>
        <w:jc w:val="both"/>
        <w:rPr>
          <w:noProof/>
          <w:color w:val="231F20"/>
          <w:sz w:val="24"/>
        </w:rPr>
      </w:pPr>
      <w:r>
        <w:rPr>
          <w:color w:val="231F20"/>
          <w:sz w:val="24"/>
        </w:rPr>
        <w:t xml:space="preserve">40. Ja asociētajam uzņēmumam vai kopuzņēmumam apgrozībā ir kumulatīvas privileģētās akcijas, ko tur citas puses, nevis institūcija, un tās ir klasificētas kā pašu kapitāls, institūcija </w:t>
      </w:r>
      <w:r>
        <w:rPr>
          <w:color w:val="231F20"/>
          <w:sz w:val="24"/>
        </w:rPr>
        <w:lastRenderedPageBreak/>
        <w:t>aprēķina savu pārsnieguma vai iztrūkuma daļu pēc tam, kad ir veiktas korekcijas saistībā ar dividendēm no šādām akcijām neatkarīgi no tā, vai šādas dividendes ir bijušas deklarētas.</w:t>
      </w:r>
    </w:p>
    <w:p w14:paraId="01064F30" w14:textId="77777777" w:rsidR="00D87D70" w:rsidRDefault="00D87D70" w:rsidP="00D87D70">
      <w:pPr>
        <w:pStyle w:val="Pamatteksts"/>
        <w:tabs>
          <w:tab w:val="left" w:pos="820"/>
        </w:tabs>
        <w:spacing w:before="0"/>
        <w:ind w:left="0"/>
        <w:jc w:val="both"/>
        <w:rPr>
          <w:noProof/>
          <w:color w:val="231F20"/>
          <w:sz w:val="24"/>
        </w:rPr>
      </w:pPr>
    </w:p>
    <w:p w14:paraId="3C39E664" w14:textId="22CC4CEF" w:rsidR="00904506" w:rsidRPr="008D627B" w:rsidRDefault="00D87D70" w:rsidP="00D87D70">
      <w:pPr>
        <w:pStyle w:val="Pamatteksts"/>
        <w:tabs>
          <w:tab w:val="left" w:pos="820"/>
        </w:tabs>
        <w:spacing w:before="0"/>
        <w:ind w:left="0"/>
        <w:jc w:val="both"/>
        <w:rPr>
          <w:noProof/>
          <w:color w:val="231F20"/>
          <w:sz w:val="24"/>
        </w:rPr>
      </w:pPr>
      <w:r>
        <w:rPr>
          <w:color w:val="231F20"/>
          <w:sz w:val="24"/>
        </w:rPr>
        <w:t>41. Ja institūcijas daļa asociētā uzņēmuma vai kopuzņēmuma iztrūkumā ir vienāda ar tās līdzdalību asociētajā uzņēmumā vai kopuzņēmumā vai pārsniedz šādu līdzdalību, institūcija pārtrauc atzīt savu turpmāko iztrūkumu daļu. Līdzdalība asociētajā uzņēmumā vai kopuzņēmumā ir ieguldījuma asociētajā uzņēmumā vai kopuzņēmumā uzskaites vērtība, kas noteikta, izmantojot pašu kapitāla metodi kopā ar jebkuru ilgtermiņa līdzdalību, kas būtībā veido daļu no institūcijas neto ieguldījuma asociētajā uzņēmumā vai kopuzņēmumā. Piemēram, postenis, par kuru nav plānots norēķināties un nav arī ticams, ka šāda norēķināšanās notiks tuvākajā laikā, būtībā ir institūcijas ieguldījuma pagarinājums šajā asociētajā uzņēmumā vai kopuzņēmumā. Šādi posteņi var ietvert privileģētās akcijas un ilgtermiņa prasības vai aizdevumus, taču neietver pircēju un pasūtītāju parādus, saistības pret kreditoriem un ilgtermiņa prasības, attiecībā uz kurām izsniegta atbilstoša ķīla, piemēram, nodrošinātus aizdevumus. Iztrūkumus, kas atzīti, izmantojot pašu kapitāla metodi, un pārsniedz institūcijas ieguldījumu parastajās akcijās, attiecina uz citiem institūcijas līdzdalības asociētajā uzņēmumā vai kopuzņēmumā komponentiem apvērstā prioritāšu kārtībā (t. i., atbilstoši prioritātei likvidācijas procesā).</w:t>
      </w:r>
    </w:p>
    <w:p w14:paraId="71E25767" w14:textId="77777777" w:rsidR="00D87D70" w:rsidRDefault="00D87D70" w:rsidP="00D87D70">
      <w:pPr>
        <w:pStyle w:val="Pamatteksts"/>
        <w:tabs>
          <w:tab w:val="left" w:pos="820"/>
        </w:tabs>
        <w:spacing w:before="0"/>
        <w:ind w:left="0"/>
        <w:jc w:val="both"/>
        <w:rPr>
          <w:noProof/>
          <w:color w:val="231F20"/>
          <w:sz w:val="24"/>
        </w:rPr>
      </w:pPr>
    </w:p>
    <w:p w14:paraId="1448527D" w14:textId="6F992F74" w:rsidR="00904506" w:rsidRPr="008D627B" w:rsidRDefault="00D87D70" w:rsidP="00D87D70">
      <w:pPr>
        <w:pStyle w:val="Pamatteksts"/>
        <w:tabs>
          <w:tab w:val="left" w:pos="820"/>
        </w:tabs>
        <w:spacing w:before="0"/>
        <w:ind w:left="0"/>
        <w:jc w:val="both"/>
        <w:rPr>
          <w:noProof/>
          <w:color w:val="231F20"/>
          <w:sz w:val="24"/>
        </w:rPr>
      </w:pPr>
      <w:r>
        <w:rPr>
          <w:color w:val="231F20"/>
          <w:sz w:val="24"/>
        </w:rPr>
        <w:t>42. Pēc tam, kad institūcijas līdzdalība ir samazināta līdz nullei, papildu iztrūkumi tiek paredzēti un saistības tiek atzītas tikai tiktāl, cik institūcija ir uzņēmusies juridiskus vai prakses radītus pienākumus vai veikusi maksājumus asociētā uzņēmuma vai kopuzņēmuma vārdā. Ja asociētais uzņēmums vai kopuzņēmums pēc tam ziņo par pārsniegumiem, institūcija atsāk atzīt savu daļu šajos pārsniegumos tikai pēc tam, kad tās daļa pārsniegumos kļūst vienāda ar neatzīto iztrūkumu daļu.</w:t>
      </w:r>
    </w:p>
    <w:p w14:paraId="52EFD896" w14:textId="77777777" w:rsidR="00904506" w:rsidRPr="008D627B" w:rsidRDefault="00904506" w:rsidP="008D627B">
      <w:pPr>
        <w:jc w:val="both"/>
        <w:rPr>
          <w:rFonts w:ascii="Times New Roman" w:eastAsia="Times New Roman" w:hAnsi="Times New Roman" w:cs="Times New Roman"/>
          <w:noProof/>
          <w:sz w:val="24"/>
          <w:szCs w:val="19"/>
        </w:rPr>
      </w:pPr>
    </w:p>
    <w:p w14:paraId="5654D7B8" w14:textId="77777777" w:rsidR="00904506" w:rsidRPr="008D627B" w:rsidRDefault="00904506" w:rsidP="008D627B">
      <w:pPr>
        <w:pStyle w:val="Virsraksts2"/>
        <w:spacing w:before="0"/>
        <w:ind w:left="0"/>
        <w:jc w:val="both"/>
        <w:rPr>
          <w:noProof/>
          <w:color w:val="231F20"/>
          <w:sz w:val="24"/>
        </w:rPr>
      </w:pPr>
      <w:r>
        <w:rPr>
          <w:color w:val="231F20"/>
          <w:sz w:val="24"/>
        </w:rPr>
        <w:t>Zaudējumi no vērtības samazināšanās</w:t>
      </w:r>
      <w:bookmarkStart w:id="11" w:name="_bookmark11"/>
      <w:bookmarkEnd w:id="11"/>
    </w:p>
    <w:p w14:paraId="1715BF24" w14:textId="77777777" w:rsidR="00D87D70" w:rsidRDefault="00D87D70" w:rsidP="00D87D70">
      <w:pPr>
        <w:pStyle w:val="Pamatteksts"/>
        <w:tabs>
          <w:tab w:val="left" w:pos="820"/>
        </w:tabs>
        <w:spacing w:before="0"/>
        <w:ind w:left="0"/>
        <w:jc w:val="both"/>
        <w:rPr>
          <w:noProof/>
          <w:color w:val="231F20"/>
          <w:sz w:val="24"/>
        </w:rPr>
      </w:pPr>
    </w:p>
    <w:p w14:paraId="0FE496E5" w14:textId="712DCD5A" w:rsidR="00904506" w:rsidRPr="008D627B" w:rsidRDefault="00D87D70" w:rsidP="00D87D70">
      <w:pPr>
        <w:pStyle w:val="Pamatteksts"/>
        <w:tabs>
          <w:tab w:val="left" w:pos="820"/>
        </w:tabs>
        <w:spacing w:before="0"/>
        <w:ind w:left="0"/>
        <w:jc w:val="both"/>
        <w:rPr>
          <w:noProof/>
          <w:color w:val="231F20"/>
          <w:sz w:val="24"/>
        </w:rPr>
      </w:pPr>
      <w:r>
        <w:rPr>
          <w:color w:val="231F20"/>
          <w:sz w:val="24"/>
        </w:rPr>
        <w:t>43. Pēc pašu kapitāla metodes piemērošanas, tostarp pēc asociētā uzņēmuma vai kopuzņēmuma iztrūkuma atzīšanas saskaņā ar 41. punktu, institūcija piemēro 44.A–44.C punktu, lai noteiktu, vai ir kādi objektīvi pierādījumi tam, ka tās neto ieguldījumiem asociētajā uzņēmumā vai kopuzņēmumā ir samazinājusies vērtība.</w:t>
      </w:r>
    </w:p>
    <w:p w14:paraId="078638E6" w14:textId="77777777" w:rsidR="00D87D70" w:rsidRDefault="00D87D70" w:rsidP="00D87D70">
      <w:pPr>
        <w:pStyle w:val="Pamatteksts"/>
        <w:tabs>
          <w:tab w:val="left" w:pos="820"/>
        </w:tabs>
        <w:spacing w:before="0"/>
        <w:ind w:left="0"/>
        <w:jc w:val="both"/>
        <w:rPr>
          <w:noProof/>
          <w:color w:val="231F20"/>
          <w:sz w:val="24"/>
        </w:rPr>
      </w:pPr>
    </w:p>
    <w:p w14:paraId="4F7D9BFE" w14:textId="1731382E" w:rsidR="00904506" w:rsidRPr="008D627B" w:rsidRDefault="00D87D70" w:rsidP="00D87D70">
      <w:pPr>
        <w:pStyle w:val="Pamatteksts"/>
        <w:tabs>
          <w:tab w:val="left" w:pos="820"/>
        </w:tabs>
        <w:spacing w:before="0"/>
        <w:ind w:left="0"/>
        <w:jc w:val="both"/>
        <w:rPr>
          <w:noProof/>
          <w:color w:val="231F20"/>
          <w:sz w:val="24"/>
        </w:rPr>
      </w:pPr>
      <w:r>
        <w:rPr>
          <w:color w:val="231F20"/>
          <w:sz w:val="24"/>
        </w:rPr>
        <w:t>44. [Svītrots]</w:t>
      </w:r>
    </w:p>
    <w:p w14:paraId="5726D912" w14:textId="77777777" w:rsidR="00D87D70" w:rsidRDefault="00D87D70" w:rsidP="008D627B">
      <w:pPr>
        <w:pStyle w:val="Pamatteksts"/>
        <w:spacing w:before="0"/>
        <w:ind w:left="0"/>
        <w:jc w:val="both"/>
        <w:rPr>
          <w:noProof/>
          <w:color w:val="231F20"/>
          <w:sz w:val="24"/>
        </w:rPr>
      </w:pPr>
    </w:p>
    <w:p w14:paraId="20D64015" w14:textId="2C8DCE0F" w:rsidR="00904506" w:rsidRPr="008D627B" w:rsidRDefault="00904506" w:rsidP="008D627B">
      <w:pPr>
        <w:pStyle w:val="Pamatteksts"/>
        <w:spacing w:before="0"/>
        <w:ind w:left="0"/>
        <w:jc w:val="both"/>
        <w:rPr>
          <w:noProof/>
          <w:color w:val="231F20"/>
          <w:sz w:val="24"/>
        </w:rPr>
      </w:pPr>
      <w:r>
        <w:rPr>
          <w:color w:val="231F20"/>
          <w:sz w:val="24"/>
        </w:rPr>
        <w:t>44.A Neto ieguldījumu asociētajā uzņēmumā vai kopuzņēmumā vērtība samazinās un zaudējumi no vērtības samazināšanās pastāv tikai un vienīgi tad, ja ir objektīvi pierādījumi tam, ka šāda vērtības samazināšanās ir notikusi viena vai vairāku pēc neto ieguldījumu sākotnējās atzīšanas notikušu gadījumu rezultātā (“zaudējuma notikums”), un ja šim zaudējuma notikumam (vai notikumiem) ir tāda ietekme uz prognozēto nākotnes naudas plūsmu no neto ieguldījumiem, kuru ir iespējams ticami novērtēt. Var arī nebūt iespējams identificēt atsevišķu notikumu, kas ir izraisījis vērtības samazināšanos. Vērtības samazināšanos var būt izraisījuši vairāki notikumi kopā. Neatkarīgi no tā, cik augsta ir tādu zaudējumu iespējamība, kas ir paredzami turpmāko notikumu rezultātā, šādi zaudējumi netiek atzīti. Objektīvus pierādījums tam, ka notikusi neto ieguldījumu vērtības samazināšanās, sniedz tādi novērojami dati, kas nonāk institūcijas uzmanības lokā par šādiem zaudējuma notikumiem:</w:t>
      </w:r>
    </w:p>
    <w:p w14:paraId="43B86B5B" w14:textId="77777777" w:rsidR="00D87D70" w:rsidRDefault="00D87D70" w:rsidP="00D87D70">
      <w:pPr>
        <w:pStyle w:val="Pamatteksts"/>
        <w:tabs>
          <w:tab w:val="left" w:pos="1340"/>
        </w:tabs>
        <w:spacing w:before="0"/>
        <w:ind w:left="0"/>
        <w:jc w:val="both"/>
        <w:rPr>
          <w:noProof/>
          <w:color w:val="231F20"/>
          <w:sz w:val="24"/>
        </w:rPr>
      </w:pPr>
    </w:p>
    <w:p w14:paraId="5665332E" w14:textId="09A58CFF" w:rsidR="00904506" w:rsidRPr="008D627B" w:rsidRDefault="00D87D70" w:rsidP="00D87D70">
      <w:pPr>
        <w:pStyle w:val="Pamatteksts"/>
        <w:tabs>
          <w:tab w:val="left" w:pos="1340"/>
        </w:tabs>
        <w:spacing w:before="0"/>
        <w:ind w:left="0"/>
        <w:jc w:val="both"/>
        <w:rPr>
          <w:noProof/>
          <w:color w:val="231F20"/>
          <w:sz w:val="24"/>
        </w:rPr>
      </w:pPr>
      <w:r>
        <w:rPr>
          <w:color w:val="231F20"/>
          <w:sz w:val="24"/>
        </w:rPr>
        <w:t>a) asociētajam uzņēmumam vai kopuzņēmumam ir nopietnas finansiālas grūtības;</w:t>
      </w:r>
    </w:p>
    <w:p w14:paraId="0369457B" w14:textId="794CDF7E" w:rsidR="00904506" w:rsidRPr="008D627B" w:rsidRDefault="00D87D70" w:rsidP="00D87D70">
      <w:pPr>
        <w:pStyle w:val="Pamatteksts"/>
        <w:tabs>
          <w:tab w:val="left" w:pos="1340"/>
        </w:tabs>
        <w:spacing w:before="0"/>
        <w:ind w:left="0"/>
        <w:jc w:val="both"/>
        <w:rPr>
          <w:noProof/>
          <w:color w:val="231F20"/>
          <w:sz w:val="24"/>
        </w:rPr>
      </w:pPr>
      <w:r>
        <w:rPr>
          <w:color w:val="231F20"/>
          <w:sz w:val="24"/>
        </w:rPr>
        <w:t>b) līguma pārkāpums, piemēram, asociētais uzņēmums vai kopuzņēmums nav izpildījis maksājuma saistības;</w:t>
      </w:r>
    </w:p>
    <w:p w14:paraId="789B2405" w14:textId="612CE9A3" w:rsidR="00904506" w:rsidRPr="008D627B" w:rsidRDefault="00D87D70" w:rsidP="00D87D70">
      <w:pPr>
        <w:pStyle w:val="Pamatteksts"/>
        <w:tabs>
          <w:tab w:val="left" w:pos="1340"/>
        </w:tabs>
        <w:spacing w:before="0"/>
        <w:ind w:left="0"/>
        <w:jc w:val="both"/>
        <w:rPr>
          <w:noProof/>
          <w:color w:val="231F20"/>
          <w:sz w:val="24"/>
        </w:rPr>
      </w:pPr>
      <w:r>
        <w:rPr>
          <w:color w:val="231F20"/>
          <w:sz w:val="24"/>
        </w:rPr>
        <w:lastRenderedPageBreak/>
        <w:t>c) institūcija tādu saimniecisku vai juridisku iemeslu dēļ, kas ir saistīti ar tās asociētā uzņēmuma vai kopuzņēmuma finansiālajām grūtībām, piešķir asociētajam uzņēmumam vai kopuzņēmumam koncesiju, ko tā citā gadījumā neapsvērtu;</w:t>
      </w:r>
    </w:p>
    <w:p w14:paraId="117C6F28" w14:textId="03578DD2" w:rsidR="00904506" w:rsidRPr="008D627B" w:rsidRDefault="00D87D70" w:rsidP="00D87D70">
      <w:pPr>
        <w:pStyle w:val="Pamatteksts"/>
        <w:tabs>
          <w:tab w:val="left" w:pos="1340"/>
        </w:tabs>
        <w:spacing w:before="0"/>
        <w:ind w:left="0"/>
        <w:jc w:val="both"/>
        <w:rPr>
          <w:noProof/>
          <w:color w:val="231F20"/>
          <w:sz w:val="24"/>
        </w:rPr>
      </w:pPr>
      <w:r>
        <w:rPr>
          <w:color w:val="231F20"/>
          <w:sz w:val="24"/>
        </w:rPr>
        <w:t>d) kļūst ticams, ka asociētais uzņēmums vai kopuzņēmums sāks bankrota procedūru vai veiks citu finansiālu reorganizāciju, vai</w:t>
      </w:r>
    </w:p>
    <w:p w14:paraId="1F578182" w14:textId="29A12D6D" w:rsidR="00904506" w:rsidRPr="008D627B" w:rsidRDefault="00D87D70" w:rsidP="00D87D70">
      <w:pPr>
        <w:pStyle w:val="Pamatteksts"/>
        <w:tabs>
          <w:tab w:val="left" w:pos="1340"/>
        </w:tabs>
        <w:spacing w:before="0"/>
        <w:ind w:left="0"/>
        <w:jc w:val="both"/>
        <w:rPr>
          <w:noProof/>
          <w:color w:val="231F20"/>
          <w:sz w:val="24"/>
        </w:rPr>
      </w:pPr>
      <w:r>
        <w:rPr>
          <w:color w:val="231F20"/>
          <w:sz w:val="24"/>
        </w:rPr>
        <w:t>e) neto ieguldījuma aktīva tirgus izzušana asociētā uzņēmuma vai kopuzņēmuma finanšu grūtību dēļ.</w:t>
      </w:r>
    </w:p>
    <w:p w14:paraId="054F9DB9" w14:textId="77777777" w:rsidR="00D87D70" w:rsidRDefault="00D87D70" w:rsidP="008D627B">
      <w:pPr>
        <w:pStyle w:val="Pamatteksts"/>
        <w:spacing w:before="0"/>
        <w:ind w:left="0"/>
        <w:jc w:val="both"/>
        <w:rPr>
          <w:noProof/>
          <w:color w:val="231F20"/>
          <w:sz w:val="24"/>
        </w:rPr>
      </w:pPr>
    </w:p>
    <w:p w14:paraId="7B100CE6" w14:textId="2758660C" w:rsidR="00904506" w:rsidRPr="008D627B" w:rsidRDefault="00904506" w:rsidP="008D627B">
      <w:pPr>
        <w:pStyle w:val="Pamatteksts"/>
        <w:spacing w:before="0"/>
        <w:ind w:left="0"/>
        <w:jc w:val="both"/>
        <w:rPr>
          <w:noProof/>
          <w:color w:val="231F20"/>
          <w:sz w:val="24"/>
        </w:rPr>
      </w:pPr>
      <w:r>
        <w:rPr>
          <w:color w:val="231F20"/>
          <w:sz w:val="24"/>
        </w:rPr>
        <w:t>44.B Aktīva tirgus izzušana, kas notiek tādēļ, ka asociētā uzņēmuma vai kopuzņēmuma pašu kapitāla vai finanšu instrumenti vairs nav publiskā apgrozībā, neliecina par vērtības samazināšanos. Asociētā uzņēmuma vai kopuzņēmuma kredītreitinga pazemināšana vai asociētā uzņēmuma vai kopuzņēmuma patiesās vērtības samazināšanās pati par sevi neliecina par vērtības samazināšanos, lai gan tā var liecināt par vērtības samazināšanos, kad to izskata kopā ar citu pieejamo informāciju.</w:t>
      </w:r>
    </w:p>
    <w:p w14:paraId="0FFB98B9" w14:textId="77777777" w:rsidR="00D87D70" w:rsidRDefault="00D87D70" w:rsidP="008D627B">
      <w:pPr>
        <w:pStyle w:val="Pamatteksts"/>
        <w:spacing w:before="0"/>
        <w:ind w:left="0"/>
        <w:jc w:val="both"/>
        <w:rPr>
          <w:noProof/>
          <w:color w:val="231F20"/>
          <w:sz w:val="24"/>
        </w:rPr>
      </w:pPr>
    </w:p>
    <w:p w14:paraId="31CBC7FF" w14:textId="5A6280FF" w:rsidR="00904506" w:rsidRPr="008D627B" w:rsidRDefault="00904506" w:rsidP="008D627B">
      <w:pPr>
        <w:pStyle w:val="Pamatteksts"/>
        <w:spacing w:before="0"/>
        <w:ind w:left="0"/>
        <w:jc w:val="both"/>
        <w:rPr>
          <w:noProof/>
          <w:color w:val="231F20"/>
          <w:sz w:val="24"/>
        </w:rPr>
      </w:pPr>
      <w:r>
        <w:rPr>
          <w:color w:val="231F20"/>
          <w:sz w:val="24"/>
        </w:rPr>
        <w:t>44.C Papildus 44.A punktā minētajiem notikumu veidiem objektīvi pierādījumi par vērtības samazināšanos neto ieguldījumam asociētā uzņēmuma vai kopuzņēmuma pašu kapitāla instrumentos ietver informāciju par tādām būtiskām izmaiņām ar nelabvēlīgu ietekmi, kas notikušas tehnoloģiskajā, tirgus, ekonomiskajā vai juridiskajā vidē, kurā darbojas asociētais uzņēmums vai kopuzņēmums, un norāda, ka ieguldījuma pašu kapitāla instrumentā izmaksas var nebūt atgūstamas.</w:t>
      </w:r>
    </w:p>
    <w:p w14:paraId="043D927D" w14:textId="77777777" w:rsidR="00904506" w:rsidRPr="008D627B" w:rsidRDefault="00904506" w:rsidP="008D627B">
      <w:pPr>
        <w:jc w:val="both"/>
        <w:rPr>
          <w:rFonts w:ascii="Times New Roman" w:eastAsia="Times New Roman" w:hAnsi="Times New Roman" w:cs="Times New Roman"/>
          <w:noProof/>
          <w:sz w:val="24"/>
          <w:szCs w:val="19"/>
        </w:rPr>
      </w:pPr>
    </w:p>
    <w:p w14:paraId="5984F1D0" w14:textId="2B4A8EA3" w:rsidR="00904506" w:rsidRPr="008D627B" w:rsidRDefault="00904506" w:rsidP="008D627B">
      <w:pPr>
        <w:pStyle w:val="Pamatteksts"/>
        <w:spacing w:before="0"/>
        <w:ind w:left="0"/>
        <w:jc w:val="both"/>
        <w:rPr>
          <w:noProof/>
          <w:color w:val="231F20"/>
          <w:sz w:val="24"/>
        </w:rPr>
      </w:pPr>
      <w:r>
        <w:rPr>
          <w:color w:val="231F20"/>
          <w:sz w:val="24"/>
        </w:rPr>
        <w:t>Objektīvs vērtības samazināšanās pierādījums ir arī ieguldījuma pašu kapitāla instrumentā patiesās vērtības būtiska vai ilgstoša samazināšanās zem tā izmaksām.</w:t>
      </w:r>
    </w:p>
    <w:p w14:paraId="7932E2E3" w14:textId="77777777" w:rsidR="00D87D70" w:rsidRDefault="00D87D70" w:rsidP="00D87D70">
      <w:pPr>
        <w:tabs>
          <w:tab w:val="left" w:pos="820"/>
        </w:tabs>
        <w:jc w:val="both"/>
        <w:rPr>
          <w:rFonts w:ascii="Times New Roman" w:eastAsia="Times New Roman" w:hAnsi="Times New Roman" w:cs="Times New Roman"/>
          <w:noProof/>
          <w:color w:val="231F20"/>
          <w:sz w:val="24"/>
          <w:szCs w:val="20"/>
        </w:rPr>
      </w:pPr>
    </w:p>
    <w:p w14:paraId="5C3DA428" w14:textId="357C4EEA" w:rsidR="00904506" w:rsidRPr="008D627B" w:rsidRDefault="00D87D70" w:rsidP="00D87D70">
      <w:pPr>
        <w:tabs>
          <w:tab w:val="left" w:pos="820"/>
        </w:tabs>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45. Vienmēr, kad, piemērojot 44.A–44.C punktu, tiek secināts, ka varētu būt samazinājusies ieguldījuma asociētajā uzņēmumā vai kopuzņēmumā vērtība, institūcija piemēro </w:t>
      </w:r>
      <w:r>
        <w:rPr>
          <w:rFonts w:ascii="Times New Roman" w:hAnsi="Times New Roman"/>
          <w:i/>
          <w:iCs/>
          <w:color w:val="231F20"/>
          <w:sz w:val="24"/>
          <w:szCs w:val="20"/>
        </w:rPr>
        <w:t>IPSAS</w:t>
      </w:r>
      <w:r>
        <w:rPr>
          <w:rFonts w:ascii="Times New Roman" w:hAnsi="Times New Roman"/>
          <w:color w:val="231F20"/>
          <w:sz w:val="24"/>
          <w:szCs w:val="20"/>
        </w:rPr>
        <w:t xml:space="preserve"> 26 “Naudu ienesošu aktīvu vērtības samazināšanās” un, iespējams, </w:t>
      </w:r>
      <w:r>
        <w:rPr>
          <w:rFonts w:ascii="Times New Roman" w:hAnsi="Times New Roman"/>
          <w:i/>
          <w:iCs/>
          <w:color w:val="231F20"/>
          <w:sz w:val="24"/>
          <w:szCs w:val="20"/>
        </w:rPr>
        <w:t>IPSAS</w:t>
      </w:r>
      <w:r>
        <w:rPr>
          <w:rFonts w:ascii="Times New Roman" w:hAnsi="Times New Roman"/>
          <w:color w:val="231F20"/>
          <w:sz w:val="24"/>
          <w:szCs w:val="20"/>
        </w:rPr>
        <w:t> 21 “Naudu neienesošu aktīvu vērtības samazināšanās”.</w:t>
      </w:r>
    </w:p>
    <w:p w14:paraId="150D0BF2" w14:textId="77777777" w:rsidR="00D87D70" w:rsidRDefault="00D87D70" w:rsidP="00D87D70">
      <w:pPr>
        <w:pStyle w:val="Pamatteksts"/>
        <w:tabs>
          <w:tab w:val="left" w:pos="820"/>
        </w:tabs>
        <w:spacing w:before="0"/>
        <w:ind w:left="0"/>
        <w:jc w:val="both"/>
        <w:rPr>
          <w:noProof/>
          <w:color w:val="231F20"/>
          <w:sz w:val="24"/>
        </w:rPr>
      </w:pPr>
    </w:p>
    <w:p w14:paraId="43CF8C71" w14:textId="3D01D5C4" w:rsidR="00904506" w:rsidRPr="008D627B" w:rsidRDefault="00D87D70" w:rsidP="00D87D70">
      <w:pPr>
        <w:pStyle w:val="Pamatteksts"/>
        <w:tabs>
          <w:tab w:val="left" w:pos="820"/>
        </w:tabs>
        <w:spacing w:before="0"/>
        <w:ind w:left="0"/>
        <w:jc w:val="both"/>
        <w:rPr>
          <w:noProof/>
          <w:color w:val="231F20"/>
          <w:sz w:val="24"/>
        </w:rPr>
      </w:pPr>
      <w:r>
        <w:rPr>
          <w:color w:val="231F20"/>
          <w:sz w:val="24"/>
        </w:rPr>
        <w:t xml:space="preserve">46. </w:t>
      </w:r>
      <w:r>
        <w:rPr>
          <w:i/>
          <w:iCs/>
          <w:color w:val="231F20"/>
          <w:sz w:val="24"/>
        </w:rPr>
        <w:t>IPSAS</w:t>
      </w:r>
      <w:r>
        <w:rPr>
          <w:color w:val="231F20"/>
          <w:sz w:val="24"/>
        </w:rPr>
        <w:t xml:space="preserve"> 26 standartā institūcijai ir uzdots noteikt naudu ienesoša ieguldījuma lietošanas vērtību. Kad institūcija nosaka naudu ienesoša ieguldījuma lietošanas vērtību saskaņā ar </w:t>
      </w:r>
      <w:r>
        <w:rPr>
          <w:i/>
          <w:iCs/>
          <w:color w:val="231F20"/>
          <w:sz w:val="24"/>
        </w:rPr>
        <w:t>IPSAS</w:t>
      </w:r>
      <w:r>
        <w:rPr>
          <w:color w:val="231F20"/>
          <w:sz w:val="24"/>
        </w:rPr>
        <w:t> 26, tā aprēķina:</w:t>
      </w:r>
    </w:p>
    <w:p w14:paraId="2493BD05" w14:textId="77777777" w:rsidR="00D87D70" w:rsidRDefault="00D87D70" w:rsidP="00D87D70">
      <w:pPr>
        <w:pStyle w:val="Pamatteksts"/>
        <w:tabs>
          <w:tab w:val="left" w:pos="1340"/>
        </w:tabs>
        <w:spacing w:before="0"/>
        <w:ind w:left="0"/>
        <w:jc w:val="both"/>
        <w:rPr>
          <w:noProof/>
          <w:color w:val="231F20"/>
          <w:sz w:val="24"/>
        </w:rPr>
      </w:pPr>
    </w:p>
    <w:p w14:paraId="0C4B92D6" w14:textId="124015B1" w:rsidR="00904506" w:rsidRPr="008D627B" w:rsidRDefault="00D87D70" w:rsidP="00D87D70">
      <w:pPr>
        <w:pStyle w:val="Pamatteksts"/>
        <w:tabs>
          <w:tab w:val="left" w:pos="1340"/>
        </w:tabs>
        <w:spacing w:before="0"/>
        <w:ind w:left="0"/>
        <w:jc w:val="both"/>
        <w:rPr>
          <w:noProof/>
          <w:color w:val="231F20"/>
          <w:sz w:val="24"/>
        </w:rPr>
      </w:pPr>
      <w:r>
        <w:rPr>
          <w:color w:val="231F20"/>
          <w:sz w:val="24"/>
        </w:rPr>
        <w:t xml:space="preserve">a) savu daļu no tās aprēķinātās </w:t>
      </w:r>
      <w:r w:rsidR="00342243">
        <w:rPr>
          <w:color w:val="231F20"/>
          <w:sz w:val="24"/>
        </w:rPr>
        <w:t>nākotnes</w:t>
      </w:r>
      <w:r>
        <w:rPr>
          <w:color w:val="231F20"/>
          <w:sz w:val="24"/>
        </w:rPr>
        <w:t xml:space="preserve"> naudas plūsmas pašreizējās vērtības, kuru, kā paredzams, ienesīs asociētais uzņēmums vai kopuzņēmums, tostarp naudas plūsmas no asociētā uzņēmuma vai kopuzņēmuma darbībām un ieņēmumus no ieguldījuma galīgās atsavināšanas, vai</w:t>
      </w:r>
    </w:p>
    <w:p w14:paraId="4A4CCFAB" w14:textId="25909F04" w:rsidR="00904506" w:rsidRPr="008D627B" w:rsidRDefault="00D87D70" w:rsidP="00D87D70">
      <w:pPr>
        <w:pStyle w:val="Pamatteksts"/>
        <w:tabs>
          <w:tab w:val="left" w:pos="1340"/>
        </w:tabs>
        <w:spacing w:before="0"/>
        <w:ind w:left="0"/>
        <w:jc w:val="both"/>
        <w:rPr>
          <w:noProof/>
          <w:color w:val="231F20"/>
          <w:sz w:val="24"/>
        </w:rPr>
      </w:pPr>
      <w:r>
        <w:rPr>
          <w:color w:val="231F20"/>
          <w:sz w:val="24"/>
        </w:rPr>
        <w:t xml:space="preserve">b) tās aprēķinātās </w:t>
      </w:r>
      <w:r w:rsidR="00342243">
        <w:rPr>
          <w:color w:val="231F20"/>
          <w:sz w:val="24"/>
        </w:rPr>
        <w:t>nākotnes</w:t>
      </w:r>
      <w:r>
        <w:rPr>
          <w:color w:val="231F20"/>
          <w:sz w:val="24"/>
        </w:rPr>
        <w:t xml:space="preserve"> naudas plūsmas pašreizējo vērtību, kura paredzama no dividendēm vai līdzīgas peļņas sadales, ko plānots saņemt no ieguldījuma un no tā galīgās atsavināšanas.</w:t>
      </w:r>
    </w:p>
    <w:p w14:paraId="00338A28" w14:textId="77777777" w:rsidR="00D87D70" w:rsidRDefault="00D87D70" w:rsidP="008D627B">
      <w:pPr>
        <w:pStyle w:val="Pamatteksts"/>
        <w:spacing w:before="0"/>
        <w:ind w:left="0"/>
        <w:jc w:val="both"/>
        <w:rPr>
          <w:noProof/>
          <w:color w:val="231F20"/>
          <w:sz w:val="24"/>
        </w:rPr>
      </w:pPr>
    </w:p>
    <w:p w14:paraId="7FC7A83C" w14:textId="48EB2692" w:rsidR="00904506" w:rsidRPr="008D627B" w:rsidRDefault="00904506" w:rsidP="008D627B">
      <w:pPr>
        <w:pStyle w:val="Pamatteksts"/>
        <w:spacing w:before="0"/>
        <w:ind w:left="0"/>
        <w:jc w:val="both"/>
        <w:rPr>
          <w:noProof/>
          <w:color w:val="231F20"/>
          <w:sz w:val="24"/>
        </w:rPr>
      </w:pPr>
      <w:r>
        <w:rPr>
          <w:color w:val="231F20"/>
          <w:sz w:val="24"/>
        </w:rPr>
        <w:t>Ja tiek izmantoti atbilstoši pieņēmumi, abas metodes sniedz vienādu rezultātu.</w:t>
      </w:r>
    </w:p>
    <w:p w14:paraId="61E52AAD" w14:textId="77777777" w:rsidR="00D87D70" w:rsidRDefault="00D87D70" w:rsidP="00D87D70">
      <w:pPr>
        <w:pStyle w:val="Pamatteksts"/>
        <w:tabs>
          <w:tab w:val="left" w:pos="820"/>
        </w:tabs>
        <w:spacing w:before="0"/>
        <w:ind w:left="0"/>
        <w:jc w:val="both"/>
        <w:rPr>
          <w:noProof/>
          <w:color w:val="231F20"/>
          <w:sz w:val="24"/>
        </w:rPr>
      </w:pPr>
    </w:p>
    <w:p w14:paraId="298E1330" w14:textId="1E941FC7" w:rsidR="00904506" w:rsidRPr="008D627B" w:rsidRDefault="00D87D70" w:rsidP="00D87D70">
      <w:pPr>
        <w:pStyle w:val="Pamatteksts"/>
        <w:tabs>
          <w:tab w:val="left" w:pos="820"/>
        </w:tabs>
        <w:spacing w:before="0"/>
        <w:ind w:left="0"/>
        <w:jc w:val="both"/>
        <w:rPr>
          <w:noProof/>
          <w:color w:val="231F20"/>
          <w:sz w:val="24"/>
        </w:rPr>
      </w:pPr>
      <w:r>
        <w:rPr>
          <w:color w:val="231F20"/>
          <w:sz w:val="24"/>
        </w:rPr>
        <w:t xml:space="preserve">47. </w:t>
      </w:r>
      <w:r>
        <w:rPr>
          <w:i/>
          <w:iCs/>
          <w:color w:val="231F20"/>
          <w:sz w:val="24"/>
        </w:rPr>
        <w:t>IPSAS</w:t>
      </w:r>
      <w:r>
        <w:rPr>
          <w:color w:val="231F20"/>
          <w:sz w:val="24"/>
        </w:rPr>
        <w:t> 21 nosaka, ka gadījumā, ja aktīva atgūstamā vērtība ir mazāka par tā uzskaites vērtību, uzskaites vērtību samazina līdz aktīva atgūstamajai vērtībai. Atgūstamā vērtība ir augstākā no aktīva patiesās vērtības, no kuras atskaitītas pārdošanas izmaksas un tā lietošanas vērtība. Naudu neienesoša aktīva lietošanas vērtība ir aktīva atlikušā pakalpojumu potenciāla pašreizējā vērtība. Atlikušā pakalpojumu potenciāla pašreizējo vērtību var novērtēt, atbilstoši vajadzībai izmantojot amortizēto aizstāšanas izmaksu pieeju, atjaunošanas vērtības pieeju vai pakalpojumu vienību pieeju.</w:t>
      </w:r>
    </w:p>
    <w:p w14:paraId="6D9FE6C8" w14:textId="77777777" w:rsidR="00D87D70" w:rsidRDefault="00D87D70" w:rsidP="00D87D70">
      <w:pPr>
        <w:pStyle w:val="Virsraksts2"/>
        <w:tabs>
          <w:tab w:val="left" w:pos="820"/>
        </w:tabs>
        <w:spacing w:before="0"/>
        <w:ind w:left="0"/>
        <w:jc w:val="both"/>
        <w:rPr>
          <w:noProof/>
          <w:color w:val="231F20"/>
          <w:sz w:val="24"/>
        </w:rPr>
      </w:pPr>
    </w:p>
    <w:p w14:paraId="4A82E8FC" w14:textId="10878FBA" w:rsidR="00904506" w:rsidRPr="008D627B" w:rsidRDefault="00D87D70" w:rsidP="00D87D70">
      <w:pPr>
        <w:pStyle w:val="Virsraksts2"/>
        <w:tabs>
          <w:tab w:val="left" w:pos="820"/>
        </w:tabs>
        <w:spacing w:before="0"/>
        <w:ind w:left="0"/>
        <w:jc w:val="both"/>
        <w:rPr>
          <w:noProof/>
          <w:color w:val="231F20"/>
          <w:sz w:val="24"/>
        </w:rPr>
      </w:pPr>
      <w:r>
        <w:rPr>
          <w:color w:val="231F20"/>
          <w:sz w:val="24"/>
        </w:rPr>
        <w:t>48. Ieguldījuma asociētajā uzņēmumā vai kopuzņēmumā atgūstamo summu novērtē attiecībā uz katru asociēto uzņēmumu vai kopuzņēmumu, ja vien asociētais uzņēmums vai kopuzņēmums neģenerē ienākošās naudas plūsmas no nepārtrauktas izmantošanas, kas galvenokārt nav atkarīgas no naudas plūsmām no citiem institūcijas aktīviem.</w:t>
      </w:r>
    </w:p>
    <w:p w14:paraId="1B30EF81" w14:textId="77777777" w:rsidR="00904506" w:rsidRPr="008D627B" w:rsidRDefault="00904506" w:rsidP="008D627B">
      <w:pPr>
        <w:jc w:val="both"/>
        <w:rPr>
          <w:rFonts w:ascii="Times New Roman" w:eastAsia="Times New Roman" w:hAnsi="Times New Roman" w:cs="Times New Roman"/>
          <w:b/>
          <w:bCs/>
          <w:noProof/>
          <w:sz w:val="24"/>
          <w:szCs w:val="15"/>
        </w:rPr>
      </w:pPr>
    </w:p>
    <w:p w14:paraId="3F60E72E" w14:textId="77777777" w:rsidR="00904506" w:rsidRPr="008D627B" w:rsidRDefault="00904506" w:rsidP="008D627B">
      <w:pPr>
        <w:pStyle w:val="Virsraksts1"/>
        <w:ind w:left="0"/>
        <w:jc w:val="both"/>
        <w:rPr>
          <w:noProof/>
          <w:color w:val="231F20"/>
        </w:rPr>
      </w:pPr>
      <w:r>
        <w:rPr>
          <w:color w:val="231F20"/>
        </w:rPr>
        <w:t>Atsevišķie finanšu pārskati</w:t>
      </w:r>
      <w:bookmarkStart w:id="12" w:name="_bookmark12"/>
      <w:bookmarkEnd w:id="12"/>
    </w:p>
    <w:p w14:paraId="49AFBC27" w14:textId="77777777" w:rsidR="00D87D70" w:rsidRDefault="00D87D70" w:rsidP="00D87D70">
      <w:pPr>
        <w:tabs>
          <w:tab w:val="left" w:pos="820"/>
        </w:tabs>
        <w:jc w:val="both"/>
        <w:rPr>
          <w:rFonts w:ascii="Times New Roman" w:eastAsia="Times New Roman" w:hAnsi="Times New Roman" w:cs="Times New Roman"/>
          <w:b/>
          <w:bCs/>
          <w:noProof/>
          <w:color w:val="231F20"/>
          <w:sz w:val="24"/>
          <w:szCs w:val="20"/>
        </w:rPr>
      </w:pPr>
    </w:p>
    <w:p w14:paraId="039195D9" w14:textId="7AACC789" w:rsidR="00904506" w:rsidRPr="008D627B" w:rsidRDefault="00D87D70" w:rsidP="00D87D70">
      <w:pPr>
        <w:tabs>
          <w:tab w:val="left" w:pos="820"/>
        </w:tabs>
        <w:jc w:val="both"/>
        <w:rPr>
          <w:rFonts w:ascii="Times New Roman" w:eastAsia="Times New Roman" w:hAnsi="Times New Roman" w:cs="Times New Roman"/>
          <w:noProof/>
          <w:sz w:val="24"/>
          <w:szCs w:val="20"/>
        </w:rPr>
      </w:pPr>
      <w:r>
        <w:rPr>
          <w:rFonts w:ascii="Times New Roman" w:hAnsi="Times New Roman"/>
          <w:b/>
          <w:bCs/>
          <w:color w:val="231F20"/>
          <w:sz w:val="24"/>
          <w:szCs w:val="20"/>
        </w:rPr>
        <w:t xml:space="preserve">49. Ieguldījumu asociētajā uzņēmumā vai kopuzņēmumā uzskaita institūcijas atsevišķajos finanšu pārskatos saskaņā ar </w:t>
      </w:r>
      <w:r>
        <w:rPr>
          <w:rFonts w:ascii="Times New Roman" w:hAnsi="Times New Roman"/>
          <w:b/>
          <w:bCs/>
          <w:i/>
          <w:iCs/>
          <w:color w:val="231F20"/>
          <w:sz w:val="24"/>
          <w:szCs w:val="20"/>
        </w:rPr>
        <w:t>IPSAS</w:t>
      </w:r>
      <w:r>
        <w:rPr>
          <w:rFonts w:ascii="Times New Roman" w:hAnsi="Times New Roman"/>
          <w:b/>
          <w:bCs/>
          <w:color w:val="231F20"/>
          <w:sz w:val="24"/>
          <w:szCs w:val="20"/>
        </w:rPr>
        <w:t> 34 “Atsevišķie finanšu pārskati” 12. punktu</w:t>
      </w:r>
      <w:r>
        <w:rPr>
          <w:rFonts w:ascii="Times New Roman" w:hAnsi="Times New Roman"/>
          <w:color w:val="231F20"/>
          <w:sz w:val="24"/>
          <w:szCs w:val="20"/>
        </w:rPr>
        <w:t>.</w:t>
      </w:r>
    </w:p>
    <w:p w14:paraId="032E59E9" w14:textId="77777777" w:rsidR="00904506" w:rsidRPr="008D627B" w:rsidRDefault="00904506" w:rsidP="008D627B">
      <w:pPr>
        <w:jc w:val="both"/>
        <w:rPr>
          <w:rFonts w:ascii="Times New Roman" w:eastAsia="Times New Roman" w:hAnsi="Times New Roman" w:cs="Times New Roman"/>
          <w:noProof/>
          <w:sz w:val="24"/>
          <w:szCs w:val="15"/>
        </w:rPr>
      </w:pPr>
    </w:p>
    <w:p w14:paraId="243BFC57" w14:textId="77777777" w:rsidR="00904506" w:rsidRPr="008D627B" w:rsidRDefault="00904506" w:rsidP="008D627B">
      <w:pPr>
        <w:pStyle w:val="Virsraksts1"/>
        <w:ind w:left="0"/>
        <w:jc w:val="both"/>
        <w:rPr>
          <w:noProof/>
          <w:color w:val="231F20"/>
        </w:rPr>
      </w:pPr>
      <w:r>
        <w:rPr>
          <w:color w:val="231F20"/>
        </w:rPr>
        <w:t>Pārejas noteikumi</w:t>
      </w:r>
      <w:bookmarkStart w:id="13" w:name="_bookmark13"/>
      <w:bookmarkEnd w:id="13"/>
    </w:p>
    <w:p w14:paraId="073346E1" w14:textId="77777777" w:rsidR="00D87D70" w:rsidRDefault="00D87D70" w:rsidP="00D87D70">
      <w:pPr>
        <w:pStyle w:val="Pamatteksts"/>
        <w:tabs>
          <w:tab w:val="left" w:pos="820"/>
        </w:tabs>
        <w:spacing w:before="0"/>
        <w:ind w:left="0"/>
        <w:jc w:val="both"/>
        <w:rPr>
          <w:noProof/>
          <w:color w:val="231F20"/>
          <w:sz w:val="24"/>
        </w:rPr>
      </w:pPr>
    </w:p>
    <w:p w14:paraId="2C4C4E08" w14:textId="559339C4" w:rsidR="00904506" w:rsidRPr="008D627B" w:rsidRDefault="00D87D70" w:rsidP="00D87D70">
      <w:pPr>
        <w:pStyle w:val="Pamatteksts"/>
        <w:tabs>
          <w:tab w:val="left" w:pos="820"/>
        </w:tabs>
        <w:spacing w:before="0"/>
        <w:ind w:left="0"/>
        <w:jc w:val="both"/>
        <w:rPr>
          <w:rFonts w:cs="Times New Roman"/>
          <w:noProof/>
          <w:sz w:val="24"/>
        </w:rPr>
      </w:pPr>
      <w:r>
        <w:rPr>
          <w:color w:val="231F20"/>
          <w:sz w:val="24"/>
        </w:rPr>
        <w:t xml:space="preserve">50. Pārejas noteikumi pārejai no proporcionālās konsolidācijas uz pašu kapitāla metodi vai no pašu kapitāla metodes uz aktīvu un saistību uzskaiti attiecībā uz kopīgu darbību ir izklāstīti </w:t>
      </w:r>
      <w:r>
        <w:rPr>
          <w:i/>
          <w:iCs/>
          <w:color w:val="231F20"/>
          <w:sz w:val="24"/>
        </w:rPr>
        <w:t>IPSAS</w:t>
      </w:r>
      <w:r>
        <w:rPr>
          <w:color w:val="231F20"/>
          <w:sz w:val="24"/>
        </w:rPr>
        <w:t> 37.</w:t>
      </w:r>
    </w:p>
    <w:p w14:paraId="755839CA" w14:textId="77777777" w:rsidR="008D627B" w:rsidRPr="008D627B" w:rsidRDefault="008D627B" w:rsidP="008D627B">
      <w:pPr>
        <w:jc w:val="both"/>
        <w:rPr>
          <w:rFonts w:ascii="Times New Roman" w:eastAsia="Times New Roman" w:hAnsi="Times New Roman" w:cs="Times New Roman"/>
          <w:noProof/>
          <w:sz w:val="24"/>
        </w:rPr>
      </w:pPr>
    </w:p>
    <w:p w14:paraId="1D2FBAD4" w14:textId="77777777" w:rsidR="00904506" w:rsidRPr="008D627B" w:rsidRDefault="00904506" w:rsidP="008D627B">
      <w:pPr>
        <w:pStyle w:val="Virsraksts1"/>
        <w:ind w:left="0"/>
        <w:jc w:val="both"/>
        <w:rPr>
          <w:noProof/>
          <w:color w:val="231F20"/>
        </w:rPr>
      </w:pPr>
      <w:r>
        <w:rPr>
          <w:color w:val="231F20"/>
        </w:rPr>
        <w:t>Spēkā stāšanās diena un pāreja</w:t>
      </w:r>
      <w:bookmarkStart w:id="14" w:name="_bookmark14"/>
      <w:bookmarkEnd w:id="14"/>
    </w:p>
    <w:p w14:paraId="78175DE8" w14:textId="77777777" w:rsidR="00D87D70" w:rsidRDefault="00D87D70" w:rsidP="00D87D70">
      <w:pPr>
        <w:pStyle w:val="Virsraksts2"/>
        <w:tabs>
          <w:tab w:val="left" w:pos="820"/>
        </w:tabs>
        <w:spacing w:before="0"/>
        <w:ind w:left="0"/>
        <w:jc w:val="both"/>
        <w:rPr>
          <w:noProof/>
          <w:color w:val="231F20"/>
          <w:sz w:val="24"/>
        </w:rPr>
      </w:pPr>
    </w:p>
    <w:p w14:paraId="4B1F2072" w14:textId="0172A206" w:rsidR="00904506" w:rsidRPr="008D627B" w:rsidRDefault="00D87D70" w:rsidP="00D87D70">
      <w:pPr>
        <w:pStyle w:val="Virsraksts2"/>
        <w:tabs>
          <w:tab w:val="left" w:pos="820"/>
        </w:tabs>
        <w:spacing w:before="0"/>
        <w:ind w:left="0"/>
        <w:jc w:val="both"/>
        <w:rPr>
          <w:rFonts w:cs="Times New Roman"/>
          <w:b w:val="0"/>
          <w:bCs w:val="0"/>
          <w:noProof/>
          <w:sz w:val="24"/>
        </w:rPr>
      </w:pPr>
      <w:r>
        <w:rPr>
          <w:color w:val="231F20"/>
          <w:sz w:val="24"/>
        </w:rPr>
        <w:t xml:space="preserve">51. Institūcija šo standartu piemēro gada finanšu pārskatiem, kas attiecas uz periodiem, kuri sākas 2017. gada 1. janvārī vai pēc šā datuma. Tiek ieteikts standartu piemērot agrāk. Ja institūcija šo standartu piemēro attiecībā uz periodu, kas sākas pirms 2017. gada 1. janvāra, tā atklāj šo faktu un vienlaikus piemēro </w:t>
      </w:r>
      <w:r>
        <w:rPr>
          <w:i/>
          <w:iCs/>
          <w:color w:val="231F20"/>
          <w:sz w:val="24"/>
        </w:rPr>
        <w:t>IPSAS</w:t>
      </w:r>
      <w:r>
        <w:rPr>
          <w:color w:val="231F20"/>
          <w:sz w:val="24"/>
        </w:rPr>
        <w:t xml:space="preserve"> 34, </w:t>
      </w:r>
      <w:r>
        <w:rPr>
          <w:i/>
          <w:iCs/>
          <w:color w:val="231F20"/>
          <w:sz w:val="24"/>
        </w:rPr>
        <w:t>IPSAS</w:t>
      </w:r>
      <w:r>
        <w:rPr>
          <w:color w:val="231F20"/>
          <w:sz w:val="24"/>
        </w:rPr>
        <w:t xml:space="preserve"> 35, </w:t>
      </w:r>
      <w:r>
        <w:rPr>
          <w:i/>
          <w:iCs/>
          <w:color w:val="231F20"/>
          <w:sz w:val="24"/>
        </w:rPr>
        <w:t>IPSAS</w:t>
      </w:r>
      <w:r>
        <w:rPr>
          <w:color w:val="231F20"/>
          <w:sz w:val="24"/>
        </w:rPr>
        <w:t xml:space="preserve"> 37 un </w:t>
      </w:r>
      <w:r>
        <w:rPr>
          <w:i/>
          <w:iCs/>
          <w:color w:val="231F20"/>
          <w:sz w:val="24"/>
        </w:rPr>
        <w:t>IPSAS</w:t>
      </w:r>
      <w:r>
        <w:rPr>
          <w:color w:val="231F20"/>
          <w:sz w:val="24"/>
        </w:rPr>
        <w:t> 38 “Līdzdalības atklāšana citās institūcijās”.</w:t>
      </w:r>
    </w:p>
    <w:p w14:paraId="34D9E5F1" w14:textId="77777777" w:rsidR="00D87D70" w:rsidRDefault="00D87D70" w:rsidP="008D627B">
      <w:pPr>
        <w:jc w:val="both"/>
        <w:rPr>
          <w:rFonts w:ascii="Times New Roman" w:hAnsi="Times New Roman"/>
          <w:noProof/>
          <w:color w:val="231F20"/>
          <w:sz w:val="24"/>
        </w:rPr>
      </w:pPr>
    </w:p>
    <w:p w14:paraId="042C8F8F" w14:textId="7543607F" w:rsidR="00904506" w:rsidRPr="008D627B" w:rsidRDefault="00904506" w:rsidP="008D627B">
      <w:pPr>
        <w:jc w:val="both"/>
        <w:rPr>
          <w:rFonts w:ascii="Times New Roman" w:hAnsi="Times New Roman"/>
          <w:b/>
          <w:noProof/>
          <w:color w:val="231F20"/>
          <w:sz w:val="24"/>
        </w:rPr>
      </w:pPr>
      <w:r>
        <w:rPr>
          <w:rFonts w:ascii="Times New Roman" w:hAnsi="Times New Roman"/>
          <w:color w:val="231F20"/>
          <w:sz w:val="24"/>
        </w:rPr>
        <w:t xml:space="preserve">51.A </w:t>
      </w:r>
      <w:r>
        <w:rPr>
          <w:rFonts w:ascii="Times New Roman" w:hAnsi="Times New Roman"/>
          <w:b/>
          <w:color w:val="231F20"/>
          <w:sz w:val="24"/>
        </w:rPr>
        <w:t>Ar 2016. gada aprīlī izdoto dokumentu “</w:t>
      </w:r>
      <w:r>
        <w:rPr>
          <w:rFonts w:ascii="Times New Roman" w:hAnsi="Times New Roman"/>
          <w:b/>
          <w:i/>
          <w:iCs/>
          <w:color w:val="231F20"/>
          <w:sz w:val="24"/>
        </w:rPr>
        <w:t>IPSAS</w:t>
      </w:r>
      <w:r>
        <w:rPr>
          <w:rFonts w:ascii="Times New Roman" w:hAnsi="Times New Roman"/>
          <w:b/>
          <w:color w:val="231F20"/>
          <w:sz w:val="24"/>
        </w:rPr>
        <w:t xml:space="preserve"> piemērojamība” tiek svītrots 6. un 7. punkts. Institūcija šos grozījumus piemēro gada finanšu pārskatiem, kas attiecas uz periodiem, kuri sākas 2018. gada 1. janvārī vai pēc šā datuma. Tiek ieteikts standartu piemērot agrāk. Ja institūcija šos grozījumus piemēro attiecībā uz periodu, kas sākas pirms 2018. gada 1. janvāra, tā atklāj šo faktu.</w:t>
      </w:r>
    </w:p>
    <w:p w14:paraId="7892D78C" w14:textId="77777777" w:rsidR="00D87D70" w:rsidRDefault="00D87D70" w:rsidP="008D627B">
      <w:pPr>
        <w:jc w:val="both"/>
        <w:rPr>
          <w:rFonts w:ascii="Times New Roman" w:hAnsi="Times New Roman"/>
          <w:noProof/>
          <w:color w:val="231F20"/>
          <w:sz w:val="24"/>
        </w:rPr>
      </w:pPr>
    </w:p>
    <w:p w14:paraId="3C8C01C5" w14:textId="2657277E" w:rsidR="00904506" w:rsidRPr="008D627B" w:rsidRDefault="00904506" w:rsidP="008D627B">
      <w:pPr>
        <w:jc w:val="both"/>
        <w:rPr>
          <w:rFonts w:ascii="Times New Roman" w:hAnsi="Times New Roman"/>
          <w:b/>
          <w:noProof/>
          <w:color w:val="231F20"/>
          <w:sz w:val="24"/>
        </w:rPr>
      </w:pPr>
      <w:r>
        <w:rPr>
          <w:rFonts w:ascii="Times New Roman" w:hAnsi="Times New Roman"/>
          <w:color w:val="231F20"/>
          <w:sz w:val="24"/>
        </w:rPr>
        <w:t xml:space="preserve">51.B </w:t>
      </w:r>
      <w:r>
        <w:rPr>
          <w:rFonts w:ascii="Times New Roman" w:hAnsi="Times New Roman"/>
          <w:b/>
          <w:color w:val="231F20"/>
          <w:sz w:val="24"/>
        </w:rPr>
        <w:t xml:space="preserve">Ar </w:t>
      </w:r>
      <w:r>
        <w:rPr>
          <w:rFonts w:ascii="Times New Roman" w:hAnsi="Times New Roman"/>
          <w:b/>
          <w:i/>
          <w:iCs/>
          <w:color w:val="231F20"/>
          <w:sz w:val="24"/>
        </w:rPr>
        <w:t>IPSAS</w:t>
      </w:r>
      <w:r>
        <w:rPr>
          <w:rFonts w:ascii="Times New Roman" w:hAnsi="Times New Roman"/>
          <w:b/>
          <w:color w:val="231F20"/>
          <w:sz w:val="24"/>
        </w:rPr>
        <w:t xml:space="preserve"> 40 “Publiskā sektora sakopojumi”, kas izdots 2017. gada janvārī, tika grozīts 26. punkts. Institūcija šo grozījumu piemēro gada finanšu pārskatiem, kas attiecas uz periodiem, kuri sākas 2019. gada 1. janvārī vai pēc šā datuma. Tiek ieteikts standartu piemērot agrāk. Ja institūcija šos grozījumus piemēro attiecībā uz periodu, kas sākas pirms 2019. gada 1. janvāra, tā atklāj šo faktu un vienlaikus piemēro </w:t>
      </w:r>
      <w:r>
        <w:rPr>
          <w:rFonts w:ascii="Times New Roman" w:hAnsi="Times New Roman"/>
          <w:b/>
          <w:i/>
          <w:iCs/>
          <w:color w:val="231F20"/>
          <w:sz w:val="24"/>
        </w:rPr>
        <w:t>IPSAS</w:t>
      </w:r>
      <w:r>
        <w:rPr>
          <w:rFonts w:ascii="Times New Roman" w:hAnsi="Times New Roman"/>
          <w:b/>
          <w:color w:val="231F20"/>
          <w:sz w:val="24"/>
        </w:rPr>
        <w:t> 40.</w:t>
      </w:r>
    </w:p>
    <w:p w14:paraId="00476333" w14:textId="77777777" w:rsidR="00D87D70" w:rsidRDefault="00D87D70" w:rsidP="008D627B">
      <w:pPr>
        <w:jc w:val="both"/>
        <w:rPr>
          <w:rFonts w:ascii="Times New Roman" w:hAnsi="Times New Roman"/>
          <w:noProof/>
          <w:color w:val="231F20"/>
          <w:sz w:val="24"/>
        </w:rPr>
      </w:pPr>
    </w:p>
    <w:p w14:paraId="622CAB78" w14:textId="346420B4" w:rsidR="00904506" w:rsidRPr="008D627B" w:rsidRDefault="00904506" w:rsidP="008D627B">
      <w:pPr>
        <w:jc w:val="both"/>
        <w:rPr>
          <w:rFonts w:ascii="Times New Roman" w:hAnsi="Times New Roman"/>
          <w:b/>
          <w:noProof/>
          <w:color w:val="231F20"/>
          <w:sz w:val="24"/>
        </w:rPr>
      </w:pPr>
      <w:r>
        <w:rPr>
          <w:rFonts w:ascii="Times New Roman" w:hAnsi="Times New Roman"/>
          <w:color w:val="231F20"/>
          <w:sz w:val="24"/>
        </w:rPr>
        <w:t xml:space="preserve">51.C </w:t>
      </w:r>
      <w:r>
        <w:rPr>
          <w:rFonts w:ascii="Times New Roman" w:hAnsi="Times New Roman"/>
          <w:b/>
          <w:color w:val="231F20"/>
          <w:sz w:val="24"/>
        </w:rPr>
        <w:t xml:space="preserve">Ar </w:t>
      </w:r>
      <w:r>
        <w:rPr>
          <w:rFonts w:ascii="Times New Roman" w:hAnsi="Times New Roman"/>
          <w:b/>
          <w:i/>
          <w:iCs/>
          <w:color w:val="231F20"/>
          <w:sz w:val="24"/>
        </w:rPr>
        <w:t>IPSAS</w:t>
      </w:r>
      <w:r>
        <w:rPr>
          <w:rFonts w:ascii="Times New Roman" w:hAnsi="Times New Roman"/>
          <w:b/>
          <w:color w:val="231F20"/>
          <w:sz w:val="24"/>
        </w:rPr>
        <w:t xml:space="preserve"> 40 “Publiskā sektora apvienošanas gadījumi”, kas izdots 2017. gada janvārī, tika grozīts 31. un 33. punkts un pievienots 34.A un 34.B punkts. Institūcija šos grozījumus perspektīvi piemēro gada finanšu pārskatiem, kas attiecas uz periodiem, kuri sākas </w:t>
      </w:r>
      <w:r>
        <w:rPr>
          <w:rFonts w:ascii="Times New Roman" w:hAnsi="Times New Roman"/>
          <w:b/>
          <w:i/>
          <w:iCs/>
          <w:color w:val="231F20"/>
          <w:sz w:val="24"/>
        </w:rPr>
        <w:t>IPSASB</w:t>
      </w:r>
      <w:r>
        <w:rPr>
          <w:rFonts w:ascii="Times New Roman" w:hAnsi="Times New Roman"/>
          <w:b/>
          <w:color w:val="231F20"/>
          <w:sz w:val="24"/>
        </w:rPr>
        <w:t xml:space="preserve"> noteiktajā datumā vai pēc šā datuma. Tiek ieteikts standartu piemērot agrāk. Ja institūcija šos grozījumus piemēro attiecībā uz agrāku periodu, tā atklāj šo faktu un vienlaikus piemēro </w:t>
      </w:r>
      <w:r>
        <w:rPr>
          <w:rFonts w:ascii="Times New Roman" w:hAnsi="Times New Roman"/>
          <w:b/>
          <w:i/>
          <w:iCs/>
          <w:color w:val="231F20"/>
          <w:sz w:val="24"/>
        </w:rPr>
        <w:t>IPSAS</w:t>
      </w:r>
      <w:r>
        <w:rPr>
          <w:rFonts w:ascii="Times New Roman" w:hAnsi="Times New Roman"/>
          <w:b/>
          <w:color w:val="231F20"/>
          <w:sz w:val="24"/>
        </w:rPr>
        <w:t> 40, ja vien nav to jau izdarījusi.</w:t>
      </w:r>
    </w:p>
    <w:p w14:paraId="3F291099" w14:textId="77777777" w:rsidR="00D87D70" w:rsidRDefault="00D87D70" w:rsidP="008D627B">
      <w:pPr>
        <w:jc w:val="both"/>
        <w:rPr>
          <w:rFonts w:ascii="Times New Roman" w:hAnsi="Times New Roman"/>
          <w:noProof/>
          <w:color w:val="231F20"/>
          <w:sz w:val="24"/>
        </w:rPr>
      </w:pPr>
    </w:p>
    <w:p w14:paraId="66BB10AE" w14:textId="4DB54BC8" w:rsidR="00904506" w:rsidRPr="008D627B" w:rsidRDefault="00904506" w:rsidP="008D627B">
      <w:pPr>
        <w:jc w:val="both"/>
        <w:rPr>
          <w:rFonts w:ascii="Times New Roman" w:hAnsi="Times New Roman"/>
          <w:b/>
          <w:noProof/>
          <w:color w:val="231F20"/>
          <w:sz w:val="24"/>
        </w:rPr>
      </w:pPr>
      <w:r>
        <w:rPr>
          <w:rFonts w:ascii="Times New Roman" w:hAnsi="Times New Roman"/>
          <w:color w:val="231F20"/>
          <w:sz w:val="24"/>
        </w:rPr>
        <w:t xml:space="preserve">51.D </w:t>
      </w:r>
      <w:r>
        <w:rPr>
          <w:rFonts w:ascii="Times New Roman" w:hAnsi="Times New Roman"/>
          <w:b/>
          <w:color w:val="231F20"/>
          <w:sz w:val="24"/>
        </w:rPr>
        <w:t xml:space="preserve">Ar </w:t>
      </w:r>
      <w:r>
        <w:rPr>
          <w:rFonts w:ascii="Times New Roman" w:hAnsi="Times New Roman"/>
          <w:b/>
          <w:i/>
          <w:iCs/>
          <w:color w:val="231F20"/>
          <w:sz w:val="24"/>
        </w:rPr>
        <w:t>IPSAS</w:t>
      </w:r>
      <w:r>
        <w:rPr>
          <w:rFonts w:ascii="Times New Roman" w:hAnsi="Times New Roman"/>
          <w:b/>
          <w:color w:val="231F20"/>
          <w:sz w:val="24"/>
        </w:rPr>
        <w:t xml:space="preserve"> 41, kas izdots 2018. gada augustā, tika grozīts 20., 24., 25., 26., 43., 44. un 45. punkts un pievienots 44.A, 44.B un 44.C punkts. Institūcija šos grozījumus piemēro gada finanšu pārskatiem, kas attiecas uz periodiem, kuri sākas 2022. gada 1. janvārī vai pēc šā datuma. Tiek ieteikts standartu piemērot agrāk. Ja institūcija šos grozījumus piemēro attiecībā uz periodu, kas sākas pirms 2022. gada 1. janvāra, tas atklāj šo faktu </w:t>
      </w:r>
      <w:r>
        <w:rPr>
          <w:rFonts w:ascii="Times New Roman" w:hAnsi="Times New Roman"/>
          <w:b/>
          <w:color w:val="231F20"/>
          <w:sz w:val="24"/>
        </w:rPr>
        <w:lastRenderedPageBreak/>
        <w:t xml:space="preserve">un vienlaikus piemēro </w:t>
      </w:r>
      <w:r>
        <w:rPr>
          <w:rFonts w:ascii="Times New Roman" w:hAnsi="Times New Roman"/>
          <w:b/>
          <w:i/>
          <w:iCs/>
          <w:color w:val="231F20"/>
          <w:sz w:val="24"/>
        </w:rPr>
        <w:t>IPSAS</w:t>
      </w:r>
      <w:r>
        <w:rPr>
          <w:rFonts w:ascii="Times New Roman" w:hAnsi="Times New Roman"/>
          <w:b/>
          <w:color w:val="231F20"/>
          <w:sz w:val="24"/>
        </w:rPr>
        <w:t> 41.</w:t>
      </w:r>
    </w:p>
    <w:p w14:paraId="1E99FD13" w14:textId="77777777" w:rsidR="00D87D70" w:rsidRDefault="00D87D70" w:rsidP="008D627B">
      <w:pPr>
        <w:jc w:val="both"/>
        <w:rPr>
          <w:rFonts w:ascii="Times New Roman" w:hAnsi="Times New Roman"/>
          <w:noProof/>
          <w:color w:val="231F20"/>
          <w:sz w:val="24"/>
        </w:rPr>
      </w:pPr>
    </w:p>
    <w:p w14:paraId="317BC73E" w14:textId="256E96C0" w:rsidR="00904506" w:rsidRPr="008D627B" w:rsidRDefault="00904506" w:rsidP="008D627B">
      <w:pPr>
        <w:jc w:val="both"/>
        <w:rPr>
          <w:rFonts w:ascii="Times New Roman" w:hAnsi="Times New Roman"/>
          <w:b/>
          <w:noProof/>
          <w:color w:val="231F20"/>
          <w:sz w:val="24"/>
        </w:rPr>
      </w:pPr>
      <w:r>
        <w:rPr>
          <w:rFonts w:ascii="Times New Roman" w:hAnsi="Times New Roman"/>
          <w:color w:val="231F20"/>
          <w:sz w:val="24"/>
        </w:rPr>
        <w:t xml:space="preserve">51.E </w:t>
      </w:r>
      <w:r>
        <w:rPr>
          <w:rFonts w:ascii="Times New Roman" w:hAnsi="Times New Roman"/>
          <w:b/>
          <w:color w:val="231F20"/>
          <w:sz w:val="24"/>
        </w:rPr>
        <w:t>Ar dokumentu “</w:t>
      </w:r>
      <w:r>
        <w:rPr>
          <w:rFonts w:ascii="Times New Roman" w:hAnsi="Times New Roman"/>
          <w:b/>
          <w:i/>
          <w:iCs/>
          <w:color w:val="231F20"/>
          <w:sz w:val="24"/>
        </w:rPr>
        <w:t>IPSAS</w:t>
      </w:r>
      <w:r>
        <w:rPr>
          <w:rFonts w:ascii="Times New Roman" w:hAnsi="Times New Roman"/>
          <w:b/>
          <w:color w:val="231F20"/>
          <w:sz w:val="24"/>
        </w:rPr>
        <w:t xml:space="preserve"> uzlabojumi 2018. gadā”, kas izdots 2018. gada oktobrī, tika grozīts 24. punkts. Institūcija šo grozījumu piemēro gada finanšu pārskatiem, kas attiecas uz periodiem, kuri sākas 2019. gada 1. janvārī vai pēc šā datuma. Tiek ieteikts standartu piemērot agrāk. Ja institūcija šo grozījumu piemēro attiecībā uz periodu, kas sākas pirms 2019. gada 1. janvāra, tā atklāj šo faktu.</w:t>
      </w:r>
    </w:p>
    <w:p w14:paraId="37F7BEE3" w14:textId="77777777" w:rsidR="00D87D70" w:rsidRDefault="00D87D70" w:rsidP="008D627B">
      <w:pPr>
        <w:jc w:val="both"/>
        <w:rPr>
          <w:rFonts w:ascii="Times New Roman" w:hAnsi="Times New Roman"/>
          <w:noProof/>
          <w:color w:val="231F20"/>
          <w:sz w:val="24"/>
        </w:rPr>
      </w:pPr>
    </w:p>
    <w:p w14:paraId="3C325B14" w14:textId="23D00AC3" w:rsidR="00904506" w:rsidRPr="00D87D70" w:rsidRDefault="00904506" w:rsidP="00D87D70">
      <w:pPr>
        <w:jc w:val="both"/>
        <w:rPr>
          <w:bCs/>
          <w:noProof/>
          <w:color w:val="231F20"/>
          <w:sz w:val="24"/>
        </w:rPr>
      </w:pPr>
      <w:r>
        <w:rPr>
          <w:rFonts w:ascii="Times New Roman" w:hAnsi="Times New Roman"/>
          <w:color w:val="231F20"/>
          <w:sz w:val="24"/>
        </w:rPr>
        <w:t xml:space="preserve">51.F </w:t>
      </w:r>
      <w:r>
        <w:rPr>
          <w:rFonts w:ascii="Times New Roman" w:hAnsi="Times New Roman"/>
          <w:b/>
          <w:color w:val="231F20"/>
          <w:sz w:val="24"/>
        </w:rPr>
        <w:t>Ar dokumentiem “Ilgtermiņa līdzdalība asociētajos uzņēmumos un kopuzņēmumos” (</w:t>
      </w:r>
      <w:r>
        <w:rPr>
          <w:rFonts w:ascii="Times New Roman" w:hAnsi="Times New Roman"/>
          <w:b/>
          <w:i/>
          <w:iCs/>
          <w:color w:val="231F20"/>
          <w:sz w:val="24"/>
        </w:rPr>
        <w:t>IPSAS</w:t>
      </w:r>
      <w:r>
        <w:rPr>
          <w:rFonts w:ascii="Times New Roman" w:hAnsi="Times New Roman"/>
          <w:b/>
          <w:color w:val="231F20"/>
          <w:sz w:val="24"/>
        </w:rPr>
        <w:t> 36 grozījumi) un “Priekšapmaksas iezīmes ar negatīvu kompensāciju” (</w:t>
      </w:r>
      <w:r>
        <w:rPr>
          <w:rFonts w:ascii="Times New Roman" w:hAnsi="Times New Roman"/>
          <w:b/>
          <w:i/>
          <w:iCs/>
          <w:color w:val="231F20"/>
          <w:sz w:val="24"/>
        </w:rPr>
        <w:t>IPSAS</w:t>
      </w:r>
      <w:r>
        <w:rPr>
          <w:rFonts w:ascii="Times New Roman" w:hAnsi="Times New Roman"/>
          <w:b/>
          <w:color w:val="231F20"/>
          <w:sz w:val="24"/>
        </w:rPr>
        <w:t xml:space="preserve"> 41 grozījumi), kas izdoti 2019. gada janvārī, tika pievienots 20.A punkts un svītrots 44. punkts. Institūcija retrospektīvi piemēro šos grozījumus saskaņā ar </w:t>
      </w:r>
      <w:r>
        <w:rPr>
          <w:rFonts w:ascii="Times New Roman" w:hAnsi="Times New Roman"/>
          <w:b/>
          <w:i/>
          <w:iCs/>
          <w:color w:val="231F20"/>
          <w:sz w:val="24"/>
        </w:rPr>
        <w:t>IPSAS</w:t>
      </w:r>
      <w:r>
        <w:rPr>
          <w:rFonts w:ascii="Times New Roman" w:hAnsi="Times New Roman"/>
          <w:b/>
          <w:color w:val="231F20"/>
          <w:sz w:val="24"/>
        </w:rPr>
        <w:t xml:space="preserve"> 3 “Grāmatvedības politika, izmaiņas grāmatvedības aplēsēs un kļūdas” attiecībā uz gada finanšu pārskatiem, kas attiecas uz periodiem, kuri sākas 2022. gada 1. janvārī vai pēc šā datuma, izņemot to, kā norādīts 51.G–51.I punktā. Tiek ieteikts standartu piemērot agrāk. Ja institūcija šos grozījumus piemēro attiecībā uz periodu, kas sākas pirms 2022. gada 1. janvāra, tā atklāj šo faktu un vienlaikus piemēro </w:t>
      </w:r>
      <w:r>
        <w:rPr>
          <w:rFonts w:ascii="Times New Roman" w:hAnsi="Times New Roman"/>
          <w:b/>
          <w:i/>
          <w:iCs/>
          <w:color w:val="231F20"/>
          <w:sz w:val="24"/>
        </w:rPr>
        <w:t>IPSAS</w:t>
      </w:r>
      <w:r>
        <w:rPr>
          <w:rFonts w:ascii="Times New Roman" w:hAnsi="Times New Roman"/>
          <w:b/>
          <w:color w:val="231F20"/>
          <w:sz w:val="24"/>
        </w:rPr>
        <w:t> 41.</w:t>
      </w:r>
    </w:p>
    <w:p w14:paraId="3F1926DC" w14:textId="77777777" w:rsidR="00D87D70" w:rsidRDefault="00D87D70" w:rsidP="008D627B">
      <w:pPr>
        <w:jc w:val="both"/>
        <w:rPr>
          <w:rFonts w:ascii="Times New Roman" w:hAnsi="Times New Roman"/>
          <w:noProof/>
          <w:color w:val="231F20"/>
          <w:sz w:val="24"/>
        </w:rPr>
      </w:pPr>
    </w:p>
    <w:p w14:paraId="72DCDD9D" w14:textId="3D1DE64F" w:rsidR="00904506" w:rsidRPr="008D627B" w:rsidRDefault="00904506" w:rsidP="008D627B">
      <w:pPr>
        <w:jc w:val="both"/>
        <w:rPr>
          <w:rFonts w:ascii="Times New Roman" w:hAnsi="Times New Roman"/>
          <w:b/>
          <w:noProof/>
          <w:color w:val="231F20"/>
          <w:sz w:val="24"/>
        </w:rPr>
      </w:pPr>
      <w:r>
        <w:rPr>
          <w:rFonts w:ascii="Times New Roman" w:hAnsi="Times New Roman"/>
          <w:color w:val="231F20"/>
          <w:sz w:val="24"/>
        </w:rPr>
        <w:t xml:space="preserve">51.G </w:t>
      </w:r>
      <w:r>
        <w:rPr>
          <w:rFonts w:ascii="Times New Roman" w:hAnsi="Times New Roman"/>
          <w:b/>
          <w:color w:val="231F20"/>
          <w:sz w:val="24"/>
        </w:rPr>
        <w:t xml:space="preserve">Institūcija, kas 51.F punkta grozījumus pirmo reizi piemēro tajā pašā laikā, kad tā pirmo reizi piemēro </w:t>
      </w:r>
      <w:r>
        <w:rPr>
          <w:rFonts w:ascii="Times New Roman" w:hAnsi="Times New Roman"/>
          <w:b/>
          <w:i/>
          <w:iCs/>
          <w:color w:val="231F20"/>
          <w:sz w:val="24"/>
        </w:rPr>
        <w:t>IPSAS</w:t>
      </w:r>
      <w:r>
        <w:rPr>
          <w:rFonts w:ascii="Times New Roman" w:hAnsi="Times New Roman"/>
          <w:b/>
          <w:color w:val="231F20"/>
          <w:sz w:val="24"/>
        </w:rPr>
        <w:t xml:space="preserve"> 41, piemēro </w:t>
      </w:r>
      <w:r>
        <w:rPr>
          <w:rFonts w:ascii="Times New Roman" w:hAnsi="Times New Roman"/>
          <w:b/>
          <w:i/>
          <w:iCs/>
          <w:color w:val="231F20"/>
          <w:sz w:val="24"/>
        </w:rPr>
        <w:t>IPSAS</w:t>
      </w:r>
      <w:r>
        <w:rPr>
          <w:rFonts w:ascii="Times New Roman" w:hAnsi="Times New Roman"/>
          <w:b/>
          <w:color w:val="231F20"/>
          <w:sz w:val="24"/>
        </w:rPr>
        <w:t> 41 noteiktās pārejas prasības attiecībā uz 20.A punktā minēto ilgtermiņa līdzdalību.</w:t>
      </w:r>
    </w:p>
    <w:p w14:paraId="602F12E9" w14:textId="77777777" w:rsidR="00D87D70" w:rsidRDefault="00D87D70" w:rsidP="008D627B">
      <w:pPr>
        <w:jc w:val="both"/>
        <w:rPr>
          <w:rFonts w:ascii="Times New Roman" w:hAnsi="Times New Roman"/>
          <w:noProof/>
          <w:color w:val="231F20"/>
          <w:sz w:val="24"/>
        </w:rPr>
      </w:pPr>
    </w:p>
    <w:p w14:paraId="1E2EB797" w14:textId="7F399C53" w:rsidR="00904506" w:rsidRPr="008D627B" w:rsidRDefault="00904506" w:rsidP="008D627B">
      <w:pPr>
        <w:jc w:val="both"/>
        <w:rPr>
          <w:rFonts w:ascii="Times New Roman" w:hAnsi="Times New Roman"/>
          <w:b/>
          <w:noProof/>
          <w:color w:val="231F20"/>
          <w:sz w:val="24"/>
        </w:rPr>
      </w:pPr>
      <w:r>
        <w:rPr>
          <w:rFonts w:ascii="Times New Roman" w:hAnsi="Times New Roman"/>
          <w:color w:val="231F20"/>
          <w:sz w:val="24"/>
        </w:rPr>
        <w:t xml:space="preserve">51.H </w:t>
      </w:r>
      <w:r>
        <w:rPr>
          <w:rFonts w:ascii="Times New Roman" w:hAnsi="Times New Roman"/>
          <w:b/>
          <w:color w:val="231F20"/>
          <w:sz w:val="24"/>
        </w:rPr>
        <w:t xml:space="preserve">Institūcija, kas 51.F punkta grozījumus pirmo reizi piemēro pēc tam, kad tā pirmo reizi ir piemērojusi </w:t>
      </w:r>
      <w:r>
        <w:rPr>
          <w:rFonts w:ascii="Times New Roman" w:hAnsi="Times New Roman"/>
          <w:b/>
          <w:i/>
          <w:iCs/>
          <w:color w:val="231F20"/>
          <w:sz w:val="24"/>
        </w:rPr>
        <w:t>IPSAS</w:t>
      </w:r>
      <w:r>
        <w:rPr>
          <w:rFonts w:ascii="Times New Roman" w:hAnsi="Times New Roman"/>
          <w:b/>
          <w:color w:val="231F20"/>
          <w:sz w:val="24"/>
        </w:rPr>
        <w:t xml:space="preserve"> 41, piemēro </w:t>
      </w:r>
      <w:r>
        <w:rPr>
          <w:rFonts w:ascii="Times New Roman" w:hAnsi="Times New Roman"/>
          <w:b/>
          <w:i/>
          <w:iCs/>
          <w:color w:val="231F20"/>
          <w:sz w:val="24"/>
        </w:rPr>
        <w:t>IPSAS</w:t>
      </w:r>
      <w:r>
        <w:rPr>
          <w:rFonts w:ascii="Times New Roman" w:hAnsi="Times New Roman"/>
          <w:b/>
          <w:color w:val="231F20"/>
          <w:sz w:val="24"/>
        </w:rPr>
        <w:t xml:space="preserve"> 41 noteiktās pārejas prasības, kas jāievēro, lai varētu piemērot 20.A punktā noteiktās prasības attiecībā uz ilgtermiņa līdzdalību. Šajā saistībā </w:t>
      </w:r>
      <w:r>
        <w:rPr>
          <w:rFonts w:ascii="Times New Roman" w:hAnsi="Times New Roman"/>
          <w:b/>
          <w:i/>
          <w:iCs/>
          <w:color w:val="231F20"/>
          <w:sz w:val="24"/>
        </w:rPr>
        <w:t>IPSAS</w:t>
      </w:r>
      <w:r>
        <w:rPr>
          <w:rFonts w:ascii="Times New Roman" w:hAnsi="Times New Roman"/>
          <w:b/>
          <w:color w:val="231F20"/>
          <w:sz w:val="24"/>
        </w:rPr>
        <w:t> 41 minētās norādes uz sākotnējās piemērošanas datumu jāuzskata par norādēm uz tā gada pārskata perioda sākumu, kurā institūcija pirmo reizi piemēro šos grozījumus (šo grozījumu sākotnējās piemērošanas datums). Institūcijai nav jāpārformulē iepriekšējie periodi, lai atspoguļotu šo grozījumu piemērošanu. Institūcija var pārformulēt iepriekšējos periodus vienīgi tad, ja tas ir iespējams, neizmantojot retrospektīvo pieeju.</w:t>
      </w:r>
    </w:p>
    <w:p w14:paraId="4B00C0F8" w14:textId="77777777" w:rsidR="00D87D70" w:rsidRDefault="00D87D70" w:rsidP="008D627B">
      <w:pPr>
        <w:jc w:val="both"/>
        <w:rPr>
          <w:rFonts w:ascii="Times New Roman" w:hAnsi="Times New Roman"/>
          <w:noProof/>
          <w:color w:val="231F20"/>
          <w:sz w:val="24"/>
        </w:rPr>
      </w:pPr>
    </w:p>
    <w:p w14:paraId="0145D089" w14:textId="08F5711B" w:rsidR="00904506" w:rsidRPr="008D627B" w:rsidRDefault="00904506" w:rsidP="008D627B">
      <w:pPr>
        <w:jc w:val="both"/>
        <w:rPr>
          <w:rFonts w:ascii="Times New Roman" w:hAnsi="Times New Roman"/>
          <w:b/>
          <w:noProof/>
          <w:color w:val="231F20"/>
          <w:sz w:val="24"/>
        </w:rPr>
      </w:pPr>
      <w:r>
        <w:rPr>
          <w:rFonts w:ascii="Times New Roman" w:hAnsi="Times New Roman"/>
          <w:color w:val="231F20"/>
          <w:sz w:val="24"/>
        </w:rPr>
        <w:t xml:space="preserve">51.I </w:t>
      </w:r>
      <w:r>
        <w:rPr>
          <w:rFonts w:ascii="Times New Roman" w:hAnsi="Times New Roman"/>
          <w:b/>
          <w:color w:val="231F20"/>
          <w:sz w:val="24"/>
        </w:rPr>
        <w:t>Ja institūcija nepārformulē iepriekšējos periodus, piemērojot 51.H punktu, grozījumu sākotnējā piemērošanas dienā tā atzīst sākuma uzkrātajā pārsniegumā vai iztrūkumā (vai attiecīgā gadījumā citā neto aktīvu / pašu kapitāla komponentā) jebkādu starpību starp:</w:t>
      </w:r>
    </w:p>
    <w:p w14:paraId="1C3561B4" w14:textId="77777777" w:rsidR="00D87D70" w:rsidRDefault="00D87D70" w:rsidP="00D87D70">
      <w:pPr>
        <w:tabs>
          <w:tab w:val="left" w:pos="1341"/>
        </w:tabs>
        <w:jc w:val="both"/>
        <w:rPr>
          <w:rFonts w:ascii="Times New Roman" w:hAnsi="Times New Roman"/>
          <w:b/>
          <w:noProof/>
          <w:color w:val="231F20"/>
          <w:sz w:val="24"/>
        </w:rPr>
      </w:pPr>
    </w:p>
    <w:p w14:paraId="6E5DBF7B" w14:textId="602A9475" w:rsidR="00904506" w:rsidRPr="008D627B" w:rsidRDefault="00D87D70" w:rsidP="00D87D70">
      <w:pPr>
        <w:tabs>
          <w:tab w:val="left" w:pos="1341"/>
        </w:tabs>
        <w:jc w:val="both"/>
        <w:rPr>
          <w:rFonts w:ascii="Times New Roman" w:hAnsi="Times New Roman"/>
          <w:b/>
          <w:noProof/>
          <w:color w:val="231F20"/>
          <w:sz w:val="24"/>
        </w:rPr>
      </w:pPr>
      <w:r>
        <w:rPr>
          <w:rFonts w:ascii="Times New Roman" w:hAnsi="Times New Roman"/>
          <w:b/>
          <w:color w:val="231F20"/>
          <w:sz w:val="24"/>
        </w:rPr>
        <w:t>a) iepriekšējo 20.A punktā minētās ilgtermiņa līdzdalības uzskaites vērtību šajā datumā un</w:t>
      </w:r>
    </w:p>
    <w:p w14:paraId="1D87B5DE" w14:textId="30ABE816" w:rsidR="00904506" w:rsidRPr="008D627B" w:rsidRDefault="00D87D70" w:rsidP="00D87D70">
      <w:pPr>
        <w:tabs>
          <w:tab w:val="left" w:pos="1341"/>
        </w:tabs>
        <w:jc w:val="both"/>
        <w:rPr>
          <w:rFonts w:ascii="Times New Roman" w:hAnsi="Times New Roman"/>
          <w:b/>
          <w:noProof/>
          <w:color w:val="231F20"/>
          <w:sz w:val="24"/>
        </w:rPr>
      </w:pPr>
      <w:r>
        <w:rPr>
          <w:rFonts w:ascii="Times New Roman" w:hAnsi="Times New Roman"/>
          <w:b/>
          <w:color w:val="231F20"/>
          <w:sz w:val="24"/>
        </w:rPr>
        <w:t>b) šīs ilgtermiņa līdzdalības uzskaites vērtību šajā datumā.</w:t>
      </w:r>
    </w:p>
    <w:p w14:paraId="413EEFB5" w14:textId="77777777" w:rsidR="00D87D70" w:rsidRDefault="00D87D70" w:rsidP="00D87D70">
      <w:pPr>
        <w:tabs>
          <w:tab w:val="left" w:pos="821"/>
        </w:tabs>
        <w:jc w:val="both"/>
        <w:rPr>
          <w:rFonts w:ascii="Times New Roman" w:eastAsia="Times New Roman" w:hAnsi="Times New Roman" w:cs="Times New Roman"/>
          <w:noProof/>
          <w:color w:val="231F20"/>
          <w:sz w:val="24"/>
          <w:szCs w:val="20"/>
        </w:rPr>
      </w:pPr>
    </w:p>
    <w:p w14:paraId="7A58BF1D" w14:textId="291C06B8" w:rsidR="00904506" w:rsidRPr="008D627B" w:rsidRDefault="00D87D70" w:rsidP="00D87D70">
      <w:pPr>
        <w:tabs>
          <w:tab w:val="left" w:pos="821"/>
        </w:tabs>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52. Kad institūcija pieņem </w:t>
      </w:r>
      <w:r>
        <w:rPr>
          <w:rFonts w:ascii="Times New Roman" w:hAnsi="Times New Roman"/>
          <w:i/>
          <w:iCs/>
          <w:color w:val="231F20"/>
          <w:sz w:val="24"/>
          <w:szCs w:val="20"/>
        </w:rPr>
        <w:t>IPSAS</w:t>
      </w:r>
      <w:r>
        <w:rPr>
          <w:rFonts w:ascii="Times New Roman" w:hAnsi="Times New Roman"/>
          <w:color w:val="231F20"/>
          <w:sz w:val="24"/>
          <w:szCs w:val="20"/>
        </w:rPr>
        <w:t xml:space="preserve"> standartu uzkrāšanas principu grāmatvedībā, kas noteikts </w:t>
      </w:r>
      <w:r>
        <w:rPr>
          <w:rFonts w:ascii="Times New Roman" w:hAnsi="Times New Roman"/>
          <w:i/>
          <w:iCs/>
          <w:color w:val="231F20"/>
          <w:sz w:val="24"/>
          <w:szCs w:val="20"/>
        </w:rPr>
        <w:t>IPSAS</w:t>
      </w:r>
      <w:r>
        <w:rPr>
          <w:rFonts w:ascii="Times New Roman" w:hAnsi="Times New Roman"/>
          <w:color w:val="231F20"/>
          <w:sz w:val="24"/>
          <w:szCs w:val="20"/>
        </w:rPr>
        <w:t> 33 “Starptautisko publiskā sektora grāmatvedības standartu (</w:t>
      </w:r>
      <w:r>
        <w:rPr>
          <w:rFonts w:ascii="Times New Roman" w:hAnsi="Times New Roman"/>
          <w:i/>
          <w:iCs/>
          <w:color w:val="231F20"/>
          <w:sz w:val="24"/>
          <w:szCs w:val="20"/>
        </w:rPr>
        <w:t>IPSAS</w:t>
      </w:r>
      <w:r>
        <w:rPr>
          <w:rFonts w:ascii="Times New Roman" w:hAnsi="Times New Roman"/>
          <w:color w:val="231F20"/>
          <w:sz w:val="24"/>
          <w:szCs w:val="20"/>
        </w:rPr>
        <w:t xml:space="preserve">) uzkrāšanas principa grāmatvedībā pirmreizēja pieņemšana” finanšu pārskatu sniegšanai pēc šā spēkā stāšanās datuma, šo standartu piemēro attiecībā uz institūcijas gada finanšu pārskatiem par periodiem, kas sākas </w:t>
      </w:r>
      <w:r>
        <w:rPr>
          <w:rFonts w:ascii="Times New Roman" w:hAnsi="Times New Roman"/>
          <w:i/>
          <w:iCs/>
          <w:color w:val="231F20"/>
          <w:sz w:val="24"/>
          <w:szCs w:val="20"/>
        </w:rPr>
        <w:t>IPSAS</w:t>
      </w:r>
      <w:r>
        <w:rPr>
          <w:rFonts w:ascii="Times New Roman" w:hAnsi="Times New Roman"/>
          <w:color w:val="231F20"/>
          <w:sz w:val="24"/>
          <w:szCs w:val="20"/>
        </w:rPr>
        <w:t xml:space="preserve"> standartu pieņemšanas dienā vai pēc tās.</w:t>
      </w:r>
    </w:p>
    <w:p w14:paraId="39A8C7F4" w14:textId="77777777" w:rsidR="00904506" w:rsidRPr="008D627B" w:rsidRDefault="00904506" w:rsidP="008D627B">
      <w:pPr>
        <w:jc w:val="both"/>
        <w:rPr>
          <w:rFonts w:ascii="Times New Roman" w:eastAsia="Times New Roman" w:hAnsi="Times New Roman" w:cs="Times New Roman"/>
          <w:noProof/>
          <w:sz w:val="24"/>
          <w:szCs w:val="15"/>
        </w:rPr>
      </w:pPr>
    </w:p>
    <w:p w14:paraId="1B0B9E68" w14:textId="77777777" w:rsidR="00904506" w:rsidRPr="008D627B" w:rsidRDefault="00904506" w:rsidP="008D627B">
      <w:pPr>
        <w:pStyle w:val="Virsraksts1"/>
        <w:ind w:left="0"/>
        <w:jc w:val="both"/>
        <w:rPr>
          <w:noProof/>
          <w:color w:val="231F20"/>
        </w:rPr>
      </w:pPr>
      <w:r>
        <w:rPr>
          <w:i/>
          <w:iCs/>
          <w:color w:val="231F20"/>
        </w:rPr>
        <w:t>IPSAS</w:t>
      </w:r>
      <w:r>
        <w:rPr>
          <w:color w:val="231F20"/>
        </w:rPr>
        <w:t> 7 (2006. gada decembris) atsaukšana un aizstāšana</w:t>
      </w:r>
      <w:bookmarkStart w:id="15" w:name="_bookmark15"/>
      <w:bookmarkEnd w:id="15"/>
    </w:p>
    <w:p w14:paraId="00E83E0A" w14:textId="77777777" w:rsidR="00D87D70" w:rsidRDefault="00D87D70" w:rsidP="00D87D70">
      <w:pPr>
        <w:pStyle w:val="Pamatteksts"/>
        <w:tabs>
          <w:tab w:val="left" w:pos="820"/>
        </w:tabs>
        <w:spacing w:before="0"/>
        <w:ind w:left="0"/>
        <w:jc w:val="both"/>
        <w:rPr>
          <w:noProof/>
          <w:color w:val="231F20"/>
          <w:sz w:val="24"/>
        </w:rPr>
      </w:pPr>
    </w:p>
    <w:p w14:paraId="27C8A931" w14:textId="0D9CBFC6" w:rsidR="00904506" w:rsidRPr="008D627B" w:rsidRDefault="00D87D70" w:rsidP="00D87D70">
      <w:pPr>
        <w:pStyle w:val="Pamatteksts"/>
        <w:tabs>
          <w:tab w:val="left" w:pos="820"/>
        </w:tabs>
        <w:spacing w:before="0"/>
        <w:ind w:left="0"/>
        <w:jc w:val="both"/>
        <w:rPr>
          <w:noProof/>
          <w:color w:val="231F20"/>
          <w:sz w:val="24"/>
        </w:rPr>
      </w:pPr>
      <w:r>
        <w:rPr>
          <w:color w:val="231F20"/>
          <w:sz w:val="24"/>
        </w:rPr>
        <w:t xml:space="preserve">53. Ar šo standartu tiek aizstāts </w:t>
      </w:r>
      <w:r>
        <w:rPr>
          <w:i/>
          <w:iCs/>
          <w:color w:val="231F20"/>
          <w:sz w:val="24"/>
        </w:rPr>
        <w:t>IPSAS</w:t>
      </w:r>
      <w:r>
        <w:rPr>
          <w:color w:val="231F20"/>
          <w:sz w:val="24"/>
        </w:rPr>
        <w:t xml:space="preserve"> 7 “Ieguldījumi asociētajos uzņēmumos” (2006. gada </w:t>
      </w:r>
      <w:r>
        <w:rPr>
          <w:color w:val="231F20"/>
          <w:sz w:val="24"/>
        </w:rPr>
        <w:lastRenderedPageBreak/>
        <w:t xml:space="preserve">decembris). </w:t>
      </w:r>
      <w:r>
        <w:rPr>
          <w:i/>
          <w:iCs/>
          <w:color w:val="231F20"/>
          <w:sz w:val="24"/>
        </w:rPr>
        <w:t>IPSAS</w:t>
      </w:r>
      <w:r>
        <w:rPr>
          <w:color w:val="231F20"/>
          <w:sz w:val="24"/>
        </w:rPr>
        <w:t xml:space="preserve"> 7 turpina piemērot līdz brīdim, kad piemēro vai stājas spēkā </w:t>
      </w:r>
      <w:r>
        <w:rPr>
          <w:i/>
          <w:iCs/>
          <w:color w:val="231F20"/>
          <w:sz w:val="24"/>
        </w:rPr>
        <w:t>IPSAS</w:t>
      </w:r>
      <w:r>
        <w:rPr>
          <w:color w:val="231F20"/>
          <w:sz w:val="24"/>
        </w:rPr>
        <w:t> 36, atkarībā no tā, kas ir agrāk.</w:t>
      </w:r>
    </w:p>
    <w:sectPr w:rsidR="00904506" w:rsidRPr="008D627B" w:rsidSect="007C3C96">
      <w:headerReference w:type="default" r:id="rId13"/>
      <w:footerReference w:type="even" r:id="rId14"/>
      <w:footerReference w:type="default" r:id="rId15"/>
      <w:headerReference w:type="first" r:id="rId16"/>
      <w:footerReference w:type="first" r:id="rId17"/>
      <w:pgSz w:w="11907" w:h="16840"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3ED2D" w14:textId="77777777" w:rsidR="00A43A4E" w:rsidRPr="00904506" w:rsidRDefault="00A43A4E">
      <w:pPr>
        <w:rPr>
          <w:noProof/>
        </w:rPr>
      </w:pPr>
      <w:r w:rsidRPr="00904506">
        <w:rPr>
          <w:noProof/>
        </w:rPr>
        <w:separator/>
      </w:r>
    </w:p>
  </w:endnote>
  <w:endnote w:type="continuationSeparator" w:id="0">
    <w:p w14:paraId="11F69CC9" w14:textId="77777777" w:rsidR="00A43A4E" w:rsidRPr="00904506" w:rsidRDefault="00A43A4E">
      <w:pPr>
        <w:rPr>
          <w:noProof/>
        </w:rPr>
      </w:pPr>
      <w:r w:rsidRPr="0090450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EEDA2" w14:textId="7AA85583" w:rsidR="00A43A4E" w:rsidRPr="00904506" w:rsidRDefault="00A43A4E">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9E15D" w14:textId="77777777" w:rsidR="00E42675" w:rsidRPr="00864FDC" w:rsidRDefault="00E42675" w:rsidP="00E42675">
    <w:pPr>
      <w:pStyle w:val="Galvene"/>
      <w:tabs>
        <w:tab w:val="left" w:pos="9072"/>
      </w:tabs>
      <w:rPr>
        <w:rStyle w:val="Lappusesnumurs"/>
        <w:rFonts w:ascii="Times New Roman" w:hAnsi="Times New Roman" w:cs="Times New Roman"/>
        <w:sz w:val="20"/>
        <w:szCs w:val="18"/>
      </w:rPr>
    </w:pPr>
  </w:p>
  <w:p w14:paraId="6AC7AF15" w14:textId="77777777" w:rsidR="00E42675" w:rsidRPr="00864FDC" w:rsidRDefault="00E42675" w:rsidP="00E42675">
    <w:pPr>
      <w:pStyle w:val="Galvene"/>
      <w:tabs>
        <w:tab w:val="clear" w:pos="4513"/>
        <w:tab w:val="clear" w:pos="9026"/>
        <w:tab w:val="righ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0994B40A" w14:textId="77777777" w:rsidR="00E42675" w:rsidRPr="00864FDC" w:rsidRDefault="00E42675" w:rsidP="00E42675">
    <w:pPr>
      <w:pStyle w:val="Galvene"/>
      <w:tabs>
        <w:tab w:val="right" w:pos="9072"/>
      </w:tabs>
      <w:rPr>
        <w:rStyle w:val="Lappusesnumurs"/>
        <w:rFonts w:ascii="Times New Roman" w:hAnsi="Times New Roman" w:cs="Times New Roman"/>
        <w:sz w:val="20"/>
        <w:szCs w:val="18"/>
      </w:rPr>
    </w:pPr>
  </w:p>
  <w:p w14:paraId="28CB9D67" w14:textId="77777777" w:rsidR="00E42675" w:rsidRPr="00864FDC" w:rsidRDefault="00E42675" w:rsidP="00E42675">
    <w:pPr>
      <w:pStyle w:val="Kjene"/>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864FDC">
      <w:rPr>
        <w:rFonts w:ascii="Times New Roman" w:hAnsi="Times New Roman" w:cs="Times New Roman"/>
        <w:sz w:val="20"/>
        <w:szCs w:val="18"/>
      </w:rPr>
      <w:tab/>
    </w:r>
    <w:r w:rsidRPr="00864FDC">
      <w:rPr>
        <w:rStyle w:val="Lappusesnumurs"/>
        <w:rFonts w:ascii="Times New Roman" w:hAnsi="Times New Roman" w:cs="Times New Roman"/>
        <w:sz w:val="20"/>
        <w:szCs w:val="18"/>
      </w:rPr>
      <w:fldChar w:fldCharType="begin"/>
    </w:r>
    <w:r w:rsidRPr="00864FDC">
      <w:rPr>
        <w:rStyle w:val="Lappusesnumurs"/>
        <w:rFonts w:ascii="Times New Roman" w:hAnsi="Times New Roman" w:cs="Times New Roman"/>
        <w:sz w:val="20"/>
        <w:szCs w:val="18"/>
      </w:rPr>
      <w:instrText xml:space="preserve">page </w:instrText>
    </w:r>
    <w:r w:rsidRPr="00864FDC">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864FDC">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BC0FD" w14:textId="77777777" w:rsidR="00336DEF" w:rsidRPr="00864FDC" w:rsidRDefault="00336DEF" w:rsidP="00336DEF">
    <w:pPr>
      <w:pStyle w:val="Galvene"/>
      <w:tabs>
        <w:tab w:val="left" w:pos="9072"/>
      </w:tabs>
      <w:rPr>
        <w:rStyle w:val="Lappusesnumurs"/>
        <w:rFonts w:ascii="Times New Roman" w:hAnsi="Times New Roman" w:cs="Times New Roman"/>
        <w:sz w:val="20"/>
        <w:szCs w:val="18"/>
      </w:rPr>
    </w:pPr>
    <w:bookmarkStart w:id="30" w:name="_Hlk496261764"/>
    <w:bookmarkStart w:id="31" w:name="_Hlk496261765"/>
    <w:bookmarkStart w:id="32" w:name="_Hlk496261766"/>
    <w:bookmarkStart w:id="33" w:name="_Hlk30491075"/>
    <w:bookmarkStart w:id="34" w:name="_Hlk30491076"/>
  </w:p>
  <w:p w14:paraId="3AB75AB0" w14:textId="77777777" w:rsidR="00336DEF" w:rsidRPr="00864FDC" w:rsidRDefault="00336DEF" w:rsidP="00336DEF">
    <w:pPr>
      <w:pStyle w:val="Galvene"/>
      <w:tabs>
        <w:tab w:val="clear" w:pos="4513"/>
        <w:tab w:val="clear" w:pos="9026"/>
        <w:tab w:val="lef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271EF54B" w14:textId="77777777" w:rsidR="00336DEF" w:rsidRPr="00864FDC" w:rsidRDefault="00336DEF" w:rsidP="00336DEF">
    <w:pPr>
      <w:pStyle w:val="Galvene"/>
      <w:tabs>
        <w:tab w:val="left" w:pos="9072"/>
      </w:tabs>
      <w:rPr>
        <w:rStyle w:val="Lappusesnumurs"/>
        <w:rFonts w:ascii="Times New Roman" w:hAnsi="Times New Roman" w:cs="Times New Roman"/>
        <w:sz w:val="20"/>
        <w:szCs w:val="18"/>
      </w:rPr>
    </w:pPr>
  </w:p>
  <w:p w14:paraId="69B5128A" w14:textId="77777777" w:rsidR="00336DEF" w:rsidRPr="00864FDC" w:rsidRDefault="00336DEF" w:rsidP="00336DEF">
    <w:pPr>
      <w:pStyle w:val="Kjene"/>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30"/>
    <w:bookmarkEnd w:id="31"/>
    <w:bookmarkEnd w:id="32"/>
    <w:r w:rsidRPr="00864FDC">
      <w:rPr>
        <w:rFonts w:ascii="Times New Roman" w:hAnsi="Times New Roman" w:cs="Times New Roman"/>
        <w:noProof/>
        <w:sz w:val="20"/>
        <w:szCs w:val="18"/>
      </w:rPr>
      <w:t>2</w:t>
    </w:r>
    <w:bookmarkEnd w:id="33"/>
    <w:bookmarkEnd w:id="34"/>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87230" w14:textId="77777777" w:rsidR="00A43A4E" w:rsidRPr="00904506" w:rsidRDefault="00A43A4E">
      <w:pPr>
        <w:rPr>
          <w:noProof/>
        </w:rPr>
      </w:pPr>
      <w:r w:rsidRPr="00904506">
        <w:rPr>
          <w:noProof/>
        </w:rPr>
        <w:separator/>
      </w:r>
    </w:p>
  </w:footnote>
  <w:footnote w:type="continuationSeparator" w:id="0">
    <w:p w14:paraId="6767FFB8" w14:textId="77777777" w:rsidR="00A43A4E" w:rsidRPr="00904506" w:rsidRDefault="00A43A4E">
      <w:pPr>
        <w:rPr>
          <w:noProof/>
        </w:rPr>
      </w:pPr>
      <w:r w:rsidRPr="00904506">
        <w:rPr>
          <w:noProof/>
        </w:rPr>
        <w:continuationSeparator/>
      </w:r>
    </w:p>
  </w:footnote>
  <w:footnote w:id="1">
    <w:p w14:paraId="3F37E1BF" w14:textId="09C2FCE6" w:rsidR="00F23CA6" w:rsidRPr="006E50D7" w:rsidRDefault="00F23CA6" w:rsidP="006E50D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color w:val="231F20"/>
        </w:rPr>
        <w:t xml:space="preserve">Ticamā informācijā nav būtisku kļūdu un neobjektivitātes, un tā var būt atkarīga no tā, vai lietotāji ticami atspoguļo to, ko tie vēlas atspoguļot vai ko tie saskaņā ar pamatotu pieņēmumu varētu atspoguļot. </w:t>
      </w:r>
      <w:r>
        <w:rPr>
          <w:rFonts w:ascii="Times New Roman" w:hAnsi="Times New Roman"/>
          <w:i/>
          <w:iCs/>
          <w:color w:val="231F20"/>
        </w:rPr>
        <w:t>IPSAS</w:t>
      </w:r>
      <w:r>
        <w:rPr>
          <w:rFonts w:ascii="Times New Roman" w:hAnsi="Times New Roman"/>
          <w:color w:val="231F20"/>
        </w:rPr>
        <w:t> 1 BC16. punktā ir apspriesta pagaidu pieeja ticamības jēdziena skaidrojumam.</w:t>
      </w:r>
    </w:p>
  </w:footnote>
  <w:footnote w:id="2">
    <w:p w14:paraId="247DBF60" w14:textId="5D5B5A47" w:rsidR="00D87D70" w:rsidRPr="006E50D7" w:rsidRDefault="00D87D70" w:rsidP="006E50D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color w:val="231F20"/>
        </w:rPr>
        <w:t xml:space="preserve">Vai atbilstoši </w:t>
      </w:r>
      <w:r>
        <w:rPr>
          <w:rFonts w:ascii="Times New Roman" w:hAnsi="Times New Roman"/>
          <w:i/>
          <w:iCs/>
          <w:color w:val="231F20"/>
        </w:rPr>
        <w:t>IPSAS</w:t>
      </w:r>
      <w:r>
        <w:rPr>
          <w:rFonts w:ascii="Times New Roman" w:hAnsi="Times New Roman"/>
          <w:color w:val="231F20"/>
        </w:rPr>
        <w:t> 29 “Finanšu instrumenti.</w:t>
      </w:r>
      <w:r>
        <w:rPr>
          <w:rFonts w:ascii="Times New Roman" w:hAnsi="Times New Roman"/>
          <w:i/>
          <w:color w:val="231F20"/>
        </w:rPr>
        <w:t xml:space="preserve"> </w:t>
      </w:r>
      <w:r>
        <w:rPr>
          <w:rFonts w:ascii="Times New Roman" w:hAnsi="Times New Roman"/>
          <w:color w:val="231F20"/>
        </w:rPr>
        <w:t xml:space="preserve">Atzīšana un novērtēšana”, gadījumos, kad institūcija vēl nav piemērojusi </w:t>
      </w:r>
      <w:r>
        <w:rPr>
          <w:rFonts w:ascii="Times New Roman" w:hAnsi="Times New Roman"/>
          <w:i/>
          <w:iCs/>
          <w:color w:val="231F20"/>
        </w:rPr>
        <w:t>IPSAS</w:t>
      </w:r>
      <w:r>
        <w:rPr>
          <w:rFonts w:ascii="Times New Roman" w:hAnsi="Times New Roman"/>
          <w:color w:val="231F20"/>
        </w:rPr>
        <w:t>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D88F1" w14:textId="77777777" w:rsidR="00C04655" w:rsidRPr="00864FDC" w:rsidRDefault="00C04655" w:rsidP="00C04655">
    <w:pPr>
      <w:pStyle w:val="Galvene"/>
      <w:rPr>
        <w:rStyle w:val="Lappusesnumurs"/>
        <w:rFonts w:ascii="Times New Roman" w:hAnsi="Times New Roman" w:cs="Times New Roman"/>
        <w:sz w:val="20"/>
        <w:szCs w:val="20"/>
      </w:rPr>
    </w:pPr>
    <w:bookmarkStart w:id="16" w:name="_Hlk496261784"/>
    <w:bookmarkStart w:id="17" w:name="_Hlk496261785"/>
    <w:bookmarkStart w:id="18" w:name="_Hlk496261786"/>
    <w:bookmarkStart w:id="19" w:name="_Hlk502757728"/>
    <w:bookmarkStart w:id="20" w:name="_Hlk502757729"/>
    <w:bookmarkStart w:id="21" w:name="_Hlk502757738"/>
    <w:bookmarkStart w:id="22" w:name="_Hlk502757739"/>
    <w:bookmarkStart w:id="23" w:name="_Hlk30491084"/>
    <w:bookmarkStart w:id="24" w:name="_Hlk30491085"/>
  </w:p>
  <w:p w14:paraId="0DCB6D41" w14:textId="77777777" w:rsidR="00C04655" w:rsidRPr="00864FDC" w:rsidRDefault="00C04655" w:rsidP="00C04655">
    <w:pPr>
      <w:pStyle w:val="Galvene"/>
      <w:tabs>
        <w:tab w:val="clear" w:pos="4513"/>
        <w:tab w:val="clear" w:pos="9026"/>
        <w:tab w:val="right" w:leader="underscore" w:pos="9072"/>
      </w:tabs>
      <w:rPr>
        <w:rStyle w:val="Lappusesnumurs"/>
        <w:rFonts w:ascii="Times New Roman" w:hAnsi="Times New Roman" w:cs="Times New Roman"/>
        <w:sz w:val="20"/>
        <w:szCs w:val="20"/>
      </w:rPr>
    </w:pPr>
    <w:r w:rsidRPr="00864FDC">
      <w:rPr>
        <w:rStyle w:val="Lappusesnumurs"/>
        <w:rFonts w:ascii="Times New Roman" w:hAnsi="Times New Roman" w:cs="Times New Roman"/>
        <w:sz w:val="20"/>
        <w:szCs w:val="20"/>
      </w:rPr>
      <w:tab/>
    </w:r>
  </w:p>
  <w:bookmarkEnd w:id="16"/>
  <w:bookmarkEnd w:id="17"/>
  <w:bookmarkEnd w:id="18"/>
  <w:bookmarkEnd w:id="19"/>
  <w:bookmarkEnd w:id="20"/>
  <w:bookmarkEnd w:id="21"/>
  <w:bookmarkEnd w:id="22"/>
  <w:bookmarkEnd w:id="23"/>
  <w:bookmarkEnd w:id="24"/>
  <w:p w14:paraId="502B1913" w14:textId="77777777" w:rsidR="00C04655" w:rsidRPr="00864FDC" w:rsidRDefault="00C04655" w:rsidP="00C04655">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73752" w14:textId="77777777" w:rsidR="003121B7" w:rsidRPr="00864FDC" w:rsidRDefault="003121B7" w:rsidP="003121B7">
    <w:pPr>
      <w:pBdr>
        <w:bottom w:val="single" w:sz="12" w:space="5" w:color="auto"/>
      </w:pBdr>
      <w:rPr>
        <w:rFonts w:ascii="Times New Roman" w:hAnsi="Times New Roman" w:cs="Times New Roman"/>
        <w:spacing w:val="-2"/>
        <w:sz w:val="20"/>
        <w:szCs w:val="20"/>
      </w:rPr>
    </w:pPr>
    <w:bookmarkStart w:id="25" w:name="_Hlk496261745"/>
    <w:bookmarkStart w:id="26" w:name="_Hlk496261746"/>
    <w:bookmarkStart w:id="27" w:name="_Hlk496261747"/>
    <w:bookmarkStart w:id="28" w:name="_Hlk30491063"/>
    <w:bookmarkStart w:id="29" w:name="_Hlk30491064"/>
  </w:p>
  <w:bookmarkEnd w:id="25"/>
  <w:bookmarkEnd w:id="26"/>
  <w:bookmarkEnd w:id="27"/>
  <w:bookmarkEnd w:id="28"/>
  <w:bookmarkEnd w:id="29"/>
  <w:p w14:paraId="23921F14" w14:textId="77777777" w:rsidR="003121B7" w:rsidRPr="00864FDC" w:rsidRDefault="003121B7" w:rsidP="003121B7">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C479F"/>
    <w:multiLevelType w:val="hybridMultilevel"/>
    <w:tmpl w:val="C4048AF2"/>
    <w:lvl w:ilvl="0" w:tplc="C826EF80">
      <w:start w:val="1"/>
      <w:numFmt w:val="lowerLetter"/>
      <w:lvlText w:val="(%1)"/>
      <w:lvlJc w:val="left"/>
      <w:pPr>
        <w:ind w:left="840" w:hanging="720"/>
      </w:pPr>
      <w:rPr>
        <w:rFonts w:ascii="Times New Roman" w:eastAsia="Times New Roman" w:hAnsi="Times New Roman" w:hint="default"/>
        <w:color w:val="231F20"/>
        <w:w w:val="99"/>
        <w:sz w:val="20"/>
        <w:szCs w:val="20"/>
      </w:rPr>
    </w:lvl>
    <w:lvl w:ilvl="1" w:tplc="AFA4D06C">
      <w:start w:val="1"/>
      <w:numFmt w:val="bullet"/>
      <w:lvlText w:val="•"/>
      <w:lvlJc w:val="left"/>
      <w:pPr>
        <w:ind w:left="1464" w:hanging="720"/>
      </w:pPr>
      <w:rPr>
        <w:rFonts w:hint="default"/>
      </w:rPr>
    </w:lvl>
    <w:lvl w:ilvl="2" w:tplc="49104F9C">
      <w:start w:val="1"/>
      <w:numFmt w:val="bullet"/>
      <w:lvlText w:val="•"/>
      <w:lvlJc w:val="left"/>
      <w:pPr>
        <w:ind w:left="2088" w:hanging="720"/>
      </w:pPr>
      <w:rPr>
        <w:rFonts w:hint="default"/>
      </w:rPr>
    </w:lvl>
    <w:lvl w:ilvl="3" w:tplc="A57C3132">
      <w:start w:val="1"/>
      <w:numFmt w:val="bullet"/>
      <w:lvlText w:val="•"/>
      <w:lvlJc w:val="left"/>
      <w:pPr>
        <w:ind w:left="2712" w:hanging="720"/>
      </w:pPr>
      <w:rPr>
        <w:rFonts w:hint="default"/>
      </w:rPr>
    </w:lvl>
    <w:lvl w:ilvl="4" w:tplc="9FA04528">
      <w:start w:val="1"/>
      <w:numFmt w:val="bullet"/>
      <w:lvlText w:val="•"/>
      <w:lvlJc w:val="left"/>
      <w:pPr>
        <w:ind w:left="3336" w:hanging="720"/>
      </w:pPr>
      <w:rPr>
        <w:rFonts w:hint="default"/>
      </w:rPr>
    </w:lvl>
    <w:lvl w:ilvl="5" w:tplc="9FEC95A6">
      <w:start w:val="1"/>
      <w:numFmt w:val="bullet"/>
      <w:lvlText w:val="•"/>
      <w:lvlJc w:val="left"/>
      <w:pPr>
        <w:ind w:left="3960" w:hanging="720"/>
      </w:pPr>
      <w:rPr>
        <w:rFonts w:hint="default"/>
      </w:rPr>
    </w:lvl>
    <w:lvl w:ilvl="6" w:tplc="9710C074">
      <w:start w:val="1"/>
      <w:numFmt w:val="bullet"/>
      <w:lvlText w:val="•"/>
      <w:lvlJc w:val="left"/>
      <w:pPr>
        <w:ind w:left="4584" w:hanging="720"/>
      </w:pPr>
      <w:rPr>
        <w:rFonts w:hint="default"/>
      </w:rPr>
    </w:lvl>
    <w:lvl w:ilvl="7" w:tplc="A4B677AE">
      <w:start w:val="1"/>
      <w:numFmt w:val="bullet"/>
      <w:lvlText w:val="•"/>
      <w:lvlJc w:val="left"/>
      <w:pPr>
        <w:ind w:left="5208" w:hanging="720"/>
      </w:pPr>
      <w:rPr>
        <w:rFonts w:hint="default"/>
      </w:rPr>
    </w:lvl>
    <w:lvl w:ilvl="8" w:tplc="DA1866A2">
      <w:start w:val="1"/>
      <w:numFmt w:val="bullet"/>
      <w:lvlText w:val="•"/>
      <w:lvlJc w:val="left"/>
      <w:pPr>
        <w:ind w:left="5832" w:hanging="720"/>
      </w:pPr>
      <w:rPr>
        <w:rFonts w:hint="default"/>
      </w:rPr>
    </w:lvl>
  </w:abstractNum>
  <w:abstractNum w:abstractNumId="1" w15:restartNumberingAfterBreak="0">
    <w:nsid w:val="40786E1F"/>
    <w:multiLevelType w:val="hybridMultilevel"/>
    <w:tmpl w:val="DD56E652"/>
    <w:lvl w:ilvl="0" w:tplc="910E430C">
      <w:start w:val="1"/>
      <w:numFmt w:val="bullet"/>
      <w:lvlText w:val=""/>
      <w:lvlJc w:val="left"/>
      <w:pPr>
        <w:ind w:left="792" w:hanging="548"/>
      </w:pPr>
      <w:rPr>
        <w:rFonts w:ascii="Symbol" w:eastAsia="Symbol" w:hAnsi="Symbol" w:hint="default"/>
        <w:color w:val="231F20"/>
        <w:sz w:val="20"/>
        <w:szCs w:val="20"/>
      </w:rPr>
    </w:lvl>
    <w:lvl w:ilvl="1" w:tplc="6F3A7B0C">
      <w:start w:val="1"/>
      <w:numFmt w:val="bullet"/>
      <w:lvlText w:val="•"/>
      <w:lvlJc w:val="left"/>
      <w:pPr>
        <w:ind w:left="1421" w:hanging="548"/>
      </w:pPr>
      <w:rPr>
        <w:rFonts w:hint="default"/>
      </w:rPr>
    </w:lvl>
    <w:lvl w:ilvl="2" w:tplc="E3BE77F2">
      <w:start w:val="1"/>
      <w:numFmt w:val="bullet"/>
      <w:lvlText w:val="•"/>
      <w:lvlJc w:val="left"/>
      <w:pPr>
        <w:ind w:left="2049" w:hanging="548"/>
      </w:pPr>
      <w:rPr>
        <w:rFonts w:hint="default"/>
      </w:rPr>
    </w:lvl>
    <w:lvl w:ilvl="3" w:tplc="0C94D672">
      <w:start w:val="1"/>
      <w:numFmt w:val="bullet"/>
      <w:lvlText w:val="•"/>
      <w:lvlJc w:val="left"/>
      <w:pPr>
        <w:ind w:left="2678" w:hanging="548"/>
      </w:pPr>
      <w:rPr>
        <w:rFonts w:hint="default"/>
      </w:rPr>
    </w:lvl>
    <w:lvl w:ilvl="4" w:tplc="880CA524">
      <w:start w:val="1"/>
      <w:numFmt w:val="bullet"/>
      <w:lvlText w:val="•"/>
      <w:lvlJc w:val="left"/>
      <w:pPr>
        <w:ind w:left="3307" w:hanging="548"/>
      </w:pPr>
      <w:rPr>
        <w:rFonts w:hint="default"/>
      </w:rPr>
    </w:lvl>
    <w:lvl w:ilvl="5" w:tplc="F1AA9378">
      <w:start w:val="1"/>
      <w:numFmt w:val="bullet"/>
      <w:lvlText w:val="•"/>
      <w:lvlJc w:val="left"/>
      <w:pPr>
        <w:ind w:left="3936" w:hanging="548"/>
      </w:pPr>
      <w:rPr>
        <w:rFonts w:hint="default"/>
      </w:rPr>
    </w:lvl>
    <w:lvl w:ilvl="6" w:tplc="010EC972">
      <w:start w:val="1"/>
      <w:numFmt w:val="bullet"/>
      <w:lvlText w:val="•"/>
      <w:lvlJc w:val="left"/>
      <w:pPr>
        <w:ind w:left="4564" w:hanging="548"/>
      </w:pPr>
      <w:rPr>
        <w:rFonts w:hint="default"/>
      </w:rPr>
    </w:lvl>
    <w:lvl w:ilvl="7" w:tplc="A59AABEA">
      <w:start w:val="1"/>
      <w:numFmt w:val="bullet"/>
      <w:lvlText w:val="•"/>
      <w:lvlJc w:val="left"/>
      <w:pPr>
        <w:ind w:left="5193" w:hanging="548"/>
      </w:pPr>
      <w:rPr>
        <w:rFonts w:hint="default"/>
      </w:rPr>
    </w:lvl>
    <w:lvl w:ilvl="8" w:tplc="B6EE7890">
      <w:start w:val="1"/>
      <w:numFmt w:val="bullet"/>
      <w:lvlText w:val="•"/>
      <w:lvlJc w:val="left"/>
      <w:pPr>
        <w:ind w:left="5822" w:hanging="548"/>
      </w:pPr>
      <w:rPr>
        <w:rFonts w:hint="default"/>
      </w:rPr>
    </w:lvl>
  </w:abstractNum>
  <w:abstractNum w:abstractNumId="2" w15:restartNumberingAfterBreak="0">
    <w:nsid w:val="4E857BE8"/>
    <w:multiLevelType w:val="hybridMultilevel"/>
    <w:tmpl w:val="92E25E00"/>
    <w:lvl w:ilvl="0" w:tplc="AC0CBEA4">
      <w:start w:val="1"/>
      <w:numFmt w:val="bullet"/>
      <w:lvlText w:val=""/>
      <w:lvlJc w:val="left"/>
      <w:pPr>
        <w:ind w:left="792" w:hanging="548"/>
      </w:pPr>
      <w:rPr>
        <w:rFonts w:ascii="Symbol" w:eastAsia="Symbol" w:hAnsi="Symbol" w:hint="default"/>
        <w:color w:val="231F20"/>
        <w:sz w:val="20"/>
        <w:szCs w:val="20"/>
      </w:rPr>
    </w:lvl>
    <w:lvl w:ilvl="1" w:tplc="2A822E40">
      <w:start w:val="1"/>
      <w:numFmt w:val="bullet"/>
      <w:lvlText w:val="•"/>
      <w:lvlJc w:val="left"/>
      <w:pPr>
        <w:ind w:left="1418" w:hanging="548"/>
      </w:pPr>
      <w:rPr>
        <w:rFonts w:hint="default"/>
      </w:rPr>
    </w:lvl>
    <w:lvl w:ilvl="2" w:tplc="BC2EAA26">
      <w:start w:val="1"/>
      <w:numFmt w:val="bullet"/>
      <w:lvlText w:val="•"/>
      <w:lvlJc w:val="left"/>
      <w:pPr>
        <w:ind w:left="2045" w:hanging="548"/>
      </w:pPr>
      <w:rPr>
        <w:rFonts w:hint="default"/>
      </w:rPr>
    </w:lvl>
    <w:lvl w:ilvl="3" w:tplc="E9D07F3A">
      <w:start w:val="1"/>
      <w:numFmt w:val="bullet"/>
      <w:lvlText w:val="•"/>
      <w:lvlJc w:val="left"/>
      <w:pPr>
        <w:ind w:left="2672" w:hanging="548"/>
      </w:pPr>
      <w:rPr>
        <w:rFonts w:hint="default"/>
      </w:rPr>
    </w:lvl>
    <w:lvl w:ilvl="4" w:tplc="3AD096E4">
      <w:start w:val="1"/>
      <w:numFmt w:val="bullet"/>
      <w:lvlText w:val="•"/>
      <w:lvlJc w:val="left"/>
      <w:pPr>
        <w:ind w:left="3299" w:hanging="548"/>
      </w:pPr>
      <w:rPr>
        <w:rFonts w:hint="default"/>
      </w:rPr>
    </w:lvl>
    <w:lvl w:ilvl="5" w:tplc="1A464372">
      <w:start w:val="1"/>
      <w:numFmt w:val="bullet"/>
      <w:lvlText w:val="•"/>
      <w:lvlJc w:val="left"/>
      <w:pPr>
        <w:ind w:left="3926" w:hanging="548"/>
      </w:pPr>
      <w:rPr>
        <w:rFonts w:hint="default"/>
      </w:rPr>
    </w:lvl>
    <w:lvl w:ilvl="6" w:tplc="F17CC1A6">
      <w:start w:val="1"/>
      <w:numFmt w:val="bullet"/>
      <w:lvlText w:val="•"/>
      <w:lvlJc w:val="left"/>
      <w:pPr>
        <w:ind w:left="4552" w:hanging="548"/>
      </w:pPr>
      <w:rPr>
        <w:rFonts w:hint="default"/>
      </w:rPr>
    </w:lvl>
    <w:lvl w:ilvl="7" w:tplc="9D2E9848">
      <w:start w:val="1"/>
      <w:numFmt w:val="bullet"/>
      <w:lvlText w:val="•"/>
      <w:lvlJc w:val="left"/>
      <w:pPr>
        <w:ind w:left="5179" w:hanging="548"/>
      </w:pPr>
      <w:rPr>
        <w:rFonts w:hint="default"/>
      </w:rPr>
    </w:lvl>
    <w:lvl w:ilvl="8" w:tplc="71320014">
      <w:start w:val="1"/>
      <w:numFmt w:val="bullet"/>
      <w:lvlText w:val="•"/>
      <w:lvlJc w:val="left"/>
      <w:pPr>
        <w:ind w:left="5806" w:hanging="548"/>
      </w:pPr>
      <w:rPr>
        <w:rFonts w:hint="default"/>
      </w:rPr>
    </w:lvl>
  </w:abstractNum>
  <w:abstractNum w:abstractNumId="3" w15:restartNumberingAfterBreak="0">
    <w:nsid w:val="59612B07"/>
    <w:multiLevelType w:val="hybridMultilevel"/>
    <w:tmpl w:val="C144E13C"/>
    <w:lvl w:ilvl="0" w:tplc="3FA27618">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0F58E68C">
      <w:start w:val="1"/>
      <w:numFmt w:val="bullet"/>
      <w:lvlText w:val="•"/>
      <w:lvlJc w:val="left"/>
      <w:pPr>
        <w:ind w:left="1912" w:hanging="500"/>
      </w:pPr>
      <w:rPr>
        <w:rFonts w:hint="default"/>
      </w:rPr>
    </w:lvl>
    <w:lvl w:ilvl="2" w:tplc="3E22F3E8">
      <w:start w:val="1"/>
      <w:numFmt w:val="bullet"/>
      <w:lvlText w:val="•"/>
      <w:lvlJc w:val="left"/>
      <w:pPr>
        <w:ind w:left="2484" w:hanging="500"/>
      </w:pPr>
      <w:rPr>
        <w:rFonts w:hint="default"/>
      </w:rPr>
    </w:lvl>
    <w:lvl w:ilvl="3" w:tplc="C9DC8DF8">
      <w:start w:val="1"/>
      <w:numFmt w:val="bullet"/>
      <w:lvlText w:val="•"/>
      <w:lvlJc w:val="left"/>
      <w:pPr>
        <w:ind w:left="3056" w:hanging="500"/>
      </w:pPr>
      <w:rPr>
        <w:rFonts w:hint="default"/>
      </w:rPr>
    </w:lvl>
    <w:lvl w:ilvl="4" w:tplc="FB6A9B5E">
      <w:start w:val="1"/>
      <w:numFmt w:val="bullet"/>
      <w:lvlText w:val="•"/>
      <w:lvlJc w:val="left"/>
      <w:pPr>
        <w:ind w:left="3628" w:hanging="500"/>
      </w:pPr>
      <w:rPr>
        <w:rFonts w:hint="default"/>
      </w:rPr>
    </w:lvl>
    <w:lvl w:ilvl="5" w:tplc="F2BEE5C4">
      <w:start w:val="1"/>
      <w:numFmt w:val="bullet"/>
      <w:lvlText w:val="•"/>
      <w:lvlJc w:val="left"/>
      <w:pPr>
        <w:ind w:left="4200" w:hanging="500"/>
      </w:pPr>
      <w:rPr>
        <w:rFonts w:hint="default"/>
      </w:rPr>
    </w:lvl>
    <w:lvl w:ilvl="6" w:tplc="4A0ABEE2">
      <w:start w:val="1"/>
      <w:numFmt w:val="bullet"/>
      <w:lvlText w:val="•"/>
      <w:lvlJc w:val="left"/>
      <w:pPr>
        <w:ind w:left="4772" w:hanging="500"/>
      </w:pPr>
      <w:rPr>
        <w:rFonts w:hint="default"/>
      </w:rPr>
    </w:lvl>
    <w:lvl w:ilvl="7" w:tplc="66E0F61E">
      <w:start w:val="1"/>
      <w:numFmt w:val="bullet"/>
      <w:lvlText w:val="•"/>
      <w:lvlJc w:val="left"/>
      <w:pPr>
        <w:ind w:left="5344" w:hanging="500"/>
      </w:pPr>
      <w:rPr>
        <w:rFonts w:hint="default"/>
      </w:rPr>
    </w:lvl>
    <w:lvl w:ilvl="8" w:tplc="6646FD72">
      <w:start w:val="1"/>
      <w:numFmt w:val="bullet"/>
      <w:lvlText w:val="•"/>
      <w:lvlJc w:val="left"/>
      <w:pPr>
        <w:ind w:left="5916" w:hanging="500"/>
      </w:pPr>
      <w:rPr>
        <w:rFonts w:hint="default"/>
      </w:rPr>
    </w:lvl>
  </w:abstractNum>
  <w:abstractNum w:abstractNumId="4" w15:restartNumberingAfterBreak="0">
    <w:nsid w:val="5D9C682F"/>
    <w:multiLevelType w:val="hybridMultilevel"/>
    <w:tmpl w:val="2B665774"/>
    <w:lvl w:ilvl="0" w:tplc="51300D46">
      <w:start w:val="1"/>
      <w:numFmt w:val="decimal"/>
      <w:lvlText w:val="%1."/>
      <w:lvlJc w:val="left"/>
      <w:pPr>
        <w:ind w:left="840" w:hanging="720"/>
      </w:pPr>
      <w:rPr>
        <w:rFonts w:ascii="Times New Roman" w:eastAsia="Times New Roman" w:hAnsi="Times New Roman" w:hint="default"/>
        <w:color w:val="231F20"/>
        <w:sz w:val="20"/>
        <w:szCs w:val="20"/>
      </w:rPr>
    </w:lvl>
    <w:lvl w:ilvl="1" w:tplc="90B4AF24">
      <w:start w:val="1"/>
      <w:numFmt w:val="lowerLetter"/>
      <w:lvlText w:val="(%2)"/>
      <w:lvlJc w:val="left"/>
      <w:pPr>
        <w:ind w:left="1340" w:hanging="500"/>
      </w:pPr>
      <w:rPr>
        <w:rFonts w:ascii="Times New Roman" w:eastAsia="Times New Roman" w:hAnsi="Times New Roman" w:hint="default"/>
        <w:color w:val="231F20"/>
        <w:w w:val="99"/>
        <w:sz w:val="20"/>
        <w:szCs w:val="20"/>
      </w:rPr>
    </w:lvl>
    <w:lvl w:ilvl="2" w:tplc="6C22E0A8">
      <w:start w:val="1"/>
      <w:numFmt w:val="lowerRoman"/>
      <w:lvlText w:val="(%3)"/>
      <w:lvlJc w:val="left"/>
      <w:pPr>
        <w:ind w:left="1920" w:hanging="540"/>
      </w:pPr>
      <w:rPr>
        <w:rFonts w:ascii="Times New Roman" w:eastAsia="Times New Roman" w:hAnsi="Times New Roman" w:hint="default"/>
        <w:color w:val="231F20"/>
        <w:w w:val="99"/>
        <w:sz w:val="20"/>
        <w:szCs w:val="20"/>
      </w:rPr>
    </w:lvl>
    <w:lvl w:ilvl="3" w:tplc="089E11E2">
      <w:start w:val="1"/>
      <w:numFmt w:val="bullet"/>
      <w:lvlText w:val="•"/>
      <w:lvlJc w:val="left"/>
      <w:pPr>
        <w:ind w:left="1360" w:hanging="540"/>
      </w:pPr>
      <w:rPr>
        <w:rFonts w:hint="default"/>
      </w:rPr>
    </w:lvl>
    <w:lvl w:ilvl="4" w:tplc="4CEC719C">
      <w:start w:val="1"/>
      <w:numFmt w:val="bullet"/>
      <w:lvlText w:val="•"/>
      <w:lvlJc w:val="left"/>
      <w:pPr>
        <w:ind w:left="1360" w:hanging="540"/>
      </w:pPr>
      <w:rPr>
        <w:rFonts w:hint="default"/>
      </w:rPr>
    </w:lvl>
    <w:lvl w:ilvl="5" w:tplc="DE7A6884">
      <w:start w:val="1"/>
      <w:numFmt w:val="bullet"/>
      <w:lvlText w:val="•"/>
      <w:lvlJc w:val="left"/>
      <w:pPr>
        <w:ind w:left="1920" w:hanging="540"/>
      </w:pPr>
      <w:rPr>
        <w:rFonts w:hint="default"/>
      </w:rPr>
    </w:lvl>
    <w:lvl w:ilvl="6" w:tplc="2BDE6A1E">
      <w:start w:val="1"/>
      <w:numFmt w:val="bullet"/>
      <w:lvlText w:val="•"/>
      <w:lvlJc w:val="left"/>
      <w:pPr>
        <w:ind w:left="2876" w:hanging="540"/>
      </w:pPr>
      <w:rPr>
        <w:rFonts w:hint="default"/>
      </w:rPr>
    </w:lvl>
    <w:lvl w:ilvl="7" w:tplc="67A227A0">
      <w:start w:val="1"/>
      <w:numFmt w:val="bullet"/>
      <w:lvlText w:val="•"/>
      <w:lvlJc w:val="left"/>
      <w:pPr>
        <w:ind w:left="3832" w:hanging="540"/>
      </w:pPr>
      <w:rPr>
        <w:rFonts w:hint="default"/>
      </w:rPr>
    </w:lvl>
    <w:lvl w:ilvl="8" w:tplc="89FE5DC4">
      <w:start w:val="1"/>
      <w:numFmt w:val="bullet"/>
      <w:lvlText w:val="•"/>
      <w:lvlJc w:val="left"/>
      <w:pPr>
        <w:ind w:left="4788" w:hanging="54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803F0"/>
    <w:rsid w:val="00002BC8"/>
    <w:rsid w:val="001143AE"/>
    <w:rsid w:val="00232CD0"/>
    <w:rsid w:val="002D1B61"/>
    <w:rsid w:val="003121B7"/>
    <w:rsid w:val="00336DEF"/>
    <w:rsid w:val="00342243"/>
    <w:rsid w:val="004347DD"/>
    <w:rsid w:val="00551766"/>
    <w:rsid w:val="005E0BBC"/>
    <w:rsid w:val="006E50D7"/>
    <w:rsid w:val="006F1C6B"/>
    <w:rsid w:val="007C3C96"/>
    <w:rsid w:val="008D627B"/>
    <w:rsid w:val="00904506"/>
    <w:rsid w:val="00A43A4E"/>
    <w:rsid w:val="00AD6B17"/>
    <w:rsid w:val="00B6101A"/>
    <w:rsid w:val="00C04655"/>
    <w:rsid w:val="00C743CF"/>
    <w:rsid w:val="00D87D70"/>
    <w:rsid w:val="00DA473E"/>
    <w:rsid w:val="00E42675"/>
    <w:rsid w:val="00E803F0"/>
    <w:rsid w:val="00F23C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04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00"/>
      <w:outlineLvl w:val="0"/>
    </w:pPr>
    <w:rPr>
      <w:rFonts w:ascii="Times New Roman" w:eastAsia="Times New Roman" w:hAnsi="Times New Roman"/>
      <w:b/>
      <w:bCs/>
      <w:sz w:val="24"/>
      <w:szCs w:val="24"/>
    </w:rPr>
  </w:style>
  <w:style w:type="paragraph" w:styleId="Virsraksts2">
    <w:name w:val="heading 2"/>
    <w:basedOn w:val="Parasts"/>
    <w:uiPriority w:val="9"/>
    <w:unhideWhenUsed/>
    <w:qFormat/>
    <w:pPr>
      <w:spacing w:before="120"/>
      <w:ind w:left="820"/>
      <w:outlineLvl w:val="1"/>
    </w:pPr>
    <w:rPr>
      <w:rFonts w:ascii="Times New Roman" w:eastAsia="Times New Roman" w:hAnsi="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1"/>
    <w:qFormat/>
    <w:pPr>
      <w:spacing w:before="130"/>
      <w:ind w:left="120"/>
    </w:pPr>
    <w:rPr>
      <w:rFonts w:ascii="Times New Roman" w:eastAsia="Times New Roman" w:hAnsi="Times New Roman"/>
      <w:sz w:val="20"/>
      <w:szCs w:val="20"/>
    </w:rPr>
  </w:style>
  <w:style w:type="paragraph" w:styleId="Saturs2">
    <w:name w:val="toc 2"/>
    <w:basedOn w:val="Parasts"/>
    <w:uiPriority w:val="1"/>
    <w:qFormat/>
    <w:pPr>
      <w:spacing w:before="130"/>
      <w:ind w:left="480"/>
    </w:pPr>
    <w:rPr>
      <w:rFonts w:ascii="Times New Roman" w:eastAsia="Times New Roman" w:hAnsi="Times New Roman"/>
      <w:sz w:val="20"/>
      <w:szCs w:val="20"/>
    </w:rPr>
  </w:style>
  <w:style w:type="paragraph" w:styleId="Saturs3">
    <w:name w:val="toc 3"/>
    <w:basedOn w:val="Parasts"/>
    <w:uiPriority w:val="1"/>
    <w:qFormat/>
    <w:pPr>
      <w:spacing w:before="61"/>
      <w:ind w:left="120" w:firstLine="6029"/>
    </w:pPr>
    <w:rPr>
      <w:rFonts w:ascii="Times New Roman" w:eastAsia="Times New Roman" w:hAnsi="Times New Roman"/>
      <w:sz w:val="20"/>
      <w:szCs w:val="20"/>
    </w:rPr>
  </w:style>
  <w:style w:type="paragraph" w:styleId="Pamatteksts">
    <w:name w:val="Body Text"/>
    <w:basedOn w:val="Parasts"/>
    <w:uiPriority w:val="1"/>
    <w:qFormat/>
    <w:pPr>
      <w:spacing w:before="120"/>
      <w:ind w:left="820"/>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904506"/>
    <w:pPr>
      <w:tabs>
        <w:tab w:val="center" w:pos="4513"/>
        <w:tab w:val="right" w:pos="9026"/>
      </w:tabs>
    </w:pPr>
  </w:style>
  <w:style w:type="character" w:customStyle="1" w:styleId="GalveneRakstz">
    <w:name w:val="Galvene Rakstz."/>
    <w:basedOn w:val="Noklusjumarindkopasfonts"/>
    <w:link w:val="Galvene"/>
    <w:uiPriority w:val="99"/>
    <w:rsid w:val="00904506"/>
  </w:style>
  <w:style w:type="paragraph" w:styleId="Kjene">
    <w:name w:val="footer"/>
    <w:basedOn w:val="Parasts"/>
    <w:link w:val="KjeneRakstz"/>
    <w:unhideWhenUsed/>
    <w:rsid w:val="00904506"/>
    <w:pPr>
      <w:tabs>
        <w:tab w:val="center" w:pos="4513"/>
        <w:tab w:val="right" w:pos="9026"/>
      </w:tabs>
    </w:pPr>
  </w:style>
  <w:style w:type="character" w:customStyle="1" w:styleId="KjeneRakstz">
    <w:name w:val="Kājene Rakstz."/>
    <w:basedOn w:val="Noklusjumarindkopasfonts"/>
    <w:link w:val="Kjene"/>
    <w:uiPriority w:val="99"/>
    <w:rsid w:val="00904506"/>
  </w:style>
  <w:style w:type="table" w:styleId="Reatabula">
    <w:name w:val="Table Grid"/>
    <w:basedOn w:val="Parastatabula"/>
    <w:uiPriority w:val="39"/>
    <w:rsid w:val="00C74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23CA6"/>
    <w:rPr>
      <w:sz w:val="20"/>
      <w:szCs w:val="20"/>
    </w:rPr>
  </w:style>
  <w:style w:type="character" w:customStyle="1" w:styleId="VrestekstsRakstz">
    <w:name w:val="Vēres teksts Rakstz."/>
    <w:basedOn w:val="Noklusjumarindkopasfonts"/>
    <w:link w:val="Vresteksts"/>
    <w:uiPriority w:val="99"/>
    <w:semiHidden/>
    <w:rsid w:val="00F23CA6"/>
    <w:rPr>
      <w:sz w:val="20"/>
      <w:szCs w:val="20"/>
    </w:rPr>
  </w:style>
  <w:style w:type="character" w:styleId="Vresatsauce">
    <w:name w:val="footnote reference"/>
    <w:basedOn w:val="Noklusjumarindkopasfonts"/>
    <w:uiPriority w:val="99"/>
    <w:semiHidden/>
    <w:unhideWhenUsed/>
    <w:rsid w:val="00F23CA6"/>
    <w:rPr>
      <w:vertAlign w:val="superscript"/>
    </w:rPr>
  </w:style>
  <w:style w:type="character" w:styleId="Lappusesnumurs">
    <w:name w:val="page number"/>
    <w:basedOn w:val="Noklusjumarindkopasfonts"/>
    <w:semiHidden/>
    <w:rsid w:val="0033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E55C7-D6A2-4F29-9B30-BA61C9025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014B44-9258-4301-993D-E39AC3BB09C2}">
  <ds:schemaRefs>
    <ds:schemaRef ds:uri="http://schemas.openxmlformats.org/officeDocument/2006/bibliography"/>
  </ds:schemaRefs>
</ds:datastoreItem>
</file>

<file path=customXml/itemProps3.xml><?xml version="1.0" encoding="utf-8"?>
<ds:datastoreItem xmlns:ds="http://schemas.openxmlformats.org/officeDocument/2006/customXml" ds:itemID="{2F5FCF2C-05BE-4877-B5F7-3C799FA7D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D0EE3-DC04-4524-BC09-232782479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29603</Words>
  <Characters>16875</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2020-06-01T06:59:00Z</dcterms:created>
  <dcterms:modified xsi:type="dcterms:W3CDTF">2021-04-08T13:05:00Z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791600</vt:r8>
  </property>
  <property fmtid="{D5CDD505-2E9C-101B-9397-08002B2CF9AE}" pid="3" name="ContentTypeId">
    <vt:lpwstr>0x0101006747409639620A48BB08F713A1AC624B</vt:lpwstr>
  </property>
</Properties>
</file>