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C583A" w14:textId="77777777" w:rsidR="005A2D50" w:rsidRPr="005A2D50" w:rsidRDefault="005A2D50" w:rsidP="005A2D50">
      <w:pPr>
        <w:jc w:val="both"/>
        <w:rPr>
          <w:rFonts w:ascii="Times New Roman" w:eastAsia="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2166"/>
        <w:gridCol w:w="2730"/>
        <w:gridCol w:w="1370"/>
        <w:gridCol w:w="2865"/>
      </w:tblGrid>
      <w:tr w:rsidR="005A2D50" w:rsidRPr="005A2D50" w14:paraId="068F6B50" w14:textId="77777777" w:rsidTr="00F14166">
        <w:tc>
          <w:tcPr>
            <w:tcW w:w="1186" w:type="pct"/>
          </w:tcPr>
          <w:p w14:paraId="05B177D3" w14:textId="77777777" w:rsidR="005A2D50" w:rsidRPr="005A2D50" w:rsidRDefault="005A2D50" w:rsidP="00F14166">
            <w:pPr>
              <w:jc w:val="both"/>
              <w:rPr>
                <w:rFonts w:ascii="Times New Roman" w:eastAsia="Times New Roman" w:hAnsi="Times New Roman" w:cs="Times New Roman"/>
                <w:noProof/>
                <w:sz w:val="20"/>
                <w:szCs w:val="20"/>
                <w:lang w:val="en-US"/>
              </w:rPr>
            </w:pPr>
          </w:p>
        </w:tc>
        <w:tc>
          <w:tcPr>
            <w:tcW w:w="1495" w:type="pct"/>
          </w:tcPr>
          <w:p w14:paraId="044E8976" w14:textId="77777777" w:rsidR="005A2D50" w:rsidRPr="005A2D50" w:rsidRDefault="005A2D50" w:rsidP="00F14166">
            <w:pPr>
              <w:jc w:val="both"/>
              <w:rPr>
                <w:rFonts w:ascii="Times New Roman" w:eastAsia="Times New Roman" w:hAnsi="Times New Roman" w:cs="Times New Roman"/>
                <w:noProof/>
                <w:sz w:val="20"/>
                <w:szCs w:val="20"/>
                <w:lang w:val="en-US"/>
              </w:rPr>
            </w:pPr>
          </w:p>
        </w:tc>
        <w:tc>
          <w:tcPr>
            <w:tcW w:w="750" w:type="pct"/>
          </w:tcPr>
          <w:p w14:paraId="53FC22FF" w14:textId="77777777" w:rsidR="005A2D50" w:rsidRPr="005A2D50" w:rsidRDefault="005A2D50" w:rsidP="00F14166">
            <w:pPr>
              <w:jc w:val="right"/>
              <w:rPr>
                <w:rFonts w:ascii="Times New Roman" w:eastAsia="Times New Roman" w:hAnsi="Times New Roman" w:cs="Times New Roman"/>
                <w:noProof/>
                <w:sz w:val="20"/>
                <w:szCs w:val="20"/>
                <w:lang w:val="en-US"/>
              </w:rPr>
            </w:pPr>
            <w:r w:rsidRPr="005A2D50">
              <w:rPr>
                <w:rFonts w:ascii="Times New Roman" w:eastAsia="Times New Roman" w:hAnsi="Times New Roman" w:cs="Times New Roman"/>
                <w:noProof/>
                <w:sz w:val="20"/>
                <w:szCs w:val="20"/>
                <w:lang w:val="en-US"/>
              </w:rPr>
              <w:drawing>
                <wp:inline distT="0" distB="0" distL="0" distR="0" wp14:anchorId="626D376F" wp14:editId="12F499A2">
                  <wp:extent cx="323895" cy="24768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23895" cy="247685"/>
                          </a:xfrm>
                          <a:prstGeom prst="rect">
                            <a:avLst/>
                          </a:prstGeom>
                        </pic:spPr>
                      </pic:pic>
                    </a:graphicData>
                  </a:graphic>
                </wp:inline>
              </w:drawing>
            </w:r>
          </w:p>
        </w:tc>
        <w:tc>
          <w:tcPr>
            <w:tcW w:w="1569" w:type="pct"/>
            <w:vAlign w:val="center"/>
          </w:tcPr>
          <w:p w14:paraId="0AD77425" w14:textId="77777777" w:rsidR="005A2D50" w:rsidRPr="005A2D50" w:rsidRDefault="005A2D50" w:rsidP="00F14166">
            <w:pPr>
              <w:rPr>
                <w:rFonts w:ascii="Times New Roman" w:hAnsi="Times New Roman"/>
                <w:noProof/>
                <w:sz w:val="18"/>
                <w:lang w:val="en-US"/>
              </w:rPr>
            </w:pPr>
            <w:r w:rsidRPr="005A2D50">
              <w:rPr>
                <w:rFonts w:ascii="Times New Roman" w:hAnsi="Times New Roman"/>
                <w:noProof/>
                <w:sz w:val="18"/>
                <w:lang w:val="en-US"/>
              </w:rPr>
              <w:t>Nr. Ares(2021)7909700 – 21/12/2021</w:t>
            </w:r>
          </w:p>
        </w:tc>
      </w:tr>
      <w:tr w:rsidR="005A2D50" w:rsidRPr="005A2D50" w14:paraId="024CC63F" w14:textId="77777777" w:rsidTr="00F14166">
        <w:tc>
          <w:tcPr>
            <w:tcW w:w="1186" w:type="pct"/>
            <w:vAlign w:val="bottom"/>
          </w:tcPr>
          <w:p w14:paraId="4714948F" w14:textId="77777777" w:rsidR="005A2D50" w:rsidRPr="005A2D50" w:rsidRDefault="005A2D50" w:rsidP="00F14166">
            <w:pPr>
              <w:jc w:val="center"/>
              <w:rPr>
                <w:rFonts w:ascii="Times New Roman" w:eastAsia="Times New Roman" w:hAnsi="Times New Roman" w:cs="Times New Roman"/>
                <w:noProof/>
                <w:sz w:val="20"/>
                <w:szCs w:val="20"/>
                <w:lang w:val="en-US"/>
              </w:rPr>
            </w:pPr>
            <w:r w:rsidRPr="005A2D50">
              <w:rPr>
                <w:rFonts w:ascii="Times New Roman" w:eastAsia="Times New Roman" w:hAnsi="Times New Roman" w:cs="Times New Roman"/>
                <w:noProof/>
                <w:sz w:val="20"/>
                <w:szCs w:val="20"/>
                <w:lang w:val="en-US"/>
              </w:rPr>
              <w:drawing>
                <wp:inline distT="0" distB="0" distL="0" distR="0" wp14:anchorId="4CB69C70" wp14:editId="149C648F">
                  <wp:extent cx="1339702" cy="681467"/>
                  <wp:effectExtent l="0" t="0" r="0" b="0"/>
                  <wp:docPr id="4" name="Picture 4"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text&#10;&#10;Description automatically generated"/>
                          <pic:cNvPicPr/>
                        </pic:nvPicPr>
                        <pic:blipFill>
                          <a:blip r:embed="rId12"/>
                          <a:stretch>
                            <a:fillRect/>
                          </a:stretch>
                        </pic:blipFill>
                        <pic:spPr>
                          <a:xfrm>
                            <a:off x="0" y="0"/>
                            <a:ext cx="1350757" cy="687090"/>
                          </a:xfrm>
                          <a:prstGeom prst="rect">
                            <a:avLst/>
                          </a:prstGeom>
                        </pic:spPr>
                      </pic:pic>
                    </a:graphicData>
                  </a:graphic>
                </wp:inline>
              </w:drawing>
            </w:r>
          </w:p>
        </w:tc>
        <w:tc>
          <w:tcPr>
            <w:tcW w:w="1495" w:type="pct"/>
          </w:tcPr>
          <w:p w14:paraId="7B940A23" w14:textId="77777777" w:rsidR="005A2D50" w:rsidRPr="005A2D50" w:rsidRDefault="005A2D50" w:rsidP="00F14166">
            <w:pPr>
              <w:pStyle w:val="BodyText"/>
              <w:rPr>
                <w:sz w:val="20"/>
                <w:lang w:val="en-US"/>
              </w:rPr>
            </w:pPr>
            <w:r w:rsidRPr="005A2D50">
              <w:rPr>
                <w:sz w:val="20"/>
                <w:lang w:val="en-US"/>
              </w:rPr>
              <w:t>EIROPAS KOMISIJA</w:t>
            </w:r>
          </w:p>
          <w:p w14:paraId="7955D8E6" w14:textId="77777777" w:rsidR="005A2D50" w:rsidRPr="005A2D50" w:rsidRDefault="005A2D50" w:rsidP="00F14166">
            <w:pPr>
              <w:jc w:val="both"/>
              <w:rPr>
                <w:rFonts w:ascii="Times New Roman" w:hAnsi="Times New Roman"/>
                <w:noProof/>
                <w:sz w:val="20"/>
                <w:lang w:val="en-US"/>
              </w:rPr>
            </w:pPr>
            <w:r w:rsidRPr="005A2D50">
              <w:rPr>
                <w:rFonts w:ascii="Times New Roman" w:hAnsi="Times New Roman"/>
                <w:noProof/>
                <w:sz w:val="20"/>
                <w:lang w:val="en-US"/>
              </w:rPr>
              <w:t>NODOKĻU POLITIKAS UN MUITAS SAVIENĪBAS ĢENERĀLDIREKTORĀTS</w:t>
            </w:r>
          </w:p>
          <w:p w14:paraId="6D6ED6E1" w14:textId="77777777" w:rsidR="005A2D50" w:rsidRPr="005A2D50" w:rsidRDefault="005A2D50" w:rsidP="00F14166">
            <w:pPr>
              <w:jc w:val="both"/>
              <w:rPr>
                <w:rFonts w:ascii="Times New Roman" w:hAnsi="Times New Roman" w:cs="Times New Roman"/>
                <w:noProof/>
                <w:sz w:val="20"/>
                <w:szCs w:val="20"/>
                <w:lang w:val="en-US"/>
              </w:rPr>
            </w:pPr>
          </w:p>
          <w:p w14:paraId="50366229" w14:textId="77777777" w:rsidR="005A2D50" w:rsidRPr="005A2D50" w:rsidRDefault="005A2D50" w:rsidP="00F14166">
            <w:pPr>
              <w:jc w:val="both"/>
              <w:rPr>
                <w:rFonts w:ascii="Times New Roman" w:hAnsi="Times New Roman"/>
                <w:noProof/>
                <w:sz w:val="20"/>
                <w:lang w:val="en-US"/>
              </w:rPr>
            </w:pPr>
            <w:r w:rsidRPr="005A2D50">
              <w:rPr>
                <w:rFonts w:ascii="Times New Roman" w:hAnsi="Times New Roman"/>
                <w:noProof/>
                <w:sz w:val="20"/>
                <w:lang w:val="en-US"/>
              </w:rPr>
              <w:t>Muita</w:t>
            </w:r>
          </w:p>
          <w:p w14:paraId="51609270" w14:textId="77777777" w:rsidR="005A2D50" w:rsidRPr="005A2D50" w:rsidRDefault="005A2D50" w:rsidP="00F14166">
            <w:pPr>
              <w:jc w:val="both"/>
              <w:rPr>
                <w:rFonts w:ascii="Times New Roman" w:hAnsi="Times New Roman"/>
                <w:b/>
                <w:noProof/>
                <w:sz w:val="20"/>
                <w:lang w:val="en-US"/>
              </w:rPr>
            </w:pPr>
            <w:r w:rsidRPr="005A2D50">
              <w:rPr>
                <w:rFonts w:ascii="Times New Roman" w:hAnsi="Times New Roman"/>
                <w:b/>
                <w:noProof/>
                <w:sz w:val="20"/>
                <w:lang w:val="en-US"/>
              </w:rPr>
              <w:t>Muitas tiesību akti</w:t>
            </w:r>
          </w:p>
        </w:tc>
        <w:tc>
          <w:tcPr>
            <w:tcW w:w="750" w:type="pct"/>
          </w:tcPr>
          <w:p w14:paraId="00DEC0D6" w14:textId="77777777" w:rsidR="005A2D50" w:rsidRPr="005A2D50" w:rsidRDefault="005A2D50" w:rsidP="00F14166">
            <w:pPr>
              <w:jc w:val="both"/>
              <w:rPr>
                <w:rFonts w:ascii="Times New Roman" w:eastAsia="Times New Roman" w:hAnsi="Times New Roman" w:cs="Times New Roman"/>
                <w:noProof/>
                <w:sz w:val="20"/>
                <w:szCs w:val="20"/>
                <w:lang w:val="en-US"/>
              </w:rPr>
            </w:pPr>
          </w:p>
        </w:tc>
        <w:tc>
          <w:tcPr>
            <w:tcW w:w="1569" w:type="pct"/>
          </w:tcPr>
          <w:p w14:paraId="7C9885AA" w14:textId="77777777" w:rsidR="005A2D50" w:rsidRPr="005A2D50" w:rsidRDefault="005A2D50" w:rsidP="00F14166">
            <w:pPr>
              <w:jc w:val="both"/>
              <w:rPr>
                <w:rFonts w:ascii="Times New Roman" w:eastAsia="Times New Roman" w:hAnsi="Times New Roman" w:cs="Times New Roman"/>
                <w:noProof/>
                <w:sz w:val="20"/>
                <w:szCs w:val="20"/>
                <w:lang w:val="en-US"/>
              </w:rPr>
            </w:pPr>
          </w:p>
        </w:tc>
      </w:tr>
    </w:tbl>
    <w:p w14:paraId="565E04B9"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FE822FE" w14:textId="77777777" w:rsidR="005A2D50" w:rsidRPr="005A2D50" w:rsidRDefault="005A2D50" w:rsidP="005A2D50">
      <w:pPr>
        <w:jc w:val="both"/>
        <w:rPr>
          <w:rFonts w:ascii="Times New Roman" w:eastAsia="Arial" w:hAnsi="Times New Roman" w:cs="Times New Roman"/>
          <w:b/>
          <w:bCs/>
          <w:noProof/>
          <w:sz w:val="24"/>
          <w:szCs w:val="24"/>
          <w:lang w:val="en-US"/>
        </w:rPr>
      </w:pPr>
    </w:p>
    <w:p w14:paraId="37936FCC" w14:textId="77777777" w:rsidR="005A2D50" w:rsidRPr="005A2D50" w:rsidRDefault="005A2D50" w:rsidP="005A2D50">
      <w:pPr>
        <w:jc w:val="both"/>
        <w:rPr>
          <w:rFonts w:ascii="Times New Roman" w:eastAsia="Arial" w:hAnsi="Times New Roman" w:cs="Times New Roman"/>
          <w:b/>
          <w:bCs/>
          <w:noProof/>
          <w:sz w:val="24"/>
          <w:szCs w:val="24"/>
          <w:lang w:val="en-US"/>
        </w:rPr>
      </w:pPr>
    </w:p>
    <w:p w14:paraId="2E34B2F6" w14:textId="77777777" w:rsidR="005A2D50" w:rsidRPr="005A2D50" w:rsidRDefault="005A2D50" w:rsidP="005A2D50">
      <w:pPr>
        <w:pStyle w:val="BodyText"/>
        <w:ind w:left="4962"/>
        <w:rPr>
          <w:lang w:val="en-US"/>
        </w:rPr>
      </w:pPr>
      <w:r w:rsidRPr="005A2D50">
        <w:rPr>
          <w:lang w:val="en-US"/>
        </w:rPr>
        <w:t>Briselē</w:t>
      </w:r>
    </w:p>
    <w:p w14:paraId="36C256A4" w14:textId="77777777" w:rsidR="005A2D50" w:rsidRPr="005A2D50" w:rsidRDefault="005A2D50" w:rsidP="005A2D50">
      <w:pPr>
        <w:ind w:left="4962"/>
        <w:jc w:val="both"/>
        <w:rPr>
          <w:rFonts w:ascii="Times New Roman" w:hAnsi="Times New Roman"/>
          <w:noProof/>
          <w:sz w:val="24"/>
          <w:lang w:val="en-US"/>
        </w:rPr>
      </w:pPr>
      <w:r w:rsidRPr="005A2D50">
        <w:rPr>
          <w:rFonts w:ascii="Times New Roman" w:hAnsi="Times New Roman"/>
          <w:noProof/>
          <w:sz w:val="24"/>
          <w:lang w:val="en-US"/>
        </w:rPr>
        <w:t>TAXUD/A2</w:t>
      </w:r>
    </w:p>
    <w:p w14:paraId="5882B229"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8F9ADE8"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D915D0C"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CAB5EF1"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75660543"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5E4C0A4"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3BF4399" w14:textId="77777777" w:rsidR="005A2D50" w:rsidRPr="005A2D50" w:rsidRDefault="005A2D50" w:rsidP="005A2D50">
      <w:pPr>
        <w:pStyle w:val="BodyText"/>
        <w:jc w:val="center"/>
        <w:rPr>
          <w:b/>
          <w:sz w:val="28"/>
          <w:lang w:val="en-US"/>
        </w:rPr>
      </w:pPr>
      <w:r w:rsidRPr="005A2D50">
        <w:rPr>
          <w:b/>
          <w:sz w:val="28"/>
          <w:lang w:val="en-US"/>
        </w:rPr>
        <w:t>Galvojumi iespējamam vai esošam muitas parādam. SMK III sadaļa</w:t>
      </w:r>
    </w:p>
    <w:p w14:paraId="2B910D44" w14:textId="77777777" w:rsidR="005A2D50" w:rsidRPr="005A2D50" w:rsidRDefault="005A2D50" w:rsidP="005A2D50">
      <w:pPr>
        <w:pStyle w:val="BodyText"/>
        <w:jc w:val="center"/>
        <w:rPr>
          <w:b/>
          <w:bCs/>
          <w:sz w:val="28"/>
          <w:szCs w:val="28"/>
          <w:lang w:val="en-US"/>
        </w:rPr>
      </w:pPr>
    </w:p>
    <w:p w14:paraId="76B6A485" w14:textId="77777777" w:rsidR="005A2D50" w:rsidRPr="005A2D50" w:rsidRDefault="005A2D50" w:rsidP="005A2D50">
      <w:pPr>
        <w:pStyle w:val="BodyText"/>
        <w:jc w:val="center"/>
        <w:rPr>
          <w:b/>
          <w:sz w:val="28"/>
          <w:lang w:val="en-US"/>
        </w:rPr>
      </w:pPr>
      <w:r w:rsidRPr="005A2D50">
        <w:rPr>
          <w:b/>
          <w:sz w:val="28"/>
          <w:lang w:val="en-US"/>
        </w:rPr>
        <w:t>3. pārskatītā redakcija EN</w:t>
      </w:r>
    </w:p>
    <w:p w14:paraId="57D272B5" w14:textId="77777777" w:rsidR="005A2D50" w:rsidRPr="005A2D50" w:rsidRDefault="005A2D50" w:rsidP="005A2D50">
      <w:pPr>
        <w:pStyle w:val="BodyText"/>
        <w:jc w:val="center"/>
        <w:rPr>
          <w:b/>
          <w:bCs/>
          <w:sz w:val="28"/>
          <w:szCs w:val="28"/>
          <w:lang w:val="en-US"/>
        </w:rPr>
      </w:pPr>
    </w:p>
    <w:p w14:paraId="3F877547" w14:textId="77777777" w:rsidR="005A2D50" w:rsidRPr="005A2D50" w:rsidRDefault="005A2D50" w:rsidP="005A2D50">
      <w:pPr>
        <w:pStyle w:val="BodyText"/>
        <w:jc w:val="center"/>
        <w:rPr>
          <w:b/>
          <w:sz w:val="28"/>
          <w:lang w:val="en-US"/>
        </w:rPr>
      </w:pPr>
      <w:r w:rsidRPr="005A2D50">
        <w:rPr>
          <w:b/>
          <w:sz w:val="28"/>
          <w:lang w:val="en-US"/>
        </w:rPr>
        <w:t>Vadlīnijas dalībvalstīm un uzņēmējiem</w:t>
      </w:r>
    </w:p>
    <w:p w14:paraId="4AAAF15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AFA956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A42DD6D"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23550E1"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26C76A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610668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E3AAABA"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Atruna. Jāņem vērā, ka šīs vadlīnijas nav juridiski saistošs dokuments un ir paredzētas vienīgi skaidrojuma sniegšanai. Muitas tiesību aktu normas prevalē pār šo vadlīniju saturu, un vienmēr jāiepazīstas ar minētajām tiesību normām. ES tiesību aktu autentiskās redakcijas ir publicētas Eiropas Savienības Oficiālajā Vēstnesī. Papildus šīm vadlīnijām var būt izstrādātas arī valsts instrukcijas vai paskaidrojuma raksti.</w:t>
      </w:r>
    </w:p>
    <w:p w14:paraId="1BB47F4F" w14:textId="77777777" w:rsidR="005A2D50" w:rsidRPr="005A2D50" w:rsidRDefault="005A2D50" w:rsidP="005A2D50">
      <w:pPr>
        <w:jc w:val="both"/>
        <w:rPr>
          <w:rFonts w:ascii="Times New Roman" w:hAnsi="Times New Roman"/>
          <w:i/>
          <w:noProof/>
          <w:sz w:val="24"/>
          <w:lang w:val="en-US"/>
        </w:rPr>
      </w:pPr>
    </w:p>
    <w:p w14:paraId="7684B617" w14:textId="77777777" w:rsidR="005A2D50" w:rsidRPr="005A2D50" w:rsidRDefault="005A2D50" w:rsidP="005A2D50">
      <w:pPr>
        <w:jc w:val="both"/>
        <w:rPr>
          <w:rFonts w:ascii="Times New Roman" w:hAnsi="Times New Roman"/>
          <w:i/>
          <w:noProof/>
          <w:sz w:val="24"/>
          <w:lang w:val="en-US"/>
        </w:rPr>
      </w:pPr>
    </w:p>
    <w:p w14:paraId="5C4A79A1" w14:textId="77777777" w:rsidR="005A2D50" w:rsidRPr="005A2D50" w:rsidRDefault="005A2D50" w:rsidP="005A2D50">
      <w:pPr>
        <w:jc w:val="both"/>
        <w:rPr>
          <w:rFonts w:ascii="Times New Roman" w:hAnsi="Times New Roman"/>
          <w:i/>
          <w:noProof/>
          <w:sz w:val="24"/>
          <w:lang w:val="en-US"/>
        </w:rPr>
      </w:pPr>
    </w:p>
    <w:p w14:paraId="3028F745" w14:textId="77777777" w:rsidR="005A2D50" w:rsidRPr="005A2D50" w:rsidRDefault="005A2D50" w:rsidP="005A2D50">
      <w:pPr>
        <w:jc w:val="both"/>
        <w:rPr>
          <w:rFonts w:ascii="Times New Roman" w:hAnsi="Times New Roman"/>
          <w:i/>
          <w:noProof/>
          <w:sz w:val="24"/>
          <w:lang w:val="en-US"/>
        </w:rPr>
      </w:pPr>
    </w:p>
    <w:p w14:paraId="2EA2ED7B" w14:textId="77777777" w:rsidR="005A2D50" w:rsidRPr="005A2D50" w:rsidRDefault="005A2D50" w:rsidP="005A2D50">
      <w:pPr>
        <w:jc w:val="both"/>
        <w:rPr>
          <w:rFonts w:ascii="Times New Roman" w:hAnsi="Times New Roman"/>
          <w:i/>
          <w:noProof/>
          <w:sz w:val="24"/>
          <w:lang w:val="en-US"/>
        </w:rPr>
      </w:pPr>
    </w:p>
    <w:p w14:paraId="3B7D523D" w14:textId="77777777" w:rsidR="005A2D50" w:rsidRPr="005A2D50" w:rsidRDefault="005A2D50" w:rsidP="005A2D50">
      <w:pPr>
        <w:jc w:val="both"/>
        <w:rPr>
          <w:rFonts w:ascii="Times New Roman" w:hAnsi="Times New Roman"/>
          <w:i/>
          <w:noProof/>
          <w:sz w:val="24"/>
          <w:lang w:val="en-US"/>
        </w:rPr>
      </w:pPr>
    </w:p>
    <w:p w14:paraId="51C8BDBC" w14:textId="77777777" w:rsidR="005A2D50" w:rsidRPr="005A2D50" w:rsidRDefault="005A2D50" w:rsidP="005A2D50">
      <w:pPr>
        <w:jc w:val="both"/>
        <w:rPr>
          <w:rFonts w:ascii="Times New Roman" w:hAnsi="Times New Roman"/>
          <w:i/>
          <w:noProof/>
          <w:sz w:val="24"/>
          <w:lang w:val="en-US"/>
        </w:rPr>
      </w:pPr>
    </w:p>
    <w:p w14:paraId="1D23AB64" w14:textId="77777777" w:rsidR="005A2D50" w:rsidRPr="005A2D50" w:rsidRDefault="005A2D50" w:rsidP="005A2D50">
      <w:pPr>
        <w:jc w:val="both"/>
        <w:rPr>
          <w:rFonts w:ascii="Times New Roman" w:hAnsi="Times New Roman"/>
          <w:i/>
          <w:noProof/>
          <w:sz w:val="24"/>
          <w:lang w:val="en-US"/>
        </w:rPr>
      </w:pPr>
    </w:p>
    <w:p w14:paraId="7C72E9DA" w14:textId="77777777" w:rsidR="005A2D50" w:rsidRPr="005A2D50" w:rsidRDefault="005A2D50" w:rsidP="005A2D50">
      <w:pPr>
        <w:jc w:val="both"/>
        <w:rPr>
          <w:rFonts w:ascii="Times New Roman" w:hAnsi="Times New Roman"/>
          <w:i/>
          <w:noProof/>
          <w:sz w:val="24"/>
          <w:lang w:val="en-US"/>
        </w:rPr>
      </w:pPr>
    </w:p>
    <w:p w14:paraId="5F8237D2" w14:textId="77777777" w:rsidR="005A2D50" w:rsidRPr="005A2D50" w:rsidRDefault="005A2D50" w:rsidP="005A2D50">
      <w:pPr>
        <w:jc w:val="both"/>
        <w:rPr>
          <w:rFonts w:ascii="Times New Roman" w:hAnsi="Times New Roman"/>
          <w:i/>
          <w:noProof/>
          <w:sz w:val="24"/>
          <w:lang w:val="en-US"/>
        </w:rPr>
      </w:pPr>
    </w:p>
    <w:p w14:paraId="21A45539" w14:textId="77777777" w:rsidR="005A2D50" w:rsidRPr="005A2D50" w:rsidRDefault="005A2D50" w:rsidP="005A2D50">
      <w:pPr>
        <w:jc w:val="both"/>
        <w:rPr>
          <w:rFonts w:ascii="Times New Roman" w:hAnsi="Times New Roman"/>
          <w:i/>
          <w:noProof/>
          <w:sz w:val="24"/>
          <w:lang w:val="en-US"/>
        </w:rPr>
      </w:pPr>
    </w:p>
    <w:p w14:paraId="38662EB2" w14:textId="77777777" w:rsidR="005A2D50" w:rsidRPr="005A2D50" w:rsidRDefault="005A2D50" w:rsidP="005A2D50">
      <w:pPr>
        <w:pStyle w:val="BodyText"/>
        <w:rPr>
          <w:sz w:val="22"/>
          <w:lang w:val="en-US"/>
        </w:rPr>
      </w:pPr>
      <w:r w:rsidRPr="005A2D50">
        <w:rPr>
          <w:sz w:val="22"/>
          <w:lang w:val="en-US"/>
        </w:rPr>
        <w:t>Commission européenne/Europese Commissie, 1049 Bruxelles/Brussel, BELGIQUE/BELGIË — Tel. +32 22991111</w:t>
      </w:r>
    </w:p>
    <w:p w14:paraId="431A24FA" w14:textId="77777777" w:rsidR="005A2D50" w:rsidRPr="005A2D50" w:rsidRDefault="005A2D50" w:rsidP="005A2D50">
      <w:pPr>
        <w:rPr>
          <w:noProof/>
          <w:lang w:val="en-US"/>
        </w:rPr>
      </w:pPr>
      <w:r w:rsidRPr="005A2D50">
        <w:rPr>
          <w:noProof/>
          <w:lang w:val="en-US"/>
        </w:rPr>
        <w:br w:type="page"/>
      </w:r>
    </w:p>
    <w:p w14:paraId="5D095B24" w14:textId="77777777" w:rsidR="005A2D50" w:rsidRPr="005A2D50" w:rsidRDefault="005A2D50" w:rsidP="005A2D50">
      <w:pPr>
        <w:jc w:val="both"/>
        <w:rPr>
          <w:rFonts w:ascii="Times New Roman" w:eastAsia="Arial" w:hAnsi="Times New Roman" w:cs="Times New Roman"/>
          <w:noProof/>
          <w:sz w:val="24"/>
          <w:szCs w:val="24"/>
          <w:lang w:val="en-US"/>
        </w:rPr>
      </w:pPr>
    </w:p>
    <w:p w14:paraId="4AFA697E" w14:textId="77777777" w:rsidR="005A2D50" w:rsidRPr="005A2D50" w:rsidRDefault="005A2D50" w:rsidP="005A2D50">
      <w:pPr>
        <w:jc w:val="center"/>
        <w:rPr>
          <w:rFonts w:ascii="Times New Roman" w:hAnsi="Times New Roman"/>
          <w:noProof/>
          <w:sz w:val="24"/>
          <w:u w:val="single" w:color="000000"/>
          <w:lang w:val="en-US"/>
        </w:rPr>
      </w:pPr>
      <w:r w:rsidRPr="005A2D50">
        <w:rPr>
          <w:rFonts w:ascii="Times New Roman" w:hAnsi="Times New Roman"/>
          <w:noProof/>
          <w:sz w:val="24"/>
          <w:u w:val="single" w:color="000000"/>
          <w:lang w:val="en-US"/>
        </w:rPr>
        <w:t>Saturs</w:t>
      </w:r>
    </w:p>
    <w:sdt>
      <w:sdtPr>
        <w:rPr>
          <w:rFonts w:asciiTheme="minorHAnsi" w:eastAsiaTheme="minorHAnsi" w:hAnsiTheme="minorHAnsi" w:cstheme="minorBidi"/>
          <w:noProof/>
          <w:color w:val="auto"/>
          <w:sz w:val="22"/>
          <w:szCs w:val="22"/>
        </w:rPr>
        <w:id w:val="-1345469969"/>
        <w:docPartObj>
          <w:docPartGallery w:val="Table of Contents"/>
          <w:docPartUnique/>
        </w:docPartObj>
      </w:sdtPr>
      <w:sdtEndPr>
        <w:rPr>
          <w:b/>
          <w:bCs/>
        </w:rPr>
      </w:sdtEndPr>
      <w:sdtContent>
        <w:p w14:paraId="03ADD274" w14:textId="77777777" w:rsidR="005A2D50" w:rsidRPr="005A2D50" w:rsidRDefault="005A2D50" w:rsidP="005A2D50">
          <w:pPr>
            <w:pStyle w:val="TOCHeading"/>
            <w:spacing w:before="0" w:line="240" w:lineRule="auto"/>
            <w:jc w:val="both"/>
            <w:rPr>
              <w:noProof/>
              <w:color w:val="auto"/>
              <w:sz w:val="24"/>
              <w:szCs w:val="24"/>
            </w:rPr>
          </w:pPr>
        </w:p>
        <w:bookmarkStart w:id="0" w:name="TOCPosition"/>
        <w:p w14:paraId="3E6F7126" w14:textId="72983426"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r w:rsidRPr="005A2D50">
            <w:rPr>
              <w:noProof/>
              <w:sz w:val="24"/>
              <w:szCs w:val="24"/>
              <w:lang w:val="en-US"/>
            </w:rPr>
            <w:fldChar w:fldCharType="begin"/>
          </w:r>
          <w:r w:rsidRPr="005A2D50">
            <w:rPr>
              <w:noProof/>
              <w:sz w:val="24"/>
              <w:szCs w:val="24"/>
              <w:lang w:val="en-US"/>
            </w:rPr>
            <w:instrText xml:space="preserve"> TOC \o "1-3" \h \z \u </w:instrText>
          </w:r>
          <w:r w:rsidRPr="005A2D50">
            <w:rPr>
              <w:noProof/>
              <w:sz w:val="24"/>
              <w:szCs w:val="24"/>
              <w:lang w:val="en-US"/>
            </w:rPr>
            <w:fldChar w:fldCharType="separate"/>
          </w:r>
          <w:hyperlink w:anchor="_Toc104982758" w:history="1">
            <w:r w:rsidRPr="005A2D50">
              <w:rPr>
                <w:rStyle w:val="Hyperlink"/>
                <w:noProof/>
                <w:color w:val="auto"/>
                <w:sz w:val="24"/>
                <w:szCs w:val="24"/>
                <w:lang w:val="en-US"/>
              </w:rPr>
              <w:t>I. SAĪSINĀJUMI, FRĀZES UN DEFINĪCIJAS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_Toc104982758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w:t>
            </w:r>
            <w:r w:rsidRPr="005A2D50">
              <w:rPr>
                <w:noProof/>
                <w:webHidden/>
                <w:sz w:val="24"/>
                <w:szCs w:val="24"/>
                <w:lang w:val="en-US"/>
              </w:rPr>
              <w:fldChar w:fldCharType="end"/>
            </w:r>
          </w:hyperlink>
        </w:p>
        <w:p w14:paraId="5454A3CF" w14:textId="59E98AC1"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59" w:history="1">
            <w:r w:rsidRPr="005A2D50">
              <w:rPr>
                <w:rStyle w:val="Hyperlink"/>
                <w:noProof/>
                <w:color w:val="auto"/>
                <w:sz w:val="24"/>
                <w:szCs w:val="24"/>
                <w:lang w:val="en-US"/>
              </w:rPr>
              <w:t>I.1. Saīsinājumi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_Toc104982759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w:t>
            </w:r>
            <w:r w:rsidRPr="005A2D50">
              <w:rPr>
                <w:noProof/>
                <w:webHidden/>
                <w:sz w:val="24"/>
                <w:szCs w:val="24"/>
                <w:lang w:val="en-US"/>
              </w:rPr>
              <w:fldChar w:fldCharType="end"/>
            </w:r>
          </w:hyperlink>
        </w:p>
        <w:p w14:paraId="4E1D1058" w14:textId="2559F322" w:rsidR="005A2D50" w:rsidRPr="005A2D50" w:rsidRDefault="005A2D50" w:rsidP="005A2D50">
          <w:pPr>
            <w:pStyle w:val="TOC1"/>
            <w:tabs>
              <w:tab w:val="right" w:leader="dot" w:pos="9065"/>
            </w:tabs>
            <w:spacing w:before="0"/>
            <w:jc w:val="both"/>
            <w:rPr>
              <w:rStyle w:val="Hyperlink"/>
              <w:noProof/>
              <w:color w:val="auto"/>
              <w:sz w:val="24"/>
              <w:szCs w:val="24"/>
              <w:lang w:val="en-US"/>
            </w:rPr>
          </w:pPr>
          <w:hyperlink w:anchor="_Toc104982760" w:history="1">
            <w:r w:rsidRPr="005A2D50">
              <w:rPr>
                <w:rStyle w:val="Hyperlink"/>
                <w:noProof/>
                <w:color w:val="auto"/>
                <w:sz w:val="24"/>
                <w:szCs w:val="24"/>
                <w:lang w:val="en-US"/>
              </w:rPr>
              <w:t>I.2. Frāzes un definīcijas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w:t>
            </w:r>
            <w:r w:rsidRPr="005A2D50">
              <w:rPr>
                <w:noProof/>
                <w:webHidden/>
                <w:sz w:val="24"/>
                <w:szCs w:val="24"/>
                <w:lang w:val="en-US"/>
              </w:rPr>
              <w:fldChar w:fldCharType="end"/>
            </w:r>
          </w:hyperlink>
        </w:p>
        <w:p w14:paraId="4C08D922" w14:textId="77777777"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p>
        <w:p w14:paraId="0A7ECD0A" w14:textId="22892A1D"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61" w:history="1">
            <w:r w:rsidRPr="005A2D50">
              <w:rPr>
                <w:rStyle w:val="Hyperlink"/>
                <w:noProof/>
                <w:color w:val="auto"/>
                <w:sz w:val="24"/>
                <w:szCs w:val="24"/>
                <w:lang w:val="en-US"/>
              </w:rPr>
              <w:t>II. VISPĀRĒJĀS TIESĪBU NORMAS, KAS REGLAMENTĒ GALVOJUMUS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w:t>
            </w:r>
            <w:r w:rsidRPr="005A2D50">
              <w:rPr>
                <w:noProof/>
                <w:webHidden/>
                <w:sz w:val="24"/>
                <w:szCs w:val="24"/>
                <w:lang w:val="en-US"/>
              </w:rPr>
              <w:fldChar w:fldCharType="end"/>
            </w:r>
          </w:hyperlink>
        </w:p>
        <w:p w14:paraId="3D8CAA63" w14:textId="33806F4F"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62" w:history="1">
            <w:r w:rsidRPr="005A2D50">
              <w:rPr>
                <w:rStyle w:val="Hyperlink"/>
                <w:noProof/>
                <w:color w:val="auto"/>
                <w:sz w:val="24"/>
                <w:szCs w:val="24"/>
                <w:lang w:val="en-US"/>
              </w:rPr>
              <w:t>II.1. Situācijas, kad galvojums nav jāsniedz</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w:t>
            </w:r>
            <w:r w:rsidRPr="005A2D50">
              <w:rPr>
                <w:noProof/>
                <w:webHidden/>
                <w:sz w:val="24"/>
                <w:szCs w:val="24"/>
                <w:lang w:val="en-US"/>
              </w:rPr>
              <w:fldChar w:fldCharType="end"/>
            </w:r>
          </w:hyperlink>
        </w:p>
        <w:p w14:paraId="587162D1" w14:textId="2F6874CB"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63" w:history="1">
            <w:r w:rsidRPr="005A2D50">
              <w:rPr>
                <w:rStyle w:val="Hyperlink"/>
                <w:noProof/>
                <w:color w:val="auto"/>
                <w:sz w:val="24"/>
                <w:szCs w:val="24"/>
                <w:lang w:val="en-US"/>
              </w:rPr>
              <w:t>II.2. Neobligāts galvojums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w:t>
            </w:r>
            <w:r w:rsidRPr="005A2D50">
              <w:rPr>
                <w:noProof/>
                <w:webHidden/>
                <w:sz w:val="24"/>
                <w:szCs w:val="24"/>
                <w:lang w:val="en-US"/>
              </w:rPr>
              <w:fldChar w:fldCharType="end"/>
            </w:r>
          </w:hyperlink>
        </w:p>
        <w:p w14:paraId="10E8D760" w14:textId="462E2EC8"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64" w:history="1">
            <w:r w:rsidRPr="005A2D50">
              <w:rPr>
                <w:rStyle w:val="Hyperlink"/>
                <w:noProof/>
                <w:color w:val="auto"/>
                <w:sz w:val="24"/>
                <w:szCs w:val="24"/>
                <w:lang w:val="en-US"/>
              </w:rPr>
              <w:t>II.3. Vispārīgi noteikumi, kas piemērojami gadījumā, ja galvojums ir nepieciešams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w:t>
            </w:r>
            <w:r w:rsidRPr="005A2D50">
              <w:rPr>
                <w:noProof/>
                <w:webHidden/>
                <w:sz w:val="24"/>
                <w:szCs w:val="24"/>
                <w:lang w:val="en-US"/>
              </w:rPr>
              <w:fldChar w:fldCharType="end"/>
            </w:r>
          </w:hyperlink>
        </w:p>
        <w:p w14:paraId="4F9B437C" w14:textId="56B3BD18"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65" w:history="1">
            <w:r w:rsidRPr="005A2D50">
              <w:rPr>
                <w:rStyle w:val="Hyperlink"/>
                <w:noProof/>
                <w:color w:val="auto"/>
                <w:sz w:val="24"/>
                <w:szCs w:val="24"/>
                <w:lang w:val="en-US"/>
              </w:rPr>
              <w:t>II.3.1. Galvojuma derīguma ģeogrāfiskais areāls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7</w:t>
            </w:r>
            <w:r w:rsidRPr="005A2D50">
              <w:rPr>
                <w:noProof/>
                <w:webHidden/>
                <w:sz w:val="24"/>
                <w:szCs w:val="24"/>
                <w:lang w:val="en-US"/>
              </w:rPr>
              <w:fldChar w:fldCharType="end"/>
            </w:r>
          </w:hyperlink>
        </w:p>
        <w:p w14:paraId="1278BC13" w14:textId="2D75E32B"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66" w:history="1">
            <w:r w:rsidRPr="005A2D50">
              <w:rPr>
                <w:rStyle w:val="Hyperlink"/>
                <w:noProof/>
                <w:color w:val="auto"/>
                <w:sz w:val="24"/>
                <w:szCs w:val="24"/>
                <w:lang w:val="en-US"/>
              </w:rPr>
              <w:t>II.3.2. Galvojuma muitas iestāde (COG)</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8</w:t>
            </w:r>
            <w:r w:rsidRPr="005A2D50">
              <w:rPr>
                <w:noProof/>
                <w:webHidden/>
                <w:sz w:val="24"/>
                <w:szCs w:val="24"/>
                <w:lang w:val="en-US"/>
              </w:rPr>
              <w:fldChar w:fldCharType="end"/>
            </w:r>
          </w:hyperlink>
        </w:p>
        <w:p w14:paraId="3CD3D814" w14:textId="64CDC185"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67" w:history="1">
            <w:r w:rsidRPr="005A2D50">
              <w:rPr>
                <w:rStyle w:val="Hyperlink"/>
                <w:noProof/>
                <w:color w:val="auto"/>
                <w:sz w:val="24"/>
                <w:szCs w:val="24"/>
                <w:lang w:val="en-US"/>
              </w:rPr>
              <w:t>II.3.3. Galvojuma tvērums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8</w:t>
            </w:r>
            <w:r w:rsidRPr="005A2D50">
              <w:rPr>
                <w:noProof/>
                <w:webHidden/>
                <w:sz w:val="24"/>
                <w:szCs w:val="24"/>
                <w:lang w:val="en-US"/>
              </w:rPr>
              <w:fldChar w:fldCharType="end"/>
            </w:r>
          </w:hyperlink>
        </w:p>
        <w:p w14:paraId="2615536E" w14:textId="643E4CF4"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68" w:history="1">
            <w:r w:rsidRPr="005A2D50">
              <w:rPr>
                <w:rStyle w:val="Hyperlink"/>
                <w:noProof/>
                <w:color w:val="auto"/>
                <w:sz w:val="24"/>
                <w:szCs w:val="24"/>
                <w:lang w:val="en-US"/>
              </w:rPr>
              <w:t>II.3.4. Persona, kura sniedz galvojumu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9</w:t>
            </w:r>
            <w:r w:rsidRPr="005A2D50">
              <w:rPr>
                <w:noProof/>
                <w:webHidden/>
                <w:sz w:val="24"/>
                <w:szCs w:val="24"/>
                <w:lang w:val="en-US"/>
              </w:rPr>
              <w:fldChar w:fldCharType="end"/>
            </w:r>
          </w:hyperlink>
        </w:p>
        <w:p w14:paraId="1B2E6679" w14:textId="3C38874D"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69" w:history="1">
            <w:r w:rsidRPr="005A2D50">
              <w:rPr>
                <w:rStyle w:val="Hyperlink"/>
                <w:noProof/>
                <w:color w:val="auto"/>
                <w:sz w:val="24"/>
                <w:szCs w:val="24"/>
                <w:lang w:val="en-US"/>
              </w:rPr>
              <w:t>II.3.5. Valūtas konvertācija galvojumiem (SMK 53. pants)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_Toc104982769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10</w:t>
            </w:r>
            <w:r w:rsidRPr="005A2D50">
              <w:rPr>
                <w:noProof/>
                <w:webHidden/>
                <w:sz w:val="24"/>
                <w:szCs w:val="24"/>
                <w:lang w:val="en-US"/>
              </w:rPr>
              <w:fldChar w:fldCharType="end"/>
            </w:r>
          </w:hyperlink>
        </w:p>
        <w:p w14:paraId="5E1DFCAF" w14:textId="4C2C113D"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0" w:history="1">
            <w:r w:rsidRPr="005A2D50">
              <w:rPr>
                <w:rStyle w:val="Hyperlink"/>
                <w:noProof/>
                <w:color w:val="auto"/>
                <w:sz w:val="24"/>
                <w:szCs w:val="24"/>
                <w:lang w:val="en-US"/>
              </w:rPr>
              <w:t>II.3.6. Galvojuma atbrīvošana (SMK 98. pants)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10</w:t>
            </w:r>
            <w:r w:rsidRPr="005A2D50">
              <w:rPr>
                <w:noProof/>
                <w:webHidden/>
                <w:sz w:val="24"/>
                <w:szCs w:val="24"/>
                <w:lang w:val="en-US"/>
              </w:rPr>
              <w:fldChar w:fldCharType="end"/>
            </w:r>
          </w:hyperlink>
        </w:p>
        <w:p w14:paraId="3F739F6A" w14:textId="3B60369F" w:rsidR="005A2D50" w:rsidRPr="005A2D50" w:rsidRDefault="005A2D50" w:rsidP="005A2D50">
          <w:pPr>
            <w:pStyle w:val="TOC2"/>
            <w:tabs>
              <w:tab w:val="right" w:leader="dot" w:pos="9065"/>
            </w:tabs>
            <w:spacing w:before="0"/>
            <w:ind w:left="284" w:firstLine="0"/>
            <w:jc w:val="both"/>
            <w:rPr>
              <w:rStyle w:val="Hyperlink"/>
              <w:noProof/>
              <w:color w:val="auto"/>
              <w:sz w:val="24"/>
              <w:szCs w:val="24"/>
              <w:lang w:val="en-US"/>
            </w:rPr>
          </w:pPr>
          <w:hyperlink w:anchor="_Toc104982771" w:history="1">
            <w:r w:rsidRPr="005A2D50">
              <w:rPr>
                <w:rStyle w:val="Hyperlink"/>
                <w:noProof/>
                <w:color w:val="auto"/>
                <w:sz w:val="24"/>
                <w:szCs w:val="24"/>
                <w:lang w:val="en-US"/>
              </w:rPr>
              <w:t>II.3.6.3. Atbrīvošanas brīdis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11</w:t>
            </w:r>
            <w:r w:rsidRPr="005A2D50">
              <w:rPr>
                <w:noProof/>
                <w:webHidden/>
                <w:sz w:val="24"/>
                <w:szCs w:val="24"/>
                <w:lang w:val="en-US"/>
              </w:rPr>
              <w:fldChar w:fldCharType="end"/>
            </w:r>
          </w:hyperlink>
        </w:p>
        <w:p w14:paraId="51B7772E" w14:textId="77777777"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p>
        <w:p w14:paraId="0663F91B" w14:textId="5925A946"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72" w:history="1">
            <w:r w:rsidRPr="005A2D50">
              <w:rPr>
                <w:rStyle w:val="Hyperlink"/>
                <w:noProof/>
                <w:color w:val="auto"/>
                <w:sz w:val="24"/>
                <w:szCs w:val="24"/>
                <w:lang w:val="en-US"/>
              </w:rPr>
              <w:t>III. GALVOJUMA VEIDI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11</w:t>
            </w:r>
            <w:r w:rsidRPr="005A2D50">
              <w:rPr>
                <w:noProof/>
                <w:webHidden/>
                <w:sz w:val="24"/>
                <w:szCs w:val="24"/>
                <w:lang w:val="en-US"/>
              </w:rPr>
              <w:fldChar w:fldCharType="end"/>
            </w:r>
          </w:hyperlink>
        </w:p>
        <w:p w14:paraId="445828AC" w14:textId="4C037E0D"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73" w:history="1">
            <w:r w:rsidRPr="005A2D50">
              <w:rPr>
                <w:rStyle w:val="Hyperlink"/>
                <w:noProof/>
                <w:color w:val="auto"/>
                <w:sz w:val="24"/>
                <w:szCs w:val="24"/>
                <w:lang w:val="en-US"/>
              </w:rPr>
              <w:t>III.1. Skaidras naudas iemaksa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12</w:t>
            </w:r>
            <w:r w:rsidRPr="005A2D50">
              <w:rPr>
                <w:noProof/>
                <w:webHidden/>
                <w:sz w:val="24"/>
                <w:szCs w:val="24"/>
                <w:lang w:val="en-US"/>
              </w:rPr>
              <w:fldChar w:fldCharType="end"/>
            </w:r>
          </w:hyperlink>
        </w:p>
        <w:p w14:paraId="051D1A3E" w14:textId="64F64259"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74" w:history="1">
            <w:r w:rsidRPr="005A2D50">
              <w:rPr>
                <w:rStyle w:val="Hyperlink"/>
                <w:noProof/>
                <w:color w:val="auto"/>
                <w:sz w:val="24"/>
                <w:szCs w:val="24"/>
                <w:lang w:val="en-US"/>
              </w:rPr>
              <w:t>III.2. Galvinieka saistības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12</w:t>
            </w:r>
            <w:r w:rsidRPr="005A2D50">
              <w:rPr>
                <w:noProof/>
                <w:webHidden/>
                <w:sz w:val="24"/>
                <w:szCs w:val="24"/>
                <w:lang w:val="en-US"/>
              </w:rPr>
              <w:fldChar w:fldCharType="end"/>
            </w:r>
          </w:hyperlink>
        </w:p>
        <w:p w14:paraId="48846223" w14:textId="2A2F1B9F"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5" w:history="1">
            <w:r w:rsidRPr="005A2D50">
              <w:rPr>
                <w:rStyle w:val="Hyperlink"/>
                <w:noProof/>
                <w:color w:val="auto"/>
                <w:sz w:val="24"/>
                <w:szCs w:val="24"/>
                <w:lang w:val="en-US"/>
              </w:rPr>
              <w:t>III.2.1. Galvinieka saistību veidlapas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12</w:t>
            </w:r>
            <w:r w:rsidRPr="005A2D50">
              <w:rPr>
                <w:noProof/>
                <w:webHidden/>
                <w:sz w:val="24"/>
                <w:szCs w:val="24"/>
                <w:lang w:val="en-US"/>
              </w:rPr>
              <w:fldChar w:fldCharType="end"/>
            </w:r>
          </w:hyperlink>
        </w:p>
        <w:p w14:paraId="19B5B99A" w14:textId="7227479A"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6" w:history="1">
            <w:r w:rsidRPr="005A2D50">
              <w:rPr>
                <w:rStyle w:val="Hyperlink"/>
                <w:noProof/>
                <w:color w:val="auto"/>
                <w:sz w:val="24"/>
                <w:szCs w:val="24"/>
                <w:lang w:val="en-US"/>
              </w:rPr>
              <w:t>III.2.2. Galvinieks (SMK 94. pants)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13</w:t>
            </w:r>
            <w:r w:rsidRPr="005A2D50">
              <w:rPr>
                <w:noProof/>
                <w:webHidden/>
                <w:sz w:val="24"/>
                <w:szCs w:val="24"/>
                <w:lang w:val="en-US"/>
              </w:rPr>
              <w:fldChar w:fldCharType="end"/>
            </w:r>
          </w:hyperlink>
        </w:p>
        <w:p w14:paraId="6B9DF719" w14:textId="6717B836"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7" w:history="1">
            <w:r w:rsidRPr="005A2D50">
              <w:rPr>
                <w:rStyle w:val="Hyperlink"/>
                <w:noProof/>
                <w:color w:val="auto"/>
                <w:sz w:val="24"/>
                <w:szCs w:val="24"/>
                <w:lang w:val="en-US"/>
              </w:rPr>
              <w:t>III.2.2.1.1. Kredītiestāžu reģistrs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15</w:t>
            </w:r>
            <w:r w:rsidRPr="005A2D50">
              <w:rPr>
                <w:noProof/>
                <w:webHidden/>
                <w:sz w:val="24"/>
                <w:szCs w:val="24"/>
                <w:lang w:val="en-US"/>
              </w:rPr>
              <w:fldChar w:fldCharType="end"/>
            </w:r>
          </w:hyperlink>
        </w:p>
        <w:p w14:paraId="261D7617" w14:textId="4C61635F"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8" w:history="1">
            <w:r w:rsidRPr="005A2D50">
              <w:rPr>
                <w:rStyle w:val="Hyperlink"/>
                <w:noProof/>
                <w:color w:val="auto"/>
                <w:sz w:val="24"/>
                <w:szCs w:val="24"/>
                <w:lang w:val="en-US"/>
              </w:rPr>
              <w:t>III.2.2.1.1.1. Licencēto kredītiestāžu valsts reģistri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15</w:t>
            </w:r>
            <w:r w:rsidRPr="005A2D50">
              <w:rPr>
                <w:noProof/>
                <w:webHidden/>
                <w:sz w:val="24"/>
                <w:szCs w:val="24"/>
                <w:lang w:val="en-US"/>
              </w:rPr>
              <w:fldChar w:fldCharType="end"/>
            </w:r>
          </w:hyperlink>
        </w:p>
        <w:p w14:paraId="53481B82" w14:textId="3424EE7B"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79" w:history="1">
            <w:r w:rsidRPr="005A2D50">
              <w:rPr>
                <w:rStyle w:val="Hyperlink"/>
                <w:noProof/>
                <w:color w:val="auto"/>
                <w:sz w:val="24"/>
                <w:szCs w:val="24"/>
                <w:lang w:val="en-US"/>
              </w:rPr>
              <w:t>III.2.2.1.2. Citi reģistri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_Toc104982779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16</w:t>
            </w:r>
            <w:r w:rsidRPr="005A2D50">
              <w:rPr>
                <w:noProof/>
                <w:webHidden/>
                <w:sz w:val="24"/>
                <w:szCs w:val="24"/>
                <w:lang w:val="en-US"/>
              </w:rPr>
              <w:fldChar w:fldCharType="end"/>
            </w:r>
          </w:hyperlink>
        </w:p>
        <w:p w14:paraId="10542B30" w14:textId="604A9334" w:rsidR="005A2D50" w:rsidRPr="005A2D50" w:rsidRDefault="005A2D50" w:rsidP="005A2D50">
          <w:pPr>
            <w:pStyle w:val="TOC1"/>
            <w:tabs>
              <w:tab w:val="right" w:leader="dot" w:pos="9065"/>
            </w:tabs>
            <w:spacing w:before="0"/>
            <w:jc w:val="both"/>
            <w:rPr>
              <w:rStyle w:val="Hyperlink"/>
              <w:noProof/>
              <w:color w:val="auto"/>
              <w:sz w:val="24"/>
              <w:szCs w:val="24"/>
              <w:lang w:val="en-US"/>
            </w:rPr>
          </w:pPr>
          <w:hyperlink w:anchor="_Toc104982780" w:history="1">
            <w:r w:rsidRPr="005A2D50">
              <w:rPr>
                <w:rStyle w:val="Hyperlink"/>
                <w:noProof/>
                <w:color w:val="auto"/>
                <w:sz w:val="24"/>
                <w:szCs w:val="24"/>
                <w:lang w:val="en-US"/>
              </w:rPr>
              <w:t>III.3. Citi galvojuma veidi, kas nodrošina līdzvērtīgu garantiju (SMK 92. panta 1. punkta c) apakšpunkts)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16</w:t>
            </w:r>
            <w:r w:rsidRPr="005A2D50">
              <w:rPr>
                <w:noProof/>
                <w:webHidden/>
                <w:sz w:val="24"/>
                <w:szCs w:val="24"/>
                <w:lang w:val="en-US"/>
              </w:rPr>
              <w:fldChar w:fldCharType="end"/>
            </w:r>
          </w:hyperlink>
        </w:p>
        <w:p w14:paraId="08098591" w14:textId="77777777"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p>
        <w:p w14:paraId="7055B6D5" w14:textId="5C000978"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81" w:history="1">
            <w:r w:rsidRPr="005A2D50">
              <w:rPr>
                <w:rStyle w:val="Hyperlink"/>
                <w:noProof/>
                <w:color w:val="auto"/>
                <w:sz w:val="24"/>
                <w:szCs w:val="24"/>
                <w:lang w:val="en-US"/>
              </w:rPr>
              <w:t>IV. ĪPAŠI NOTEIKUMI GADĪJUMIEM, KAD SMK PAREDZ GALVOJUMA SNIEGŠANU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17</w:t>
            </w:r>
            <w:r w:rsidRPr="005A2D50">
              <w:rPr>
                <w:noProof/>
                <w:webHidden/>
                <w:sz w:val="24"/>
                <w:szCs w:val="24"/>
                <w:lang w:val="en-US"/>
              </w:rPr>
              <w:fldChar w:fldCharType="end"/>
            </w:r>
          </w:hyperlink>
        </w:p>
        <w:p w14:paraId="2353FB32" w14:textId="0577E506"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82" w:history="1">
            <w:r w:rsidRPr="005A2D50">
              <w:rPr>
                <w:rStyle w:val="Hyperlink"/>
                <w:noProof/>
                <w:color w:val="auto"/>
                <w:sz w:val="24"/>
                <w:szCs w:val="24"/>
                <w:lang w:val="en-US"/>
              </w:rPr>
              <w:t>IV.1. Pagaidu uzglabāšana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17</w:t>
            </w:r>
            <w:r w:rsidRPr="005A2D50">
              <w:rPr>
                <w:noProof/>
                <w:webHidden/>
                <w:sz w:val="24"/>
                <w:szCs w:val="24"/>
                <w:lang w:val="en-US"/>
              </w:rPr>
              <w:fldChar w:fldCharType="end"/>
            </w:r>
          </w:hyperlink>
        </w:p>
        <w:p w14:paraId="67D883B4" w14:textId="1BAD5B7A"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83" w:history="1">
            <w:r w:rsidRPr="005A2D50">
              <w:rPr>
                <w:rStyle w:val="Hyperlink"/>
                <w:noProof/>
                <w:color w:val="auto"/>
                <w:sz w:val="24"/>
                <w:szCs w:val="24"/>
                <w:lang w:val="en-US"/>
              </w:rPr>
              <w:t>IV.2. Laišana brīvā apgrozībā</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17</w:t>
            </w:r>
            <w:r w:rsidRPr="005A2D50">
              <w:rPr>
                <w:noProof/>
                <w:webHidden/>
                <w:sz w:val="24"/>
                <w:szCs w:val="24"/>
                <w:lang w:val="en-US"/>
              </w:rPr>
              <w:fldChar w:fldCharType="end"/>
            </w:r>
          </w:hyperlink>
        </w:p>
        <w:p w14:paraId="784188B9" w14:textId="2C4496E9"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84" w:history="1">
            <w:r w:rsidRPr="005A2D50">
              <w:rPr>
                <w:rStyle w:val="Hyperlink"/>
                <w:noProof/>
                <w:color w:val="auto"/>
                <w:sz w:val="24"/>
                <w:szCs w:val="24"/>
                <w:lang w:val="en-US"/>
              </w:rPr>
              <w:t>IV.3. Īpašas procedūras, kas nav tranzīts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17</w:t>
            </w:r>
            <w:r w:rsidRPr="005A2D50">
              <w:rPr>
                <w:noProof/>
                <w:webHidden/>
                <w:sz w:val="24"/>
                <w:szCs w:val="24"/>
                <w:lang w:val="en-US"/>
              </w:rPr>
              <w:fldChar w:fldCharType="end"/>
            </w:r>
          </w:hyperlink>
        </w:p>
        <w:p w14:paraId="05271679" w14:textId="5F0FD8E7"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85" w:history="1">
            <w:r w:rsidRPr="005A2D50">
              <w:rPr>
                <w:rStyle w:val="Hyperlink"/>
                <w:noProof/>
                <w:color w:val="auto"/>
                <w:sz w:val="24"/>
                <w:szCs w:val="24"/>
                <w:lang w:val="en-US"/>
              </w:rPr>
              <w:t>IV.3.1. Vispārējie noteikumi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17</w:t>
            </w:r>
            <w:r w:rsidRPr="005A2D50">
              <w:rPr>
                <w:noProof/>
                <w:webHidden/>
                <w:sz w:val="24"/>
                <w:szCs w:val="24"/>
                <w:lang w:val="en-US"/>
              </w:rPr>
              <w:fldChar w:fldCharType="end"/>
            </w:r>
          </w:hyperlink>
        </w:p>
        <w:p w14:paraId="4795DDC6" w14:textId="056AD21C"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86" w:history="1">
            <w:r w:rsidRPr="005A2D50">
              <w:rPr>
                <w:rStyle w:val="Hyperlink"/>
                <w:noProof/>
                <w:color w:val="auto"/>
                <w:sz w:val="24"/>
                <w:szCs w:val="24"/>
                <w:lang w:val="en-US"/>
              </w:rPr>
              <w:t>IV.3.2. Tiesību un pienākumu nodošana (</w:t>
            </w:r>
            <w:r w:rsidRPr="005A2D50">
              <w:rPr>
                <w:rStyle w:val="Hyperlink"/>
                <w:i/>
                <w:iCs/>
                <w:noProof/>
                <w:color w:val="auto"/>
                <w:sz w:val="24"/>
                <w:szCs w:val="24"/>
                <w:lang w:val="en-US"/>
              </w:rPr>
              <w:t>TORO</w:t>
            </w:r>
            <w:r w:rsidRPr="005A2D50">
              <w:rPr>
                <w:rStyle w:val="Hyperlink"/>
                <w:noProof/>
                <w:color w:val="auto"/>
                <w:sz w:val="24"/>
                <w:szCs w:val="24"/>
                <w:lang w:val="en-US"/>
              </w:rPr>
              <w:t>)</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19</w:t>
            </w:r>
            <w:r w:rsidRPr="005A2D50">
              <w:rPr>
                <w:noProof/>
                <w:webHidden/>
                <w:sz w:val="24"/>
                <w:szCs w:val="24"/>
                <w:lang w:val="en-US"/>
              </w:rPr>
              <w:fldChar w:fldCharType="end"/>
            </w:r>
          </w:hyperlink>
        </w:p>
        <w:p w14:paraId="5B69C926" w14:textId="3D0A922B"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87" w:history="1">
            <w:r w:rsidRPr="005A2D50">
              <w:rPr>
                <w:rStyle w:val="Hyperlink"/>
                <w:noProof/>
                <w:color w:val="auto"/>
                <w:sz w:val="24"/>
                <w:szCs w:val="24"/>
                <w:lang w:val="en-US"/>
              </w:rPr>
              <w:t>IV.4. Maksājumu atlikšana un citi maksājumu atvieglojumi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21</w:t>
            </w:r>
            <w:r w:rsidRPr="005A2D50">
              <w:rPr>
                <w:noProof/>
                <w:webHidden/>
                <w:sz w:val="24"/>
                <w:szCs w:val="24"/>
                <w:lang w:val="en-US"/>
              </w:rPr>
              <w:fldChar w:fldCharType="end"/>
            </w:r>
          </w:hyperlink>
        </w:p>
        <w:p w14:paraId="045696F1" w14:textId="7708E528"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88" w:history="1">
            <w:r w:rsidRPr="005A2D50">
              <w:rPr>
                <w:rStyle w:val="Hyperlink"/>
                <w:noProof/>
                <w:color w:val="auto"/>
                <w:sz w:val="24"/>
                <w:szCs w:val="24"/>
                <w:lang w:val="en-US"/>
              </w:rPr>
              <w:t>IV.4.1. Maksājuma atlikšanas termiņa noteikšana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22</w:t>
            </w:r>
            <w:r w:rsidRPr="005A2D50">
              <w:rPr>
                <w:noProof/>
                <w:webHidden/>
                <w:sz w:val="24"/>
                <w:szCs w:val="24"/>
                <w:lang w:val="en-US"/>
              </w:rPr>
              <w:fldChar w:fldCharType="end"/>
            </w:r>
          </w:hyperlink>
        </w:p>
        <w:p w14:paraId="08E950C1" w14:textId="24CA514E" w:rsidR="005A2D50" w:rsidRPr="005A2D50" w:rsidRDefault="005A2D50" w:rsidP="005A2D50">
          <w:pPr>
            <w:pStyle w:val="TOC1"/>
            <w:tabs>
              <w:tab w:val="right" w:leader="dot" w:pos="9065"/>
            </w:tabs>
            <w:spacing w:before="0"/>
            <w:jc w:val="both"/>
            <w:rPr>
              <w:rStyle w:val="Hyperlink"/>
              <w:noProof/>
              <w:color w:val="auto"/>
              <w:sz w:val="24"/>
              <w:szCs w:val="24"/>
              <w:lang w:val="en-US"/>
            </w:rPr>
          </w:pPr>
          <w:hyperlink w:anchor="_Toc104982789" w:history="1">
            <w:r w:rsidRPr="005A2D50">
              <w:rPr>
                <w:rStyle w:val="Hyperlink"/>
                <w:noProof/>
                <w:color w:val="auto"/>
                <w:sz w:val="24"/>
                <w:szCs w:val="24"/>
                <w:lang w:val="en-US"/>
              </w:rPr>
              <w:t>IV.5. Lēmuma izpildes atlikšana saistībā ar pārsūdzības iesniegšanu (SMK 45. pants)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_Toc104982789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23</w:t>
            </w:r>
            <w:r w:rsidRPr="005A2D50">
              <w:rPr>
                <w:noProof/>
                <w:webHidden/>
                <w:sz w:val="24"/>
                <w:szCs w:val="24"/>
                <w:lang w:val="en-US"/>
              </w:rPr>
              <w:fldChar w:fldCharType="end"/>
            </w:r>
          </w:hyperlink>
        </w:p>
        <w:p w14:paraId="79CBAE3D" w14:textId="77777777"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p>
        <w:p w14:paraId="15E847DC" w14:textId="4396D3C2"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90" w:history="1">
            <w:r w:rsidRPr="005A2D50">
              <w:rPr>
                <w:rStyle w:val="Hyperlink"/>
                <w:noProof/>
                <w:color w:val="auto"/>
                <w:sz w:val="24"/>
                <w:szCs w:val="24"/>
                <w:lang w:val="en-US"/>
              </w:rPr>
              <w:t>V. VIENREIZĒJIE UN VISPĀRĒJIE GALVOJUMI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23</w:t>
            </w:r>
            <w:r w:rsidRPr="005A2D50">
              <w:rPr>
                <w:noProof/>
                <w:webHidden/>
                <w:sz w:val="24"/>
                <w:szCs w:val="24"/>
                <w:lang w:val="en-US"/>
              </w:rPr>
              <w:fldChar w:fldCharType="end"/>
            </w:r>
          </w:hyperlink>
        </w:p>
        <w:p w14:paraId="0B197367" w14:textId="098E9313"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91" w:history="1">
            <w:r w:rsidRPr="005A2D50">
              <w:rPr>
                <w:rStyle w:val="Hyperlink"/>
                <w:noProof/>
                <w:color w:val="auto"/>
                <w:sz w:val="24"/>
                <w:szCs w:val="24"/>
                <w:lang w:val="en-US"/>
              </w:rPr>
              <w:t>V.1. Vienreizējais galvojums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24</w:t>
            </w:r>
            <w:r w:rsidRPr="005A2D50">
              <w:rPr>
                <w:noProof/>
                <w:webHidden/>
                <w:sz w:val="24"/>
                <w:szCs w:val="24"/>
                <w:lang w:val="en-US"/>
              </w:rPr>
              <w:fldChar w:fldCharType="end"/>
            </w:r>
          </w:hyperlink>
        </w:p>
        <w:p w14:paraId="6A6CFDE6" w14:textId="30F5CB69"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92" w:history="1">
            <w:r w:rsidRPr="005A2D50">
              <w:rPr>
                <w:rStyle w:val="Hyperlink"/>
                <w:noProof/>
                <w:color w:val="auto"/>
                <w:sz w:val="24"/>
                <w:szCs w:val="24"/>
                <w:lang w:val="en-US"/>
              </w:rPr>
              <w:t>V.2. Vispārējais galvojums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24</w:t>
            </w:r>
            <w:r w:rsidRPr="005A2D50">
              <w:rPr>
                <w:noProof/>
                <w:webHidden/>
                <w:sz w:val="24"/>
                <w:szCs w:val="24"/>
                <w:lang w:val="en-US"/>
              </w:rPr>
              <w:fldChar w:fldCharType="end"/>
            </w:r>
          </w:hyperlink>
        </w:p>
        <w:p w14:paraId="72554555" w14:textId="0B8347C8"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93" w:history="1">
            <w:r w:rsidRPr="005A2D50">
              <w:rPr>
                <w:rStyle w:val="Hyperlink"/>
                <w:noProof/>
                <w:color w:val="auto"/>
                <w:sz w:val="24"/>
                <w:szCs w:val="24"/>
                <w:lang w:val="en-US"/>
              </w:rPr>
              <w:t>V.2.1. Vispārējā galvojuma veidi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25</w:t>
            </w:r>
            <w:r w:rsidRPr="005A2D50">
              <w:rPr>
                <w:noProof/>
                <w:webHidden/>
                <w:sz w:val="24"/>
                <w:szCs w:val="24"/>
                <w:lang w:val="en-US"/>
              </w:rPr>
              <w:fldChar w:fldCharType="end"/>
            </w:r>
          </w:hyperlink>
        </w:p>
        <w:p w14:paraId="4C51B37B" w14:textId="3BA3FB87"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94" w:history="1">
            <w:r w:rsidRPr="005A2D50">
              <w:rPr>
                <w:rStyle w:val="Hyperlink"/>
                <w:noProof/>
                <w:color w:val="auto"/>
                <w:sz w:val="24"/>
                <w:szCs w:val="24"/>
                <w:lang w:val="en-US"/>
              </w:rPr>
              <w:t>V.2.2. Atļauja, lai sniegtu vispārējo galvojumu, ieskaitot iespējamu samazinājumu vai atbrīvojumu (</w:t>
            </w:r>
            <w:r w:rsidRPr="005A2D50">
              <w:rPr>
                <w:rStyle w:val="Hyperlink"/>
                <w:i/>
                <w:iCs/>
                <w:noProof/>
                <w:color w:val="auto"/>
                <w:sz w:val="24"/>
                <w:szCs w:val="24"/>
                <w:lang w:val="en-US"/>
              </w:rPr>
              <w:t>CGU</w:t>
            </w:r>
            <w:r w:rsidRPr="005A2D50">
              <w:rPr>
                <w:rStyle w:val="Hyperlink"/>
                <w:noProof/>
                <w:color w:val="auto"/>
                <w:sz w:val="24"/>
                <w:szCs w:val="24"/>
                <w:lang w:val="en-US"/>
              </w:rPr>
              <w:t xml:space="preserve"> atļauja)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25</w:t>
            </w:r>
            <w:r w:rsidRPr="005A2D50">
              <w:rPr>
                <w:noProof/>
                <w:webHidden/>
                <w:sz w:val="24"/>
                <w:szCs w:val="24"/>
                <w:lang w:val="en-US"/>
              </w:rPr>
              <w:fldChar w:fldCharType="end"/>
            </w:r>
          </w:hyperlink>
        </w:p>
        <w:p w14:paraId="755F5B35" w14:textId="06629BFD"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95" w:history="1">
            <w:r w:rsidRPr="005A2D50">
              <w:rPr>
                <w:rStyle w:val="Hyperlink"/>
                <w:noProof/>
                <w:color w:val="auto"/>
                <w:sz w:val="24"/>
                <w:szCs w:val="24"/>
                <w:lang w:val="en-US"/>
              </w:rPr>
              <w:t>V.2.3. Atsauces summas noteikšana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31</w:t>
            </w:r>
            <w:r w:rsidRPr="005A2D50">
              <w:rPr>
                <w:noProof/>
                <w:webHidden/>
                <w:sz w:val="24"/>
                <w:szCs w:val="24"/>
                <w:lang w:val="en-US"/>
              </w:rPr>
              <w:fldChar w:fldCharType="end"/>
            </w:r>
          </w:hyperlink>
        </w:p>
        <w:p w14:paraId="663B052D" w14:textId="7262BDC2"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96" w:history="1">
            <w:r w:rsidRPr="005A2D50">
              <w:rPr>
                <w:rStyle w:val="Hyperlink"/>
                <w:noProof/>
                <w:color w:val="auto"/>
                <w:sz w:val="24"/>
                <w:szCs w:val="24"/>
                <w:lang w:val="en-US"/>
              </w:rPr>
              <w:t>V.2.4. Atsauces summas pārraudzība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37</w:t>
            </w:r>
            <w:r w:rsidRPr="005A2D50">
              <w:rPr>
                <w:noProof/>
                <w:webHidden/>
                <w:sz w:val="24"/>
                <w:szCs w:val="24"/>
                <w:lang w:val="en-US"/>
              </w:rPr>
              <w:fldChar w:fldCharType="end"/>
            </w:r>
          </w:hyperlink>
        </w:p>
        <w:p w14:paraId="0142722F" w14:textId="6E5EE8A6"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797" w:history="1">
            <w:r w:rsidRPr="005A2D50">
              <w:rPr>
                <w:rStyle w:val="Hyperlink"/>
                <w:noProof/>
                <w:color w:val="auto"/>
                <w:sz w:val="24"/>
                <w:szCs w:val="24"/>
                <w:lang w:val="en-US"/>
              </w:rPr>
              <w:t>V.2.5. Atsauces summas izskatīšana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40</w:t>
            </w:r>
            <w:r w:rsidRPr="005A2D50">
              <w:rPr>
                <w:noProof/>
                <w:webHidden/>
                <w:sz w:val="24"/>
                <w:szCs w:val="24"/>
                <w:lang w:val="en-US"/>
              </w:rPr>
              <w:fldChar w:fldCharType="end"/>
            </w:r>
          </w:hyperlink>
        </w:p>
        <w:p w14:paraId="6D231896" w14:textId="653D1F98" w:rsidR="005A2D50" w:rsidRPr="005A2D50" w:rsidRDefault="005A2D50" w:rsidP="005A2D50">
          <w:pPr>
            <w:pStyle w:val="TOC2"/>
            <w:tabs>
              <w:tab w:val="right" w:leader="dot" w:pos="9065"/>
            </w:tabs>
            <w:spacing w:before="0"/>
            <w:ind w:left="284" w:firstLine="0"/>
            <w:jc w:val="both"/>
            <w:rPr>
              <w:rStyle w:val="Hyperlink"/>
              <w:noProof/>
              <w:color w:val="auto"/>
              <w:sz w:val="24"/>
              <w:szCs w:val="24"/>
              <w:lang w:val="en-US"/>
            </w:rPr>
          </w:pPr>
          <w:hyperlink w:anchor="_Toc104982798" w:history="1">
            <w:r w:rsidRPr="005A2D50">
              <w:rPr>
                <w:rStyle w:val="Hyperlink"/>
                <w:noProof/>
                <w:color w:val="auto"/>
                <w:sz w:val="24"/>
                <w:szCs w:val="24"/>
                <w:lang w:val="en-US"/>
              </w:rPr>
              <w:t>V.2.6. Vispārējā galvojuma samazinājuma apmēri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40</w:t>
            </w:r>
            <w:r w:rsidRPr="005A2D50">
              <w:rPr>
                <w:noProof/>
                <w:webHidden/>
                <w:sz w:val="24"/>
                <w:szCs w:val="24"/>
                <w:lang w:val="en-US"/>
              </w:rPr>
              <w:fldChar w:fldCharType="end"/>
            </w:r>
          </w:hyperlink>
        </w:p>
        <w:p w14:paraId="76733670" w14:textId="77777777"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p>
        <w:p w14:paraId="3CFC6D7C" w14:textId="02C35737"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799" w:history="1">
            <w:r w:rsidRPr="005A2D50">
              <w:rPr>
                <w:rStyle w:val="Hyperlink"/>
                <w:noProof/>
                <w:color w:val="auto"/>
                <w:sz w:val="24"/>
                <w:szCs w:val="24"/>
                <w:lang w:val="en-US"/>
              </w:rPr>
              <w:t>VI. PĀREJAS NOTEIKUMI – SMK TDA 7. UN 8. PANTS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_Toc104982799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49</w:t>
            </w:r>
            <w:r w:rsidRPr="005A2D50">
              <w:rPr>
                <w:noProof/>
                <w:webHidden/>
                <w:sz w:val="24"/>
                <w:szCs w:val="24"/>
                <w:lang w:val="en-US"/>
              </w:rPr>
              <w:fldChar w:fldCharType="end"/>
            </w:r>
          </w:hyperlink>
        </w:p>
        <w:p w14:paraId="3B00FF32" w14:textId="58457FBF"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00" w:history="1">
            <w:r w:rsidRPr="005A2D50">
              <w:rPr>
                <w:rStyle w:val="Hyperlink"/>
                <w:noProof/>
                <w:color w:val="auto"/>
                <w:sz w:val="24"/>
                <w:szCs w:val="24"/>
                <w:lang w:val="en-US"/>
              </w:rPr>
              <w:t>VI.1. Informācijas uzglabāšana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49</w:t>
            </w:r>
            <w:r w:rsidRPr="005A2D50">
              <w:rPr>
                <w:noProof/>
                <w:webHidden/>
                <w:sz w:val="24"/>
                <w:szCs w:val="24"/>
                <w:lang w:val="en-US"/>
              </w:rPr>
              <w:fldChar w:fldCharType="end"/>
            </w:r>
          </w:hyperlink>
        </w:p>
        <w:p w14:paraId="304AF024" w14:textId="0286AB2E"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01" w:history="1">
            <w:r w:rsidRPr="005A2D50">
              <w:rPr>
                <w:rStyle w:val="Hyperlink"/>
                <w:noProof/>
                <w:color w:val="auto"/>
                <w:sz w:val="24"/>
                <w:szCs w:val="24"/>
                <w:lang w:val="en-US"/>
              </w:rPr>
              <w:t>VI.2. Informācijas apmaiņa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49</w:t>
            </w:r>
            <w:r w:rsidRPr="005A2D50">
              <w:rPr>
                <w:noProof/>
                <w:webHidden/>
                <w:sz w:val="24"/>
                <w:szCs w:val="24"/>
                <w:lang w:val="en-US"/>
              </w:rPr>
              <w:fldChar w:fldCharType="end"/>
            </w:r>
          </w:hyperlink>
        </w:p>
        <w:p w14:paraId="45EB59CA" w14:textId="5952A05E"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02" w:history="1">
            <w:r w:rsidRPr="005A2D50">
              <w:rPr>
                <w:rStyle w:val="Hyperlink"/>
                <w:noProof/>
                <w:color w:val="auto"/>
                <w:sz w:val="24"/>
                <w:szCs w:val="24"/>
                <w:lang w:val="en-US"/>
              </w:rPr>
              <w:t>VI.2.1. Apmaiņas līdzekļi. Līdzekļi, kas nav elektroniskās datu apstrādes metodes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49</w:t>
            </w:r>
            <w:r w:rsidRPr="005A2D50">
              <w:rPr>
                <w:noProof/>
                <w:webHidden/>
                <w:sz w:val="24"/>
                <w:szCs w:val="24"/>
                <w:lang w:val="en-US"/>
              </w:rPr>
              <w:fldChar w:fldCharType="end"/>
            </w:r>
          </w:hyperlink>
        </w:p>
        <w:p w14:paraId="70E06383" w14:textId="74C57A75"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03" w:history="1">
            <w:r w:rsidRPr="005A2D50">
              <w:rPr>
                <w:rStyle w:val="Hyperlink"/>
                <w:noProof/>
                <w:color w:val="auto"/>
                <w:sz w:val="24"/>
                <w:szCs w:val="24"/>
                <w:lang w:val="en-US"/>
              </w:rPr>
              <w:t>VI.2.2. Dati, ar kuriem jāapmainās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49</w:t>
            </w:r>
            <w:r w:rsidRPr="005A2D50">
              <w:rPr>
                <w:noProof/>
                <w:webHidden/>
                <w:sz w:val="24"/>
                <w:szCs w:val="24"/>
                <w:lang w:val="en-US"/>
              </w:rPr>
              <w:fldChar w:fldCharType="end"/>
            </w:r>
          </w:hyperlink>
        </w:p>
        <w:p w14:paraId="6B567D37" w14:textId="7A9A256F"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04" w:history="1">
            <w:r w:rsidRPr="005A2D50">
              <w:rPr>
                <w:rStyle w:val="Hyperlink"/>
                <w:noProof/>
                <w:color w:val="auto"/>
                <w:sz w:val="24"/>
                <w:szCs w:val="24"/>
                <w:lang w:val="en-US"/>
              </w:rPr>
              <w:t>VI.3. Apspriešanās procedūra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56</w:t>
            </w:r>
            <w:r w:rsidRPr="005A2D50">
              <w:rPr>
                <w:noProof/>
                <w:webHidden/>
                <w:sz w:val="24"/>
                <w:szCs w:val="24"/>
                <w:lang w:val="en-US"/>
              </w:rPr>
              <w:fldChar w:fldCharType="end"/>
            </w:r>
          </w:hyperlink>
        </w:p>
        <w:p w14:paraId="700EA515" w14:textId="07AA83F6"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05" w:history="1">
            <w:r w:rsidRPr="005A2D50">
              <w:rPr>
                <w:rStyle w:val="Hyperlink"/>
                <w:noProof/>
                <w:color w:val="auto"/>
                <w:sz w:val="24"/>
                <w:szCs w:val="24"/>
                <w:lang w:val="en-US"/>
              </w:rPr>
              <w:t>VI.3.1. Atsauces summas sadalījuma akceptēšana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57</w:t>
            </w:r>
            <w:r w:rsidRPr="005A2D50">
              <w:rPr>
                <w:noProof/>
                <w:webHidden/>
                <w:sz w:val="24"/>
                <w:szCs w:val="24"/>
                <w:lang w:val="en-US"/>
              </w:rPr>
              <w:fldChar w:fldCharType="end"/>
            </w:r>
          </w:hyperlink>
        </w:p>
        <w:p w14:paraId="7CE00B70" w14:textId="7CF271F4"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06" w:history="1">
            <w:r w:rsidRPr="005A2D50">
              <w:rPr>
                <w:rStyle w:val="Hyperlink"/>
                <w:noProof/>
                <w:color w:val="auto"/>
                <w:sz w:val="24"/>
                <w:szCs w:val="24"/>
                <w:lang w:val="en-US"/>
              </w:rPr>
              <w:t>VI.3.2. Atsauces summas piedāvātā sadalījuma noraidīšana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57</w:t>
            </w:r>
            <w:r w:rsidRPr="005A2D50">
              <w:rPr>
                <w:noProof/>
                <w:webHidden/>
                <w:sz w:val="24"/>
                <w:szCs w:val="24"/>
                <w:lang w:val="en-US"/>
              </w:rPr>
              <w:fldChar w:fldCharType="end"/>
            </w:r>
          </w:hyperlink>
        </w:p>
        <w:p w14:paraId="3A23CEC9" w14:textId="406A0137" w:rsidR="005A2D50" w:rsidRPr="005A2D50" w:rsidRDefault="005A2D50" w:rsidP="005A2D50">
          <w:pPr>
            <w:pStyle w:val="TOC1"/>
            <w:tabs>
              <w:tab w:val="right" w:leader="dot" w:pos="9065"/>
            </w:tabs>
            <w:spacing w:before="0"/>
            <w:jc w:val="both"/>
            <w:rPr>
              <w:rStyle w:val="Hyperlink"/>
              <w:noProof/>
              <w:color w:val="auto"/>
              <w:sz w:val="24"/>
              <w:szCs w:val="24"/>
              <w:lang w:val="en-US"/>
            </w:rPr>
          </w:pPr>
          <w:hyperlink w:anchor="_Toc104982807" w:history="1">
            <w:r w:rsidRPr="005A2D50">
              <w:rPr>
                <w:rStyle w:val="Hyperlink"/>
                <w:noProof/>
                <w:color w:val="auto"/>
                <w:sz w:val="24"/>
                <w:szCs w:val="24"/>
                <w:lang w:val="en-US"/>
              </w:rPr>
              <w:t>VI.4. Atsauces summas pārraudzība pārejas posmā</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58</w:t>
            </w:r>
            <w:r w:rsidRPr="005A2D50">
              <w:rPr>
                <w:noProof/>
                <w:webHidden/>
                <w:sz w:val="24"/>
                <w:szCs w:val="24"/>
                <w:lang w:val="en-US"/>
              </w:rPr>
              <w:fldChar w:fldCharType="end"/>
            </w:r>
          </w:hyperlink>
        </w:p>
        <w:p w14:paraId="0AC0BBAE" w14:textId="77777777"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p>
        <w:p w14:paraId="1EECC0B4" w14:textId="28E3E634"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08" w:history="1">
            <w:r w:rsidRPr="005A2D50">
              <w:rPr>
                <w:rStyle w:val="Hyperlink"/>
                <w:noProof/>
                <w:color w:val="auto"/>
                <w:sz w:val="24"/>
                <w:szCs w:val="24"/>
                <w:lang w:val="en-US"/>
              </w:rPr>
              <w:t>VII. PIELIKUMI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59</w:t>
            </w:r>
            <w:r w:rsidRPr="005A2D50">
              <w:rPr>
                <w:noProof/>
                <w:webHidden/>
                <w:sz w:val="24"/>
                <w:szCs w:val="24"/>
                <w:lang w:val="en-US"/>
              </w:rPr>
              <w:fldChar w:fldCharType="end"/>
            </w:r>
          </w:hyperlink>
        </w:p>
        <w:p w14:paraId="7BA97F98" w14:textId="751D5FDD"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09" w:history="1">
            <w:r w:rsidRPr="005A2D50">
              <w:rPr>
                <w:rStyle w:val="Hyperlink"/>
                <w:noProof/>
                <w:color w:val="auto"/>
                <w:sz w:val="24"/>
                <w:szCs w:val="24"/>
                <w:lang w:val="en-US"/>
              </w:rPr>
              <w:t xml:space="preserve">1. pielikums. Īpašas datu prasības attiecībā uz pieteikumu un </w:t>
            </w:r>
            <w:r w:rsidRPr="005A2D50">
              <w:rPr>
                <w:rStyle w:val="Hyperlink"/>
                <w:i/>
                <w:iCs/>
                <w:noProof/>
                <w:color w:val="auto"/>
                <w:sz w:val="24"/>
                <w:szCs w:val="24"/>
                <w:lang w:val="en-US"/>
              </w:rPr>
              <w:t xml:space="preserve">CGU </w:t>
            </w:r>
            <w:r w:rsidRPr="005A2D50">
              <w:rPr>
                <w:rStyle w:val="Hyperlink"/>
                <w:noProof/>
                <w:color w:val="auto"/>
                <w:sz w:val="24"/>
                <w:szCs w:val="24"/>
                <w:lang w:val="en-US"/>
              </w:rPr>
              <w:t>atļauju, tostarp iespējams samazinājums vai atbrīvojums (SMK DA A pielikums, VI sadaļa)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_Toc104982809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59</w:t>
            </w:r>
            <w:r w:rsidRPr="005A2D50">
              <w:rPr>
                <w:noProof/>
                <w:webHidden/>
                <w:sz w:val="24"/>
                <w:szCs w:val="24"/>
                <w:lang w:val="en-US"/>
              </w:rPr>
              <w:fldChar w:fldCharType="end"/>
            </w:r>
          </w:hyperlink>
        </w:p>
        <w:p w14:paraId="3090F1FD" w14:textId="583F01E1"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10" w:history="1">
            <w:r w:rsidRPr="005A2D50">
              <w:rPr>
                <w:rStyle w:val="Hyperlink"/>
                <w:noProof/>
                <w:color w:val="auto"/>
                <w:sz w:val="24"/>
                <w:szCs w:val="24"/>
                <w:lang w:val="en-US"/>
              </w:rPr>
              <w:t>SMK DA A pielikums, I sadaļa. Galvojuma atsauces (datu elementi), kas jānorāda citiem pieteikumiem un atļaujām</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60</w:t>
            </w:r>
            <w:r w:rsidRPr="005A2D50">
              <w:rPr>
                <w:noProof/>
                <w:webHidden/>
                <w:sz w:val="24"/>
                <w:szCs w:val="24"/>
                <w:lang w:val="en-US"/>
              </w:rPr>
              <w:fldChar w:fldCharType="end"/>
            </w:r>
          </w:hyperlink>
        </w:p>
        <w:p w14:paraId="43A055D8" w14:textId="727A98E9" w:rsidR="005A2D50" w:rsidRPr="005A2D50" w:rsidRDefault="005A2D50" w:rsidP="005A2D50">
          <w:pPr>
            <w:pStyle w:val="TOC1"/>
            <w:tabs>
              <w:tab w:val="right" w:leader="dot" w:pos="9065"/>
            </w:tabs>
            <w:spacing w:before="0"/>
            <w:jc w:val="both"/>
            <w:rPr>
              <w:rFonts w:asciiTheme="minorHAnsi" w:eastAsiaTheme="minorEastAsia" w:hAnsiTheme="minorHAnsi"/>
              <w:noProof/>
              <w:sz w:val="24"/>
              <w:szCs w:val="24"/>
              <w:lang w:val="en-US" w:eastAsia="lv-LV"/>
            </w:rPr>
          </w:pPr>
          <w:hyperlink w:anchor="_Toc104982811" w:history="1">
            <w:r w:rsidRPr="005A2D50">
              <w:rPr>
                <w:rStyle w:val="Hyperlink"/>
                <w:noProof/>
                <w:color w:val="auto"/>
                <w:sz w:val="24"/>
                <w:szCs w:val="24"/>
                <w:lang w:val="en-US"/>
              </w:rPr>
              <w:t>2. pielikums. Piemēri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61</w:t>
            </w:r>
            <w:r w:rsidRPr="005A2D50">
              <w:rPr>
                <w:noProof/>
                <w:webHidden/>
                <w:sz w:val="24"/>
                <w:szCs w:val="24"/>
                <w:lang w:val="en-US"/>
              </w:rPr>
              <w:fldChar w:fldCharType="end"/>
            </w:r>
          </w:hyperlink>
        </w:p>
        <w:p w14:paraId="790A1EA0" w14:textId="6218CF9E"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2" w:history="1">
            <w:r w:rsidRPr="005A2D50">
              <w:rPr>
                <w:rStyle w:val="Hyperlink"/>
                <w:noProof/>
                <w:color w:val="auto"/>
                <w:sz w:val="24"/>
                <w:szCs w:val="24"/>
                <w:lang w:val="en-US"/>
              </w:rPr>
              <w:t>A2.1. Summas aprēķins vispārējam galvojumam ar iespējamu samazinājumu/atbrīvojumu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61</w:t>
            </w:r>
            <w:r w:rsidRPr="005A2D50">
              <w:rPr>
                <w:noProof/>
                <w:webHidden/>
                <w:sz w:val="24"/>
                <w:szCs w:val="24"/>
                <w:lang w:val="en-US"/>
              </w:rPr>
              <w:fldChar w:fldCharType="end"/>
            </w:r>
          </w:hyperlink>
        </w:p>
        <w:p w14:paraId="1445D431" w14:textId="2A6AAB11"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3" w:history="1">
            <w:r w:rsidRPr="005A2D50">
              <w:rPr>
                <w:rStyle w:val="Hyperlink"/>
                <w:noProof/>
                <w:color w:val="auto"/>
                <w:sz w:val="24"/>
                <w:szCs w:val="24"/>
                <w:lang w:val="en-US"/>
              </w:rPr>
              <w:t>A2.2. Galvojuma derīguma ģeogrāfiskais areāls, ja tiek piemērotas īpašas procedūras, kas attiecas uz vairāk nekā vienu dalībvalsti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62</w:t>
            </w:r>
            <w:r w:rsidRPr="005A2D50">
              <w:rPr>
                <w:noProof/>
                <w:webHidden/>
                <w:sz w:val="24"/>
                <w:szCs w:val="24"/>
                <w:lang w:val="en-US"/>
              </w:rPr>
              <w:fldChar w:fldCharType="end"/>
            </w:r>
          </w:hyperlink>
        </w:p>
        <w:p w14:paraId="55EA1D36" w14:textId="59EB9198"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4" w:history="1">
            <w:r w:rsidRPr="005A2D50">
              <w:rPr>
                <w:rStyle w:val="Hyperlink"/>
                <w:noProof/>
                <w:color w:val="auto"/>
                <w:sz w:val="24"/>
                <w:szCs w:val="24"/>
                <w:lang w:val="en-US"/>
              </w:rPr>
              <w:t>A2.3. Atliktais maksājums vairāku dalībvalstu galvojuma gadījumā</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62</w:t>
            </w:r>
            <w:r w:rsidRPr="005A2D50">
              <w:rPr>
                <w:noProof/>
                <w:webHidden/>
                <w:sz w:val="24"/>
                <w:szCs w:val="24"/>
                <w:lang w:val="en-US"/>
              </w:rPr>
              <w:fldChar w:fldCharType="end"/>
            </w:r>
          </w:hyperlink>
        </w:p>
        <w:p w14:paraId="116F906A" w14:textId="72DFF304"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5" w:history="1">
            <w:r w:rsidRPr="005A2D50">
              <w:rPr>
                <w:rStyle w:val="Hyperlink"/>
                <w:noProof/>
                <w:color w:val="auto"/>
                <w:sz w:val="24"/>
                <w:szCs w:val="24"/>
                <w:lang w:val="en-US"/>
              </w:rPr>
              <w:t xml:space="preserve">A2.4. </w:t>
            </w:r>
            <w:r w:rsidRPr="005A2D50">
              <w:rPr>
                <w:rStyle w:val="Hyperlink"/>
                <w:i/>
                <w:iCs/>
                <w:noProof/>
                <w:color w:val="auto"/>
                <w:sz w:val="24"/>
                <w:szCs w:val="24"/>
                <w:lang w:val="en-US"/>
              </w:rPr>
              <w:t>GRN</w:t>
            </w:r>
            <w:r w:rsidRPr="005A2D50">
              <w:rPr>
                <w:rStyle w:val="Hyperlink"/>
                <w:noProof/>
                <w:color w:val="auto"/>
                <w:sz w:val="24"/>
                <w:szCs w:val="24"/>
                <w:lang w:val="en-US"/>
              </w:rPr>
              <w:t xml:space="preserve"> formāta piedāvājums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63</w:t>
            </w:r>
            <w:r w:rsidRPr="005A2D50">
              <w:rPr>
                <w:noProof/>
                <w:webHidden/>
                <w:sz w:val="24"/>
                <w:szCs w:val="24"/>
                <w:lang w:val="en-US"/>
              </w:rPr>
              <w:fldChar w:fldCharType="end"/>
            </w:r>
          </w:hyperlink>
        </w:p>
        <w:p w14:paraId="0003E64A" w14:textId="484BA750"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6" w:history="1">
            <w:r w:rsidRPr="005A2D50">
              <w:rPr>
                <w:rStyle w:val="Hyperlink"/>
                <w:noProof/>
                <w:color w:val="auto"/>
                <w:sz w:val="24"/>
                <w:szCs w:val="24"/>
                <w:lang w:val="en-US"/>
              </w:rPr>
              <w:t>A2.5. Piemēri par apspriešanās procedūru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_Toc104982816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64</w:t>
            </w:r>
            <w:r w:rsidRPr="005A2D50">
              <w:rPr>
                <w:noProof/>
                <w:webHidden/>
                <w:sz w:val="24"/>
                <w:szCs w:val="24"/>
                <w:lang w:val="en-US"/>
              </w:rPr>
              <w:fldChar w:fldCharType="end"/>
            </w:r>
          </w:hyperlink>
        </w:p>
        <w:p w14:paraId="30A645B4" w14:textId="5B289B63"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7" w:history="1">
            <w:r w:rsidRPr="005A2D50">
              <w:rPr>
                <w:rStyle w:val="Hyperlink"/>
                <w:noProof/>
                <w:color w:val="auto"/>
                <w:sz w:val="24"/>
                <w:szCs w:val="24"/>
                <w:lang w:val="en-US"/>
              </w:rPr>
              <w:t>A2.6. Galvinieki un to saistības</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_Toc104982817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66</w:t>
            </w:r>
            <w:r w:rsidRPr="005A2D50">
              <w:rPr>
                <w:noProof/>
                <w:webHidden/>
                <w:sz w:val="24"/>
                <w:szCs w:val="24"/>
                <w:lang w:val="en-US"/>
              </w:rPr>
              <w:fldChar w:fldCharType="end"/>
            </w:r>
          </w:hyperlink>
        </w:p>
        <w:p w14:paraId="75CCD34B" w14:textId="468CE814"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8" w:history="1">
            <w:r w:rsidRPr="005A2D50">
              <w:rPr>
                <w:rStyle w:val="Hyperlink"/>
                <w:noProof/>
                <w:color w:val="auto"/>
                <w:sz w:val="24"/>
                <w:szCs w:val="24"/>
                <w:lang w:val="en-US"/>
              </w:rPr>
              <w:t>A2.7. Revīzijas prakse atsauces summas pārraudzībai saskaņā ar SMK ĪA 157. panta 3. punktu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_Toc104982818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68</w:t>
            </w:r>
            <w:r w:rsidRPr="005A2D50">
              <w:rPr>
                <w:noProof/>
                <w:webHidden/>
                <w:sz w:val="24"/>
                <w:szCs w:val="24"/>
                <w:lang w:val="en-US"/>
              </w:rPr>
              <w:fldChar w:fldCharType="end"/>
            </w:r>
          </w:hyperlink>
        </w:p>
        <w:p w14:paraId="4DD2E828" w14:textId="50629E6B"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19" w:history="1">
            <w:r w:rsidRPr="005A2D50">
              <w:rPr>
                <w:rStyle w:val="Hyperlink"/>
                <w:noProof/>
                <w:color w:val="auto"/>
                <w:sz w:val="24"/>
                <w:szCs w:val="24"/>
                <w:lang w:val="en-US"/>
              </w:rPr>
              <w:t>A2.8. Neobligāta galvojuma piemēri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_Toc104982819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68</w:t>
            </w:r>
            <w:r w:rsidRPr="005A2D50">
              <w:rPr>
                <w:noProof/>
                <w:webHidden/>
                <w:sz w:val="24"/>
                <w:szCs w:val="24"/>
                <w:lang w:val="en-US"/>
              </w:rPr>
              <w:fldChar w:fldCharType="end"/>
            </w:r>
          </w:hyperlink>
        </w:p>
        <w:p w14:paraId="2F212B29" w14:textId="0A6BF522"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0" w:history="1">
            <w:r w:rsidRPr="005A2D50">
              <w:rPr>
                <w:rStyle w:val="Hyperlink"/>
                <w:noProof/>
                <w:color w:val="auto"/>
                <w:sz w:val="24"/>
                <w:szCs w:val="24"/>
                <w:lang w:val="en-US"/>
              </w:rPr>
              <w:t>A2.9. Galvojums tiesību un pienākumu nodošanai</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_Toc104982820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69</w:t>
            </w:r>
            <w:r w:rsidRPr="005A2D50">
              <w:rPr>
                <w:noProof/>
                <w:webHidden/>
                <w:sz w:val="24"/>
                <w:szCs w:val="24"/>
                <w:lang w:val="en-US"/>
              </w:rPr>
              <w:fldChar w:fldCharType="end"/>
            </w:r>
          </w:hyperlink>
        </w:p>
        <w:p w14:paraId="26819B90" w14:textId="40C60592"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1" w:history="1">
            <w:r w:rsidRPr="005A2D50">
              <w:rPr>
                <w:rStyle w:val="Hyperlink"/>
                <w:noProof/>
                <w:color w:val="auto"/>
                <w:sz w:val="24"/>
                <w:szCs w:val="24"/>
                <w:lang w:val="en-US"/>
              </w:rPr>
              <w:t>A2.10. SMK 89. panta 3. punkta otrā daļa – persona, kura nav parādnieks/iespējamais parādnieks un kurai var atļaut sniegt galvojumu muitas vajadzībām</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_Toc104982821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69</w:t>
            </w:r>
            <w:r w:rsidRPr="005A2D50">
              <w:rPr>
                <w:noProof/>
                <w:webHidden/>
                <w:sz w:val="24"/>
                <w:szCs w:val="24"/>
                <w:lang w:val="en-US"/>
              </w:rPr>
              <w:fldChar w:fldCharType="end"/>
            </w:r>
          </w:hyperlink>
        </w:p>
        <w:p w14:paraId="5539AAB8" w14:textId="64B01E23"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2" w:history="1">
            <w:r w:rsidRPr="005A2D50">
              <w:rPr>
                <w:rStyle w:val="Hyperlink"/>
                <w:noProof/>
                <w:color w:val="auto"/>
                <w:sz w:val="24"/>
                <w:szCs w:val="24"/>
                <w:lang w:val="en-US"/>
              </w:rPr>
              <w:t>A2.11. Personas, kas nav reģistrētas ES muitas teritorijā</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_Toc104982822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70</w:t>
            </w:r>
            <w:r w:rsidRPr="005A2D50">
              <w:rPr>
                <w:noProof/>
                <w:webHidden/>
                <w:sz w:val="24"/>
                <w:szCs w:val="24"/>
                <w:lang w:val="en-US"/>
              </w:rPr>
              <w:fldChar w:fldCharType="end"/>
            </w:r>
          </w:hyperlink>
        </w:p>
        <w:p w14:paraId="205732A8" w14:textId="16E61CEF"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3" w:history="1">
            <w:r w:rsidRPr="005A2D50">
              <w:rPr>
                <w:rStyle w:val="Hyperlink"/>
                <w:noProof/>
                <w:color w:val="auto"/>
                <w:sz w:val="24"/>
                <w:szCs w:val="24"/>
                <w:lang w:val="en-US"/>
              </w:rPr>
              <w:t>A2.12. Pietiekami laba finansiālā stāvokļa novērtējums saskaņā ar SMK DA 84. panta 3.a un 3.b punktu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_Toc104982823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71</w:t>
            </w:r>
            <w:r w:rsidRPr="005A2D50">
              <w:rPr>
                <w:noProof/>
                <w:webHidden/>
                <w:sz w:val="24"/>
                <w:szCs w:val="24"/>
                <w:lang w:val="en-US"/>
              </w:rPr>
              <w:fldChar w:fldCharType="end"/>
            </w:r>
          </w:hyperlink>
        </w:p>
        <w:p w14:paraId="4C3F1A64" w14:textId="70F8C805"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4" w:history="1">
            <w:r w:rsidRPr="005A2D50">
              <w:rPr>
                <w:rStyle w:val="Hyperlink"/>
                <w:noProof/>
                <w:color w:val="auto"/>
                <w:sz w:val="24"/>
                <w:szCs w:val="24"/>
                <w:lang w:val="en-US"/>
              </w:rPr>
              <w:t>A2.13. Tāda galvojuma atbrīvošana, kas sniegts atliktajiem maksājumiem saskaņā ar SMK 110. panta b) un c) punktu</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_Toc104982824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72</w:t>
            </w:r>
            <w:r w:rsidRPr="005A2D50">
              <w:rPr>
                <w:noProof/>
                <w:webHidden/>
                <w:sz w:val="24"/>
                <w:szCs w:val="24"/>
                <w:lang w:val="en-US"/>
              </w:rPr>
              <w:fldChar w:fldCharType="end"/>
            </w:r>
          </w:hyperlink>
        </w:p>
        <w:p w14:paraId="2BE4537C" w14:textId="106C9ADC" w:rsidR="005A2D50" w:rsidRPr="005A2D50" w:rsidRDefault="005A2D50" w:rsidP="005A2D50">
          <w:pPr>
            <w:pStyle w:val="TOC2"/>
            <w:tabs>
              <w:tab w:val="right" w:leader="dot" w:pos="9065"/>
            </w:tabs>
            <w:spacing w:before="0"/>
            <w:ind w:left="284" w:firstLine="0"/>
            <w:jc w:val="both"/>
            <w:rPr>
              <w:rFonts w:asciiTheme="minorHAnsi" w:eastAsiaTheme="minorEastAsia" w:hAnsiTheme="minorHAnsi"/>
              <w:noProof/>
              <w:sz w:val="24"/>
              <w:szCs w:val="24"/>
              <w:lang w:val="en-US" w:eastAsia="lv-LV"/>
            </w:rPr>
          </w:pPr>
          <w:hyperlink w:anchor="_Toc104982825" w:history="1">
            <w:r w:rsidRPr="005A2D50">
              <w:rPr>
                <w:rStyle w:val="Hyperlink"/>
                <w:noProof/>
                <w:color w:val="auto"/>
                <w:sz w:val="24"/>
                <w:szCs w:val="24"/>
                <w:lang w:val="en-US"/>
              </w:rPr>
              <w:t>A2.14. Tāda galvojuma atbrīvošana, kas sniegts par precēm, kurām pieteiktā tarifu kvota ir kritiska</w:t>
            </w:r>
            <w:r w:rsidRPr="005A2D50">
              <w:rPr>
                <w:noProof/>
                <w:webHidden/>
                <w:sz w:val="24"/>
                <w:szCs w:val="24"/>
                <w:lang w:val="en-US"/>
              </w:rPr>
              <w:tab/>
            </w:r>
            <w:r w:rsidRPr="005A2D50">
              <w:rPr>
                <w:noProof/>
                <w:webHidden/>
                <w:sz w:val="24"/>
                <w:szCs w:val="24"/>
                <w:lang w:val="en-US"/>
              </w:rPr>
              <w:fldChar w:fldCharType="begin"/>
            </w:r>
            <w:r w:rsidRPr="005A2D50">
              <w:rPr>
                <w:noProof/>
                <w:webHidden/>
                <w:sz w:val="24"/>
                <w:szCs w:val="24"/>
                <w:lang w:val="en-US"/>
              </w:rPr>
              <w:instrText xml:space="preserve"> PAGEREF _Toc104982825 \h </w:instrText>
            </w:r>
            <w:r w:rsidRPr="005A2D50">
              <w:rPr>
                <w:noProof/>
                <w:webHidden/>
                <w:sz w:val="24"/>
                <w:szCs w:val="24"/>
                <w:lang w:val="en-US"/>
              </w:rPr>
            </w:r>
            <w:r w:rsidRPr="005A2D50">
              <w:rPr>
                <w:noProof/>
                <w:webHidden/>
                <w:sz w:val="24"/>
                <w:szCs w:val="24"/>
                <w:lang w:val="en-US"/>
              </w:rPr>
              <w:fldChar w:fldCharType="separate"/>
            </w:r>
            <w:r>
              <w:rPr>
                <w:noProof/>
                <w:webHidden/>
                <w:sz w:val="24"/>
                <w:szCs w:val="24"/>
                <w:lang w:val="en-US"/>
              </w:rPr>
              <w:t>73</w:t>
            </w:r>
            <w:r w:rsidRPr="005A2D50">
              <w:rPr>
                <w:noProof/>
                <w:webHidden/>
                <w:sz w:val="24"/>
                <w:szCs w:val="24"/>
                <w:lang w:val="en-US"/>
              </w:rPr>
              <w:fldChar w:fldCharType="end"/>
            </w:r>
          </w:hyperlink>
        </w:p>
        <w:p w14:paraId="716377C3" w14:textId="77777777" w:rsidR="005A2D50" w:rsidRPr="005A2D50" w:rsidRDefault="005A2D50" w:rsidP="005A2D50">
          <w:pPr>
            <w:jc w:val="both"/>
            <w:rPr>
              <w:noProof/>
              <w:lang w:val="en-US"/>
            </w:rPr>
          </w:pPr>
          <w:r w:rsidRPr="005A2D50">
            <w:rPr>
              <w:b/>
              <w:bCs/>
              <w:noProof/>
              <w:sz w:val="24"/>
              <w:szCs w:val="24"/>
              <w:lang w:val="en-US"/>
            </w:rPr>
            <w:fldChar w:fldCharType="end"/>
          </w:r>
        </w:p>
        <w:bookmarkEnd w:id="0" w:displacedByCustomXml="next"/>
      </w:sdtContent>
    </w:sdt>
    <w:p w14:paraId="0FF66B21" w14:textId="77777777" w:rsidR="005A2D50" w:rsidRPr="005A2D50" w:rsidRDefault="005A2D50" w:rsidP="005A2D50">
      <w:pPr>
        <w:jc w:val="both"/>
        <w:rPr>
          <w:rFonts w:ascii="Times New Roman" w:hAnsi="Times New Roman" w:cs="Times New Roman"/>
          <w:noProof/>
          <w:sz w:val="24"/>
          <w:szCs w:val="24"/>
          <w:u w:color="000000"/>
          <w:lang w:val="en-US"/>
        </w:rPr>
      </w:pPr>
    </w:p>
    <w:p w14:paraId="7B788B0E" w14:textId="77777777" w:rsidR="005A2D50" w:rsidRPr="005A2D50" w:rsidRDefault="005A2D50" w:rsidP="005A2D50">
      <w:pPr>
        <w:rPr>
          <w:noProof/>
          <w:lang w:val="en-US"/>
        </w:rPr>
      </w:pPr>
      <w:r w:rsidRPr="005A2D50">
        <w:rPr>
          <w:noProof/>
          <w:lang w:val="en-US"/>
        </w:rPr>
        <w:br w:type="page"/>
      </w:r>
    </w:p>
    <w:p w14:paraId="5A7B8F85" w14:textId="77777777" w:rsidR="005A2D50" w:rsidRPr="005A2D50" w:rsidRDefault="005A2D50" w:rsidP="005A2D50">
      <w:pPr>
        <w:jc w:val="both"/>
        <w:rPr>
          <w:rFonts w:ascii="Times New Roman" w:hAnsi="Times New Roman" w:cs="Times New Roman"/>
          <w:noProof/>
          <w:sz w:val="24"/>
          <w:szCs w:val="24"/>
          <w:lang w:val="en-US"/>
        </w:rPr>
      </w:pPr>
    </w:p>
    <w:p w14:paraId="513DCFD6" w14:textId="77777777" w:rsidR="005A2D50" w:rsidRPr="005A2D50" w:rsidRDefault="005A2D50" w:rsidP="005A2D50">
      <w:pPr>
        <w:pStyle w:val="Heading1"/>
        <w:rPr>
          <w:noProof/>
          <w:lang w:val="en-US"/>
        </w:rPr>
      </w:pPr>
      <w:bookmarkStart w:id="1" w:name="I._Abbreviations,_expressions_and_defini"/>
      <w:bookmarkStart w:id="2" w:name="_bookmark0"/>
      <w:bookmarkStart w:id="3" w:name="_Toc104982758"/>
      <w:bookmarkEnd w:id="1"/>
      <w:bookmarkEnd w:id="2"/>
      <w:r w:rsidRPr="005A2D50">
        <w:rPr>
          <w:noProof/>
          <w:lang w:val="en-US"/>
        </w:rPr>
        <w:t>I. SAĪSINĀJUMI, FRĀZES UN DEFINĪCIJAS</w:t>
      </w:r>
      <w:bookmarkEnd w:id="3"/>
    </w:p>
    <w:p w14:paraId="4B5B1B82" w14:textId="77777777" w:rsidR="005A2D50" w:rsidRPr="005A2D50" w:rsidRDefault="005A2D50" w:rsidP="005A2D50">
      <w:pPr>
        <w:pStyle w:val="BodyText"/>
        <w:rPr>
          <w:lang w:val="en-US"/>
        </w:rPr>
      </w:pPr>
      <w:bookmarkStart w:id="4" w:name="I.1._Abbreviations"/>
      <w:bookmarkStart w:id="5" w:name="_bookmark1"/>
      <w:bookmarkEnd w:id="4"/>
      <w:bookmarkEnd w:id="5"/>
    </w:p>
    <w:p w14:paraId="013B311B" w14:textId="77777777" w:rsidR="005A2D50" w:rsidRPr="005A2D50" w:rsidRDefault="005A2D50" w:rsidP="005A2D50">
      <w:pPr>
        <w:pStyle w:val="Heading1"/>
        <w:rPr>
          <w:noProof/>
          <w:lang w:val="en-US"/>
        </w:rPr>
      </w:pPr>
      <w:bookmarkStart w:id="6" w:name="_Toc104982759"/>
      <w:r w:rsidRPr="005A2D50">
        <w:rPr>
          <w:noProof/>
          <w:lang w:val="en-US"/>
        </w:rPr>
        <w:t>I.1. Saīsinājumi</w:t>
      </w:r>
      <w:bookmarkEnd w:id="6"/>
    </w:p>
    <w:p w14:paraId="56D79B58" w14:textId="77777777" w:rsidR="005A2D50" w:rsidRPr="005A2D50" w:rsidRDefault="005A2D50" w:rsidP="005A2D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872"/>
        <w:gridCol w:w="7259"/>
      </w:tblGrid>
      <w:tr w:rsidR="005A2D50" w:rsidRPr="005A2D50" w14:paraId="12C9C600" w14:textId="77777777" w:rsidTr="00F14166">
        <w:tc>
          <w:tcPr>
            <w:tcW w:w="1025" w:type="pct"/>
          </w:tcPr>
          <w:p w14:paraId="286F6433"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AEOC</w:t>
            </w:r>
          </w:p>
        </w:tc>
        <w:tc>
          <w:tcPr>
            <w:tcW w:w="3975" w:type="pct"/>
          </w:tcPr>
          <w:p w14:paraId="5463C6A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atzītais uzņēmējs, kuram ir atļauja muitas vienkāršojumiem</w:t>
            </w:r>
          </w:p>
        </w:tc>
      </w:tr>
      <w:tr w:rsidR="005A2D50" w:rsidRPr="005A2D50" w14:paraId="7033A1E0" w14:textId="77777777" w:rsidTr="00F14166">
        <w:tc>
          <w:tcPr>
            <w:tcW w:w="1025" w:type="pct"/>
          </w:tcPr>
          <w:p w14:paraId="61BD97BC"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CA</w:t>
            </w:r>
          </w:p>
        </w:tc>
        <w:tc>
          <w:tcPr>
            <w:tcW w:w="3975" w:type="pct"/>
          </w:tcPr>
          <w:p w14:paraId="4172E7C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dienesti</w:t>
            </w:r>
          </w:p>
        </w:tc>
      </w:tr>
      <w:tr w:rsidR="005A2D50" w:rsidRPr="005A2D50" w14:paraId="1383D0DB" w14:textId="77777777" w:rsidTr="00F14166">
        <w:tc>
          <w:tcPr>
            <w:tcW w:w="1025" w:type="pct"/>
          </w:tcPr>
          <w:p w14:paraId="07D5F8A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KMK</w:t>
            </w:r>
          </w:p>
        </w:tc>
        <w:tc>
          <w:tcPr>
            <w:tcW w:w="3975" w:type="pct"/>
          </w:tcPr>
          <w:p w14:paraId="36AFDB7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Kopienas Muitas kodekss (Padomes Regula (EEK) Nr. 2913/92)</w:t>
            </w:r>
          </w:p>
        </w:tc>
      </w:tr>
      <w:tr w:rsidR="005A2D50" w:rsidRPr="005A2D50" w14:paraId="7E0B3F2B" w14:textId="77777777" w:rsidTr="00F14166">
        <w:tc>
          <w:tcPr>
            <w:tcW w:w="1025" w:type="pct"/>
          </w:tcPr>
          <w:p w14:paraId="42F02CD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KMK īstenošanas noteikumi</w:t>
            </w:r>
          </w:p>
        </w:tc>
        <w:tc>
          <w:tcPr>
            <w:tcW w:w="3975" w:type="pct"/>
          </w:tcPr>
          <w:p w14:paraId="12F5E2D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kodeksa īstenošanas noteikumi (Komisijas Regula (EEK) Nr. 2454/93)</w:t>
            </w:r>
          </w:p>
        </w:tc>
      </w:tr>
      <w:tr w:rsidR="005A2D50" w:rsidRPr="005A2D50" w14:paraId="293CE654" w14:textId="77777777" w:rsidTr="00F14166">
        <w:tc>
          <w:tcPr>
            <w:tcW w:w="1025" w:type="pct"/>
          </w:tcPr>
          <w:p w14:paraId="10834D4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MD</w:t>
            </w:r>
          </w:p>
        </w:tc>
        <w:tc>
          <w:tcPr>
            <w:tcW w:w="3975" w:type="pct"/>
          </w:tcPr>
          <w:p w14:paraId="1837A18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deklarācija</w:t>
            </w:r>
          </w:p>
        </w:tc>
      </w:tr>
      <w:tr w:rsidR="005A2D50" w:rsidRPr="005A2D50" w14:paraId="508FB988" w14:textId="77777777" w:rsidTr="00F14166">
        <w:tc>
          <w:tcPr>
            <w:tcW w:w="1025" w:type="pct"/>
          </w:tcPr>
          <w:p w14:paraId="205CEB0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MLS</w:t>
            </w:r>
          </w:p>
        </w:tc>
        <w:tc>
          <w:tcPr>
            <w:tcW w:w="3975" w:type="pct"/>
          </w:tcPr>
          <w:p w14:paraId="27B11C1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lēmumu sistēma</w:t>
            </w:r>
          </w:p>
        </w:tc>
      </w:tr>
      <w:tr w:rsidR="005A2D50" w:rsidRPr="005A2D50" w14:paraId="2408D564" w14:textId="77777777" w:rsidTr="00F14166">
        <w:tc>
          <w:tcPr>
            <w:tcW w:w="1025" w:type="pct"/>
          </w:tcPr>
          <w:p w14:paraId="34CD7711"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i/>
                <w:iCs/>
                <w:noProof/>
                <w:sz w:val="24"/>
                <w:lang w:val="en-US"/>
              </w:rPr>
              <w:t xml:space="preserve">CGU </w:t>
            </w:r>
            <w:r w:rsidRPr="005A2D50">
              <w:rPr>
                <w:rFonts w:ascii="Times New Roman" w:hAnsi="Times New Roman"/>
                <w:noProof/>
                <w:sz w:val="24"/>
                <w:lang w:val="en-US"/>
              </w:rPr>
              <w:t>atļauja</w:t>
            </w:r>
          </w:p>
        </w:tc>
        <w:tc>
          <w:tcPr>
            <w:tcW w:w="3975" w:type="pct"/>
          </w:tcPr>
          <w:p w14:paraId="495D86C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atļauja, lai sniegtu vispārējo galvojumu, ieskaitot iespējamo samazinājumu vai atbrīvojumu</w:t>
            </w:r>
          </w:p>
        </w:tc>
      </w:tr>
      <w:tr w:rsidR="005A2D50" w:rsidRPr="005A2D50" w14:paraId="2426EBD2" w14:textId="77777777" w:rsidTr="00F14166">
        <w:tc>
          <w:tcPr>
            <w:tcW w:w="1025" w:type="pct"/>
          </w:tcPr>
          <w:p w14:paraId="01EF2749"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COG</w:t>
            </w:r>
          </w:p>
        </w:tc>
        <w:tc>
          <w:tcPr>
            <w:tcW w:w="3975" w:type="pct"/>
          </w:tcPr>
          <w:p w14:paraId="4EC2D9B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muitas iestāde</w:t>
            </w:r>
          </w:p>
        </w:tc>
      </w:tr>
      <w:tr w:rsidR="005A2D50" w:rsidRPr="005A2D50" w14:paraId="08513016" w14:textId="77777777" w:rsidTr="00F14166">
        <w:tc>
          <w:tcPr>
            <w:tcW w:w="1025" w:type="pct"/>
          </w:tcPr>
          <w:p w14:paraId="0431937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 e.</w:t>
            </w:r>
          </w:p>
        </w:tc>
        <w:tc>
          <w:tcPr>
            <w:tcW w:w="3975" w:type="pct"/>
          </w:tcPr>
          <w:p w14:paraId="7CF2C3D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elements</w:t>
            </w:r>
          </w:p>
        </w:tc>
      </w:tr>
      <w:tr w:rsidR="005A2D50" w:rsidRPr="005A2D50" w14:paraId="72F6177E" w14:textId="77777777" w:rsidTr="00F14166">
        <w:tc>
          <w:tcPr>
            <w:tcW w:w="1025" w:type="pct"/>
          </w:tcPr>
          <w:p w14:paraId="2DAE6907"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EIDR</w:t>
            </w:r>
          </w:p>
        </w:tc>
        <w:tc>
          <w:tcPr>
            <w:tcW w:w="3975" w:type="pct"/>
          </w:tcPr>
          <w:p w14:paraId="16FFEB6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ieraksts deklarētāja reģistros</w:t>
            </w:r>
          </w:p>
        </w:tc>
      </w:tr>
      <w:tr w:rsidR="005A2D50" w:rsidRPr="005A2D50" w14:paraId="2AF08CE3" w14:textId="77777777" w:rsidTr="00F14166">
        <w:tc>
          <w:tcPr>
            <w:tcW w:w="1025" w:type="pct"/>
          </w:tcPr>
          <w:p w14:paraId="65F03781"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GRN</w:t>
            </w:r>
          </w:p>
        </w:tc>
        <w:tc>
          <w:tcPr>
            <w:tcW w:w="3975" w:type="pct"/>
          </w:tcPr>
          <w:p w14:paraId="4B8E3E1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atsauces numurs</w:t>
            </w:r>
          </w:p>
        </w:tc>
      </w:tr>
      <w:tr w:rsidR="005A2D50" w:rsidRPr="005A2D50" w14:paraId="7D909B04" w14:textId="77777777" w:rsidTr="00F14166">
        <w:tc>
          <w:tcPr>
            <w:tcW w:w="1025" w:type="pct"/>
          </w:tcPr>
          <w:p w14:paraId="6959B176"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GUM</w:t>
            </w:r>
          </w:p>
        </w:tc>
        <w:tc>
          <w:tcPr>
            <w:tcW w:w="3975" w:type="pct"/>
          </w:tcPr>
          <w:p w14:paraId="30F9E34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galvojumu pārvaldības sistēma</w:t>
            </w:r>
          </w:p>
        </w:tc>
      </w:tr>
      <w:tr w:rsidR="005A2D50" w:rsidRPr="005A2D50" w14:paraId="5A259FFF" w14:textId="77777777" w:rsidTr="00F14166">
        <w:tc>
          <w:tcPr>
            <w:tcW w:w="1025" w:type="pct"/>
          </w:tcPr>
          <w:p w14:paraId="2F97D73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IP</w:t>
            </w:r>
          </w:p>
        </w:tc>
        <w:tc>
          <w:tcPr>
            <w:tcW w:w="3975" w:type="pct"/>
          </w:tcPr>
          <w:p w14:paraId="6F2784F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ievešana pārstrādei</w:t>
            </w:r>
          </w:p>
        </w:tc>
      </w:tr>
      <w:tr w:rsidR="005A2D50" w:rsidRPr="005A2D50" w14:paraId="4AC55601" w14:textId="77777777" w:rsidTr="00F14166">
        <w:tc>
          <w:tcPr>
            <w:tcW w:w="1025" w:type="pct"/>
          </w:tcPr>
          <w:p w14:paraId="7077DB9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DV</w:t>
            </w:r>
          </w:p>
        </w:tc>
        <w:tc>
          <w:tcPr>
            <w:tcW w:w="3975" w:type="pct"/>
          </w:tcPr>
          <w:p w14:paraId="412F330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dalībvalsts</w:t>
            </w:r>
          </w:p>
        </w:tc>
      </w:tr>
      <w:tr w:rsidR="005A2D50" w:rsidRPr="005A2D50" w14:paraId="44412F40" w14:textId="77777777" w:rsidTr="00F14166">
        <w:tc>
          <w:tcPr>
            <w:tcW w:w="1025" w:type="pct"/>
          </w:tcPr>
          <w:p w14:paraId="0F8142A0"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NCTS</w:t>
            </w:r>
          </w:p>
        </w:tc>
        <w:tc>
          <w:tcPr>
            <w:tcW w:w="3975" w:type="pct"/>
          </w:tcPr>
          <w:p w14:paraId="6CE5BAE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jaunā datorizētā tranzīta kontroles sistēma: IT lietotne tranzītam</w:t>
            </w:r>
          </w:p>
        </w:tc>
      </w:tr>
      <w:tr w:rsidR="005A2D50" w:rsidRPr="005A2D50" w14:paraId="4C9A26A0" w14:textId="77777777" w:rsidTr="00F14166">
        <w:tc>
          <w:tcPr>
            <w:tcW w:w="1025" w:type="pct"/>
          </w:tcPr>
          <w:p w14:paraId="13BE8E95"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RA</w:t>
            </w:r>
          </w:p>
        </w:tc>
        <w:tc>
          <w:tcPr>
            <w:tcW w:w="3975" w:type="pct"/>
          </w:tcPr>
          <w:p w14:paraId="1070A5E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atsauces summa</w:t>
            </w:r>
          </w:p>
        </w:tc>
      </w:tr>
      <w:tr w:rsidR="005A2D50" w:rsidRPr="005A2D50" w14:paraId="444BB933" w14:textId="77777777" w:rsidTr="00F14166">
        <w:tc>
          <w:tcPr>
            <w:tcW w:w="1025" w:type="pct"/>
          </w:tcPr>
          <w:p w14:paraId="50C8A470"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SPE</w:t>
            </w:r>
          </w:p>
        </w:tc>
        <w:tc>
          <w:tcPr>
            <w:tcW w:w="3975" w:type="pct"/>
          </w:tcPr>
          <w:p w14:paraId="3C592E2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īpašas procedūras</w:t>
            </w:r>
          </w:p>
        </w:tc>
      </w:tr>
      <w:tr w:rsidR="005A2D50" w:rsidRPr="005A2D50" w14:paraId="201BEA96" w14:textId="77777777" w:rsidTr="00F14166">
        <w:tc>
          <w:tcPr>
            <w:tcW w:w="1025" w:type="pct"/>
          </w:tcPr>
          <w:p w14:paraId="280CB41E"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TS</w:t>
            </w:r>
          </w:p>
        </w:tc>
        <w:tc>
          <w:tcPr>
            <w:tcW w:w="3975" w:type="pct"/>
          </w:tcPr>
          <w:p w14:paraId="0A66AD8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pagaidu uzglabāšana</w:t>
            </w:r>
          </w:p>
        </w:tc>
      </w:tr>
      <w:tr w:rsidR="005A2D50" w:rsidRPr="005A2D50" w14:paraId="60B9A817" w14:textId="77777777" w:rsidTr="00F14166">
        <w:tc>
          <w:tcPr>
            <w:tcW w:w="1025" w:type="pct"/>
          </w:tcPr>
          <w:p w14:paraId="6A034E76" w14:textId="77777777" w:rsidR="005A2D50" w:rsidRPr="005A2D50" w:rsidRDefault="005A2D50" w:rsidP="00F14166">
            <w:pPr>
              <w:pStyle w:val="TableParagraph"/>
              <w:jc w:val="both"/>
              <w:rPr>
                <w:rFonts w:ascii="Times New Roman" w:hAnsi="Times New Roman"/>
                <w:i/>
                <w:iCs/>
                <w:noProof/>
                <w:sz w:val="24"/>
                <w:lang w:val="en-US"/>
              </w:rPr>
            </w:pPr>
            <w:r w:rsidRPr="005A2D50">
              <w:rPr>
                <w:rFonts w:ascii="Times New Roman" w:hAnsi="Times New Roman"/>
                <w:i/>
                <w:iCs/>
                <w:noProof/>
                <w:sz w:val="24"/>
                <w:lang w:val="en-US"/>
              </w:rPr>
              <w:t>TORO</w:t>
            </w:r>
          </w:p>
        </w:tc>
        <w:tc>
          <w:tcPr>
            <w:tcW w:w="3975" w:type="pct"/>
          </w:tcPr>
          <w:p w14:paraId="1BE5FA2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tiesību un pienākumu nodošana</w:t>
            </w:r>
          </w:p>
        </w:tc>
      </w:tr>
      <w:tr w:rsidR="005A2D50" w:rsidRPr="005A2D50" w14:paraId="06ADDC86" w14:textId="77777777" w:rsidTr="00F14166">
        <w:tc>
          <w:tcPr>
            <w:tcW w:w="1025" w:type="pct"/>
          </w:tcPr>
          <w:p w14:paraId="4D726DF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SMK</w:t>
            </w:r>
          </w:p>
        </w:tc>
        <w:tc>
          <w:tcPr>
            <w:tcW w:w="3975" w:type="pct"/>
          </w:tcPr>
          <w:p w14:paraId="39F1A75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Savienības Muitas kodekss, Regula (ES) Nr. 952/2013</w:t>
            </w:r>
          </w:p>
        </w:tc>
      </w:tr>
      <w:tr w:rsidR="005A2D50" w:rsidRPr="005A2D50" w14:paraId="3B6E871C" w14:textId="77777777" w:rsidTr="00F14166">
        <w:tc>
          <w:tcPr>
            <w:tcW w:w="1025" w:type="pct"/>
          </w:tcPr>
          <w:p w14:paraId="56F1B65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SMK DA</w:t>
            </w:r>
          </w:p>
        </w:tc>
        <w:tc>
          <w:tcPr>
            <w:tcW w:w="3975" w:type="pct"/>
          </w:tcPr>
          <w:p w14:paraId="11EC907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Savienības Muitas kodekss, Deleģētais akts (Komisijas Deleģētā regula (ES) 2015/2446)</w:t>
            </w:r>
          </w:p>
        </w:tc>
      </w:tr>
      <w:tr w:rsidR="005A2D50" w:rsidRPr="005A2D50" w14:paraId="2A32B253" w14:textId="77777777" w:rsidTr="00F14166">
        <w:tc>
          <w:tcPr>
            <w:tcW w:w="1025" w:type="pct"/>
          </w:tcPr>
          <w:p w14:paraId="1A42164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SMK ĪA</w:t>
            </w:r>
          </w:p>
        </w:tc>
        <w:tc>
          <w:tcPr>
            <w:tcW w:w="3975" w:type="pct"/>
          </w:tcPr>
          <w:p w14:paraId="745CE10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Savienības Muitas kodekss, Īstenošanas akts (Komisijas Īstenošanas regula (ES) 2015/2447)</w:t>
            </w:r>
          </w:p>
        </w:tc>
      </w:tr>
      <w:tr w:rsidR="005A2D50" w:rsidRPr="005A2D50" w14:paraId="36C343C2" w14:textId="77777777" w:rsidTr="00F14166">
        <w:tc>
          <w:tcPr>
            <w:tcW w:w="1025" w:type="pct"/>
          </w:tcPr>
          <w:p w14:paraId="75EFE4B4"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SMK </w:t>
            </w:r>
            <w:r w:rsidRPr="005A2D50">
              <w:rPr>
                <w:rFonts w:ascii="Times New Roman" w:hAnsi="Times New Roman"/>
                <w:i/>
                <w:iCs/>
                <w:noProof/>
                <w:sz w:val="24"/>
                <w:lang w:val="en-US"/>
              </w:rPr>
              <w:t>TDA</w:t>
            </w:r>
          </w:p>
        </w:tc>
        <w:tc>
          <w:tcPr>
            <w:tcW w:w="3975" w:type="pct"/>
          </w:tcPr>
          <w:p w14:paraId="0F25C35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Savienības Muitas kodekss, pārejas perioda deleģētais akts (Komisijas Deleģētā regula (ES) 2016/341)</w:t>
            </w:r>
          </w:p>
        </w:tc>
      </w:tr>
    </w:tbl>
    <w:p w14:paraId="7C0B45EF"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5786E792" w14:textId="77777777" w:rsidR="005A2D50" w:rsidRPr="005A2D50" w:rsidRDefault="005A2D50" w:rsidP="005A2D50">
      <w:pPr>
        <w:rPr>
          <w:noProof/>
          <w:lang w:val="en-US"/>
        </w:rPr>
      </w:pPr>
      <w:r w:rsidRPr="005A2D50">
        <w:rPr>
          <w:noProof/>
          <w:lang w:val="en-US"/>
        </w:rPr>
        <w:br w:type="page"/>
      </w:r>
    </w:p>
    <w:p w14:paraId="6D6EAEB8"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A31AB26" w14:textId="77777777" w:rsidR="005A2D50" w:rsidRPr="005A2D50" w:rsidRDefault="005A2D50" w:rsidP="005A2D50">
      <w:pPr>
        <w:pStyle w:val="Heading1"/>
        <w:rPr>
          <w:noProof/>
          <w:lang w:val="en-US"/>
        </w:rPr>
      </w:pPr>
      <w:bookmarkStart w:id="7" w:name="I.2._Expressions_and_definitions"/>
      <w:bookmarkStart w:id="8" w:name="_bookmark2"/>
      <w:bookmarkStart w:id="9" w:name="_Toc104982760"/>
      <w:bookmarkEnd w:id="7"/>
      <w:bookmarkEnd w:id="8"/>
      <w:r w:rsidRPr="005A2D50">
        <w:rPr>
          <w:noProof/>
          <w:lang w:val="en-US"/>
        </w:rPr>
        <w:t>I.2. Frāzes un definīcijas</w:t>
      </w:r>
      <w:bookmarkEnd w:id="9"/>
    </w:p>
    <w:p w14:paraId="6E7FB6A1" w14:textId="77777777" w:rsidR="005A2D50" w:rsidRPr="005A2D50" w:rsidRDefault="005A2D50" w:rsidP="005A2D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2723"/>
        <w:gridCol w:w="6408"/>
      </w:tblGrid>
      <w:tr w:rsidR="005A2D50" w:rsidRPr="005A2D50" w14:paraId="2DB35902" w14:textId="77777777" w:rsidTr="00F14166">
        <w:tc>
          <w:tcPr>
            <w:tcW w:w="1491" w:type="pct"/>
            <w:tcBorders>
              <w:top w:val="nil"/>
              <w:left w:val="nil"/>
              <w:bottom w:val="nil"/>
              <w:right w:val="nil"/>
            </w:tcBorders>
          </w:tcPr>
          <w:p w14:paraId="348E38E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Vispārējais galvojums</w:t>
            </w:r>
          </w:p>
        </w:tc>
        <w:tc>
          <w:tcPr>
            <w:tcW w:w="3509" w:type="pct"/>
            <w:tcBorders>
              <w:top w:val="nil"/>
              <w:left w:val="nil"/>
              <w:bottom w:val="nil"/>
              <w:right w:val="nil"/>
            </w:tcBorders>
          </w:tcPr>
          <w:p w14:paraId="4F2A881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galvojums, kas attiecas uz ievedmuitas vai izvedmuitas nodokļa summu, kura atbilst esošajam un/vai iespējamam muitas parādam un citiem maksājumiem, ja tādi piemērojami, saistībā ar divām vai vairākām darbībām, deklarācijām vai muitas procedūrām.</w:t>
            </w:r>
          </w:p>
        </w:tc>
      </w:tr>
      <w:tr w:rsidR="005A2D50" w:rsidRPr="005A2D50" w14:paraId="4EE389CF" w14:textId="77777777" w:rsidTr="00F14166">
        <w:tc>
          <w:tcPr>
            <w:tcW w:w="1491" w:type="pct"/>
            <w:tcBorders>
              <w:top w:val="nil"/>
              <w:left w:val="nil"/>
              <w:bottom w:val="nil"/>
              <w:right w:val="nil"/>
            </w:tcBorders>
          </w:tcPr>
          <w:p w14:paraId="546A713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muitas iestāde</w:t>
            </w:r>
          </w:p>
        </w:tc>
        <w:tc>
          <w:tcPr>
            <w:tcW w:w="3509" w:type="pct"/>
            <w:tcBorders>
              <w:top w:val="nil"/>
              <w:left w:val="nil"/>
              <w:bottom w:val="nil"/>
              <w:right w:val="nil"/>
            </w:tcBorders>
          </w:tcPr>
          <w:p w14:paraId="12868D3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iestāde, kurā galvojums ir jāsniedz/ir sniegts (SMK ĪA 151. panta 1. punkts).</w:t>
            </w:r>
          </w:p>
        </w:tc>
      </w:tr>
      <w:tr w:rsidR="005A2D50" w:rsidRPr="005A2D50" w14:paraId="7D1CC527" w14:textId="77777777" w:rsidTr="00F14166">
        <w:tc>
          <w:tcPr>
            <w:tcW w:w="1491" w:type="pct"/>
            <w:tcBorders>
              <w:top w:val="nil"/>
              <w:left w:val="nil"/>
              <w:bottom w:val="nil"/>
              <w:right w:val="nil"/>
            </w:tcBorders>
          </w:tcPr>
          <w:p w14:paraId="0A2AB17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deklarācija</w:t>
            </w:r>
          </w:p>
        </w:tc>
        <w:tc>
          <w:tcPr>
            <w:tcW w:w="3509" w:type="pct"/>
            <w:tcBorders>
              <w:top w:val="nil"/>
              <w:left w:val="nil"/>
              <w:bottom w:val="nil"/>
              <w:right w:val="nil"/>
            </w:tcBorders>
          </w:tcPr>
          <w:p w14:paraId="22E66E2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darbība, ar ko persona noteiktā veidā un kārtībā paziņo par savu vēlmi precēm piemērot noteiktu muitas procedūru, vajadzības gadījumā norādot jebkurus īpašus pasākumus, kas būtu jāpiemēro (SMK 5. panta 12. punkts).</w:t>
            </w:r>
          </w:p>
        </w:tc>
      </w:tr>
      <w:tr w:rsidR="005A2D50" w:rsidRPr="005A2D50" w14:paraId="3F9CD263" w14:textId="77777777" w:rsidTr="00F14166">
        <w:tc>
          <w:tcPr>
            <w:tcW w:w="1491" w:type="pct"/>
            <w:tcBorders>
              <w:top w:val="nil"/>
              <w:left w:val="nil"/>
              <w:bottom w:val="nil"/>
              <w:right w:val="nil"/>
            </w:tcBorders>
          </w:tcPr>
          <w:p w14:paraId="53C4541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Vienreizējs galvojums</w:t>
            </w:r>
          </w:p>
        </w:tc>
        <w:tc>
          <w:tcPr>
            <w:tcW w:w="3509" w:type="pct"/>
            <w:tcBorders>
              <w:top w:val="nil"/>
              <w:left w:val="nil"/>
              <w:bottom w:val="nil"/>
              <w:right w:val="nil"/>
            </w:tcBorders>
          </w:tcPr>
          <w:p w14:paraId="2DDAD7F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galvojums, kas attiecas uz vienu darbību saistībā ar esošu vai iespējamu muitas parādu un citiem maksājumiem, ja tādi ir piemērojami (SMK ĪA 148. pants).</w:t>
            </w:r>
          </w:p>
        </w:tc>
      </w:tr>
      <w:tr w:rsidR="005A2D50" w:rsidRPr="005A2D50" w14:paraId="1A53E3E5" w14:textId="77777777" w:rsidTr="00F14166">
        <w:tc>
          <w:tcPr>
            <w:tcW w:w="1491" w:type="pct"/>
            <w:tcBorders>
              <w:top w:val="nil"/>
              <w:left w:val="nil"/>
              <w:bottom w:val="nil"/>
              <w:right w:val="nil"/>
            </w:tcBorders>
          </w:tcPr>
          <w:p w14:paraId="7E3FF2C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Galvojums</w:t>
            </w:r>
          </w:p>
        </w:tc>
        <w:tc>
          <w:tcPr>
            <w:tcW w:w="3509" w:type="pct"/>
            <w:tcBorders>
              <w:top w:val="nil"/>
              <w:left w:val="nil"/>
              <w:bottom w:val="nil"/>
              <w:right w:val="nil"/>
            </w:tcBorders>
          </w:tcPr>
          <w:p w14:paraId="7650F1A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saistības, ko uzņemas ar finanšu līdzekļiem, lai nodrošinātu ievedmuitas vai izvedmuitas nodokļu un, ja atbilstīgi, citu maksājumu apmaksu.</w:t>
            </w:r>
          </w:p>
        </w:tc>
      </w:tr>
      <w:tr w:rsidR="005A2D50" w:rsidRPr="005A2D50" w14:paraId="2AC75967" w14:textId="77777777" w:rsidTr="00F14166">
        <w:tc>
          <w:tcPr>
            <w:tcW w:w="1491" w:type="pct"/>
            <w:tcBorders>
              <w:top w:val="nil"/>
              <w:left w:val="nil"/>
              <w:bottom w:val="nil"/>
              <w:right w:val="nil"/>
            </w:tcBorders>
          </w:tcPr>
          <w:p w14:paraId="1F5A99A4" w14:textId="77777777" w:rsidR="005A2D50" w:rsidRPr="005A2D50" w:rsidRDefault="005A2D50" w:rsidP="00F14166">
            <w:pPr>
              <w:pStyle w:val="TableParagraph"/>
              <w:tabs>
                <w:tab w:val="left" w:pos="1485"/>
                <w:tab w:val="left" w:pos="2464"/>
                <w:tab w:val="left" w:pos="3002"/>
              </w:tabs>
              <w:jc w:val="both"/>
              <w:rPr>
                <w:rFonts w:ascii="Times New Roman" w:hAnsi="Times New Roman" w:cs="Times New Roman"/>
                <w:noProof/>
                <w:sz w:val="24"/>
                <w:szCs w:val="24"/>
                <w:lang w:val="en-US"/>
              </w:rPr>
            </w:pPr>
            <w:r w:rsidRPr="005A2D50">
              <w:rPr>
                <w:rFonts w:ascii="Times New Roman" w:hAnsi="Times New Roman"/>
                <w:noProof/>
                <w:sz w:val="24"/>
                <w:lang w:val="en-US"/>
              </w:rPr>
              <w:t>Atbrīvojums no galvojuma (</w:t>
            </w:r>
            <w:r w:rsidRPr="005A2D50">
              <w:rPr>
                <w:rFonts w:ascii="Times New Roman" w:hAnsi="Times New Roman"/>
                <w:i/>
                <w:iCs/>
                <w:noProof/>
                <w:sz w:val="24"/>
                <w:lang w:val="en-US"/>
              </w:rPr>
              <w:t xml:space="preserve">CGU </w:t>
            </w:r>
            <w:r w:rsidRPr="005A2D50">
              <w:rPr>
                <w:rFonts w:ascii="Times New Roman" w:hAnsi="Times New Roman"/>
                <w:noProof/>
                <w:sz w:val="24"/>
                <w:lang w:val="en-US"/>
              </w:rPr>
              <w:t>kontekstā)</w:t>
            </w:r>
          </w:p>
        </w:tc>
        <w:tc>
          <w:tcPr>
            <w:tcW w:w="3509" w:type="pct"/>
            <w:tcBorders>
              <w:top w:val="nil"/>
              <w:left w:val="nil"/>
              <w:bottom w:val="nil"/>
              <w:right w:val="nil"/>
            </w:tcBorders>
          </w:tcPr>
          <w:p w14:paraId="71C4ED0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faktiskās galvojuma summas pilnīga samazināšana (galvojumu paredz tiesību normas, bet tā faktiskā summa ir nulle).</w:t>
            </w:r>
          </w:p>
        </w:tc>
      </w:tr>
      <w:tr w:rsidR="005A2D50" w:rsidRPr="005A2D50" w14:paraId="5E3AFAC7" w14:textId="77777777" w:rsidTr="00F14166">
        <w:tc>
          <w:tcPr>
            <w:tcW w:w="1491" w:type="pct"/>
            <w:tcBorders>
              <w:top w:val="nil"/>
              <w:left w:val="nil"/>
              <w:bottom w:val="nil"/>
              <w:right w:val="nil"/>
            </w:tcBorders>
          </w:tcPr>
          <w:p w14:paraId="3CBD8F1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Galvenais atsauces numurs</w:t>
            </w:r>
          </w:p>
        </w:tc>
        <w:tc>
          <w:tcPr>
            <w:tcW w:w="3509" w:type="pct"/>
            <w:tcBorders>
              <w:top w:val="nil"/>
              <w:left w:val="nil"/>
              <w:bottom w:val="nil"/>
              <w:right w:val="nil"/>
            </w:tcBorders>
          </w:tcPr>
          <w:p w14:paraId="4F2875C6"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reģistrācijas numurs, ko kompetentie muitas dienesti piešķir deklarācijām vai paziņojumiem, kas minēti SMK 5. panta 9.–14. punktā, </w:t>
            </w:r>
            <w:r w:rsidRPr="005A2D50">
              <w:rPr>
                <w:rFonts w:ascii="Times New Roman" w:hAnsi="Times New Roman"/>
                <w:i/>
                <w:iCs/>
                <w:noProof/>
                <w:sz w:val="24"/>
                <w:lang w:val="en-US"/>
              </w:rPr>
              <w:t xml:space="preserve">TIR </w:t>
            </w:r>
            <w:r w:rsidRPr="005A2D50">
              <w:rPr>
                <w:rFonts w:ascii="Times New Roman" w:hAnsi="Times New Roman"/>
                <w:noProof/>
                <w:sz w:val="24"/>
                <w:lang w:val="en-US"/>
              </w:rPr>
              <w:t>operācijām vai Savienības preču muitas statusa pierādīšanai.</w:t>
            </w:r>
          </w:p>
        </w:tc>
      </w:tr>
      <w:tr w:rsidR="005A2D50" w:rsidRPr="005A2D50" w14:paraId="5CD77D7D" w14:textId="77777777" w:rsidTr="00F14166">
        <w:tc>
          <w:tcPr>
            <w:tcW w:w="1491" w:type="pct"/>
            <w:tcBorders>
              <w:top w:val="nil"/>
              <w:left w:val="nil"/>
              <w:bottom w:val="nil"/>
              <w:right w:val="nil"/>
            </w:tcBorders>
          </w:tcPr>
          <w:p w14:paraId="17B399E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Atsauces summa</w:t>
            </w:r>
          </w:p>
        </w:tc>
        <w:tc>
          <w:tcPr>
            <w:tcW w:w="3509" w:type="pct"/>
            <w:tcBorders>
              <w:top w:val="nil"/>
              <w:left w:val="nil"/>
              <w:bottom w:val="nil"/>
              <w:right w:val="nil"/>
            </w:tcBorders>
          </w:tcPr>
          <w:p w14:paraId="6025200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summa, kas ir vienāda ar precīzu ievedmuitas vai izvedmuitas nodokļa summu, kura atbilst muitas parādam un citiem maksājumiem, kas ir radušies.</w:t>
            </w:r>
          </w:p>
          <w:p w14:paraId="0B4B2502"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Summa, kas ir vienāda ar ievedmuitas vai izvedmuitas nodokļa summu, kura atbilst muitas parādam un citiem maksājumiem, kas var būt maksājami, un kas aprēķināta, pamatojoties uz augstākajām ievedmuitas vai izvedmuitas nodokļa likmēm, kuras piemērojamas tāda paša veida precēm, un augstākajām citu maksājumu likmēm, kuras maksājamas saistībā ar tāda paša veida preču importu vai eksportu </w:t>
            </w:r>
            <w:r w:rsidRPr="005A2D50">
              <w:rPr>
                <w:rFonts w:ascii="Times New Roman" w:hAnsi="Times New Roman"/>
                <w:i/>
                <w:iCs/>
                <w:noProof/>
                <w:sz w:val="24"/>
                <w:lang w:val="en-US"/>
              </w:rPr>
              <w:t>COG</w:t>
            </w:r>
            <w:r w:rsidRPr="005A2D50">
              <w:rPr>
                <w:rFonts w:ascii="Times New Roman" w:hAnsi="Times New Roman"/>
                <w:noProof/>
                <w:sz w:val="24"/>
                <w:lang w:val="en-US"/>
              </w:rPr>
              <w:t xml:space="preserve"> dalībvalstī.</w:t>
            </w:r>
          </w:p>
        </w:tc>
      </w:tr>
      <w:tr w:rsidR="005A2D50" w:rsidRPr="005A2D50" w14:paraId="519272DE" w14:textId="77777777" w:rsidTr="00F14166">
        <w:tc>
          <w:tcPr>
            <w:tcW w:w="1491" w:type="pct"/>
            <w:tcBorders>
              <w:top w:val="nil"/>
              <w:left w:val="nil"/>
              <w:bottom w:val="nil"/>
              <w:right w:val="nil"/>
            </w:tcBorders>
          </w:tcPr>
          <w:p w14:paraId="51F6145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Pagaidu uzglabāšanas deklarācija</w:t>
            </w:r>
          </w:p>
        </w:tc>
        <w:tc>
          <w:tcPr>
            <w:tcW w:w="3509" w:type="pct"/>
            <w:tcBorders>
              <w:top w:val="nil"/>
              <w:left w:val="nil"/>
              <w:bottom w:val="nil"/>
              <w:right w:val="nil"/>
            </w:tcBorders>
          </w:tcPr>
          <w:p w14:paraId="6877A8C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darbība, ar ko persona noteiktā veidā un kārtībā paziņo par preču novietošanu pagaidu glabāšanā.</w:t>
            </w:r>
          </w:p>
        </w:tc>
      </w:tr>
    </w:tbl>
    <w:p w14:paraId="7A4D9EA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ECCCECE" w14:textId="77777777" w:rsidR="005A2D50" w:rsidRPr="005A2D50" w:rsidRDefault="005A2D50" w:rsidP="005A2D50">
      <w:pPr>
        <w:rPr>
          <w:noProof/>
          <w:lang w:val="en-US"/>
        </w:rPr>
      </w:pPr>
      <w:r w:rsidRPr="005A2D50">
        <w:rPr>
          <w:noProof/>
          <w:lang w:val="en-US"/>
        </w:rPr>
        <w:br w:type="page"/>
      </w:r>
    </w:p>
    <w:p w14:paraId="62266FCE"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779C09CC" w14:textId="77777777" w:rsidR="005A2D50" w:rsidRPr="005A2D50" w:rsidRDefault="005A2D50" w:rsidP="005A2D50">
      <w:pPr>
        <w:pStyle w:val="Heading1"/>
        <w:rPr>
          <w:noProof/>
          <w:lang w:val="en-US"/>
        </w:rPr>
      </w:pPr>
      <w:bookmarkStart w:id="10" w:name="II._General_legal_provisions_governing_g"/>
      <w:bookmarkStart w:id="11" w:name="_bookmark3"/>
      <w:bookmarkStart w:id="12" w:name="_Toc104982761"/>
      <w:bookmarkEnd w:id="10"/>
      <w:bookmarkEnd w:id="11"/>
      <w:r w:rsidRPr="005A2D50">
        <w:rPr>
          <w:noProof/>
          <w:lang w:val="en-US"/>
        </w:rPr>
        <w:t>II. VISPĀRĒJĀS TIESĪBU NORMAS, KAS REGLAMENTĒ GALVOJUMUS</w:t>
      </w:r>
      <w:bookmarkEnd w:id="12"/>
    </w:p>
    <w:p w14:paraId="3830E0C1"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62B1984" w14:textId="77777777" w:rsidR="005A2D50" w:rsidRPr="005A2D50" w:rsidRDefault="005A2D50" w:rsidP="005A2D50">
      <w:pPr>
        <w:pStyle w:val="Heading1"/>
        <w:rPr>
          <w:noProof/>
          <w:lang w:val="en-US"/>
        </w:rPr>
      </w:pPr>
      <w:bookmarkStart w:id="13" w:name="II.1._Situations_where_no_guarantee_need"/>
      <w:bookmarkStart w:id="14" w:name="_bookmark4"/>
      <w:bookmarkStart w:id="15" w:name="_Toc104982762"/>
      <w:bookmarkEnd w:id="13"/>
      <w:bookmarkEnd w:id="14"/>
      <w:r w:rsidRPr="005A2D50">
        <w:rPr>
          <w:noProof/>
          <w:lang w:val="en-US"/>
        </w:rPr>
        <w:t>II.1. Situācijas, kad galvojums nav jāsniedz</w:t>
      </w:r>
      <w:bookmarkEnd w:id="15"/>
    </w:p>
    <w:p w14:paraId="7E7EA8C7"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C1DD39A" w14:textId="77777777" w:rsidR="005A2D50" w:rsidRPr="005A2D50" w:rsidRDefault="005A2D50" w:rsidP="005A2D50">
      <w:pPr>
        <w:pStyle w:val="BodyText"/>
        <w:rPr>
          <w:lang w:val="en-US"/>
        </w:rPr>
      </w:pPr>
      <w:r w:rsidRPr="005A2D50">
        <w:rPr>
          <w:lang w:val="en-US"/>
        </w:rPr>
        <w:t>Muitas dienesti (</w:t>
      </w:r>
      <w:r w:rsidRPr="005A2D50">
        <w:rPr>
          <w:i/>
          <w:iCs/>
          <w:lang w:val="en-US"/>
        </w:rPr>
        <w:t>CA</w:t>
      </w:r>
      <w:r w:rsidRPr="005A2D50">
        <w:rPr>
          <w:lang w:val="en-US"/>
        </w:rPr>
        <w:t>) neprasa galvojumu situācijās, kas izklāstītas SMK 89. panta 7. un 8. punktā.</w:t>
      </w:r>
    </w:p>
    <w:p w14:paraId="7F4B97C7" w14:textId="77777777" w:rsidR="005A2D50" w:rsidRPr="005A2D50" w:rsidRDefault="005A2D50" w:rsidP="005A2D50">
      <w:pPr>
        <w:pStyle w:val="BodyText"/>
        <w:rPr>
          <w:lang w:val="en-US"/>
        </w:rPr>
      </w:pPr>
    </w:p>
    <w:p w14:paraId="120AAF85" w14:textId="77777777" w:rsidR="005A2D50" w:rsidRPr="005A2D50" w:rsidRDefault="005A2D50" w:rsidP="005A2D50">
      <w:pPr>
        <w:pStyle w:val="BodyText"/>
        <w:rPr>
          <w:lang w:val="en-US"/>
        </w:rPr>
      </w:pPr>
      <w:r w:rsidRPr="005A2D50">
        <w:rPr>
          <w:lang w:val="en-US"/>
        </w:rPr>
        <w:t>Proti:</w:t>
      </w:r>
    </w:p>
    <w:p w14:paraId="3EFC4F78" w14:textId="77777777" w:rsidR="005A2D50" w:rsidRPr="005A2D50" w:rsidRDefault="005A2D50" w:rsidP="005A2D50">
      <w:pPr>
        <w:pStyle w:val="BodyText"/>
        <w:rPr>
          <w:lang w:val="en-US"/>
        </w:rPr>
      </w:pPr>
    </w:p>
    <w:p w14:paraId="70817360" w14:textId="77777777" w:rsidR="005A2D50" w:rsidRPr="005A2D50" w:rsidRDefault="005A2D50" w:rsidP="005A2D50">
      <w:pPr>
        <w:pStyle w:val="BodyText"/>
        <w:numPr>
          <w:ilvl w:val="0"/>
          <w:numId w:val="58"/>
        </w:numPr>
        <w:tabs>
          <w:tab w:val="left" w:pos="567"/>
        </w:tabs>
        <w:ind w:left="0" w:firstLine="0"/>
        <w:rPr>
          <w:lang w:val="en-US"/>
        </w:rPr>
      </w:pPr>
      <w:r w:rsidRPr="005A2D50">
        <w:rPr>
          <w:lang w:val="en-US"/>
        </w:rPr>
        <w:t>attiecībā uz darbībām, kurās valstis, reģionālās un vietējās pašvaldības iestādes vai citas struktūras, kuras reglamentē publiskās tiesības, ir iesaistītas kā valsts iestādes;</w:t>
      </w:r>
    </w:p>
    <w:p w14:paraId="31342056" w14:textId="77777777" w:rsidR="005A2D50" w:rsidRPr="005A2D50" w:rsidRDefault="005A2D50" w:rsidP="005A2D50">
      <w:pPr>
        <w:pStyle w:val="BodyText"/>
        <w:numPr>
          <w:ilvl w:val="0"/>
          <w:numId w:val="58"/>
        </w:numPr>
        <w:tabs>
          <w:tab w:val="left" w:pos="567"/>
        </w:tabs>
        <w:ind w:left="0" w:firstLine="0"/>
        <w:rPr>
          <w:lang w:val="en-US"/>
        </w:rPr>
      </w:pPr>
      <w:r w:rsidRPr="005A2D50">
        <w:rPr>
          <w:lang w:val="en-US"/>
        </w:rPr>
        <w:t>preces pārvadā pa Reinu, Reinas ūdensceļiem, Donavu vai Donavas ūdensceļiem;</w:t>
      </w:r>
    </w:p>
    <w:p w14:paraId="37C963D3" w14:textId="77777777" w:rsidR="005A2D50" w:rsidRPr="005A2D50" w:rsidRDefault="005A2D50" w:rsidP="005A2D50">
      <w:pPr>
        <w:pStyle w:val="BodyText"/>
        <w:numPr>
          <w:ilvl w:val="0"/>
          <w:numId w:val="58"/>
        </w:numPr>
        <w:tabs>
          <w:tab w:val="left" w:pos="567"/>
        </w:tabs>
        <w:ind w:left="0" w:firstLine="0"/>
        <w:rPr>
          <w:lang w:val="en-US"/>
        </w:rPr>
      </w:pPr>
      <w:r w:rsidRPr="005A2D50">
        <w:rPr>
          <w:lang w:val="en-US"/>
        </w:rPr>
        <w:t>preces tiek pārvietotas ar stacionārām transporta iekārtām;</w:t>
      </w:r>
    </w:p>
    <w:p w14:paraId="440774A9" w14:textId="77777777" w:rsidR="005A2D50" w:rsidRPr="005A2D50" w:rsidRDefault="005A2D50" w:rsidP="005A2D50">
      <w:pPr>
        <w:pStyle w:val="BodyText"/>
        <w:numPr>
          <w:ilvl w:val="0"/>
          <w:numId w:val="58"/>
        </w:numPr>
        <w:tabs>
          <w:tab w:val="left" w:pos="567"/>
        </w:tabs>
        <w:ind w:left="0" w:firstLine="0"/>
        <w:rPr>
          <w:lang w:val="en-US"/>
        </w:rPr>
      </w:pPr>
      <w:r w:rsidRPr="005A2D50">
        <w:rPr>
          <w:lang w:val="en-US"/>
        </w:rPr>
        <w:t>konkrētos gadījumos, kad precēm ir piemērota pagaidu ievešanas procedūra (SMK DA 81. pants);</w:t>
      </w:r>
    </w:p>
    <w:p w14:paraId="6D135D85" w14:textId="77777777" w:rsidR="005A2D50" w:rsidRPr="005A2D50" w:rsidRDefault="005A2D50" w:rsidP="005A2D50">
      <w:pPr>
        <w:pStyle w:val="BodyText"/>
        <w:numPr>
          <w:ilvl w:val="0"/>
          <w:numId w:val="58"/>
        </w:numPr>
        <w:tabs>
          <w:tab w:val="left" w:pos="567"/>
        </w:tabs>
        <w:ind w:left="0" w:firstLine="0"/>
        <w:rPr>
          <w:lang w:val="en-US"/>
        </w:rPr>
      </w:pPr>
      <w:r w:rsidRPr="005A2D50">
        <w:rPr>
          <w:lang w:val="en-US"/>
        </w:rPr>
        <w:t>preces, kurām piemēro Savienības tranzīta procedūru, muitas deklarācijai (MD) izmantojot elektronisko pārvadājuma dokumentu (vienkāršošana, kas minēta 233. panta 4. punkta e) apakšpunktā), un kuras pārvadā pa jūru vai pa gaisu starp Savienības ostām vai Savienības lidostām.</w:t>
      </w:r>
    </w:p>
    <w:p w14:paraId="1AF7A743" w14:textId="77777777" w:rsidR="005A2D50" w:rsidRPr="005A2D50" w:rsidRDefault="005A2D50" w:rsidP="005A2D50">
      <w:pPr>
        <w:pStyle w:val="BodyText"/>
        <w:rPr>
          <w:lang w:val="en-US"/>
        </w:rPr>
      </w:pPr>
    </w:p>
    <w:p w14:paraId="29D87734" w14:textId="77777777" w:rsidR="005A2D50" w:rsidRPr="005A2D50" w:rsidRDefault="005A2D50" w:rsidP="005A2D50">
      <w:pPr>
        <w:pStyle w:val="BodyText"/>
        <w:rPr>
          <w:lang w:val="en-US"/>
        </w:rPr>
      </w:pPr>
      <w:r w:rsidRPr="005A2D50">
        <w:rPr>
          <w:lang w:val="en-US"/>
        </w:rPr>
        <w:t>SMK DA 153. pantā ir noteikts: “Ja pirms tādu preču izlaišanas, uz kurām attiecas pieprasījums piešķirt tarifu kvotu, attiecīgā tarifu kvota nav uzskatāma par kritisku, tad preču izlaišana nav atkarīga no galvojuma sniegšanas par minētajām precēm.”</w:t>
      </w:r>
    </w:p>
    <w:p w14:paraId="7061D2C4" w14:textId="77777777" w:rsidR="005A2D50" w:rsidRPr="005A2D50" w:rsidRDefault="005A2D50" w:rsidP="005A2D50">
      <w:pPr>
        <w:pStyle w:val="BodyText"/>
        <w:rPr>
          <w:lang w:val="en-US"/>
        </w:rPr>
      </w:pPr>
      <w:bookmarkStart w:id="16" w:name="II.2._Optional_guarantee"/>
      <w:bookmarkStart w:id="17" w:name="_bookmark5"/>
      <w:bookmarkEnd w:id="16"/>
      <w:bookmarkEnd w:id="17"/>
    </w:p>
    <w:p w14:paraId="73DF90FA" w14:textId="77777777" w:rsidR="005A2D50" w:rsidRPr="005A2D50" w:rsidRDefault="005A2D50" w:rsidP="005A2D50">
      <w:pPr>
        <w:pStyle w:val="Heading1"/>
        <w:rPr>
          <w:noProof/>
          <w:lang w:val="en-US"/>
        </w:rPr>
      </w:pPr>
      <w:bookmarkStart w:id="18" w:name="_Toc104982763"/>
      <w:r w:rsidRPr="005A2D50">
        <w:rPr>
          <w:noProof/>
          <w:lang w:val="en-US"/>
        </w:rPr>
        <w:t>II.2. Neobligāts galvojums</w:t>
      </w:r>
      <w:bookmarkEnd w:id="18"/>
    </w:p>
    <w:p w14:paraId="62C9B6B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F725F1E" w14:textId="77777777" w:rsidR="005A2D50" w:rsidRPr="005A2D50" w:rsidRDefault="005A2D50" w:rsidP="005A2D50">
      <w:pPr>
        <w:pStyle w:val="BodyText"/>
        <w:rPr>
          <w:lang w:val="en-US"/>
        </w:rPr>
      </w:pPr>
      <w:r w:rsidRPr="005A2D50">
        <w:rPr>
          <w:lang w:val="en-US"/>
        </w:rPr>
        <w:t>Sniegt galvojumu nav obligāti nevienā gadījumā, kurā tiesību akti (valsts vai ES) paredz muitas dienestiem iespēju pieprasīt sniegt galvojumu. Saskaņā ar SMK 91. pantu neobligātu galvojumu muitas dienesti katrā ziņā pieprasa sniegt, ja tiem nav pārliecības, ka muitas parādam atbilstīgā ievedmuitas vai izvedmuitas nodokļa summa un citi maksājumi tiks samaksāti noteiktajā termiņā. Neobligāta galvojuma piemēri ir sniegti šo vadlīniju pielikumā.</w:t>
      </w:r>
      <w:r w:rsidRPr="005A2D50">
        <w:rPr>
          <w:rStyle w:val="FootnoteReference"/>
          <w:lang w:val="en-US"/>
        </w:rPr>
        <w:footnoteReference w:id="1"/>
      </w:r>
    </w:p>
    <w:p w14:paraId="11B7F24B" w14:textId="77777777" w:rsidR="005A2D50" w:rsidRPr="005A2D50" w:rsidRDefault="005A2D50" w:rsidP="005A2D50">
      <w:pPr>
        <w:pStyle w:val="BodyText"/>
        <w:rPr>
          <w:lang w:val="en-US"/>
        </w:rPr>
      </w:pPr>
      <w:bookmarkStart w:id="19" w:name="II.3._General_provisions_applicable_in_c"/>
      <w:bookmarkStart w:id="20" w:name="_bookmark6"/>
      <w:bookmarkEnd w:id="19"/>
      <w:bookmarkEnd w:id="20"/>
    </w:p>
    <w:p w14:paraId="58D6EC67" w14:textId="77777777" w:rsidR="005A2D50" w:rsidRPr="005A2D50" w:rsidRDefault="005A2D50" w:rsidP="005A2D50">
      <w:pPr>
        <w:pStyle w:val="Heading1"/>
        <w:rPr>
          <w:noProof/>
          <w:lang w:val="en-US"/>
        </w:rPr>
      </w:pPr>
      <w:bookmarkStart w:id="21" w:name="_Toc104982764"/>
      <w:r w:rsidRPr="005A2D50">
        <w:rPr>
          <w:noProof/>
          <w:lang w:val="en-US"/>
        </w:rPr>
        <w:t>II.3. Vispārīgi noteikumi, kas piemērojami gadījumā, ja galvojums ir nepieciešams</w:t>
      </w:r>
      <w:bookmarkEnd w:id="21"/>
    </w:p>
    <w:p w14:paraId="48381E5C"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BF17B53" w14:textId="77777777" w:rsidR="005A2D50" w:rsidRPr="005A2D50" w:rsidRDefault="005A2D50" w:rsidP="005A2D50">
      <w:pPr>
        <w:pStyle w:val="BodyText"/>
        <w:rPr>
          <w:lang w:val="en-US"/>
        </w:rPr>
      </w:pPr>
      <w:r w:rsidRPr="005A2D50">
        <w:rPr>
          <w:lang w:val="en-US"/>
        </w:rPr>
        <w:t>Galvojumam ir jāsedz muitas parādi, kas radušies (esošie parādi), muitas parādi, kas var rasties (iespējamie parādi), un, ja atbilstīgi, citi maksājumi.</w:t>
      </w:r>
    </w:p>
    <w:p w14:paraId="6A14F910" w14:textId="77777777" w:rsidR="005A2D50" w:rsidRPr="005A2D50" w:rsidRDefault="005A2D50" w:rsidP="005A2D50">
      <w:pPr>
        <w:pStyle w:val="BodyText"/>
        <w:rPr>
          <w:lang w:val="en-US"/>
        </w:rPr>
      </w:pPr>
      <w:r w:rsidRPr="005A2D50">
        <w:rPr>
          <w:lang w:val="en-US"/>
        </w:rPr>
        <w:t xml:space="preserve">Galvojums ir atkāpšanās iespēja muitas nodokļu un citu maksājumu, ja piemērojami, iekasēšanas procesā. Vispirms, sniedzot paziņojumu par muitas parādu, </w:t>
      </w:r>
      <w:r w:rsidRPr="005A2D50">
        <w:rPr>
          <w:i/>
          <w:iCs/>
          <w:lang w:val="en-US"/>
        </w:rPr>
        <w:t xml:space="preserve">CA </w:t>
      </w:r>
      <w:r w:rsidRPr="005A2D50">
        <w:rPr>
          <w:lang w:val="en-US"/>
        </w:rPr>
        <w:t xml:space="preserve">ir jāvēršas pie parādnieka attiecībā uz muitas parādu un citu maksājumu, ja piemērojami, nomaksu (SMK 102. pants). Saskaņā ar SMK 113. pantu </w:t>
      </w:r>
      <w:r w:rsidRPr="005A2D50">
        <w:rPr>
          <w:i/>
          <w:iCs/>
          <w:lang w:val="en-US"/>
        </w:rPr>
        <w:t>CA</w:t>
      </w:r>
      <w:r w:rsidRPr="005A2D50">
        <w:rPr>
          <w:lang w:val="en-US"/>
        </w:rPr>
        <w:t>, izmantojot visus līdzekļus, kas ir to rīcībā saskaņā ar attiecīgā dalībvalstī spēkā esošajiem tiesību aktiem, tostarp galvojuma izpildi, ir jānodrošina visu to muitas nodokļu samaksa, kas nav nomaksāti noteiktajā termiņā (SMK 108. pants).</w:t>
      </w:r>
    </w:p>
    <w:p w14:paraId="41A3D9D1" w14:textId="77777777" w:rsidR="005A2D50" w:rsidRPr="005A2D50" w:rsidRDefault="005A2D50" w:rsidP="005A2D50">
      <w:pPr>
        <w:pStyle w:val="BodyText"/>
        <w:rPr>
          <w:lang w:val="en-US"/>
        </w:rPr>
      </w:pPr>
    </w:p>
    <w:p w14:paraId="45E7FC32" w14:textId="77777777" w:rsidR="005A2D50" w:rsidRPr="005A2D50" w:rsidRDefault="005A2D50" w:rsidP="005A2D50">
      <w:pPr>
        <w:pStyle w:val="Heading1"/>
        <w:keepNext/>
        <w:keepLines/>
        <w:rPr>
          <w:noProof/>
          <w:lang w:val="en-US"/>
        </w:rPr>
      </w:pPr>
      <w:bookmarkStart w:id="22" w:name="II.3.1._Geographical_validity_of_the_gua"/>
      <w:bookmarkStart w:id="23" w:name="_bookmark7"/>
      <w:bookmarkStart w:id="24" w:name="_Toc104982765"/>
      <w:bookmarkEnd w:id="22"/>
      <w:bookmarkEnd w:id="23"/>
      <w:r w:rsidRPr="005A2D50">
        <w:rPr>
          <w:noProof/>
          <w:lang w:val="en-US"/>
        </w:rPr>
        <w:t>II.3.1. Galvojuma derīguma ģeogrāfiskais areāls</w:t>
      </w:r>
      <w:bookmarkEnd w:id="24"/>
    </w:p>
    <w:p w14:paraId="6FC2D8C3" w14:textId="77777777" w:rsidR="005A2D50" w:rsidRPr="005A2D50" w:rsidRDefault="005A2D50" w:rsidP="005A2D50">
      <w:pPr>
        <w:keepNext/>
        <w:keepLines/>
        <w:jc w:val="both"/>
        <w:rPr>
          <w:rFonts w:ascii="Times New Roman" w:eastAsia="Times New Roman" w:hAnsi="Times New Roman" w:cs="Times New Roman"/>
          <w:b/>
          <w:bCs/>
          <w:noProof/>
          <w:sz w:val="24"/>
          <w:szCs w:val="24"/>
          <w:lang w:val="en-US"/>
        </w:rPr>
      </w:pPr>
    </w:p>
    <w:p w14:paraId="21029F70" w14:textId="77777777" w:rsidR="005A2D50" w:rsidRPr="005A2D50" w:rsidRDefault="005A2D50" w:rsidP="005A2D50">
      <w:pPr>
        <w:pStyle w:val="BodyText"/>
        <w:keepNext/>
        <w:keepLines/>
        <w:rPr>
          <w:lang w:val="en-US"/>
        </w:rPr>
      </w:pPr>
      <w:r w:rsidRPr="005A2D50">
        <w:rPr>
          <w:lang w:val="en-US"/>
        </w:rPr>
        <w:t>Parasti, ja muitas parādam ir sniegts galvojums, tam ir jābūt derīgam visās dalībvalstīs, kurās parāds radīsies/var rasties.</w:t>
      </w:r>
    </w:p>
    <w:p w14:paraId="7CAB430E" w14:textId="77777777" w:rsidR="005A2D50" w:rsidRPr="005A2D50" w:rsidRDefault="005A2D50" w:rsidP="005A2D50">
      <w:pPr>
        <w:pStyle w:val="BodyText"/>
        <w:rPr>
          <w:lang w:val="en-US"/>
        </w:rPr>
      </w:pPr>
      <w:r w:rsidRPr="005A2D50">
        <w:rPr>
          <w:lang w:val="en-US"/>
        </w:rPr>
        <w:t>Ar formulējumu “galvojums, ko var izmantot vairākās dalībvalstīs” ir jāsaprot galvojums, ko var pieprasīt divas vai vairākas dalībvalstis atkarībā no tās dalībvalsts, kurā attiecīgais parāds ir radies.</w:t>
      </w:r>
    </w:p>
    <w:p w14:paraId="51387934" w14:textId="77777777" w:rsidR="005A2D50" w:rsidRPr="005A2D50" w:rsidRDefault="005A2D50" w:rsidP="005A2D50">
      <w:pPr>
        <w:pStyle w:val="BodyText"/>
        <w:rPr>
          <w:lang w:val="en-US"/>
        </w:rPr>
      </w:pPr>
      <w:r w:rsidRPr="005A2D50">
        <w:rPr>
          <w:lang w:val="en-US"/>
        </w:rPr>
        <w:t>Ja parāds rodas kādā noteiktā dalībvalstī, tad šis parāds ir jāatgūst attiecīgās dalībvalsts muitas dienestiem.</w:t>
      </w:r>
    </w:p>
    <w:p w14:paraId="7E8EA950" w14:textId="77777777" w:rsidR="005A2D50" w:rsidRPr="005A2D50" w:rsidRDefault="005A2D50" w:rsidP="005A2D50">
      <w:pPr>
        <w:pStyle w:val="BodyText"/>
        <w:rPr>
          <w:lang w:val="en-US"/>
        </w:rPr>
      </w:pPr>
      <w:r w:rsidRPr="005A2D50">
        <w:rPr>
          <w:lang w:val="en-US"/>
        </w:rPr>
        <w:t>Ja galvojums ir derīgs tikai vienā dalībvalstī, tad tikai šīs dalībvalsts muitas dienesti to var pieprasīt par parādiem, kas radušies šajā dalībvalstī (galvojumu var izmantot tikai vienā dalībvalstī).</w:t>
      </w:r>
    </w:p>
    <w:p w14:paraId="420251B5" w14:textId="77777777" w:rsidR="005A2D50" w:rsidRPr="005A2D50" w:rsidRDefault="005A2D50" w:rsidP="005A2D50">
      <w:pPr>
        <w:pStyle w:val="BodyText"/>
        <w:rPr>
          <w:lang w:val="en-US"/>
        </w:rPr>
      </w:pPr>
      <w:r w:rsidRPr="005A2D50">
        <w:rPr>
          <w:lang w:val="en-US"/>
        </w:rPr>
        <w:t>Ja galvojums ir derīgs vairāk nekā vienā dalībvalstī, piemēram, dalībvalstī A un dalībvalstī B, tad dalībvalsts A muitas dienesti var prasīt galvojumu par parādiem, kas radušies dalībvalstī A, un dalībvalsts B muitas dienesti var prasīt šo galvojumu par to parādu atgūšanu, kas radušies dalībvalstī B. Šajā gadījumā galvojumu var izmantot vairāk nekā vienā dalībvalstī.</w:t>
      </w:r>
    </w:p>
    <w:p w14:paraId="6E05591A" w14:textId="77777777" w:rsidR="005A2D50" w:rsidRPr="005A2D50" w:rsidRDefault="005A2D50" w:rsidP="005A2D50">
      <w:pPr>
        <w:pStyle w:val="BodyText"/>
        <w:rPr>
          <w:vertAlign w:val="superscript"/>
          <w:lang w:val="en-US"/>
        </w:rPr>
      </w:pPr>
      <w:r w:rsidRPr="005A2D50">
        <w:rPr>
          <w:lang w:val="en-US"/>
        </w:rPr>
        <w:t>Galvojumā, ko var izmantot vairāk nekā vienā dalībvalstī, ir jāietver tā muitas nodokļu un citu maksājumu summa, kas maksājama saistībā ar preču importu/eksportu (PVN un/vai akcīzes nodokļi).</w:t>
      </w:r>
      <w:r w:rsidRPr="005A2D50">
        <w:rPr>
          <w:vertAlign w:val="superscript"/>
          <w:lang w:val="en-US"/>
        </w:rPr>
        <w:footnoteReference w:id="2"/>
      </w:r>
    </w:p>
    <w:p w14:paraId="5E383E2B" w14:textId="77777777" w:rsidR="005A2D50" w:rsidRPr="005A2D50" w:rsidRDefault="005A2D50" w:rsidP="005A2D50">
      <w:pPr>
        <w:pStyle w:val="BodyText"/>
        <w:rPr>
          <w:lang w:val="en-US"/>
        </w:rPr>
      </w:pPr>
      <w:r w:rsidRPr="005A2D50">
        <w:rPr>
          <w:lang w:val="en-US"/>
        </w:rPr>
        <w:t>Galvojumā, kas ir derīgs tikai vienā dalībvalstī, ietver vismaz muitas nodokļu summu.</w:t>
      </w:r>
    </w:p>
    <w:p w14:paraId="2EB5DE0D" w14:textId="77777777" w:rsidR="005A2D50" w:rsidRPr="005A2D50" w:rsidRDefault="005A2D50" w:rsidP="005A2D50">
      <w:pPr>
        <w:pStyle w:val="BodyText"/>
        <w:rPr>
          <w:lang w:val="en-US"/>
        </w:rPr>
      </w:pPr>
    </w:p>
    <w:p w14:paraId="121457D1" w14:textId="77777777" w:rsidR="005A2D50" w:rsidRPr="005A2D50" w:rsidRDefault="005A2D50" w:rsidP="005A2D50">
      <w:pPr>
        <w:pStyle w:val="BodyText"/>
        <w:rPr>
          <w:b/>
          <w:bCs/>
          <w:i/>
          <w:iCs/>
          <w:lang w:val="en-US"/>
        </w:rPr>
      </w:pPr>
      <w:r w:rsidRPr="005A2D50">
        <w:rPr>
          <w:b/>
          <w:bCs/>
          <w:i/>
          <w:iCs/>
          <w:lang w:val="en-US"/>
        </w:rPr>
        <w:t>Esošie muitas parādi</w:t>
      </w:r>
    </w:p>
    <w:p w14:paraId="31799E28" w14:textId="77777777" w:rsidR="005A2D50" w:rsidRPr="005A2D50" w:rsidRDefault="005A2D50" w:rsidP="005A2D50">
      <w:pPr>
        <w:pStyle w:val="BodyText"/>
        <w:rPr>
          <w:lang w:val="en-US"/>
        </w:rPr>
      </w:pPr>
    </w:p>
    <w:p w14:paraId="21B524F9" w14:textId="77777777" w:rsidR="005A2D50" w:rsidRPr="005A2D50" w:rsidRDefault="005A2D50" w:rsidP="005A2D50">
      <w:pPr>
        <w:pStyle w:val="BodyText"/>
        <w:rPr>
          <w:lang w:val="en-US"/>
        </w:rPr>
      </w:pPr>
      <w:r w:rsidRPr="005A2D50">
        <w:rPr>
          <w:lang w:val="en-US"/>
        </w:rPr>
        <w:t xml:space="preserve">Ja galvojumu sniedz, lai segtu parādu, kas radies saistībā ar laišanu brīvā apgrozībā (ieskaitot centralizēto muitošanu), galvojumam jābūt derīgam tikai tajā dalībvalstī, kurā iesniedz minēto deklarāciju (SMK 87. panta 1. punkts). Tā kā šādā gadījumā galvojums ir derīgs tikai vienā dalībvalstī, tajā ir obligāti jāietver vismaz muitas nodokļi. Tomēr dalībvalsts, kurā iesniedz deklarāciju, var izlemt, vai galvojumā būtu jāietver arī “citi maksājumi”. Centralizētas muitošanas gadījumā </w:t>
      </w:r>
      <w:r w:rsidRPr="005A2D50">
        <w:rPr>
          <w:i/>
          <w:iCs/>
          <w:lang w:val="en-US"/>
        </w:rPr>
        <w:t xml:space="preserve">COG </w:t>
      </w:r>
      <w:r w:rsidRPr="005A2D50">
        <w:rPr>
          <w:lang w:val="en-US"/>
        </w:rPr>
        <w:t>(dalībvalsts, kurā iesniedz muitas deklarāciju laišanai brīvā apgrozībā) var apspriesties ar citām dalībvalstīm (ja preces tiek ievestas), lai lemtu par pārējo maksājumu iekļaušanu atsauces summā.</w:t>
      </w:r>
    </w:p>
    <w:p w14:paraId="3D582007" w14:textId="77777777" w:rsidR="005A2D50" w:rsidRPr="005A2D50" w:rsidRDefault="005A2D50" w:rsidP="005A2D50">
      <w:pPr>
        <w:pStyle w:val="BodyText"/>
        <w:rPr>
          <w:lang w:val="en-US"/>
        </w:rPr>
      </w:pPr>
    </w:p>
    <w:p w14:paraId="78D16F87" w14:textId="77777777" w:rsidR="005A2D50" w:rsidRPr="005A2D50" w:rsidRDefault="005A2D50" w:rsidP="005A2D50">
      <w:pPr>
        <w:pStyle w:val="BodyText"/>
        <w:rPr>
          <w:b/>
          <w:bCs/>
          <w:i/>
          <w:iCs/>
          <w:lang w:val="en-US"/>
        </w:rPr>
      </w:pPr>
      <w:r w:rsidRPr="005A2D50">
        <w:rPr>
          <w:b/>
          <w:bCs/>
          <w:i/>
          <w:iCs/>
          <w:lang w:val="en-US"/>
        </w:rPr>
        <w:t>Iespējamie muitas parādi</w:t>
      </w:r>
    </w:p>
    <w:p w14:paraId="15B076B9" w14:textId="77777777" w:rsidR="005A2D50" w:rsidRPr="005A2D50" w:rsidRDefault="005A2D50" w:rsidP="005A2D50">
      <w:pPr>
        <w:pStyle w:val="BodyText"/>
        <w:rPr>
          <w:lang w:val="en-US"/>
        </w:rPr>
      </w:pPr>
    </w:p>
    <w:p w14:paraId="2DC7413E" w14:textId="77777777" w:rsidR="005A2D50" w:rsidRPr="005A2D50" w:rsidRDefault="005A2D50" w:rsidP="005A2D50">
      <w:pPr>
        <w:pStyle w:val="BodyText"/>
        <w:rPr>
          <w:lang w:val="en-US"/>
        </w:rPr>
      </w:pPr>
      <w:r w:rsidRPr="005A2D50">
        <w:rPr>
          <w:lang w:val="en-US"/>
        </w:rPr>
        <w:t xml:space="preserve">Ja īpašās procedūras / </w:t>
      </w:r>
      <w:r w:rsidRPr="005A2D50">
        <w:rPr>
          <w:i/>
          <w:iCs/>
          <w:lang w:val="en-US"/>
        </w:rPr>
        <w:t xml:space="preserve">TS </w:t>
      </w:r>
      <w:r w:rsidRPr="005A2D50">
        <w:rPr>
          <w:lang w:val="en-US"/>
        </w:rPr>
        <w:t>atļauja attiecas tikai uz vienu dalībvalsti (preču pieteikšana procedūrā, pārstrāde vai uzglabāšana un procedūras pārtraukšana notiek vienā dalībvalstī, lai preces nevarētu pārvietot saskaņā ar īpašo procedūru ārpus minētās dalībvalsts), tad galvojumam ir jābūt spēkā tikai šajā dalībvalstī.</w:t>
      </w:r>
    </w:p>
    <w:p w14:paraId="501EBD8A" w14:textId="77777777" w:rsidR="005A2D50" w:rsidRPr="005A2D50" w:rsidRDefault="005A2D50" w:rsidP="005A2D50">
      <w:pPr>
        <w:pStyle w:val="BodyText"/>
        <w:rPr>
          <w:lang w:val="en-US"/>
        </w:rPr>
      </w:pPr>
      <w:r w:rsidRPr="005A2D50">
        <w:rPr>
          <w:lang w:val="en-US"/>
        </w:rPr>
        <w:t xml:space="preserve">Ja tiek sniegts galvojums īpašai procedūrai vai </w:t>
      </w:r>
      <w:r w:rsidRPr="005A2D50">
        <w:rPr>
          <w:i/>
          <w:iCs/>
          <w:lang w:val="en-US"/>
        </w:rPr>
        <w:t xml:space="preserve">TS </w:t>
      </w:r>
      <w:r w:rsidRPr="005A2D50">
        <w:rPr>
          <w:lang w:val="en-US"/>
        </w:rPr>
        <w:t xml:space="preserve">un preces saskaņā ar šīs īpašās procedūras / </w:t>
      </w:r>
      <w:r w:rsidRPr="005A2D50">
        <w:rPr>
          <w:i/>
          <w:iCs/>
          <w:lang w:val="en-US"/>
        </w:rPr>
        <w:t xml:space="preserve">TS </w:t>
      </w:r>
      <w:r w:rsidRPr="005A2D50">
        <w:rPr>
          <w:lang w:val="en-US"/>
        </w:rPr>
        <w:t xml:space="preserve">atļauju var pārvietot vairāku dalībvalstu teritorijā, pastāv iespēja, ka preces kādā no iesaistītajām dalībvalstīm tiek nelikumīgi izņemtas no minētās procedūras. Tāpēc parāds saistībā ar minētajām precēm var rasties jebkurā dalībvalstī, uz kuru preces var tikt pārvietotas saskaņā ar īpašo procedūru / </w:t>
      </w:r>
      <w:r w:rsidRPr="005A2D50">
        <w:rPr>
          <w:i/>
          <w:iCs/>
          <w:lang w:val="en-US"/>
        </w:rPr>
        <w:t>TS</w:t>
      </w:r>
      <w:r w:rsidRPr="005A2D50">
        <w:rPr>
          <w:lang w:val="en-US"/>
        </w:rPr>
        <w:t xml:space="preserve">. Tā kā minētās īpašās procedūras / </w:t>
      </w:r>
      <w:r w:rsidRPr="005A2D50">
        <w:rPr>
          <w:i/>
          <w:iCs/>
          <w:lang w:val="en-US"/>
        </w:rPr>
        <w:t xml:space="preserve">TS </w:t>
      </w:r>
      <w:r w:rsidRPr="005A2D50">
        <w:rPr>
          <w:lang w:val="en-US"/>
        </w:rPr>
        <w:t xml:space="preserve">atļaujā nav iespējams noteikt, caur kuras dalībvalsts teritoriju preces drīkst pārvietot, pastāv iespēja, ka preces saskaņā ar procedūru tiek pārvietotas jebkurā ES dalībvalstī. Tāpēc parāds, kas rodas saistībā ar procedūras saistību neievērošanu, varētu rasties visās dalībvalstīs, tādēļ galvojumam ir jābūt spēkā visā ES. Ja tiek veikta centralizēta muitošana īpašām procedūrām / </w:t>
      </w:r>
      <w:r w:rsidRPr="005A2D50">
        <w:rPr>
          <w:i/>
          <w:iCs/>
          <w:lang w:val="en-US"/>
        </w:rPr>
        <w:t>TS</w:t>
      </w:r>
      <w:r w:rsidRPr="005A2D50">
        <w:rPr>
          <w:lang w:val="en-US"/>
        </w:rPr>
        <w:t>, galvojuma derīguma ģeogrāfiskais areāls ir līdzīgs.</w:t>
      </w:r>
    </w:p>
    <w:p w14:paraId="465A450D" w14:textId="77777777" w:rsidR="005A2D50" w:rsidRPr="005A2D50" w:rsidRDefault="005A2D50" w:rsidP="005A2D50">
      <w:pPr>
        <w:pStyle w:val="BodyText"/>
        <w:rPr>
          <w:lang w:val="en-US"/>
        </w:rPr>
      </w:pPr>
    </w:p>
    <w:p w14:paraId="1017EF79" w14:textId="77777777" w:rsidR="005A2D50" w:rsidRPr="005A2D50" w:rsidRDefault="005A2D50" w:rsidP="005A2D50">
      <w:pPr>
        <w:pStyle w:val="Heading2"/>
        <w:rPr>
          <w:noProof/>
          <w:lang w:val="en-US"/>
        </w:rPr>
      </w:pPr>
      <w:bookmarkStart w:id="25" w:name="II.3.2._Customs_office_of_guarantee_(COG"/>
      <w:bookmarkStart w:id="26" w:name="_bookmark8"/>
      <w:bookmarkStart w:id="27" w:name="_Toc104982766"/>
      <w:bookmarkEnd w:id="25"/>
      <w:bookmarkEnd w:id="26"/>
      <w:r w:rsidRPr="005A2D50">
        <w:rPr>
          <w:noProof/>
          <w:lang w:val="en-US"/>
        </w:rPr>
        <w:t>II.3.2. Galvojuma muitas iestāde (COG)</w:t>
      </w:r>
      <w:bookmarkEnd w:id="27"/>
    </w:p>
    <w:p w14:paraId="014AB01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951AECE" w14:textId="77777777" w:rsidR="005A2D50" w:rsidRPr="005A2D50" w:rsidRDefault="005A2D50" w:rsidP="005A2D50">
      <w:pPr>
        <w:pStyle w:val="BodyText"/>
        <w:rPr>
          <w:lang w:val="en-US"/>
        </w:rPr>
      </w:pPr>
      <w:r w:rsidRPr="005A2D50">
        <w:rPr>
          <w:lang w:val="en-US"/>
        </w:rPr>
        <w:t xml:space="preserve">Saskaņā ar definīciju, kas sniegta SMK ĪA 151. panta 1. punktā, </w:t>
      </w:r>
      <w:r w:rsidRPr="005A2D50">
        <w:rPr>
          <w:i/>
          <w:iCs/>
          <w:lang w:val="en-US"/>
        </w:rPr>
        <w:t xml:space="preserve">COG </w:t>
      </w:r>
      <w:r w:rsidRPr="005A2D50">
        <w:rPr>
          <w:lang w:val="en-US"/>
        </w:rPr>
        <w:t xml:space="preserve">ir muitas iestāde, kurā galvojums ir sniegts. Ja galvojumu sniedz ar saistībām vai ar citu galvojuma veidu (SMK 92. panta 1. punkta c) apakšpunkts), </w:t>
      </w:r>
      <w:r w:rsidRPr="005A2D50">
        <w:rPr>
          <w:i/>
          <w:iCs/>
          <w:lang w:val="en-US"/>
        </w:rPr>
        <w:t xml:space="preserve">COG </w:t>
      </w:r>
      <w:r w:rsidRPr="005A2D50">
        <w:rPr>
          <w:lang w:val="en-US"/>
        </w:rPr>
        <w:t>šis galvojums ir jāapstiprina.</w:t>
      </w:r>
    </w:p>
    <w:p w14:paraId="3DABEFE0" w14:textId="77777777" w:rsidR="005A2D50" w:rsidRPr="005A2D50" w:rsidRDefault="005A2D50" w:rsidP="005A2D50">
      <w:pPr>
        <w:pStyle w:val="BodyText"/>
        <w:rPr>
          <w:lang w:val="en-US"/>
        </w:rPr>
      </w:pPr>
      <w:r w:rsidRPr="005A2D50">
        <w:rPr>
          <w:lang w:val="en-US"/>
        </w:rPr>
        <w:t xml:space="preserve">Ja galvojumu sniedz skaidras naudas iemaksas veidā kā vienreizēju galvojumu </w:t>
      </w:r>
      <w:r w:rsidRPr="005A2D50">
        <w:rPr>
          <w:i/>
          <w:iCs/>
          <w:lang w:val="en-US"/>
        </w:rPr>
        <w:t xml:space="preserve">SPE </w:t>
      </w:r>
      <w:r w:rsidRPr="005A2D50">
        <w:rPr>
          <w:lang w:val="en-US"/>
        </w:rPr>
        <w:t xml:space="preserve">vai </w:t>
      </w:r>
      <w:r w:rsidRPr="005A2D50">
        <w:rPr>
          <w:i/>
          <w:iCs/>
          <w:lang w:val="en-US"/>
        </w:rPr>
        <w:t>TS</w:t>
      </w:r>
      <w:r w:rsidRPr="005A2D50">
        <w:rPr>
          <w:lang w:val="en-US"/>
        </w:rPr>
        <w:t xml:space="preserve">, </w:t>
      </w:r>
      <w:r w:rsidRPr="005A2D50">
        <w:rPr>
          <w:i/>
          <w:iCs/>
          <w:lang w:val="en-US"/>
        </w:rPr>
        <w:t xml:space="preserve">COG </w:t>
      </w:r>
      <w:r w:rsidRPr="005A2D50">
        <w:rPr>
          <w:lang w:val="en-US"/>
        </w:rPr>
        <w:t>atrodas tur (dalībvalstī), kur tiek veiktas darbības (SMK ĪA 150. pants).</w:t>
      </w:r>
    </w:p>
    <w:p w14:paraId="081E3DF5" w14:textId="77777777" w:rsidR="005A2D50" w:rsidRPr="005A2D50" w:rsidRDefault="005A2D50" w:rsidP="005A2D50">
      <w:pPr>
        <w:pStyle w:val="BodyText"/>
        <w:rPr>
          <w:lang w:val="en-US"/>
        </w:rPr>
      </w:pPr>
      <w:r w:rsidRPr="005A2D50">
        <w:rPr>
          <w:lang w:val="en-US"/>
        </w:rPr>
        <w:t xml:space="preserve">Vispārējā galvojuma gadījumā </w:t>
      </w:r>
      <w:r w:rsidRPr="005A2D50">
        <w:rPr>
          <w:i/>
          <w:iCs/>
          <w:lang w:val="en-US"/>
        </w:rPr>
        <w:t xml:space="preserve">CGU </w:t>
      </w:r>
      <w:r w:rsidRPr="005A2D50">
        <w:rPr>
          <w:lang w:val="en-US"/>
        </w:rPr>
        <w:t xml:space="preserve">atļaujas sniegšanas mērķiem </w:t>
      </w:r>
      <w:r w:rsidRPr="005A2D50">
        <w:rPr>
          <w:i/>
          <w:iCs/>
          <w:lang w:val="en-US"/>
        </w:rPr>
        <w:t xml:space="preserve">COG </w:t>
      </w:r>
      <w:r w:rsidRPr="005A2D50">
        <w:rPr>
          <w:lang w:val="en-US"/>
        </w:rPr>
        <w:t xml:space="preserve">ir no tās pašas vietas, no kuras ir kompetentā iestāde. Tomēr, ja vispārējais galvojums tiek sniegts ar skaidras naudas iemaksu vai ar citiem maksāšanas līdzekļiem, galvojums ir jāsniedz saskaņā ar tās dalībvalsts spēkā esošajiem noteikumiem, kurā galvojumu pieprasa. Tāpēc šajā konkrētajā gadījumā katrai attiecīgajai dalībvalstij būs viena </w:t>
      </w:r>
      <w:r w:rsidRPr="005A2D50">
        <w:rPr>
          <w:i/>
          <w:iCs/>
          <w:lang w:val="en-US"/>
        </w:rPr>
        <w:t>COG</w:t>
      </w:r>
      <w:r w:rsidRPr="005A2D50">
        <w:rPr>
          <w:lang w:val="en-US"/>
        </w:rPr>
        <w:t>.</w:t>
      </w:r>
    </w:p>
    <w:p w14:paraId="0B3B8612" w14:textId="77777777" w:rsidR="005A2D50" w:rsidRPr="005A2D50" w:rsidRDefault="005A2D50" w:rsidP="005A2D50">
      <w:pPr>
        <w:pStyle w:val="BodyText"/>
        <w:rPr>
          <w:lang w:val="en-US"/>
        </w:rPr>
      </w:pPr>
    </w:p>
    <w:p w14:paraId="05931E82" w14:textId="77777777" w:rsidR="005A2D50" w:rsidRPr="005A2D50" w:rsidRDefault="005A2D50" w:rsidP="005A2D50">
      <w:pPr>
        <w:pStyle w:val="Heading2"/>
        <w:rPr>
          <w:noProof/>
          <w:lang w:val="en-US"/>
        </w:rPr>
      </w:pPr>
      <w:bookmarkStart w:id="28" w:name="II.3.3._Scope_of_the_guarantee"/>
      <w:bookmarkStart w:id="29" w:name="_bookmark9"/>
      <w:bookmarkStart w:id="30" w:name="_Toc104982767"/>
      <w:bookmarkEnd w:id="28"/>
      <w:bookmarkEnd w:id="29"/>
      <w:r w:rsidRPr="005A2D50">
        <w:rPr>
          <w:noProof/>
          <w:lang w:val="en-US"/>
        </w:rPr>
        <w:t>II.3.3. Galvojuma tvērums</w:t>
      </w:r>
      <w:bookmarkEnd w:id="30"/>
    </w:p>
    <w:p w14:paraId="78061D0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D9420B6" w14:textId="77777777" w:rsidR="005A2D50" w:rsidRPr="005A2D50" w:rsidRDefault="005A2D50" w:rsidP="005A2D50">
      <w:pPr>
        <w:pStyle w:val="BodyText"/>
        <w:rPr>
          <w:lang w:val="en-US"/>
        </w:rPr>
      </w:pPr>
      <w:r w:rsidRPr="005A2D50">
        <w:rPr>
          <w:lang w:val="en-US"/>
        </w:rPr>
        <w:t>Saskaņā ar SMK 89. panta 4. punktu attiecībā uz konkrētām precēm vai konkrētu deklarāciju muitas dienestiem ir atļauts pieprasīt tikai vienu galvojumu. Tomēr tas neizslēdz iespēju, ka dalībvalsts lūdz papildu galvojumu vai galvojuma aizstāšanu saskaņā ar SMK 97. pantu.</w:t>
      </w:r>
    </w:p>
    <w:p w14:paraId="56B79C24" w14:textId="77777777" w:rsidR="005A2D50" w:rsidRPr="005A2D50" w:rsidRDefault="005A2D50" w:rsidP="005A2D50">
      <w:pPr>
        <w:pStyle w:val="BodyText"/>
        <w:rPr>
          <w:lang w:val="en-US"/>
        </w:rPr>
      </w:pPr>
      <w:r w:rsidRPr="005A2D50">
        <w:rPr>
          <w:lang w:val="en-US"/>
        </w:rPr>
        <w:t>Galvojumam, kas sniegts saistībā ar konkrētu deklarāciju, ir jānodrošina muitas nodokļu un citu maksājumu, ja tādi ir noteikti, samaksa atbilstoši visām precēm, uz kurām attiecas šī deklarācija vai kuras ir izlaistas pret to, neatkarīgi no tā, vai deklarācija ir bijusi pareiza vai nav. Šīs tiesību normas pamatprincips ir šāds – ja iesniedz muitas deklarāciju, visas attiecīgās preces ir pareizi jādeklarē un ir jāizpilda visas saistības attiecībā uz attiecīgo darbību, un tas ietver:</w:t>
      </w:r>
    </w:p>
    <w:p w14:paraId="5CEDE97E" w14:textId="77777777" w:rsidR="005A2D50" w:rsidRPr="005A2D50" w:rsidRDefault="005A2D50" w:rsidP="005A2D50">
      <w:pPr>
        <w:pStyle w:val="BodyText"/>
        <w:rPr>
          <w:lang w:val="en-US"/>
        </w:rPr>
      </w:pPr>
    </w:p>
    <w:p w14:paraId="2E236D80"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sniegtās informācijas precizitāti un pilnīgumu un</w:t>
      </w:r>
    </w:p>
    <w:p w14:paraId="202CA277"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tiek uzskatīts, ka ir nodrošināta visu saistību izpilde attiecībā uz attiecīgās procedūras piemērošanu attiecīgajām precēm.</w:t>
      </w:r>
    </w:p>
    <w:p w14:paraId="6B617656"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505A98C" w14:textId="77777777" w:rsidR="005A2D50" w:rsidRPr="005A2D50" w:rsidRDefault="005A2D50" w:rsidP="005A2D50">
      <w:pPr>
        <w:pStyle w:val="BodyText"/>
        <w:rPr>
          <w:lang w:val="en-US"/>
        </w:rPr>
      </w:pPr>
      <w:r w:rsidRPr="005A2D50">
        <w:rPr>
          <w:lang w:val="en-US"/>
        </w:rPr>
        <w:t>Citiem vārdiem sakot, galvojums attiecas arī uz nedeklarētām vai nepareizi deklarētām precēm, kas iekļautas sūtījumā vai ietvertas deklarācijā, par kuru ir sniegts galvojums.</w:t>
      </w:r>
    </w:p>
    <w:p w14:paraId="15460D58" w14:textId="77777777" w:rsidR="005A2D50" w:rsidRPr="005A2D50" w:rsidRDefault="005A2D50" w:rsidP="005A2D50">
      <w:pPr>
        <w:pStyle w:val="BodyText"/>
        <w:rPr>
          <w:lang w:val="en-US"/>
        </w:rPr>
      </w:pPr>
      <w:r w:rsidRPr="005A2D50">
        <w:rPr>
          <w:lang w:val="en-US"/>
        </w:rPr>
        <w:t>Ja galvojums ir derīgs tikai vienā dalībvalstī, šo galvojumu izmanto vismaz muitas parāda atgūšanai. Ja galvojuma summa ietver citu maksājumu summu, šis galvojums ir jāizmanto arī to atgūšanai, nepārsniedzot summu, kas to segšanai ietverta galvojumā.</w:t>
      </w:r>
    </w:p>
    <w:p w14:paraId="3B7AA643" w14:textId="77777777" w:rsidR="005A2D50" w:rsidRPr="005A2D50" w:rsidRDefault="005A2D50" w:rsidP="005A2D50">
      <w:pPr>
        <w:pStyle w:val="BodyText"/>
        <w:rPr>
          <w:lang w:val="en-US"/>
        </w:rPr>
      </w:pPr>
      <w:r w:rsidRPr="005A2D50">
        <w:rPr>
          <w:lang w:val="en-US"/>
        </w:rPr>
        <w:t>SMK ĪA 244. pants paredz:</w:t>
      </w:r>
    </w:p>
    <w:p w14:paraId="6B492224" w14:textId="77777777" w:rsidR="005A2D50" w:rsidRPr="005A2D50" w:rsidRDefault="005A2D50" w:rsidP="005A2D50">
      <w:pPr>
        <w:pStyle w:val="BodyText"/>
        <w:rPr>
          <w:lang w:val="en-US"/>
        </w:rPr>
      </w:pPr>
    </w:p>
    <w:p w14:paraId="6FAFBC0E" w14:textId="77777777" w:rsidR="005A2D50" w:rsidRPr="005A2D50" w:rsidRDefault="005A2D50" w:rsidP="005A2D50">
      <w:pPr>
        <w:pStyle w:val="BodyText"/>
        <w:rPr>
          <w:lang w:val="en-US"/>
        </w:rPr>
      </w:pPr>
      <w:r w:rsidRPr="005A2D50">
        <w:rPr>
          <w:lang w:val="en-US"/>
        </w:rPr>
        <w:t>“Ja muitas dienesti uzskata, ka muitas deklarācijas pārbaudē, iespējams, tiks konstatēts, ka jāmaksā lielāka ievedmuitas vai izvedmuitas nodokļa un citu maksājumu summa, nekā izriet no muitas deklarācijas ziņām, preču izlaišana ir atkarīga no tāda galvojuma sniegšanas, kas ir pietiekams, lai nosegtu starpību starp summu, kas iegūta saskaņā ar muitas deklarācijas ziņām, un summu, kas galu galā var būt maksājama.”</w:t>
      </w:r>
    </w:p>
    <w:p w14:paraId="43CE6464" w14:textId="77777777" w:rsidR="005A2D50" w:rsidRPr="005A2D50" w:rsidRDefault="005A2D50" w:rsidP="005A2D50">
      <w:pPr>
        <w:pStyle w:val="BodyText"/>
        <w:rPr>
          <w:lang w:val="en-US"/>
        </w:rPr>
      </w:pPr>
    </w:p>
    <w:p w14:paraId="5FEE1B2E" w14:textId="77777777" w:rsidR="005A2D50" w:rsidRPr="005A2D50" w:rsidRDefault="005A2D50" w:rsidP="005A2D50">
      <w:pPr>
        <w:pStyle w:val="BodyText"/>
        <w:rPr>
          <w:lang w:val="en-US"/>
        </w:rPr>
      </w:pPr>
      <w:r w:rsidRPr="005A2D50">
        <w:rPr>
          <w:lang w:val="en-US"/>
        </w:rPr>
        <w:t>Saskaņā ar SMK 97. pantu muitas dienesti jebkurai no 89. panta 3. punktā minētajām personām pieprasa papildu galvojumu, ja tiek konstatēts, ka iesniegtais galvojums nenodrošina muitas parādam atbilstīgās ievedmuitas vai izvedmuitas nodokļa summas vai citu maksājumu samaksu noteiktajā termiņā, vai ja vairs nav pārliecības, ka tas to nodrošinās, vai ja tas nav pietiekams, lai to nodrošinātu. Persona, kurai pieprasa sniegt galvojuma papildu summu, var izvēlēties aizstāt sākotnējo galvojumu ar jaunu. Jāuzsver, ka muita var pieprasīt papildu galvojumu pat tad, ja saskaņā ar SMK 95. pantu ir piešķirts galvojums ar samazinātu summu vai piešķirts atbrīvojums no galvojuma.</w:t>
      </w:r>
    </w:p>
    <w:p w14:paraId="4C959F28" w14:textId="77777777" w:rsidR="005A2D50" w:rsidRPr="005A2D50" w:rsidRDefault="005A2D50" w:rsidP="005A2D50">
      <w:pPr>
        <w:pStyle w:val="BodyText"/>
        <w:rPr>
          <w:lang w:val="en-US"/>
        </w:rPr>
      </w:pPr>
      <w:r w:rsidRPr="005A2D50">
        <w:rPr>
          <w:lang w:val="en-US"/>
        </w:rPr>
        <w:t xml:space="preserve">Saskaņā ar SMK 89. panta 4. punkta trešo daļu, ja galvojums nav atbrīvots, nodrošinātās summas robežās to var izmantot arī tam, lai atgūtu muitas nodokļus un citus maksājumus, ja piemērojami, kas jāmaksā pēc kontroles, ko veic pēc preču izlaišanas, saskaņā ar SMK 48. pantu. Jānodrošina, ka summas, kas izriet no kontroles pēc preču izlaišanas, ir iespējams atgūt galvojumā nodrošinātās summas robežās, ja vien tā ir daļēji vai pilnībā pieejama </w:t>
      </w:r>
      <w:r w:rsidRPr="005A2D50">
        <w:rPr>
          <w:i/>
          <w:iCs/>
          <w:lang w:val="en-US"/>
        </w:rPr>
        <w:t xml:space="preserve">CA </w:t>
      </w:r>
      <w:r w:rsidRPr="005A2D50">
        <w:rPr>
          <w:lang w:val="en-US"/>
        </w:rPr>
        <w:t>rīcībā un ar noteikumu, ka muitas parāda rašanās gadījums ir saistīts ar sākotnējo muitas deklarāciju, procedūru vai uzglabāšanas vietu, par kurām tika pieprasīts galvojums.</w:t>
      </w:r>
    </w:p>
    <w:p w14:paraId="2307AD81"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Praksē SMK 89. panta 4. punkta trešā daļa tikai paplašina galvojuma tvērumu, lai nodrošinātu, ka parādnieks samaksā muitas parādu, kas rodas pēc kontroles, ko veic pēc preču izlaišanas, attiecībā uz precēm, kas iekļautas sūtījumā vai ietvertas deklarācijā, par kuru sākotnēji tika sniegts galvojums. Atliek iespēja atgūt nenomaksātos muitas nodokļus, un </w:t>
      </w:r>
      <w:r w:rsidRPr="005A2D50">
        <w:rPr>
          <w:rFonts w:ascii="Times New Roman" w:hAnsi="Times New Roman"/>
          <w:b/>
          <w:bCs/>
          <w:noProof/>
          <w:sz w:val="24"/>
          <w:lang w:val="en-US"/>
        </w:rPr>
        <w:t>to nevar saprast kā prasību palielināt galvojuma summu</w:t>
      </w:r>
      <w:r w:rsidRPr="005A2D50">
        <w:rPr>
          <w:rFonts w:ascii="Times New Roman" w:hAnsi="Times New Roman"/>
          <w:noProof/>
          <w:sz w:val="24"/>
          <w:lang w:val="en-US"/>
        </w:rPr>
        <w:t xml:space="preserve">. Ja vispārējo galvojumu sniedz ar skaidras naudas iemaksu, </w:t>
      </w:r>
      <w:r w:rsidRPr="005A2D50">
        <w:rPr>
          <w:rFonts w:ascii="Times New Roman" w:hAnsi="Times New Roman"/>
          <w:i/>
          <w:iCs/>
          <w:noProof/>
          <w:sz w:val="24"/>
          <w:lang w:val="en-US"/>
        </w:rPr>
        <w:t xml:space="preserve">CA </w:t>
      </w:r>
      <w:r w:rsidRPr="005A2D50">
        <w:rPr>
          <w:rFonts w:ascii="Times New Roman" w:hAnsi="Times New Roman"/>
          <w:noProof/>
          <w:sz w:val="24"/>
          <w:lang w:val="en-US"/>
        </w:rPr>
        <w:t xml:space="preserve">jāpieprasa personai, kas ir sniegusi galvojumu, atkārtoti noteikt tā summu, ja no attiecīgā galvojuma tiek iekasētas summas, kas nav izmaksātas </w:t>
      </w:r>
      <w:r w:rsidRPr="005A2D50">
        <w:rPr>
          <w:rFonts w:ascii="Times New Roman" w:hAnsi="Times New Roman"/>
          <w:i/>
          <w:iCs/>
          <w:noProof/>
          <w:sz w:val="24"/>
          <w:lang w:val="en-US"/>
        </w:rPr>
        <w:t xml:space="preserve">CA </w:t>
      </w:r>
      <w:r w:rsidRPr="005A2D50">
        <w:rPr>
          <w:rFonts w:ascii="Times New Roman" w:hAnsi="Times New Roman"/>
          <w:noProof/>
          <w:sz w:val="24"/>
          <w:lang w:val="en-US"/>
        </w:rPr>
        <w:t xml:space="preserve">noteiktajā termiņā. Kamēr nav atjaunota skaidras naudas iemaksas sākotnējā summa, uzņēmēja darbība turpmākiem darījumiem var tikt bloķēta. Tomēr summu, kas ar saistībām ir nodrošināta ar vispārējo galvojumu, nevar samazināt par summām, ko galvinieks samaksājis muitas parādu un citu maksājumu, ja piemērojami, atgūšanas procesā, kā izriet no SMK ĪA 32-03. pielikuma juridiskā teksta: </w:t>
      </w:r>
      <w:r w:rsidRPr="005A2D50">
        <w:rPr>
          <w:rFonts w:ascii="Times New Roman" w:hAnsi="Times New Roman"/>
          <w:i/>
          <w:iCs/>
          <w:noProof/>
          <w:sz w:val="24"/>
          <w:lang w:val="en-US"/>
        </w:rPr>
        <w:t>“Šo summu nevar samazināt par tādām summām, kas jau ir samaksātas saskaņā ar šo saistību noteikumiem, izņemot gadījumus, kad parakstītājs tiek aicināts samaksāt parādu, kas radies muitas operācijā, kura uzsākta pirms iepriekšējā maksājuma pieprasījuma saņemšanas vai arī 30 dienu laikā pēc tam.”</w:t>
      </w:r>
    </w:p>
    <w:p w14:paraId="7897FDE2"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79F3C700" w14:textId="77777777" w:rsidR="005A2D50" w:rsidRPr="005A2D50" w:rsidRDefault="005A2D50" w:rsidP="005A2D50">
      <w:pPr>
        <w:pStyle w:val="Heading2"/>
        <w:rPr>
          <w:noProof/>
          <w:lang w:val="en-US"/>
        </w:rPr>
      </w:pPr>
      <w:bookmarkStart w:id="31" w:name="II.3.4._Person_to_provide_the_guarantee"/>
      <w:bookmarkStart w:id="32" w:name="_bookmark10"/>
      <w:bookmarkStart w:id="33" w:name="_Toc104982768"/>
      <w:bookmarkEnd w:id="31"/>
      <w:bookmarkEnd w:id="32"/>
      <w:r w:rsidRPr="005A2D50">
        <w:rPr>
          <w:noProof/>
          <w:lang w:val="en-US"/>
        </w:rPr>
        <w:t>II.3.4. Persona, kura sniedz galvojumu</w:t>
      </w:r>
      <w:bookmarkEnd w:id="33"/>
    </w:p>
    <w:p w14:paraId="18264D9A"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07BD781" w14:textId="77777777" w:rsidR="005A2D50" w:rsidRPr="005A2D50" w:rsidRDefault="005A2D50" w:rsidP="005A2D50">
      <w:pPr>
        <w:tabs>
          <w:tab w:val="left" w:pos="973"/>
        </w:tabs>
        <w:jc w:val="both"/>
        <w:rPr>
          <w:rFonts w:ascii="Times New Roman" w:hAnsi="Times New Roman"/>
          <w:b/>
          <w:noProof/>
          <w:sz w:val="24"/>
          <w:lang w:val="en-US"/>
        </w:rPr>
      </w:pPr>
      <w:bookmarkStart w:id="34" w:name="II.3.4.1._Debtor/potential_debtor"/>
      <w:bookmarkEnd w:id="34"/>
      <w:r w:rsidRPr="005A2D50">
        <w:rPr>
          <w:rFonts w:ascii="Times New Roman" w:hAnsi="Times New Roman"/>
          <w:b/>
          <w:noProof/>
          <w:sz w:val="24"/>
          <w:lang w:val="en-US"/>
        </w:rPr>
        <w:t>II.3.4.1. Parādnieks/iespējamais parādnieks</w:t>
      </w:r>
    </w:p>
    <w:p w14:paraId="7A07191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7D59C3FE" w14:textId="77777777" w:rsidR="005A2D50" w:rsidRPr="005A2D50" w:rsidRDefault="005A2D50" w:rsidP="005A2D50">
      <w:pPr>
        <w:pStyle w:val="BodyText"/>
        <w:rPr>
          <w:lang w:val="en-US"/>
        </w:rPr>
      </w:pPr>
      <w:r w:rsidRPr="005A2D50">
        <w:rPr>
          <w:lang w:val="en-US"/>
        </w:rPr>
        <w:t>Saskaņā ar SMK 89. panta 3. punktu galvojumu pieprasa parādniekam vai iespējamam parādniekam. Termina “parādnieks” definīcija ir sniegta SMK 5. panta 19. punktā (persona, kas ir atbildīga par muitas parādu). Kodeksa 77.–82. pantā norādīts, kurš uzskatāms par parādnieku attiecībā uz katru iespējamo muitas darbību. Plašāku informāciju par parādnieka noteikšanu lūdzam skatīt dokumenta “Guidance on Customs Debt” [Vadlīnijas par muitas parādu] III nodaļā “Incurrence of a Customs Debt” [Muitas parāda rašanās], kas publicēta EUROPA tīmekļa vietnē.</w:t>
      </w:r>
      <w:r w:rsidRPr="005A2D50">
        <w:rPr>
          <w:rStyle w:val="FootnoteReference"/>
          <w:lang w:val="en-US"/>
        </w:rPr>
        <w:footnoteReference w:id="3"/>
      </w:r>
    </w:p>
    <w:p w14:paraId="77C0DC3C" w14:textId="77777777" w:rsidR="005A2D50" w:rsidRPr="005A2D50" w:rsidRDefault="005A2D50" w:rsidP="005A2D50">
      <w:pPr>
        <w:pStyle w:val="BodyText"/>
        <w:rPr>
          <w:lang w:val="en-US"/>
        </w:rPr>
      </w:pPr>
      <w:r w:rsidRPr="005A2D50">
        <w:rPr>
          <w:lang w:val="en-US"/>
        </w:rPr>
        <w:t>Ja par vienam muitas parādam atbilstīgās ievedmuitas vai izvedmuitas nodokļa summas samaksu atbildīgas ir vairākas personas, tās ir solidāri atbildīgas par minētās summas samaksu saskaņā ar SMK 84. pantu.</w:t>
      </w:r>
    </w:p>
    <w:p w14:paraId="3CCDD877" w14:textId="77777777" w:rsidR="005A2D50" w:rsidRPr="005A2D50" w:rsidRDefault="005A2D50" w:rsidP="005A2D50">
      <w:pPr>
        <w:pStyle w:val="BodyText"/>
        <w:rPr>
          <w:lang w:val="en-US"/>
        </w:rPr>
      </w:pPr>
    </w:p>
    <w:p w14:paraId="3FF63202" w14:textId="77777777" w:rsidR="005A2D50" w:rsidRPr="005A2D50" w:rsidRDefault="005A2D50" w:rsidP="005A2D50">
      <w:pPr>
        <w:pStyle w:val="BodyText"/>
        <w:rPr>
          <w:b/>
          <w:bCs/>
          <w:lang w:val="en-US"/>
        </w:rPr>
      </w:pPr>
      <w:bookmarkStart w:id="35" w:name="II.3.4.2._Other_person_to_provide_a_guar"/>
      <w:bookmarkEnd w:id="35"/>
      <w:r w:rsidRPr="005A2D50">
        <w:rPr>
          <w:b/>
          <w:bCs/>
          <w:lang w:val="en-US"/>
        </w:rPr>
        <w:t>II.3.4.2. Cita persona, kura sniedz galvojumu</w:t>
      </w:r>
    </w:p>
    <w:p w14:paraId="62E95C5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D87E80B" w14:textId="77777777" w:rsidR="005A2D50" w:rsidRPr="005A2D50" w:rsidRDefault="005A2D50" w:rsidP="005A2D50">
      <w:pPr>
        <w:pStyle w:val="BodyText"/>
        <w:rPr>
          <w:lang w:val="en-US"/>
        </w:rPr>
      </w:pPr>
      <w:r w:rsidRPr="005A2D50">
        <w:rPr>
          <w:lang w:val="en-US"/>
        </w:rPr>
        <w:t>Gadījumos, kad parādnieks/iespējamais parādnieks nevar/nevēlas sniegt prasīto galvojumu, piemēro SMK 89. panta 3. punkta otro daļu. Muitas dienestiem saskaņā ar spēkā esošajām valsts tiesību normām ir iespēja pilnvarot personu, kas nav parādnieks vai iespējamais parādnieks, sniegt nepieciešamo galvojumu.</w:t>
      </w:r>
    </w:p>
    <w:p w14:paraId="51DDCC8E" w14:textId="77777777" w:rsidR="005A2D50" w:rsidRPr="005A2D50" w:rsidRDefault="005A2D50" w:rsidP="005A2D50">
      <w:pPr>
        <w:pStyle w:val="BodyText"/>
        <w:rPr>
          <w:lang w:val="en-US"/>
        </w:rPr>
      </w:pPr>
      <w:r w:rsidRPr="005A2D50">
        <w:rPr>
          <w:lang w:val="en-US"/>
        </w:rPr>
        <w:t>Tomēr parasti SMK un ar to saistītie tiesību akti neuzskata, ka parādnieka vai iespējamā parādnieka vietā par muitas parādu būtu atbildīga cita persona, kas vēlas sniegt galvojumu. Turklāt minēto citu personu, kura galvojumu muitas dienesti var pieņemt saskaņā ar SMK 89. panta 3. punkta otro daļu, nevar uzskatīt par parādnieku vai iespējamo parādnieku ar muitu saistīto tiesību normu nozīmē (SMK 77.–79. pants un 81.–82. pants), pamatojoties uz to vien, ka tai ir atļauts sniegt šādu galvojumu. Šāda persona ir uzskatāma par personu, kas uzņemas finanšu saistības tikai saskaņā ar sniegto galvojumu par muitas parādu un, ja atbilstīgi, citiem maksājumiem, ja parādnieks tos nesamaksā noteiktajā termiņā un ja valsts tiesību akti nosaka šādu atbildību.</w:t>
      </w:r>
    </w:p>
    <w:p w14:paraId="44FD4644" w14:textId="77777777" w:rsidR="005A2D50" w:rsidRPr="005A2D50" w:rsidRDefault="005A2D50" w:rsidP="005A2D50">
      <w:pPr>
        <w:pStyle w:val="BodyText"/>
        <w:rPr>
          <w:lang w:val="en-US"/>
        </w:rPr>
      </w:pPr>
      <w:r w:rsidRPr="005A2D50">
        <w:rPr>
          <w:lang w:val="en-US"/>
        </w:rPr>
        <w:t>SMK 89. panta 3. punkts ir piemērojams vienreizējiem galvojumiem un vispārējiem galvojumiem.</w:t>
      </w:r>
    </w:p>
    <w:p w14:paraId="437D8102" w14:textId="77777777" w:rsidR="005A2D50" w:rsidRPr="005A2D50" w:rsidRDefault="005A2D50" w:rsidP="005A2D50">
      <w:pPr>
        <w:pStyle w:val="BodyText"/>
        <w:rPr>
          <w:lang w:val="en-US"/>
        </w:rPr>
      </w:pPr>
      <w:r w:rsidRPr="005A2D50">
        <w:rPr>
          <w:lang w:val="en-US"/>
        </w:rPr>
        <w:t xml:space="preserve">Attiecībā uz </w:t>
      </w:r>
      <w:r w:rsidRPr="005A2D50">
        <w:rPr>
          <w:b/>
          <w:bCs/>
          <w:lang w:val="en-US"/>
        </w:rPr>
        <w:t>vienreizējiem galvojumiem</w:t>
      </w:r>
      <w:r w:rsidRPr="005A2D50">
        <w:rPr>
          <w:lang w:val="en-US"/>
        </w:rPr>
        <w:t>, kas sedz 100 % no muitas parāda un, ja atbilstīgi, citu maksājumu precīzas summas, var pieņemt, ka tos sniedz personas, kas nav parādnieks/iespējamais parādnieks. Tomēr galvojuma muitas iestādei, ja atbilstīgi, jāpievērš uzmanība saistību veidam un to juridiskajam spēkam (SMK ĪA 151. panta 7. punkts un 32-01. pielikums).</w:t>
      </w:r>
    </w:p>
    <w:p w14:paraId="40CB0F8E" w14:textId="77777777" w:rsidR="005A2D50" w:rsidRPr="005A2D50" w:rsidRDefault="005A2D50" w:rsidP="005A2D50">
      <w:pPr>
        <w:pStyle w:val="BodyText"/>
        <w:rPr>
          <w:lang w:val="en-US"/>
        </w:rPr>
      </w:pPr>
    </w:p>
    <w:p w14:paraId="49208EA8" w14:textId="77777777" w:rsidR="005A2D50" w:rsidRPr="005A2D50" w:rsidRDefault="005A2D50" w:rsidP="005A2D50">
      <w:pPr>
        <w:pStyle w:val="Heading2"/>
        <w:rPr>
          <w:noProof/>
          <w:lang w:val="en-US"/>
        </w:rPr>
      </w:pPr>
      <w:bookmarkStart w:id="36" w:name="II.3.5._Currency_conversion_for_guarante"/>
      <w:bookmarkStart w:id="37" w:name="_bookmark11"/>
      <w:bookmarkStart w:id="38" w:name="_Toc104982769"/>
      <w:bookmarkEnd w:id="36"/>
      <w:bookmarkEnd w:id="37"/>
      <w:r w:rsidRPr="005A2D50">
        <w:rPr>
          <w:noProof/>
          <w:lang w:val="en-US"/>
        </w:rPr>
        <w:t>II.3.5. Valūtas konvertācija galvojumiem (SMK 53. pants)</w:t>
      </w:r>
      <w:bookmarkEnd w:id="38"/>
    </w:p>
    <w:p w14:paraId="010D953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122B5E1" w14:textId="77777777" w:rsidR="005A2D50" w:rsidRPr="005A2D50" w:rsidRDefault="005A2D50" w:rsidP="005A2D50">
      <w:pPr>
        <w:pStyle w:val="BodyText"/>
        <w:rPr>
          <w:lang w:val="en-US"/>
        </w:rPr>
      </w:pPr>
      <w:r w:rsidRPr="005A2D50">
        <w:rPr>
          <w:lang w:val="en-US"/>
        </w:rPr>
        <w:t>Saskaņā ar SMK 53. panta 2. punktu “</w:t>
      </w:r>
      <w:r w:rsidRPr="005A2D50">
        <w:rPr>
          <w:i/>
          <w:iCs/>
          <w:lang w:val="en-US"/>
        </w:rPr>
        <w:t xml:space="preserve">euro </w:t>
      </w:r>
      <w:r w:rsidRPr="005A2D50">
        <w:rPr>
          <w:lang w:val="en-US"/>
        </w:rPr>
        <w:t>vērtību valstu valūtās, kas jāpiemēro saistībā ar tiesību aktiem muitas jomā, nosaka vismaz reizi gadā”. Šādai konvertācijai Eiropas Centrālā banka nosaka likmi reizi gadā oktobra pirmajā darbdienā, un to publicē Savienības Oficiālajā Vēstnesī. Šo likmi piemēro no nākamā gada 1. janvāra.</w:t>
      </w:r>
    </w:p>
    <w:p w14:paraId="2BA82A1E" w14:textId="77777777" w:rsidR="005A2D50" w:rsidRPr="005A2D50" w:rsidRDefault="005A2D50" w:rsidP="005A2D50">
      <w:pPr>
        <w:pStyle w:val="BodyText"/>
        <w:rPr>
          <w:lang w:val="en-US"/>
        </w:rPr>
      </w:pPr>
    </w:p>
    <w:p w14:paraId="6D649AC5" w14:textId="77777777" w:rsidR="005A2D50" w:rsidRPr="005A2D50" w:rsidRDefault="005A2D50" w:rsidP="005A2D50">
      <w:pPr>
        <w:pStyle w:val="Heading2"/>
        <w:rPr>
          <w:noProof/>
          <w:lang w:val="en-US"/>
        </w:rPr>
      </w:pPr>
      <w:bookmarkStart w:id="39" w:name="II.3.6._Release_of_the_guarantee_(Articl"/>
      <w:bookmarkStart w:id="40" w:name="_bookmark12"/>
      <w:bookmarkStart w:id="41" w:name="_Toc104982770"/>
      <w:bookmarkEnd w:id="39"/>
      <w:bookmarkEnd w:id="40"/>
      <w:r w:rsidRPr="005A2D50">
        <w:rPr>
          <w:noProof/>
          <w:lang w:val="en-US"/>
        </w:rPr>
        <w:t>II.3.6. Galvojuma atbrīvošana (SMK 98. pants)</w:t>
      </w:r>
      <w:bookmarkEnd w:id="41"/>
    </w:p>
    <w:p w14:paraId="47926F4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7C350F4" w14:textId="77777777" w:rsidR="005A2D50" w:rsidRPr="005A2D50" w:rsidRDefault="005A2D50" w:rsidP="005A2D50">
      <w:pPr>
        <w:pStyle w:val="BodyText"/>
        <w:rPr>
          <w:lang w:val="en-US"/>
        </w:rPr>
      </w:pPr>
      <w:r w:rsidRPr="005A2D50">
        <w:rPr>
          <w:lang w:val="en-US"/>
        </w:rPr>
        <w:t>SMK 98. pants paredz galvojuma atbrīvošanu, ja muitas parāds vai pienākums samaksāt citus maksājumus ir dzēsts vai vairs nevar rasties.</w:t>
      </w:r>
    </w:p>
    <w:p w14:paraId="7B0584E4" w14:textId="77777777" w:rsidR="005A2D50" w:rsidRPr="005A2D50" w:rsidRDefault="005A2D50" w:rsidP="005A2D50">
      <w:pPr>
        <w:pStyle w:val="BodyText"/>
        <w:rPr>
          <w:lang w:val="en-US"/>
        </w:rPr>
      </w:pPr>
    </w:p>
    <w:p w14:paraId="1DC82062" w14:textId="77777777" w:rsidR="005A2D50" w:rsidRPr="005A2D50" w:rsidRDefault="005A2D50" w:rsidP="005A2D50">
      <w:pPr>
        <w:pStyle w:val="BodyText"/>
        <w:rPr>
          <w:b/>
          <w:bCs/>
          <w:lang w:val="en-US"/>
        </w:rPr>
      </w:pPr>
      <w:r w:rsidRPr="005A2D50">
        <w:rPr>
          <w:b/>
          <w:bCs/>
          <w:lang w:val="en-US"/>
        </w:rPr>
        <w:t>II.3.6.1. Atšķirība starp galvojuma atbrīvošanu un galvojuma atsauces summas bloķēšanu/atbloķēšanu</w:t>
      </w:r>
    </w:p>
    <w:p w14:paraId="218F055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6CC2410" w14:textId="77777777" w:rsidR="005A2D50" w:rsidRPr="005A2D50" w:rsidRDefault="005A2D50" w:rsidP="005A2D50">
      <w:pPr>
        <w:pStyle w:val="BodyText"/>
        <w:rPr>
          <w:lang w:val="en-US"/>
        </w:rPr>
      </w:pPr>
      <w:r w:rsidRPr="005A2D50">
        <w:rPr>
          <w:lang w:val="en-US"/>
        </w:rPr>
        <w:t>Attiecībā uz vispārējo galvojumu nedrīkst jaukt galvojuma atbrīvošanu ar galvojuma atsauces summas bloķēšanu/atbloķēšanu. Galvojuma atbrīvošana nav automātiska katras vienai muitas deklarācijai/darbībai atbilstošas summas atbloķēšana, padarot to pieejamu turpmākajiem darījumiem.</w:t>
      </w:r>
    </w:p>
    <w:p w14:paraId="6090244C" w14:textId="77777777" w:rsidR="005A2D50" w:rsidRPr="005A2D50" w:rsidRDefault="005A2D50" w:rsidP="005A2D50">
      <w:pPr>
        <w:pStyle w:val="BodyText"/>
        <w:rPr>
          <w:lang w:val="en-US"/>
        </w:rPr>
      </w:pPr>
      <w:r w:rsidRPr="005A2D50">
        <w:rPr>
          <w:lang w:val="en-US"/>
        </w:rPr>
        <w:t>Atsauces summas bloķēšana/atbloķēšana var notikt automātiski, pat ja to nepieprasa persona, kas sniegusi galvojumu, vai ja muitas dienesti nerīkojas.</w:t>
      </w:r>
    </w:p>
    <w:p w14:paraId="14CD5114" w14:textId="77777777" w:rsidR="005A2D50" w:rsidRPr="005A2D50" w:rsidRDefault="005A2D50" w:rsidP="005A2D50">
      <w:pPr>
        <w:pStyle w:val="BodyText"/>
        <w:rPr>
          <w:lang w:val="en-US"/>
        </w:rPr>
      </w:pPr>
    </w:p>
    <w:p w14:paraId="23AC1B19" w14:textId="77777777" w:rsidR="005A2D50" w:rsidRPr="005A2D50" w:rsidRDefault="005A2D50" w:rsidP="005A2D50">
      <w:pPr>
        <w:pStyle w:val="BodyText"/>
        <w:rPr>
          <w:b/>
          <w:bCs/>
          <w:lang w:val="en-US"/>
        </w:rPr>
      </w:pPr>
      <w:r w:rsidRPr="005A2D50">
        <w:rPr>
          <w:b/>
          <w:bCs/>
          <w:lang w:val="en-US"/>
        </w:rPr>
        <w:t>II.3.6.2. Atbrīvošanas nozīme (SMK 98. panta 1. punkts)</w:t>
      </w:r>
    </w:p>
    <w:p w14:paraId="1C9855B7"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B1D19D6" w14:textId="77777777" w:rsidR="005A2D50" w:rsidRPr="005A2D50" w:rsidRDefault="005A2D50" w:rsidP="005A2D50">
      <w:pPr>
        <w:pStyle w:val="BodyText"/>
        <w:rPr>
          <w:lang w:val="en-US"/>
        </w:rPr>
      </w:pPr>
      <w:r w:rsidRPr="005A2D50">
        <w:rPr>
          <w:lang w:val="en-US"/>
        </w:rPr>
        <w:t>Galvojuma atbrīvošanai ir jābūt muitas dienestu veiktai darbībai.</w:t>
      </w:r>
    </w:p>
    <w:p w14:paraId="4674DDBD" w14:textId="77777777" w:rsidR="005A2D50" w:rsidRPr="005A2D50" w:rsidRDefault="005A2D50" w:rsidP="005A2D50">
      <w:pPr>
        <w:pStyle w:val="BodyText"/>
        <w:rPr>
          <w:lang w:val="en-US"/>
        </w:rPr>
      </w:pPr>
      <w:r w:rsidRPr="005A2D50">
        <w:rPr>
          <w:lang w:val="en-US"/>
        </w:rPr>
        <w:t>Galvojumu, kas sniegts saistību veidā vai citā SMK 92. panta 1. punkta c) apakšpunktā paredzētajā veidā, uzskata par pilnībā atbrīvotu tikai tad, ja galvojums ir faktiski atgriezts galviniekam vai saņēmējam.</w:t>
      </w:r>
    </w:p>
    <w:p w14:paraId="0C6B81F1" w14:textId="77777777" w:rsidR="005A2D50" w:rsidRPr="005A2D50" w:rsidRDefault="005A2D50" w:rsidP="005A2D50">
      <w:pPr>
        <w:pStyle w:val="BodyText"/>
        <w:rPr>
          <w:lang w:val="en-US"/>
        </w:rPr>
      </w:pPr>
      <w:r w:rsidRPr="005A2D50">
        <w:rPr>
          <w:lang w:val="en-US"/>
        </w:rPr>
        <w:t>Tāpēc ar galvinieka saistībām sniegta galvojuma atbrīvošana neatbilst:</w:t>
      </w:r>
    </w:p>
    <w:p w14:paraId="1364ABB5" w14:textId="77777777" w:rsidR="005A2D50" w:rsidRPr="005A2D50" w:rsidRDefault="005A2D50" w:rsidP="005A2D50">
      <w:pPr>
        <w:pStyle w:val="BodyText"/>
        <w:rPr>
          <w:lang w:val="en-US"/>
        </w:rPr>
      </w:pPr>
    </w:p>
    <w:p w14:paraId="181BF83A" w14:textId="77777777" w:rsidR="005A2D50" w:rsidRPr="005A2D50" w:rsidRDefault="005A2D50" w:rsidP="005A2D50">
      <w:pPr>
        <w:pStyle w:val="BodyText"/>
        <w:numPr>
          <w:ilvl w:val="0"/>
          <w:numId w:val="55"/>
        </w:numPr>
        <w:tabs>
          <w:tab w:val="left" w:pos="851"/>
        </w:tabs>
        <w:ind w:left="284" w:firstLine="0"/>
        <w:rPr>
          <w:lang w:val="en-US"/>
        </w:rPr>
      </w:pPr>
      <w:r w:rsidRPr="005A2D50">
        <w:rPr>
          <w:lang w:val="en-US"/>
        </w:rPr>
        <w:t>muitas dienestu lēmumam anulēt saistību apstiprinājumu;</w:t>
      </w:r>
    </w:p>
    <w:p w14:paraId="040E88C3" w14:textId="77777777" w:rsidR="005A2D50" w:rsidRPr="005A2D50" w:rsidRDefault="005A2D50" w:rsidP="005A2D50">
      <w:pPr>
        <w:pStyle w:val="BodyText"/>
        <w:numPr>
          <w:ilvl w:val="0"/>
          <w:numId w:val="55"/>
        </w:numPr>
        <w:tabs>
          <w:tab w:val="left" w:pos="851"/>
        </w:tabs>
        <w:ind w:left="284" w:firstLine="0"/>
        <w:rPr>
          <w:lang w:val="en-US"/>
        </w:rPr>
      </w:pPr>
      <w:r w:rsidRPr="005A2D50">
        <w:rPr>
          <w:lang w:val="en-US"/>
        </w:rPr>
        <w:t>galvinieka lēmumam anulēt viņa saistības.</w:t>
      </w:r>
    </w:p>
    <w:p w14:paraId="3CA16374" w14:textId="77777777" w:rsidR="005A2D50" w:rsidRPr="005A2D50" w:rsidRDefault="005A2D50" w:rsidP="005A2D50">
      <w:pPr>
        <w:pStyle w:val="BodyText"/>
        <w:rPr>
          <w:lang w:val="en-US"/>
        </w:rPr>
      </w:pPr>
    </w:p>
    <w:p w14:paraId="16711EFA" w14:textId="77777777" w:rsidR="005A2D50" w:rsidRPr="005A2D50" w:rsidRDefault="005A2D50" w:rsidP="005A2D50">
      <w:pPr>
        <w:pStyle w:val="BodyText"/>
        <w:rPr>
          <w:lang w:val="en-US"/>
        </w:rPr>
      </w:pPr>
      <w:r w:rsidRPr="005A2D50">
        <w:rPr>
          <w:lang w:val="en-US"/>
        </w:rPr>
        <w:t>Vispārējais galvojums ir “nepārtraukts galvojums”, kas noteikts uz ilgāku laiku un paredzēts vairāku darījumu un/vai muitas procedūru segšanai.</w:t>
      </w:r>
    </w:p>
    <w:p w14:paraId="0CBE1B64" w14:textId="77777777" w:rsidR="005A2D50" w:rsidRPr="005A2D50" w:rsidRDefault="005A2D50" w:rsidP="005A2D50">
      <w:pPr>
        <w:pStyle w:val="BodyText"/>
        <w:rPr>
          <w:lang w:val="en-US"/>
        </w:rPr>
      </w:pPr>
      <w:r w:rsidRPr="005A2D50">
        <w:rPr>
          <w:lang w:val="en-US"/>
        </w:rPr>
        <w:t>Kad vispārējo galvojumu atbrīvo, tas vairs nav pieejams ne turpmākiem darījumiem, ne jauniem maksājumu pieprasījumiem, kas adresēti galviniekam.</w:t>
      </w:r>
    </w:p>
    <w:p w14:paraId="742D7223" w14:textId="77777777" w:rsidR="005A2D50" w:rsidRPr="005A2D50" w:rsidRDefault="005A2D50" w:rsidP="005A2D50">
      <w:pPr>
        <w:pStyle w:val="BodyText"/>
        <w:rPr>
          <w:lang w:val="en-US"/>
        </w:rPr>
      </w:pPr>
      <w:r w:rsidRPr="005A2D50">
        <w:rPr>
          <w:lang w:val="en-US"/>
        </w:rPr>
        <w:t>Turklāt ar galvinieka saistībām sniegta vispārējā galvojuma atbrīvošana neatbilst muitas dienestu lēmumam atcelt/grozīt/apturēt atļauju sniegt vispārējo galvojumu.</w:t>
      </w:r>
    </w:p>
    <w:p w14:paraId="0E80AC5E" w14:textId="77777777" w:rsidR="005A2D50" w:rsidRPr="005A2D50" w:rsidRDefault="005A2D50" w:rsidP="005A2D50">
      <w:pPr>
        <w:pStyle w:val="BodyText"/>
        <w:rPr>
          <w:lang w:val="en-US"/>
        </w:rPr>
      </w:pPr>
      <w:r w:rsidRPr="005A2D50">
        <w:rPr>
          <w:lang w:val="en-US"/>
        </w:rPr>
        <w:t>Galvojumu, kas sniegts ar skaidras naudas iemaksu, uzskata par atbrīvotu, kad tas tiek atmaksāts.</w:t>
      </w:r>
    </w:p>
    <w:p w14:paraId="79614B2A" w14:textId="77777777" w:rsidR="005A2D50" w:rsidRPr="005A2D50" w:rsidRDefault="005A2D50" w:rsidP="005A2D50">
      <w:pPr>
        <w:jc w:val="both"/>
        <w:rPr>
          <w:rFonts w:ascii="Times New Roman" w:hAnsi="Times New Roman" w:cs="Times New Roman"/>
          <w:noProof/>
          <w:sz w:val="24"/>
          <w:szCs w:val="24"/>
          <w:lang w:val="en-US"/>
        </w:rPr>
      </w:pPr>
    </w:p>
    <w:p w14:paraId="248D933B" w14:textId="77777777" w:rsidR="005A2D50" w:rsidRPr="005A2D50" w:rsidRDefault="005A2D50" w:rsidP="005A2D50">
      <w:pPr>
        <w:pStyle w:val="Heading2"/>
        <w:rPr>
          <w:noProof/>
          <w:lang w:val="en-US"/>
        </w:rPr>
      </w:pPr>
      <w:bookmarkStart w:id="42" w:name="II.3.6.3_Moment_of_release"/>
      <w:bookmarkStart w:id="43" w:name="_bookmark13"/>
      <w:bookmarkStart w:id="44" w:name="_Toc104982771"/>
      <w:bookmarkEnd w:id="42"/>
      <w:bookmarkEnd w:id="43"/>
      <w:r w:rsidRPr="005A2D50">
        <w:rPr>
          <w:noProof/>
          <w:lang w:val="en-US"/>
        </w:rPr>
        <w:t>II.3.6.3. Atbrīvošanas brīdis</w:t>
      </w:r>
      <w:bookmarkEnd w:id="44"/>
    </w:p>
    <w:p w14:paraId="6655F368" w14:textId="77777777" w:rsidR="005A2D50" w:rsidRPr="005A2D50" w:rsidRDefault="005A2D50" w:rsidP="005A2D50">
      <w:pPr>
        <w:pStyle w:val="BodyText"/>
        <w:rPr>
          <w:lang w:val="en-US"/>
        </w:rPr>
      </w:pPr>
    </w:p>
    <w:p w14:paraId="0A67C6BC" w14:textId="77777777" w:rsidR="005A2D50" w:rsidRPr="005A2D50" w:rsidRDefault="005A2D50" w:rsidP="005A2D50">
      <w:pPr>
        <w:pStyle w:val="BodyText"/>
        <w:rPr>
          <w:lang w:val="en-US"/>
        </w:rPr>
      </w:pPr>
      <w:r w:rsidRPr="005A2D50">
        <w:rPr>
          <w:lang w:val="en-US"/>
        </w:rPr>
        <w:t>Lai atbrīvotu galvojumu, muitas dienestam ir jānovērtē SMK 98. panta 1. punktā minētie nosacījumi, proti, ir jāpārbauda, vai muitas parāds ir dzēsts vai vairs nevar rasties.</w:t>
      </w:r>
    </w:p>
    <w:p w14:paraId="4A3FC7A1" w14:textId="77777777" w:rsidR="005A2D50" w:rsidRPr="005A2D50" w:rsidRDefault="005A2D50" w:rsidP="005A2D50">
      <w:pPr>
        <w:pStyle w:val="BodyText"/>
        <w:rPr>
          <w:lang w:val="en-US"/>
        </w:rPr>
      </w:pPr>
      <w:r w:rsidRPr="005A2D50">
        <w:rPr>
          <w:lang w:val="en-US"/>
        </w:rPr>
        <w:t>Šajā novērtējumā izvērtē arī risku atklāt muitas parādu nākotnē pēc tam, kad ir veikta kontrole pēc preču izlaišanas darījumos, uz kuriem attiecas šis galvojums; to izvērtē, ņemot vērā visus elementus/informāciju, kas ir pieejama brīdī, kad ir jāpieņem lēmums par galvojuma atbrīvošanu.</w:t>
      </w:r>
    </w:p>
    <w:p w14:paraId="0BDA4136" w14:textId="77777777" w:rsidR="005A2D50" w:rsidRPr="005A2D50" w:rsidRDefault="005A2D50" w:rsidP="005A2D50">
      <w:pPr>
        <w:pStyle w:val="BodyText"/>
        <w:rPr>
          <w:lang w:val="en-US"/>
        </w:rPr>
      </w:pPr>
      <w:r w:rsidRPr="005A2D50">
        <w:rPr>
          <w:lang w:val="en-US"/>
        </w:rPr>
        <w:t>Tiesību aktos nav norādīts termiņš, kurā jāveic SMK 98. panta 1. punktā paredzētais novērtējums galvojuma atbrīvošanai.</w:t>
      </w:r>
    </w:p>
    <w:p w14:paraId="4F04604D" w14:textId="77777777" w:rsidR="005A2D50" w:rsidRPr="005A2D50" w:rsidRDefault="005A2D50" w:rsidP="005A2D50">
      <w:pPr>
        <w:pStyle w:val="BodyText"/>
        <w:rPr>
          <w:lang w:val="en-US"/>
        </w:rPr>
      </w:pPr>
      <w:r w:rsidRPr="005A2D50">
        <w:rPr>
          <w:lang w:val="en-US"/>
        </w:rPr>
        <w:t>Katra dalībvalsts var atsevišķi noteikt laiku, kas tām ir pietiekams šā novērtējuma pareizai veikšanai.</w:t>
      </w:r>
    </w:p>
    <w:p w14:paraId="75EF3FD6" w14:textId="77777777" w:rsidR="005A2D50" w:rsidRPr="005A2D50" w:rsidRDefault="005A2D50" w:rsidP="005A2D50">
      <w:pPr>
        <w:pStyle w:val="BodyText"/>
        <w:rPr>
          <w:lang w:val="en-US"/>
        </w:rPr>
      </w:pPr>
      <w:r w:rsidRPr="005A2D50">
        <w:rPr>
          <w:lang w:val="en-US"/>
        </w:rPr>
        <w:t>Ja šā novērtējuma rezultāts ir pozitīvs, muitas dienestam nekavējoties jāatbrīvo galvojums un jāatdod tas personai, kas to sniegusi, vai galviniekam.</w:t>
      </w:r>
    </w:p>
    <w:p w14:paraId="7670FB16" w14:textId="77777777" w:rsidR="005A2D50" w:rsidRPr="005A2D50" w:rsidRDefault="005A2D50" w:rsidP="005A2D50">
      <w:pPr>
        <w:pStyle w:val="BodyText"/>
        <w:rPr>
          <w:lang w:val="en-US"/>
        </w:rPr>
      </w:pPr>
      <w:r w:rsidRPr="005A2D50">
        <w:rPr>
          <w:lang w:val="en-US"/>
        </w:rPr>
        <w:t>Tiklīdz saistību atcelšana (galvinieks) vai atsaukšana (muitas dienests) rada sekas, muitas dienesti var novērtēt SMK 98. panta 1. punktā minētos nosacījumus.</w:t>
      </w:r>
    </w:p>
    <w:p w14:paraId="675D6F0E" w14:textId="77777777" w:rsidR="005A2D50" w:rsidRPr="005A2D50" w:rsidRDefault="005A2D50" w:rsidP="005A2D50">
      <w:pPr>
        <w:pStyle w:val="BodyText"/>
        <w:rPr>
          <w:lang w:val="en-US"/>
        </w:rPr>
      </w:pPr>
      <w:r w:rsidRPr="005A2D50">
        <w:rPr>
          <w:lang w:val="en-US"/>
        </w:rPr>
        <w:t>Attiecībā uz Savienības tranzītu ir piemērojamas īpašas tiesību normas, piemēram, SMK DA 85. pants.</w:t>
      </w:r>
    </w:p>
    <w:p w14:paraId="067A53DE" w14:textId="77777777" w:rsidR="005A2D50" w:rsidRPr="005A2D50" w:rsidRDefault="005A2D50" w:rsidP="005A2D50">
      <w:pPr>
        <w:pStyle w:val="BodyText"/>
        <w:rPr>
          <w:lang w:val="en-US"/>
        </w:rPr>
      </w:pPr>
      <w:r w:rsidRPr="005A2D50">
        <w:rPr>
          <w:lang w:val="en-US"/>
        </w:rPr>
        <w:t>Attiecībā uz ievešanas pārstrādei procedūru vai attiecībā uz ievešanu galapatēriņam ir noteikts pienākums uzrādīt izpildes dokumentu (SMK DA 175. panta 1. punkts). Ja nepieciešams, izpildes dokumentu uzrāda pēc procedūras noslēgšanas saskaņā ar SMK 215. pantu. Šādos gadījumos galvojumu var atbrīvot tikai pēc tam, kad muitas dienesti ir pārbaudījuši izpildes dokumentu saskaņā ar SMK ĪA 265. pantu.</w:t>
      </w:r>
    </w:p>
    <w:p w14:paraId="1DF00EB8" w14:textId="77777777" w:rsidR="005A2D50" w:rsidRPr="005A2D50" w:rsidRDefault="005A2D50" w:rsidP="005A2D50">
      <w:pPr>
        <w:pStyle w:val="BodyText"/>
        <w:rPr>
          <w:lang w:val="en-US"/>
        </w:rPr>
      </w:pPr>
      <w:r w:rsidRPr="005A2D50">
        <w:rPr>
          <w:lang w:val="en-US"/>
        </w:rPr>
        <w:t>Attiecībā uz vienu muitas operāciju/deklarāciju sniedz vienreizējo galvojumu, un tas ir obligāti jāatdod/jāatbrīvo, tiklīdz operācija ir pienācīgi pabeigta / muitas parāds ir dzēsts vai vairs nevar rasties. Citiem vārdiem sakot, ja muitas dienestam ir informācija vai tas lēš, ka kontrolē, ko veic pēc preču izlaišanas, varētu tikt konstatēts muitas parāds attiecībā uz konkrētām precēm / konkrētām muitas operācijām / deklarācijām, tad tas var paturēt arī vienreizējo galvojumu līdz situācijas noskaidrošanai.</w:t>
      </w:r>
    </w:p>
    <w:p w14:paraId="1D715C9F" w14:textId="77777777" w:rsidR="005A2D50" w:rsidRPr="005A2D50" w:rsidRDefault="005A2D50" w:rsidP="005A2D50">
      <w:pPr>
        <w:pStyle w:val="BodyText"/>
        <w:rPr>
          <w:lang w:val="en-US"/>
        </w:rPr>
      </w:pPr>
      <w:r w:rsidRPr="005A2D50">
        <w:rPr>
          <w:lang w:val="en-US"/>
        </w:rPr>
        <w:t xml:space="preserve">Galvojuma summas daļas atbrīvošanu drīkst pieprasīt </w:t>
      </w:r>
      <w:r w:rsidRPr="005A2D50">
        <w:rPr>
          <w:i/>
          <w:iCs/>
          <w:lang w:val="en-US"/>
        </w:rPr>
        <w:t xml:space="preserve">CGU </w:t>
      </w:r>
      <w:r w:rsidRPr="005A2D50">
        <w:rPr>
          <w:lang w:val="en-US"/>
        </w:rPr>
        <w:t>atļaujas turētājs / persona, kas ir sniegusi garantiju, un to var atbrīvot, kad attiecīgā summa neattaisno šādu rīcību (SMK 98. panta 2. punkts).</w:t>
      </w:r>
    </w:p>
    <w:p w14:paraId="20FB06F2" w14:textId="77777777" w:rsidR="005A2D50" w:rsidRPr="005A2D50" w:rsidRDefault="005A2D50" w:rsidP="005A2D50">
      <w:pPr>
        <w:jc w:val="both"/>
        <w:rPr>
          <w:lang w:val="en-US"/>
        </w:rPr>
      </w:pPr>
    </w:p>
    <w:p w14:paraId="59463AD1" w14:textId="77777777" w:rsidR="005A2D50" w:rsidRPr="005A2D50" w:rsidRDefault="005A2D50" w:rsidP="005A2D50">
      <w:pPr>
        <w:pStyle w:val="Heading1"/>
        <w:rPr>
          <w:noProof/>
          <w:lang w:val="en-US"/>
        </w:rPr>
      </w:pPr>
      <w:bookmarkStart w:id="45" w:name="III._Forms_of_guarantee"/>
      <w:bookmarkStart w:id="46" w:name="_bookmark14"/>
      <w:bookmarkStart w:id="47" w:name="_Toc104982772"/>
      <w:bookmarkEnd w:id="45"/>
      <w:bookmarkEnd w:id="46"/>
      <w:r w:rsidRPr="005A2D50">
        <w:rPr>
          <w:noProof/>
          <w:lang w:val="en-US"/>
        </w:rPr>
        <w:t>III. GALVOJUMA VEIDI</w:t>
      </w:r>
      <w:bookmarkEnd w:id="47"/>
    </w:p>
    <w:p w14:paraId="764B5A03"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3C9091F" w14:textId="77777777" w:rsidR="005A2D50" w:rsidRPr="005A2D50" w:rsidRDefault="005A2D50" w:rsidP="005A2D50">
      <w:pPr>
        <w:pStyle w:val="BodyText"/>
        <w:rPr>
          <w:lang w:val="en-US"/>
        </w:rPr>
      </w:pPr>
      <w:r w:rsidRPr="005A2D50">
        <w:rPr>
          <w:lang w:val="en-US"/>
        </w:rPr>
        <w:t>Persona, kurai jāsniedz galvojums, var izvēlēties kādu no galvojuma veidiem, kas minēti SMK 92. panta 1. punktā:</w:t>
      </w:r>
    </w:p>
    <w:p w14:paraId="126FB09F" w14:textId="77777777" w:rsidR="005A2D50" w:rsidRPr="005A2D50" w:rsidRDefault="005A2D50" w:rsidP="005A2D50">
      <w:pPr>
        <w:pStyle w:val="BodyText"/>
        <w:rPr>
          <w:lang w:val="en-US"/>
        </w:rPr>
      </w:pPr>
    </w:p>
    <w:p w14:paraId="61D78CBD" w14:textId="77777777" w:rsidR="005A2D50" w:rsidRPr="005A2D50" w:rsidRDefault="005A2D50" w:rsidP="005A2D50">
      <w:pPr>
        <w:pStyle w:val="BodyText"/>
        <w:numPr>
          <w:ilvl w:val="0"/>
          <w:numId w:val="54"/>
        </w:numPr>
        <w:tabs>
          <w:tab w:val="left" w:pos="851"/>
        </w:tabs>
        <w:ind w:left="284" w:firstLine="0"/>
        <w:rPr>
          <w:lang w:val="en-US"/>
        </w:rPr>
      </w:pPr>
      <w:r w:rsidRPr="005A2D50">
        <w:rPr>
          <w:lang w:val="en-US"/>
        </w:rPr>
        <w:t xml:space="preserve">ar skaidras naudas iemaksu </w:t>
      </w:r>
      <w:r w:rsidRPr="005A2D50">
        <w:rPr>
          <w:i/>
          <w:iCs/>
          <w:lang w:val="en-US"/>
        </w:rPr>
        <w:t xml:space="preserve">euro </w:t>
      </w:r>
      <w:r w:rsidRPr="005A2D50">
        <w:rPr>
          <w:lang w:val="en-US"/>
        </w:rPr>
        <w:t>vai dalībvalsts valūtā;</w:t>
      </w:r>
    </w:p>
    <w:p w14:paraId="253F2BB8" w14:textId="77777777" w:rsidR="005A2D50" w:rsidRPr="005A2D50" w:rsidRDefault="005A2D50" w:rsidP="005A2D50">
      <w:pPr>
        <w:pStyle w:val="BodyText"/>
        <w:numPr>
          <w:ilvl w:val="0"/>
          <w:numId w:val="54"/>
        </w:numPr>
        <w:tabs>
          <w:tab w:val="left" w:pos="851"/>
        </w:tabs>
        <w:ind w:left="284" w:firstLine="0"/>
        <w:rPr>
          <w:lang w:val="en-US"/>
        </w:rPr>
      </w:pPr>
      <w:r w:rsidRPr="005A2D50">
        <w:rPr>
          <w:lang w:val="en-US"/>
        </w:rPr>
        <w:t>ar galvinieka saistībām;</w:t>
      </w:r>
    </w:p>
    <w:p w14:paraId="037CEB65" w14:textId="77777777" w:rsidR="005A2D50" w:rsidRPr="005A2D50" w:rsidRDefault="005A2D50" w:rsidP="005A2D50">
      <w:pPr>
        <w:pStyle w:val="BodyText"/>
        <w:numPr>
          <w:ilvl w:val="0"/>
          <w:numId w:val="54"/>
        </w:numPr>
        <w:tabs>
          <w:tab w:val="left" w:pos="851"/>
        </w:tabs>
        <w:ind w:left="284" w:firstLine="0"/>
        <w:rPr>
          <w:lang w:val="en-US"/>
        </w:rPr>
      </w:pPr>
      <w:r w:rsidRPr="005A2D50">
        <w:rPr>
          <w:lang w:val="en-US"/>
        </w:rPr>
        <w:t>ar citu galvojuma veidu.</w:t>
      </w:r>
    </w:p>
    <w:p w14:paraId="6A5F21FC" w14:textId="77777777" w:rsidR="005A2D50" w:rsidRPr="005A2D50" w:rsidRDefault="005A2D50" w:rsidP="005A2D50">
      <w:pPr>
        <w:pStyle w:val="BodyText"/>
        <w:rPr>
          <w:lang w:val="en-US"/>
        </w:rPr>
      </w:pPr>
    </w:p>
    <w:p w14:paraId="5EA7A566" w14:textId="77777777" w:rsidR="005A2D50" w:rsidRPr="005A2D50" w:rsidRDefault="005A2D50" w:rsidP="005A2D50">
      <w:pPr>
        <w:pStyle w:val="BodyText"/>
        <w:rPr>
          <w:lang w:val="en-US"/>
        </w:rPr>
      </w:pPr>
      <w:r w:rsidRPr="005A2D50">
        <w:rPr>
          <w:lang w:val="en-US"/>
        </w:rPr>
        <w:t>Tomēr SMK 93. pantā ir noteikts, ka “muitas dienesti var atteikties pieņemt izvēlētā veida galvojumu, ja tas nav saderīgs ar attiecīgās muitas procedūras pareizu darbību” vai “ja tas, šķiet, nevar nodrošināt ievedmuitas vai izvedmuitas nodokļa summas samaksu noteiktajā termiņā”.</w:t>
      </w:r>
    </w:p>
    <w:p w14:paraId="608126A0" w14:textId="77777777" w:rsidR="005A2D50" w:rsidRPr="005A2D50" w:rsidRDefault="005A2D50" w:rsidP="005A2D50">
      <w:pPr>
        <w:pStyle w:val="BodyText"/>
        <w:rPr>
          <w:lang w:val="en-US"/>
        </w:rPr>
      </w:pPr>
      <w:r w:rsidRPr="005A2D50">
        <w:rPr>
          <w:lang w:val="en-US"/>
        </w:rPr>
        <w:t>Ja muitas dienesti pieņem galvojuma veidu, ko izvēlas persona, kurai jāsniedz galvojums, tie var pieprasīt, lai tas konkrētā laikposmā paliktu nemainīgs.</w:t>
      </w:r>
    </w:p>
    <w:p w14:paraId="55B3A988" w14:textId="77777777" w:rsidR="005A2D50" w:rsidRPr="005A2D50" w:rsidRDefault="005A2D50" w:rsidP="005A2D50">
      <w:pPr>
        <w:pStyle w:val="BodyText"/>
        <w:rPr>
          <w:lang w:val="en-US"/>
        </w:rPr>
      </w:pPr>
    </w:p>
    <w:p w14:paraId="687BA557" w14:textId="77777777" w:rsidR="005A2D50" w:rsidRPr="005A2D50" w:rsidRDefault="005A2D50" w:rsidP="005A2D50">
      <w:pPr>
        <w:pStyle w:val="Heading1"/>
        <w:rPr>
          <w:noProof/>
          <w:lang w:val="en-US"/>
        </w:rPr>
      </w:pPr>
      <w:bookmarkStart w:id="48" w:name="III.1._Cash_deposit"/>
      <w:bookmarkStart w:id="49" w:name="_bookmark15"/>
      <w:bookmarkStart w:id="50" w:name="_Toc104982773"/>
      <w:bookmarkEnd w:id="48"/>
      <w:bookmarkEnd w:id="49"/>
      <w:r w:rsidRPr="005A2D50">
        <w:rPr>
          <w:noProof/>
          <w:lang w:val="en-US"/>
        </w:rPr>
        <w:t>III.1. Skaidras naudas iemaksa</w:t>
      </w:r>
      <w:bookmarkEnd w:id="50"/>
    </w:p>
    <w:p w14:paraId="6A82D9C3"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8E901E8" w14:textId="77777777" w:rsidR="005A2D50" w:rsidRPr="005A2D50" w:rsidRDefault="005A2D50" w:rsidP="005A2D50">
      <w:pPr>
        <w:pStyle w:val="BodyText"/>
        <w:rPr>
          <w:lang w:val="en-US"/>
        </w:rPr>
      </w:pPr>
      <w:r w:rsidRPr="005A2D50">
        <w:rPr>
          <w:lang w:val="en-US"/>
        </w:rPr>
        <w:t xml:space="preserve">Saskaņā ar SMK 92. panta 1. punkta a) apakšpunktu galvojumu ar skaidras naudas iemaksu vai ar citiem maksāšanas līdzekļiem, ko muitas dienesti atzīst par līdzvērtīgiem skaidras naudas iemaksai, veic </w:t>
      </w:r>
      <w:r w:rsidRPr="005A2D50">
        <w:rPr>
          <w:i/>
          <w:iCs/>
          <w:lang w:val="en-US"/>
        </w:rPr>
        <w:t xml:space="preserve">euro </w:t>
      </w:r>
      <w:r w:rsidRPr="005A2D50">
        <w:rPr>
          <w:lang w:val="en-US"/>
        </w:rPr>
        <w:t>vai tās dalībvalsts valūtā, kurā galvojumu pieprasa, atbilstoši spēkā esošajām valsts tiesību normām. Šāda veida galvojumu var sniegt, lai segtu esošo un/vai iespējamo muitas parādu un citus maksājumus, ja piemērojami.</w:t>
      </w:r>
    </w:p>
    <w:p w14:paraId="5DFAE29E" w14:textId="77777777" w:rsidR="005A2D50" w:rsidRPr="005A2D50" w:rsidRDefault="005A2D50" w:rsidP="005A2D50">
      <w:pPr>
        <w:pStyle w:val="BodyText"/>
        <w:rPr>
          <w:lang w:val="en-US"/>
        </w:rPr>
      </w:pPr>
      <w:r w:rsidRPr="005A2D50">
        <w:rPr>
          <w:lang w:val="en-US"/>
        </w:rPr>
        <w:t>Saskaņā ar SMK ĪA 150. pantu galvojums, kas nepieciešams īpašajām procedūrām vai pagaidu uzglabāšanai un ko sniedz kā vienreizēju galvojumu skaidras naudas iemaksas veidā, ir jāsniedz tās dalībvalsts muitas dienestiem, kurā precēm piemēro īpašo procedūru vai kur tās atrodas pagaidu uzglabāšanā. Ja šo galvojumu atbrīvo saskaņā ar SMK 98. pantu, tās dalībvalsts muitas dienestam, kurā galvojums ir sniegts, ir pienākums to atmaksāt.</w:t>
      </w:r>
    </w:p>
    <w:p w14:paraId="7CD4B038" w14:textId="77777777" w:rsidR="005A2D50" w:rsidRPr="005A2D50" w:rsidRDefault="005A2D50" w:rsidP="005A2D50">
      <w:pPr>
        <w:pStyle w:val="BodyText"/>
        <w:rPr>
          <w:lang w:val="en-US"/>
        </w:rPr>
      </w:pPr>
      <w:r w:rsidRPr="005A2D50">
        <w:rPr>
          <w:lang w:val="en-US"/>
        </w:rPr>
        <w:t>Par šādu galvojumu muitas dienesti procentus nemaksā.</w:t>
      </w:r>
    </w:p>
    <w:p w14:paraId="067958F8" w14:textId="77777777" w:rsidR="005A2D50" w:rsidRPr="005A2D50" w:rsidRDefault="005A2D50" w:rsidP="005A2D50">
      <w:pPr>
        <w:pStyle w:val="BodyText"/>
        <w:rPr>
          <w:lang w:val="en-US"/>
        </w:rPr>
      </w:pPr>
      <w:bookmarkStart w:id="51" w:name="III.2._Undertaking_by_a_guarantor"/>
      <w:bookmarkStart w:id="52" w:name="_bookmark16"/>
      <w:bookmarkEnd w:id="51"/>
      <w:bookmarkEnd w:id="52"/>
    </w:p>
    <w:p w14:paraId="7856E90C" w14:textId="77777777" w:rsidR="005A2D50" w:rsidRPr="005A2D50" w:rsidRDefault="005A2D50" w:rsidP="005A2D50">
      <w:pPr>
        <w:pStyle w:val="Heading1"/>
        <w:rPr>
          <w:noProof/>
          <w:lang w:val="en-US"/>
        </w:rPr>
      </w:pPr>
      <w:bookmarkStart w:id="53" w:name="_Toc104982774"/>
      <w:r w:rsidRPr="005A2D50">
        <w:rPr>
          <w:noProof/>
          <w:lang w:val="en-US"/>
        </w:rPr>
        <w:t>III.2. Galvinieka saistības</w:t>
      </w:r>
      <w:bookmarkEnd w:id="53"/>
    </w:p>
    <w:p w14:paraId="39377216"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F20923B" w14:textId="77777777" w:rsidR="005A2D50" w:rsidRPr="005A2D50" w:rsidRDefault="005A2D50" w:rsidP="005A2D50">
      <w:pPr>
        <w:pStyle w:val="Heading2"/>
        <w:rPr>
          <w:noProof/>
          <w:lang w:val="en-US"/>
        </w:rPr>
      </w:pPr>
      <w:bookmarkStart w:id="54" w:name="III.2.1._Models_for_Guarantor’s_undertak"/>
      <w:bookmarkStart w:id="55" w:name="_bookmark17"/>
      <w:bookmarkStart w:id="56" w:name="_Toc104982775"/>
      <w:bookmarkEnd w:id="54"/>
      <w:bookmarkEnd w:id="55"/>
      <w:r w:rsidRPr="005A2D50">
        <w:rPr>
          <w:noProof/>
          <w:lang w:val="en-US"/>
        </w:rPr>
        <w:t>III.2.1. Galvinieka saistību veidlapas</w:t>
      </w:r>
      <w:bookmarkEnd w:id="56"/>
    </w:p>
    <w:p w14:paraId="3F96ABEA"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24DF89E" w14:textId="77777777" w:rsidR="005A2D50" w:rsidRPr="005A2D50" w:rsidRDefault="005A2D50" w:rsidP="005A2D50">
      <w:pPr>
        <w:pStyle w:val="BodyText"/>
        <w:rPr>
          <w:lang w:val="en-US"/>
        </w:rPr>
      </w:pPr>
      <w:r w:rsidRPr="005A2D50">
        <w:rPr>
          <w:lang w:val="en-US"/>
        </w:rPr>
        <w:t xml:space="preserve">Par galvinieka saistību apstiprināšanu atbild </w:t>
      </w:r>
      <w:r w:rsidRPr="005A2D50">
        <w:rPr>
          <w:i/>
          <w:iCs/>
          <w:lang w:val="en-US"/>
        </w:rPr>
        <w:t xml:space="preserve">COG </w:t>
      </w:r>
      <w:r w:rsidRPr="005A2D50">
        <w:rPr>
          <w:lang w:val="en-US"/>
        </w:rPr>
        <w:t xml:space="preserve">(vieta, kur galvojumu sniedz). </w:t>
      </w:r>
      <w:r w:rsidRPr="005A2D50">
        <w:rPr>
          <w:i/>
          <w:iCs/>
          <w:lang w:val="en-US"/>
        </w:rPr>
        <w:t xml:space="preserve">COG </w:t>
      </w:r>
      <w:r w:rsidRPr="005A2D50">
        <w:rPr>
          <w:lang w:val="en-US"/>
        </w:rPr>
        <w:t>paziņo par apstiprinājumu personai, kas sniedz galvojumu, kā minēts SMK 89. panta 3. punktā. Negatīvs lēmums (atteikums pieņemt saistības) var attiekties uz jebkurām saistībām neatkarīgi no galvinieka (kredītiestāde, finanšu iestāde vai apdrošināšanas sabiedrība, kas ir akreditēta Savienībā saskaņā ar spēkā esošiem Savienības noteikumiem, vai jebkurš cits galvinieks, kam vajadzīgs muitas dienesta apstiprinājums).</w:t>
      </w:r>
    </w:p>
    <w:p w14:paraId="5447793F" w14:textId="77777777" w:rsidR="005A2D50" w:rsidRPr="005A2D50" w:rsidRDefault="005A2D50" w:rsidP="005A2D50">
      <w:pPr>
        <w:pStyle w:val="BodyText"/>
        <w:rPr>
          <w:lang w:val="en-US"/>
        </w:rPr>
      </w:pPr>
      <w:r w:rsidRPr="005A2D50">
        <w:rPr>
          <w:lang w:val="en-US"/>
        </w:rPr>
        <w:t xml:space="preserve">Lai pieņemtu saistības, </w:t>
      </w:r>
      <w:r w:rsidRPr="005A2D50">
        <w:rPr>
          <w:i/>
          <w:iCs/>
          <w:lang w:val="en-US"/>
        </w:rPr>
        <w:t xml:space="preserve">COG </w:t>
      </w:r>
      <w:r w:rsidRPr="005A2D50">
        <w:rPr>
          <w:lang w:val="en-US"/>
        </w:rPr>
        <w:t>jābūt iespējai pārbaudīt, vai visas galvinieku saistību daļas ir aizpildītas pareizi, tostarp galvinieka parakstus. Šajā nolūkā galviniekam jāiesniedz muitas dienestam saraksts ar kompetento personu parakstu paraugiem, ja to nevar pārbaudīt citā veidā.</w:t>
      </w:r>
    </w:p>
    <w:p w14:paraId="55035A66" w14:textId="77777777" w:rsidR="005A2D50" w:rsidRPr="005A2D50" w:rsidRDefault="005A2D50" w:rsidP="005A2D50">
      <w:pPr>
        <w:pStyle w:val="BodyText"/>
        <w:rPr>
          <w:lang w:val="en-US"/>
        </w:rPr>
      </w:pPr>
      <w:r w:rsidRPr="005A2D50">
        <w:rPr>
          <w:lang w:val="en-US"/>
        </w:rPr>
        <w:t>SMK ĪA 32-01., 32-02. un 32-03. pielikumā ir iekļauti paraugi galvinieka saistību veidlapām, kas paredzētas, ja sniedz attiecīgi vienreizējo galvojumu, vienreizējo galvojumu ar kvītīm un vispārējo galvojumu.</w:t>
      </w:r>
    </w:p>
    <w:p w14:paraId="7CAFE633" w14:textId="77777777" w:rsidR="005A2D50" w:rsidRPr="005A2D50" w:rsidRDefault="005A2D50" w:rsidP="005A2D50">
      <w:pPr>
        <w:pStyle w:val="BodyText"/>
        <w:rPr>
          <w:lang w:val="en-US"/>
        </w:rPr>
      </w:pPr>
      <w:r w:rsidRPr="005A2D50">
        <w:rPr>
          <w:lang w:val="en-US"/>
        </w:rPr>
        <w:t>Tomēr saskaņā ar SMK ĪA 151. panta 7. punktu “katra dalībvalsts var saskaņā ar valsts tiesību aktiem atļaut, ka galvinieks sniedz saistības veidā, kas atšķiras no 32-01., 32-02. un 32-03. pielikumā norādītajiem veidiem, ja tām ir tāds pats juridiskais spēks”.</w:t>
      </w:r>
    </w:p>
    <w:p w14:paraId="031F28FE" w14:textId="77777777" w:rsidR="005A2D50" w:rsidRPr="005A2D50" w:rsidRDefault="005A2D50" w:rsidP="005A2D50">
      <w:pPr>
        <w:pStyle w:val="BodyText"/>
        <w:rPr>
          <w:lang w:val="en-US"/>
        </w:rPr>
      </w:pPr>
      <w:r w:rsidRPr="005A2D50">
        <w:rPr>
          <w:lang w:val="en-US"/>
        </w:rPr>
        <w:t>“Juridiskais spēks” galvenokārt attiecas uz saistību juridiskajiem noteikumiem saistībā ar galvinieka atbildību attiecībā uz muitas parāda un, ja atbilstīgi, citu maksājumu samaksu noteiktajā termiņā, kā arī uz kopējām datu prasībām saskaņā ar SMK DA 32-01., 32-02. un 32-03. pielikumu.</w:t>
      </w:r>
    </w:p>
    <w:p w14:paraId="5D74527E" w14:textId="77777777" w:rsidR="005A2D50" w:rsidRPr="005A2D50" w:rsidRDefault="005A2D50" w:rsidP="005A2D50">
      <w:pPr>
        <w:pStyle w:val="BodyText"/>
        <w:rPr>
          <w:lang w:val="en-US"/>
        </w:rPr>
      </w:pPr>
      <w:r w:rsidRPr="005A2D50">
        <w:rPr>
          <w:lang w:val="en-US"/>
        </w:rPr>
        <w:t>Savienības tranzīta procedūras ietvaros galvinieks var sniegt vienreizējo galvojumu saistību veidā, izdodot kvītis saskaņā ar SMK ĪA 160. pantu.</w:t>
      </w:r>
    </w:p>
    <w:p w14:paraId="528D8AC9" w14:textId="77777777" w:rsidR="005A2D50" w:rsidRPr="005A2D50" w:rsidRDefault="005A2D50" w:rsidP="005A2D50">
      <w:pPr>
        <w:pStyle w:val="BodyText"/>
        <w:rPr>
          <w:lang w:val="en-US"/>
        </w:rPr>
      </w:pPr>
      <w:r w:rsidRPr="005A2D50">
        <w:rPr>
          <w:lang w:val="en-US"/>
        </w:rPr>
        <w:t xml:space="preserve">Minēto saistību apliecinājumu sagatavo, izmantojot 32-02. pielikumā norādīto veidlapu, un kvītis sagatavo, izmantojot 32-06. pielikumā norādīto veidlapu. Katra kvīts sedz summu 10 000 EUR apmērā, par kuru finansiāli atbildīgs ir galvinieks. Persona, kurai ir prasīts sniegt galvojumu, iesniedz </w:t>
      </w:r>
      <w:r w:rsidRPr="005A2D50">
        <w:rPr>
          <w:i/>
          <w:iCs/>
          <w:lang w:val="en-US"/>
        </w:rPr>
        <w:t xml:space="preserve">COG </w:t>
      </w:r>
      <w:r w:rsidRPr="005A2D50">
        <w:rPr>
          <w:lang w:val="en-US"/>
        </w:rPr>
        <w:t>/ pie nosūtīšanas vairākas kvītis. Tās atbilst vairāku 10 000 EUR kopsummai, kas nepieciešama, lai segtu SMK ĪA 148. pantā minēto summu kopsummu.</w:t>
      </w:r>
    </w:p>
    <w:p w14:paraId="1B1217CA" w14:textId="77777777" w:rsidR="005A2D50" w:rsidRPr="005A2D50" w:rsidRDefault="005A2D50" w:rsidP="005A2D50">
      <w:pPr>
        <w:pStyle w:val="BodyText"/>
        <w:rPr>
          <w:lang w:val="en-US"/>
        </w:rPr>
      </w:pPr>
      <w:r w:rsidRPr="005A2D50">
        <w:rPr>
          <w:lang w:val="en-US"/>
        </w:rPr>
        <w:t>SMK un ar to saistītie tiesību akti neparedz vispārējā galvojuma derīguma termiņa beigu datumu, ja galvojums sniegts saistību veidā (SMK ĪA 32-03. pielikums).</w:t>
      </w:r>
    </w:p>
    <w:p w14:paraId="202760E6" w14:textId="77777777" w:rsidR="005A2D50" w:rsidRPr="005A2D50" w:rsidRDefault="005A2D50" w:rsidP="005A2D50">
      <w:pPr>
        <w:pStyle w:val="BodyText"/>
        <w:rPr>
          <w:lang w:val="en-US"/>
        </w:rPr>
      </w:pPr>
      <w:r w:rsidRPr="005A2D50">
        <w:rPr>
          <w:lang w:val="en-US"/>
        </w:rPr>
        <w:t>Galvojumu, kas sniegts kā galvinieka saistības, var:</w:t>
      </w:r>
    </w:p>
    <w:p w14:paraId="21BD1A18" w14:textId="77777777" w:rsidR="005A2D50" w:rsidRPr="005A2D50" w:rsidRDefault="005A2D50" w:rsidP="005A2D50">
      <w:pPr>
        <w:pStyle w:val="BodyText"/>
        <w:rPr>
          <w:lang w:val="en-US"/>
        </w:rPr>
      </w:pPr>
    </w:p>
    <w:p w14:paraId="6E9EC995" w14:textId="77777777" w:rsidR="005A2D50" w:rsidRPr="005A2D50" w:rsidRDefault="005A2D50" w:rsidP="005A2D50">
      <w:pPr>
        <w:pStyle w:val="BodyText"/>
        <w:numPr>
          <w:ilvl w:val="0"/>
          <w:numId w:val="53"/>
        </w:numPr>
        <w:tabs>
          <w:tab w:val="left" w:pos="851"/>
        </w:tabs>
        <w:ind w:left="284" w:firstLine="0"/>
        <w:rPr>
          <w:lang w:val="en-US"/>
        </w:rPr>
      </w:pPr>
      <w:r w:rsidRPr="005A2D50">
        <w:rPr>
          <w:lang w:val="en-US"/>
        </w:rPr>
        <w:t>aizstāt ar jaunu galvojumu vai grozīt saskaņā ar SMK 97. pantu, ja tas nenodrošina vai ja vairs nav pārliecības, ka tas nodrošinās, vai ja tas nav pietiekams, lai nodrošinātu muitas parāda un citu maksājumu, ja piemērojami, samaksu noteiktajā termiņā atbilstoši tās personas izvēlei, kura sniegusi minēto galvojumu. Ja muitas dienesti to pieņem, saistības var aizstāt arī pēc tās personas pieprasījuma, kura sniegusi galvojumu;</w:t>
      </w:r>
    </w:p>
    <w:p w14:paraId="5CA8422D" w14:textId="77777777" w:rsidR="005A2D50" w:rsidRPr="005A2D50" w:rsidRDefault="005A2D50" w:rsidP="005A2D50">
      <w:pPr>
        <w:pStyle w:val="BodyText"/>
        <w:numPr>
          <w:ilvl w:val="0"/>
          <w:numId w:val="53"/>
        </w:numPr>
        <w:tabs>
          <w:tab w:val="left" w:pos="851"/>
        </w:tabs>
        <w:ind w:left="284" w:firstLine="0"/>
        <w:rPr>
          <w:lang w:val="en-US"/>
        </w:rPr>
      </w:pPr>
      <w:r w:rsidRPr="005A2D50">
        <w:rPr>
          <w:lang w:val="en-US"/>
        </w:rPr>
        <w:t>atbrīvot muitas dienesti, ja tas vairs nav nepieciešams, saskaņā ar SMK 98. pantu;</w:t>
      </w:r>
    </w:p>
    <w:p w14:paraId="3DFFABAA" w14:textId="77777777" w:rsidR="005A2D50" w:rsidRPr="005A2D50" w:rsidRDefault="005A2D50" w:rsidP="005A2D50">
      <w:pPr>
        <w:pStyle w:val="BodyText"/>
        <w:numPr>
          <w:ilvl w:val="0"/>
          <w:numId w:val="53"/>
        </w:numPr>
        <w:tabs>
          <w:tab w:val="left" w:pos="851"/>
        </w:tabs>
        <w:ind w:left="284" w:firstLine="0"/>
        <w:rPr>
          <w:lang w:val="en-US"/>
        </w:rPr>
      </w:pPr>
      <w:r w:rsidRPr="005A2D50">
        <w:rPr>
          <w:lang w:val="en-US"/>
        </w:rPr>
        <w:t>atsaukt muitas dienesti saskaņā ar SMK ĪA 151. pantu vai</w:t>
      </w:r>
    </w:p>
    <w:p w14:paraId="14696124" w14:textId="77777777" w:rsidR="005A2D50" w:rsidRPr="005A2D50" w:rsidRDefault="005A2D50" w:rsidP="005A2D50">
      <w:pPr>
        <w:pStyle w:val="BodyText"/>
        <w:numPr>
          <w:ilvl w:val="0"/>
          <w:numId w:val="53"/>
        </w:numPr>
        <w:tabs>
          <w:tab w:val="left" w:pos="851"/>
        </w:tabs>
        <w:ind w:left="284" w:firstLine="0"/>
        <w:rPr>
          <w:lang w:val="en-US"/>
        </w:rPr>
      </w:pPr>
      <w:r w:rsidRPr="005A2D50">
        <w:rPr>
          <w:lang w:val="en-US"/>
        </w:rPr>
        <w:t>atcelt galvinieks saskaņā ar SMK ĪA 151. pantu.</w:t>
      </w:r>
    </w:p>
    <w:p w14:paraId="29C06763" w14:textId="77777777" w:rsidR="005A2D50" w:rsidRPr="005A2D50" w:rsidRDefault="005A2D50" w:rsidP="005A2D50">
      <w:pPr>
        <w:pStyle w:val="BodyText"/>
        <w:rPr>
          <w:lang w:val="en-US"/>
        </w:rPr>
      </w:pPr>
    </w:p>
    <w:p w14:paraId="554B1B7A" w14:textId="77777777" w:rsidR="005A2D50" w:rsidRPr="005A2D50" w:rsidRDefault="005A2D50" w:rsidP="005A2D50">
      <w:pPr>
        <w:pStyle w:val="BodyText"/>
        <w:rPr>
          <w:lang w:val="en-US"/>
        </w:rPr>
      </w:pPr>
      <w:r w:rsidRPr="005A2D50">
        <w:rPr>
          <w:lang w:val="en-US"/>
        </w:rPr>
        <w:t>Muitas dienesti var jebkurā laikā atsaukt galvinieka saistību apstiprinājumu. Pēc tam dienesti paziņo par atsaukšanu galviniekam un personai, kurai prasīts sniegt galvojumu. Apstiprinājuma atsaukšana stājas spēkā sešpadsmitajā dienā pēc dienas, kad galvinieks ir saņēmis vai ir uzskatāms, ka galvinieks ir saņēmis, lēmumu par atsaukšanu.</w:t>
      </w:r>
    </w:p>
    <w:p w14:paraId="3D6A0158" w14:textId="77777777" w:rsidR="005A2D50" w:rsidRPr="005A2D50" w:rsidRDefault="005A2D50" w:rsidP="005A2D50">
      <w:pPr>
        <w:pStyle w:val="BodyText"/>
        <w:rPr>
          <w:lang w:val="en-US"/>
        </w:rPr>
      </w:pPr>
      <w:r w:rsidRPr="005A2D50">
        <w:rPr>
          <w:lang w:val="en-US"/>
        </w:rPr>
        <w:t xml:space="preserve">Galvinieks jebkurā laikā var atcelt savas saistības. Galvinieks par atcelšanu paziņo </w:t>
      </w:r>
      <w:r w:rsidRPr="005A2D50">
        <w:rPr>
          <w:i/>
          <w:iCs/>
          <w:lang w:val="en-US"/>
        </w:rPr>
        <w:t>COG</w:t>
      </w:r>
      <w:r w:rsidRPr="005A2D50">
        <w:rPr>
          <w:lang w:val="en-US"/>
        </w:rPr>
        <w:t>. Galvinieka saistību atcelšana neietekmē preces, kurām, izmantojot atceltās saistības, atcelšanas spēkā stāšanās laikā jau ir piemērota muitas procedūra un joprojām tiek piemērota vai kuras ir pagaidu uzglabāšanā.</w:t>
      </w:r>
    </w:p>
    <w:p w14:paraId="26C267A2" w14:textId="77777777" w:rsidR="005A2D50" w:rsidRPr="005A2D50" w:rsidRDefault="005A2D50" w:rsidP="005A2D50">
      <w:pPr>
        <w:pStyle w:val="BodyText"/>
        <w:rPr>
          <w:lang w:val="en-US"/>
        </w:rPr>
      </w:pPr>
      <w:r w:rsidRPr="005A2D50">
        <w:rPr>
          <w:lang w:val="en-US"/>
        </w:rPr>
        <w:t xml:space="preserve">Galvinieka saistību atcelšana stājas spēkā sešpadsmitajā dienā pēc dienas, kad galvinieks par atcelšanu paziņo </w:t>
      </w:r>
      <w:r w:rsidRPr="005A2D50">
        <w:rPr>
          <w:i/>
          <w:iCs/>
          <w:lang w:val="en-US"/>
        </w:rPr>
        <w:t>COG.</w:t>
      </w:r>
    </w:p>
    <w:p w14:paraId="0B0E8374" w14:textId="77777777" w:rsidR="005A2D50" w:rsidRPr="005A2D50" w:rsidRDefault="005A2D50" w:rsidP="005A2D50">
      <w:pPr>
        <w:pStyle w:val="BodyText"/>
        <w:rPr>
          <w:lang w:val="en-US"/>
        </w:rPr>
      </w:pPr>
      <w:r w:rsidRPr="005A2D50">
        <w:rPr>
          <w:lang w:val="en-US"/>
        </w:rPr>
        <w:t>Galvinieka finansiālā atbildība paliek spēkā attiecībā uz muitas parādiem un citiem maksājumiem, kas radušies muitas operācijās, uz kurām attiecas saistības un kuras sāktas pirms to atsaukšanas vai atcelšanas.</w:t>
      </w:r>
    </w:p>
    <w:p w14:paraId="46D5A533" w14:textId="77777777" w:rsidR="005A2D50" w:rsidRPr="005A2D50" w:rsidRDefault="005A2D50" w:rsidP="005A2D50">
      <w:pPr>
        <w:pStyle w:val="BodyText"/>
        <w:rPr>
          <w:lang w:val="en-US"/>
        </w:rPr>
      </w:pPr>
      <w:r w:rsidRPr="005A2D50">
        <w:rPr>
          <w:i/>
          <w:iCs/>
          <w:lang w:val="en-US"/>
        </w:rPr>
        <w:t xml:space="preserve">COG </w:t>
      </w:r>
      <w:r w:rsidRPr="005A2D50">
        <w:rPr>
          <w:lang w:val="en-US"/>
        </w:rPr>
        <w:t xml:space="preserve">par jebkuru lēmumu, kas skar saistību atsaukšanu vai atcelšanu, un dienu, kad lēmums stājas spēkā, ir jāinformē otra tās dalībvalsts </w:t>
      </w:r>
      <w:r w:rsidRPr="005A2D50">
        <w:rPr>
          <w:i/>
          <w:iCs/>
          <w:lang w:val="en-US"/>
        </w:rPr>
        <w:t>COG</w:t>
      </w:r>
      <w:r w:rsidRPr="005A2D50">
        <w:rPr>
          <w:lang w:val="en-US"/>
        </w:rPr>
        <w:t>, kurā galvojums ir spēkā.</w:t>
      </w:r>
    </w:p>
    <w:p w14:paraId="0D2F67E1" w14:textId="77777777" w:rsidR="005A2D50" w:rsidRPr="005A2D50" w:rsidRDefault="005A2D50" w:rsidP="005A2D50">
      <w:pPr>
        <w:pStyle w:val="BodyText"/>
        <w:rPr>
          <w:lang w:val="en-US"/>
        </w:rPr>
      </w:pPr>
    </w:p>
    <w:p w14:paraId="6EB0C7C0" w14:textId="77777777" w:rsidR="005A2D50" w:rsidRPr="005A2D50" w:rsidRDefault="005A2D50" w:rsidP="005A2D50">
      <w:pPr>
        <w:pStyle w:val="Heading2"/>
        <w:rPr>
          <w:noProof/>
          <w:lang w:val="en-US"/>
        </w:rPr>
      </w:pPr>
      <w:bookmarkStart w:id="57" w:name="III.2.2._The_guarantor_(Article_94_UCC)"/>
      <w:bookmarkStart w:id="58" w:name="_bookmark18"/>
      <w:bookmarkStart w:id="59" w:name="_Toc104982776"/>
      <w:bookmarkEnd w:id="57"/>
      <w:bookmarkEnd w:id="58"/>
      <w:r w:rsidRPr="005A2D50">
        <w:rPr>
          <w:noProof/>
          <w:lang w:val="en-US"/>
        </w:rPr>
        <w:t>III.2.2. Galvinieks (SMK 94. pants)</w:t>
      </w:r>
      <w:bookmarkEnd w:id="59"/>
    </w:p>
    <w:p w14:paraId="0EEC069E"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FC6843D" w14:textId="77777777" w:rsidR="005A2D50" w:rsidRPr="005A2D50" w:rsidRDefault="005A2D50" w:rsidP="005A2D50">
      <w:pPr>
        <w:pStyle w:val="BodyText"/>
        <w:rPr>
          <w:lang w:val="en-US"/>
        </w:rPr>
      </w:pPr>
      <w:r w:rsidRPr="005A2D50">
        <w:rPr>
          <w:lang w:val="en-US"/>
        </w:rPr>
        <w:t>SMK 94. panta 1. punktā ir izklāstīti pamatnosacījumi, kas izpildāmi galviniekiem, kas ES muitas nolūkos sniedz saistības.</w:t>
      </w:r>
    </w:p>
    <w:p w14:paraId="4DCBCB69" w14:textId="77777777" w:rsidR="005A2D50" w:rsidRPr="005A2D50" w:rsidRDefault="005A2D50" w:rsidP="005A2D50">
      <w:pPr>
        <w:pStyle w:val="BodyText"/>
        <w:rPr>
          <w:lang w:val="en-US"/>
        </w:rPr>
      </w:pPr>
    </w:p>
    <w:p w14:paraId="1E475E47"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Galvinieks ir trešā persona, kas veic uzņēmējdarbību Savienības muitas teritorijā. Saskaņā ar SMK 5. panta 31. punkta b) apakšpunktu “personai, kas veic uzņēmējdarbību Savienības muitas teritorijā”, ir jābūt juridiskajai adresei, galvenajam birojam vai pastāvīgai darījumdarbības vietai Savienības muitas teritorijā.</w:t>
      </w:r>
    </w:p>
    <w:p w14:paraId="32F8892F"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Galvinieks rakstveidā uzņemas saistības samaksāt nodrošināto muitas parādam atbilstīgo ievedmuitas vai izvedmuitas nodokļa summu un citu maksājumu summu.</w:t>
      </w:r>
    </w:p>
    <w:p w14:paraId="03B39D2E" w14:textId="77777777" w:rsidR="005A2D50" w:rsidRPr="005A2D50" w:rsidRDefault="005A2D50" w:rsidP="005A2D50">
      <w:pPr>
        <w:pStyle w:val="BodyText"/>
        <w:rPr>
          <w:lang w:val="en-US"/>
        </w:rPr>
      </w:pPr>
    </w:p>
    <w:p w14:paraId="1CA19DAB" w14:textId="77777777" w:rsidR="005A2D50" w:rsidRPr="005A2D50" w:rsidRDefault="005A2D50" w:rsidP="005A2D50">
      <w:pPr>
        <w:pStyle w:val="BodyText"/>
        <w:rPr>
          <w:lang w:val="en-US"/>
        </w:rPr>
      </w:pPr>
      <w:r w:rsidRPr="005A2D50">
        <w:rPr>
          <w:lang w:val="en-US"/>
        </w:rPr>
        <w:t xml:space="preserve">SMK DA 82. panta 1. punktā ir noteikts, ka galvinieks “norāda kontaktadresi vai ieceļ pārstāvi katrā dalībvalstī, kur var izmantot galvojumu”. Šī informācija ir jāsniedz saistību ietvaros saskaņā ar attiecīgo atļauju nosacījumiem (atļaujas muitas procedūrām un, ja atbilstīgi, </w:t>
      </w:r>
      <w:r w:rsidRPr="005A2D50">
        <w:rPr>
          <w:i/>
          <w:iCs/>
          <w:lang w:val="en-US"/>
        </w:rPr>
        <w:t xml:space="preserve">CGU </w:t>
      </w:r>
      <w:r w:rsidRPr="005A2D50">
        <w:rPr>
          <w:lang w:val="en-US"/>
        </w:rPr>
        <w:t xml:space="preserve">atļauja). Ja tas netiek darīts, </w:t>
      </w:r>
      <w:r w:rsidRPr="005A2D50">
        <w:rPr>
          <w:i/>
          <w:iCs/>
          <w:lang w:val="en-US"/>
        </w:rPr>
        <w:t xml:space="preserve">COG </w:t>
      </w:r>
      <w:r w:rsidRPr="005A2D50">
        <w:rPr>
          <w:lang w:val="en-US"/>
        </w:rPr>
        <w:t>nedrīkst apstiprināt šā galvinieka saistības.</w:t>
      </w:r>
    </w:p>
    <w:p w14:paraId="7F2A662F" w14:textId="77777777" w:rsidR="005A2D50" w:rsidRPr="005A2D50" w:rsidRDefault="005A2D50" w:rsidP="005A2D50">
      <w:pPr>
        <w:pStyle w:val="BodyText"/>
        <w:rPr>
          <w:lang w:val="en-US"/>
        </w:rPr>
      </w:pPr>
      <w:r w:rsidRPr="005A2D50">
        <w:rPr>
          <w:lang w:val="en-US"/>
        </w:rPr>
        <w:t>SMK 94. pantā ir noteikts, ka “galvinieks ir to muitas dienestu apstiprināts, kas pieprasa galvojumu”. Galvinieks tiks apstiprināts saskaņā ar attiecīgās dalībvalsts tiesību normām.</w:t>
      </w:r>
    </w:p>
    <w:p w14:paraId="189F1AB4" w14:textId="77777777" w:rsidR="005A2D50" w:rsidRPr="005A2D50" w:rsidRDefault="005A2D50" w:rsidP="005A2D50">
      <w:pPr>
        <w:pStyle w:val="BodyText"/>
        <w:rPr>
          <w:lang w:val="en-US"/>
        </w:rPr>
      </w:pPr>
      <w:r w:rsidRPr="005A2D50">
        <w:rPr>
          <w:lang w:val="en-US"/>
        </w:rPr>
        <w:t>Parasti galvinieku apstiprina muitas dienesti, kuri pieprasa galvojumu. Tomēr ir paredzēts izņēmums attiecībā uz šo noteikumu, ja galvinieks ir “kredītiestāde, finanšu iestāde vai apdrošināšanas sabiedrība, kas akreditēta Savienībā saskaņā ar spēkā esošiem Savienības noteikumiem”. Tiem muitas dienesta apstiprinājums nav nepieciešams. Tomēr arī šiem galviniekiem ir jāatbilst iepriekš minētajiem pamatnosacījumiem, kas ir piemērojami visās dalībvalstīs, kurās galvojums ir spēkā.</w:t>
      </w:r>
    </w:p>
    <w:p w14:paraId="2AD02829" w14:textId="77777777" w:rsidR="005A2D50" w:rsidRPr="005A2D50" w:rsidRDefault="005A2D50" w:rsidP="005A2D50">
      <w:pPr>
        <w:pStyle w:val="BodyText"/>
        <w:rPr>
          <w:lang w:val="en-US"/>
        </w:rPr>
      </w:pPr>
    </w:p>
    <w:p w14:paraId="0EA16C4A" w14:textId="77777777" w:rsidR="005A2D50" w:rsidRPr="005A2D50" w:rsidRDefault="005A2D50" w:rsidP="005A2D50">
      <w:pPr>
        <w:pStyle w:val="BodyText"/>
        <w:rPr>
          <w:b/>
          <w:bCs/>
          <w:lang w:val="en-US"/>
        </w:rPr>
      </w:pPr>
      <w:bookmarkStart w:id="60" w:name="III.2.2.1._The_guarantor_accredited_in_t"/>
      <w:bookmarkEnd w:id="60"/>
      <w:r w:rsidRPr="005A2D50">
        <w:rPr>
          <w:b/>
          <w:bCs/>
          <w:lang w:val="en-US"/>
        </w:rPr>
        <w:t>III.2.2.1. Savienībā akreditēts galvinieks</w:t>
      </w:r>
    </w:p>
    <w:p w14:paraId="61C3F99E"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64C1F14" w14:textId="77777777" w:rsidR="005A2D50" w:rsidRPr="005A2D50" w:rsidRDefault="005A2D50" w:rsidP="005A2D50">
      <w:pPr>
        <w:pStyle w:val="BodyText"/>
        <w:rPr>
          <w:lang w:val="en-US"/>
        </w:rPr>
      </w:pPr>
      <w:r w:rsidRPr="005A2D50">
        <w:rPr>
          <w:lang w:val="en-US"/>
        </w:rPr>
        <w:t>Galviniekus var akreditēt Savienībā saskaņā ar īpašām Eiropas direktīvām par kredītiestādēm un apdrošināšanas sabiedrībām, kas jāņem vērā kā vispārējs juridiskais pamats.</w:t>
      </w:r>
    </w:p>
    <w:p w14:paraId="215125B3" w14:textId="77777777" w:rsidR="005A2D50" w:rsidRPr="005A2D50" w:rsidRDefault="005A2D50" w:rsidP="005A2D50">
      <w:pPr>
        <w:pStyle w:val="BodyText"/>
        <w:rPr>
          <w:lang w:val="en-US"/>
        </w:rPr>
      </w:pPr>
      <w:r w:rsidRPr="005A2D50">
        <w:rPr>
          <w:lang w:val="en-US"/>
        </w:rPr>
        <w:t>Noteikumi par kredītiestāžu (banku) akreditāciju ir noteikti ar Eiropas Parlamenta un Padomes 2013. gada 26. jūnija Direktīvu 2013/36/ES par piekļuvi kredītiestāžu darbībai un kredītiestāžu un ieguldījumu brokeru sabiedrību prudenciālo uzraudzību, ar ko groza Direktīvu 2002/87/EK un atceļ Direktīvas 2006/48/EK un 2006/49/EK (Dokuments attiecas uz EEZ).</w:t>
      </w:r>
    </w:p>
    <w:p w14:paraId="411FF8ED" w14:textId="77777777" w:rsidR="005A2D50" w:rsidRPr="005A2D50" w:rsidRDefault="005A2D50" w:rsidP="005A2D50">
      <w:pPr>
        <w:pStyle w:val="BodyText"/>
        <w:rPr>
          <w:lang w:val="en-US"/>
        </w:rPr>
      </w:pPr>
      <w:r w:rsidRPr="005A2D50">
        <w:rPr>
          <w:lang w:val="en-US"/>
        </w:rPr>
        <w:t>Attiecībā uz apdrošināšanas sabiedrībām attiecīgie noteikumi ir izklāstīti Eiropas Parlamenta un Padomes 2009. gada 25. novembra Direktīvā 2009/138/EK par uzņēmējdarbības uzsākšanu un veikšanu apdrošināšanas un pārapdrošināšanas jomā (Maksātspēja II) (Dokuments attiecas uz EEZ).</w:t>
      </w:r>
    </w:p>
    <w:p w14:paraId="029D7F15" w14:textId="77777777" w:rsidR="005A2D50" w:rsidRPr="005A2D50" w:rsidRDefault="005A2D50" w:rsidP="005A2D50">
      <w:pPr>
        <w:pStyle w:val="BodyText"/>
        <w:rPr>
          <w:lang w:val="en-US"/>
        </w:rPr>
      </w:pPr>
      <w:r w:rsidRPr="005A2D50">
        <w:rPr>
          <w:lang w:val="en-US"/>
        </w:rPr>
        <w:t>Abas iepriekš minētās direktīvas nosaka kredītiestāžu vai apdrošināšanas sabiedrību akreditācijas principus, ko valsts banka piešķir saskaņā ar valsts tiesību aktiem, bet kas balstīti uz kopīgiem kritērijiem, kuri noteikti attiecīgajos Eiropas tiesību aktos. Akreditācija ir spēkā arī citās dalībvalstīs, ja tiek īstenota pakalpojumu sniegšanas brīvība un saskaņā ar noteikto tiesisko regulējumu.</w:t>
      </w:r>
    </w:p>
    <w:p w14:paraId="6F20FA14" w14:textId="77777777" w:rsidR="005A2D50" w:rsidRPr="005A2D50" w:rsidRDefault="005A2D50" w:rsidP="005A2D50">
      <w:pPr>
        <w:pStyle w:val="BodyText"/>
        <w:rPr>
          <w:lang w:val="en-US"/>
        </w:rPr>
      </w:pPr>
      <w:r w:rsidRPr="005A2D50">
        <w:rPr>
          <w:lang w:val="en-US"/>
        </w:rPr>
        <w:t>Katras valsts bankas iestādes tīmekļa vietnēs tiek publicēts regulēto iestāžu un reģistrēto finanšu tirgus vienību saraksts. Šajā sarakstā norāda vietējās valsts bankas, kā arī citu Eiropas valstu iestāžu piešķirtas licences.</w:t>
      </w:r>
    </w:p>
    <w:p w14:paraId="5F26CCF9" w14:textId="77777777" w:rsidR="005A2D50" w:rsidRPr="005A2D50" w:rsidRDefault="005A2D50" w:rsidP="005A2D50">
      <w:pPr>
        <w:pStyle w:val="BodyText"/>
        <w:rPr>
          <w:lang w:val="en-US"/>
        </w:rPr>
      </w:pPr>
      <w:r w:rsidRPr="005A2D50">
        <w:rPr>
          <w:lang w:val="en-US"/>
        </w:rPr>
        <w:t>Pamatojoties uz iepriekš minēto direktīvu pielikumiem, publiskajā sarakstā sniedz arī datus par atļautajām darbībām. Muitas nodokļa galvojuma vajadzībām par akreditētu galvinieku jāuzskata struktūra, kas veic šādas atļautas darbības:</w:t>
      </w:r>
    </w:p>
    <w:p w14:paraId="6E925907" w14:textId="77777777" w:rsidR="005A2D50" w:rsidRPr="005A2D50" w:rsidRDefault="005A2D50" w:rsidP="005A2D50">
      <w:pPr>
        <w:jc w:val="both"/>
        <w:rPr>
          <w:rFonts w:ascii="Times New Roman" w:hAnsi="Times New Roman"/>
          <w:b/>
          <w:noProof/>
          <w:sz w:val="24"/>
          <w:lang w:val="en-US"/>
        </w:rPr>
      </w:pPr>
      <w:r w:rsidRPr="005A2D50">
        <w:rPr>
          <w:rFonts w:ascii="Times New Roman" w:hAnsi="Times New Roman"/>
          <w:noProof/>
          <w:sz w:val="24"/>
          <w:lang w:val="en-US"/>
        </w:rPr>
        <w:t xml:space="preserve">Kredītiestādes (bankas) – Direktīvas 2013/36/ES </w:t>
      </w:r>
      <w:r w:rsidRPr="005A2D50">
        <w:rPr>
          <w:rFonts w:ascii="Times New Roman" w:hAnsi="Times New Roman"/>
          <w:b/>
          <w:bCs/>
          <w:noProof/>
          <w:sz w:val="24"/>
          <w:lang w:val="en-US"/>
        </w:rPr>
        <w:t xml:space="preserve">I pielikums </w:t>
      </w:r>
      <w:r w:rsidRPr="005A2D50">
        <w:rPr>
          <w:rFonts w:ascii="Times New Roman" w:hAnsi="Times New Roman"/>
          <w:noProof/>
          <w:sz w:val="24"/>
          <w:lang w:val="en-US"/>
        </w:rPr>
        <w:t xml:space="preserve">– darbība, kas attiecas tikai uz garantijas mērķiem, </w:t>
      </w:r>
      <w:r w:rsidRPr="005A2D50">
        <w:rPr>
          <w:rFonts w:ascii="Times New Roman" w:hAnsi="Times New Roman"/>
          <w:b/>
          <w:bCs/>
          <w:noProof/>
          <w:sz w:val="24"/>
          <w:lang w:val="en-US"/>
        </w:rPr>
        <w:t xml:space="preserve">6. </w:t>
      </w:r>
      <w:r w:rsidRPr="005A2D50">
        <w:rPr>
          <w:rFonts w:ascii="Times New Roman" w:hAnsi="Times New Roman"/>
          <w:b/>
          <w:noProof/>
          <w:sz w:val="24"/>
          <w:lang w:val="en-US"/>
        </w:rPr>
        <w:t>Garantijas un saistības.</w:t>
      </w:r>
    </w:p>
    <w:p w14:paraId="7F6E42F2" w14:textId="77777777" w:rsidR="005A2D50" w:rsidRPr="005A2D50" w:rsidRDefault="005A2D50" w:rsidP="005A2D50">
      <w:pPr>
        <w:jc w:val="both"/>
        <w:rPr>
          <w:rFonts w:ascii="Times New Roman" w:hAnsi="Times New Roman"/>
          <w:b/>
          <w:noProof/>
          <w:sz w:val="24"/>
          <w:lang w:val="en-US"/>
        </w:rPr>
      </w:pPr>
    </w:p>
    <w:p w14:paraId="440B4336" w14:textId="77777777" w:rsidR="005A2D50" w:rsidRPr="005A2D50" w:rsidRDefault="005A2D50" w:rsidP="005A2D50">
      <w:pPr>
        <w:pStyle w:val="BodyText"/>
        <w:rPr>
          <w:u w:val="single" w:color="000000"/>
          <w:lang w:val="en-US"/>
        </w:rPr>
      </w:pPr>
      <w:r w:rsidRPr="005A2D50">
        <w:rPr>
          <w:u w:val="single" w:color="000000"/>
          <w:lang w:val="en-US"/>
        </w:rPr>
        <w:t>http://eur-lex.europa.eu/legal-content/LV/TXT/PDF/?uri=CELEX:02013L0036-20180113&amp;qid=1520839532210&amp;from=LV</w:t>
      </w:r>
    </w:p>
    <w:p w14:paraId="7F1E4DD9" w14:textId="77777777" w:rsidR="005A2D50" w:rsidRPr="005A2D50" w:rsidRDefault="005A2D50" w:rsidP="005A2D50">
      <w:pPr>
        <w:pStyle w:val="BodyText"/>
        <w:rPr>
          <w:lang w:val="en-US"/>
        </w:rPr>
      </w:pPr>
    </w:p>
    <w:p w14:paraId="489D78DD" w14:textId="77777777" w:rsidR="005A2D50" w:rsidRPr="005A2D50" w:rsidRDefault="005A2D50" w:rsidP="005A2D50">
      <w:pPr>
        <w:pStyle w:val="BodyText"/>
        <w:rPr>
          <w:b/>
          <w:lang w:val="en-US"/>
        </w:rPr>
      </w:pPr>
      <w:r w:rsidRPr="005A2D50">
        <w:rPr>
          <w:lang w:val="en-US"/>
        </w:rPr>
        <w:t xml:space="preserve">Apdrošināšanas sabiedrības – Direktīvas 2009/138/EK </w:t>
      </w:r>
      <w:r w:rsidRPr="005A2D50">
        <w:rPr>
          <w:b/>
          <w:bCs/>
          <w:lang w:val="en-US"/>
        </w:rPr>
        <w:t xml:space="preserve">I pielikums </w:t>
      </w:r>
      <w:r w:rsidRPr="005A2D50">
        <w:rPr>
          <w:lang w:val="en-US"/>
        </w:rPr>
        <w:t xml:space="preserve">– darbība, kas attiecas tikai uz garantijas mērķiem, </w:t>
      </w:r>
      <w:r w:rsidRPr="005A2D50">
        <w:rPr>
          <w:b/>
          <w:bCs/>
          <w:lang w:val="en-US"/>
        </w:rPr>
        <w:t xml:space="preserve">15. </w:t>
      </w:r>
      <w:r w:rsidRPr="005A2D50">
        <w:rPr>
          <w:b/>
          <w:lang w:val="en-US"/>
        </w:rPr>
        <w:t>Galvojums:</w:t>
      </w:r>
    </w:p>
    <w:p w14:paraId="5C329A03" w14:textId="77777777" w:rsidR="005A2D50" w:rsidRPr="005A2D50" w:rsidRDefault="005A2D50" w:rsidP="005A2D50">
      <w:pPr>
        <w:pStyle w:val="BodyText"/>
        <w:rPr>
          <w:b/>
          <w:lang w:val="en-US"/>
        </w:rPr>
      </w:pPr>
    </w:p>
    <w:p w14:paraId="1C4B5C3A" w14:textId="77777777" w:rsidR="005A2D50" w:rsidRPr="005A2D50" w:rsidRDefault="005A2D50" w:rsidP="005A2D50">
      <w:pPr>
        <w:numPr>
          <w:ilvl w:val="0"/>
          <w:numId w:val="51"/>
        </w:numPr>
        <w:tabs>
          <w:tab w:val="left" w:pos="567"/>
        </w:tabs>
        <w:ind w:left="0" w:firstLine="0"/>
        <w:jc w:val="both"/>
        <w:rPr>
          <w:rFonts w:ascii="Times New Roman" w:hAnsi="Times New Roman"/>
          <w:b/>
          <w:noProof/>
          <w:sz w:val="24"/>
          <w:lang w:val="en-US"/>
        </w:rPr>
      </w:pPr>
      <w:r w:rsidRPr="005A2D50">
        <w:rPr>
          <w:rFonts w:ascii="Times New Roman" w:hAnsi="Times New Roman"/>
          <w:b/>
          <w:noProof/>
          <w:sz w:val="24"/>
          <w:lang w:val="en-US"/>
        </w:rPr>
        <w:t>galvojums (tiešs);</w:t>
      </w:r>
    </w:p>
    <w:p w14:paraId="121DEF92" w14:textId="77777777" w:rsidR="005A2D50" w:rsidRPr="005A2D50" w:rsidRDefault="005A2D50" w:rsidP="005A2D50">
      <w:pPr>
        <w:numPr>
          <w:ilvl w:val="0"/>
          <w:numId w:val="51"/>
        </w:numPr>
        <w:tabs>
          <w:tab w:val="left" w:pos="567"/>
        </w:tabs>
        <w:ind w:left="0" w:firstLine="0"/>
        <w:jc w:val="both"/>
        <w:rPr>
          <w:rFonts w:ascii="Times New Roman" w:hAnsi="Times New Roman"/>
          <w:b/>
          <w:noProof/>
          <w:sz w:val="24"/>
          <w:lang w:val="en-US"/>
        </w:rPr>
      </w:pPr>
      <w:r w:rsidRPr="005A2D50">
        <w:rPr>
          <w:rFonts w:ascii="Times New Roman" w:hAnsi="Times New Roman"/>
          <w:b/>
          <w:noProof/>
          <w:sz w:val="24"/>
          <w:lang w:val="en-US"/>
        </w:rPr>
        <w:t>galvojums (netiešs).</w:t>
      </w:r>
    </w:p>
    <w:p w14:paraId="217C66FE" w14:textId="77777777" w:rsidR="005A2D50" w:rsidRPr="005A2D50" w:rsidRDefault="005A2D50" w:rsidP="005A2D50">
      <w:pPr>
        <w:pStyle w:val="BodyText"/>
        <w:rPr>
          <w:u w:color="000000"/>
          <w:lang w:val="en-US"/>
        </w:rPr>
      </w:pPr>
    </w:p>
    <w:p w14:paraId="3C87E588" w14:textId="77777777" w:rsidR="005A2D50" w:rsidRPr="005A2D50" w:rsidRDefault="005A2D50" w:rsidP="005A2D50">
      <w:pPr>
        <w:pStyle w:val="BodyText"/>
        <w:rPr>
          <w:u w:val="single" w:color="000000"/>
          <w:lang w:val="en-US"/>
        </w:rPr>
      </w:pPr>
      <w:r w:rsidRPr="005A2D50">
        <w:rPr>
          <w:u w:val="single" w:color="000000"/>
          <w:lang w:val="en-US"/>
        </w:rPr>
        <w:t>https://eur-lex.europa.eu/legal-content/EN/TXT/PDF/?uri=CELEX:02009L0138-20170112&amp;qid=1520841951309&amp;from=EN</w:t>
      </w:r>
    </w:p>
    <w:p w14:paraId="447D6248" w14:textId="77777777" w:rsidR="005A2D50" w:rsidRPr="005A2D50" w:rsidRDefault="005A2D50" w:rsidP="005A2D50">
      <w:pPr>
        <w:pStyle w:val="BodyText"/>
        <w:rPr>
          <w:lang w:val="en-US"/>
        </w:rPr>
      </w:pPr>
    </w:p>
    <w:p w14:paraId="19302FC3" w14:textId="77777777" w:rsidR="005A2D50" w:rsidRPr="005A2D50" w:rsidRDefault="005A2D50" w:rsidP="005A2D50">
      <w:pPr>
        <w:pStyle w:val="BodyText"/>
        <w:rPr>
          <w:lang w:val="en-US"/>
        </w:rPr>
      </w:pPr>
      <w:r w:rsidRPr="005A2D50">
        <w:rPr>
          <w:lang w:val="en-US"/>
        </w:rPr>
        <w:t>Lai palielinātu pārredzamību Eiropas vienotajā tirgū, Eiropas Banku iestāde (EBI) regulāri publicē to kredītiestāžu sarakstu, kurām piešķirta atļauja darboties Eiropas Savienības un Eiropas Ekonomikas zonas (EEZ) valstīs. EBI publicētais saraksts ir izveidots, pamatojoties tikai uz kompetento iestāžu sniegto informāciju, kā paredzēts EBI lēmumā, ar ko izveido Kredītiestāžu reģistru.</w:t>
      </w:r>
    </w:p>
    <w:p w14:paraId="68A509E1" w14:textId="77777777" w:rsidR="005A2D50" w:rsidRPr="005A2D50" w:rsidRDefault="005A2D50" w:rsidP="005A2D50">
      <w:pPr>
        <w:pStyle w:val="BodyText"/>
        <w:rPr>
          <w:lang w:val="en-US"/>
        </w:rPr>
      </w:pPr>
      <w:r w:rsidRPr="005A2D50">
        <w:rPr>
          <w:lang w:val="en-US"/>
        </w:rPr>
        <w:t>Kā uzsvērts Direktīvā 2013/36/ES par piekļuvi kredītiestāžu darbībai un kredītiestāžu un ieguldījumu brokeru sabiedrību prudenciālo uzraudzību jeb tā dēvētajā KPD, saistībā ar Regulas (ES) Nr. 1024/2013 (2013. gada 15. oktobris) 14. pantu licenču piešķiršana kredītiestādēm joprojām ir kompetentās valsts iestādes / ECB kompetencē.</w:t>
      </w:r>
    </w:p>
    <w:p w14:paraId="1E78E5DD" w14:textId="77777777" w:rsidR="005A2D50" w:rsidRPr="005A2D50" w:rsidRDefault="005A2D50" w:rsidP="005A2D50">
      <w:pPr>
        <w:pStyle w:val="BodyText"/>
        <w:rPr>
          <w:lang w:val="en-US"/>
        </w:rPr>
      </w:pPr>
    </w:p>
    <w:p w14:paraId="1F17230F" w14:textId="77777777" w:rsidR="005A2D50" w:rsidRPr="005A2D50" w:rsidRDefault="005A2D50" w:rsidP="005A2D50">
      <w:pPr>
        <w:pStyle w:val="Heading2"/>
        <w:rPr>
          <w:noProof/>
          <w:lang w:val="en-US"/>
        </w:rPr>
      </w:pPr>
      <w:bookmarkStart w:id="61" w:name="III.2.2.1.1._Credit_Institution_register"/>
      <w:bookmarkStart w:id="62" w:name="_bookmark19"/>
      <w:bookmarkStart w:id="63" w:name="_Toc104982777"/>
      <w:bookmarkEnd w:id="61"/>
      <w:bookmarkEnd w:id="62"/>
      <w:r w:rsidRPr="005A2D50">
        <w:rPr>
          <w:noProof/>
          <w:lang w:val="en-US"/>
        </w:rPr>
        <w:t>III.2.2.1.1. Kredītiestāžu reģistrs</w:t>
      </w:r>
      <w:bookmarkEnd w:id="63"/>
    </w:p>
    <w:p w14:paraId="55A8ACC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2F8F5DB" w14:textId="77777777" w:rsidR="005A2D50" w:rsidRPr="005A2D50" w:rsidRDefault="005A2D50" w:rsidP="005A2D50">
      <w:pPr>
        <w:pStyle w:val="BodyText"/>
        <w:rPr>
          <w:lang w:val="en-US"/>
        </w:rPr>
      </w:pPr>
      <w:r w:rsidRPr="005A2D50">
        <w:rPr>
          <w:lang w:val="en-US"/>
        </w:rPr>
        <w:t>Reģistrā ir iekļautas tikai trīs dažāda veida kredītiestādes:</w:t>
      </w:r>
    </w:p>
    <w:p w14:paraId="63FCA8CD" w14:textId="77777777" w:rsidR="005A2D50" w:rsidRPr="005A2D50" w:rsidRDefault="005A2D50" w:rsidP="005A2D50">
      <w:pPr>
        <w:pStyle w:val="BodyText"/>
        <w:rPr>
          <w:lang w:val="en-US"/>
        </w:rPr>
      </w:pPr>
    </w:p>
    <w:p w14:paraId="6EE49CEE" w14:textId="77777777" w:rsidR="005A2D50" w:rsidRPr="005A2D50" w:rsidRDefault="005A2D50" w:rsidP="005A2D50">
      <w:pPr>
        <w:pStyle w:val="BodyText"/>
        <w:numPr>
          <w:ilvl w:val="5"/>
          <w:numId w:val="52"/>
        </w:numPr>
        <w:tabs>
          <w:tab w:val="left" w:pos="851"/>
        </w:tabs>
        <w:ind w:left="284" w:firstLine="0"/>
        <w:rPr>
          <w:lang w:val="en-US"/>
        </w:rPr>
      </w:pPr>
      <w:r w:rsidRPr="005A2D50">
        <w:rPr>
          <w:lang w:val="en-US"/>
        </w:rPr>
        <w:t>“KPD kredītiestādes” – juridiski definētas kā “uzņēmums, kura uzņēmējdarbība ir saņemt noguldījumus vai citus atmaksājamus līdzekļus no sabiedrības un piešķirt kredītus uz sava rēķina”;</w:t>
      </w:r>
    </w:p>
    <w:p w14:paraId="53655C35" w14:textId="77777777" w:rsidR="005A2D50" w:rsidRPr="005A2D50" w:rsidRDefault="005A2D50" w:rsidP="005A2D50">
      <w:pPr>
        <w:pStyle w:val="BodyText"/>
        <w:numPr>
          <w:ilvl w:val="5"/>
          <w:numId w:val="52"/>
        </w:numPr>
        <w:tabs>
          <w:tab w:val="left" w:pos="851"/>
        </w:tabs>
        <w:ind w:left="284" w:firstLine="0"/>
        <w:rPr>
          <w:lang w:val="en-US"/>
        </w:rPr>
      </w:pPr>
      <w:r w:rsidRPr="005A2D50">
        <w:rPr>
          <w:lang w:val="en-US"/>
        </w:rPr>
        <w:t>“EEZ filiāles”, kas darbojas katrā EEZ valstī – citā EEZ valstī licencētu kredītiestāžu filiāles, kurām ir tiesības veikt savas darbības pasi;</w:t>
      </w:r>
    </w:p>
    <w:p w14:paraId="728F3FEF" w14:textId="77777777" w:rsidR="005A2D50" w:rsidRPr="005A2D50" w:rsidRDefault="005A2D50" w:rsidP="005A2D50">
      <w:pPr>
        <w:pStyle w:val="BodyText"/>
        <w:numPr>
          <w:ilvl w:val="5"/>
          <w:numId w:val="52"/>
        </w:numPr>
        <w:tabs>
          <w:tab w:val="left" w:pos="851"/>
        </w:tabs>
        <w:ind w:left="284" w:firstLine="0"/>
        <w:rPr>
          <w:lang w:val="en-US"/>
        </w:rPr>
      </w:pPr>
      <w:r w:rsidRPr="005A2D50">
        <w:rPr>
          <w:lang w:val="en-US"/>
        </w:rPr>
        <w:t>ārpus EEZ esošās filiāles, kas definētas kā tādu kredītiestāžu filiāles, kuru galvenais birojs atrodas trešā valstī.</w:t>
      </w:r>
    </w:p>
    <w:p w14:paraId="7C949620" w14:textId="77777777" w:rsidR="005A2D50" w:rsidRPr="005A2D50" w:rsidRDefault="005A2D50" w:rsidP="005A2D50">
      <w:pPr>
        <w:pStyle w:val="BodyText"/>
        <w:rPr>
          <w:lang w:val="en-US"/>
        </w:rPr>
      </w:pPr>
    </w:p>
    <w:p w14:paraId="6B5055D0" w14:textId="77777777" w:rsidR="005A2D50" w:rsidRPr="005A2D50" w:rsidRDefault="005A2D50" w:rsidP="005A2D50">
      <w:pPr>
        <w:pStyle w:val="BodyText"/>
        <w:rPr>
          <w:lang w:val="en-US"/>
        </w:rPr>
      </w:pPr>
      <w:r w:rsidRPr="005A2D50">
        <w:rPr>
          <w:lang w:val="en-US"/>
        </w:rPr>
        <w:t>Sīkāku informāciju par kredītiestādēm, kas veic uzņēmējdarbību EEZ dalībvalstīs, lūgums skatīt EBI Kredītiestāžu reģistrā.</w:t>
      </w:r>
    </w:p>
    <w:p w14:paraId="03F90713" w14:textId="77777777" w:rsidR="005A2D50" w:rsidRPr="005A2D50" w:rsidRDefault="005A2D50" w:rsidP="005A2D50">
      <w:pPr>
        <w:pStyle w:val="BodyText"/>
        <w:rPr>
          <w:lang w:val="en-US"/>
        </w:rPr>
      </w:pPr>
      <w:r w:rsidRPr="005A2D50">
        <w:rPr>
          <w:lang w:val="en-US"/>
        </w:rPr>
        <w:t>Atruna. EBI ir izveidojusi reģistru, pamatojoties tikai uz dalībvalstu sniegto informāciju. Tāpēc atšķirībā no valsts līmenī uzturētiem kredītiestāžu reģistriem šim reģistram nav juridiskas nozīmes un tas nepiešķir tiesības, kas izriet no likuma. Ja iestāde, kurai nav piešķirta atļauja, ir netīši iekļauta reģistrā, tās juridiskais statuss nekādā veidā netiek mainīts; tāpat, ja iestāde ir netīši izlaista no reģistra, tas neskar tai piešķirtās atļaujas derīgumu.</w:t>
      </w:r>
    </w:p>
    <w:p w14:paraId="039116C8" w14:textId="77777777" w:rsidR="005A2D50" w:rsidRPr="005A2D50" w:rsidRDefault="005A2D50" w:rsidP="005A2D50">
      <w:pPr>
        <w:pStyle w:val="BodyText"/>
        <w:rPr>
          <w:lang w:val="en-US"/>
        </w:rPr>
      </w:pPr>
      <w:r w:rsidRPr="005A2D50">
        <w:rPr>
          <w:lang w:val="en-US"/>
        </w:rPr>
        <w:t>Eiropas Banku iestāde ir atbildīga tikai par tās informācijas precīzu atveidošanu, kas saņemta par atsevišķām kredītiestādēm, savukārt uz kompetentajām iestādēm valsts līmenī gulstas atbildība par attiecīgajām reģistra sadaļām un jo īpaši par iestāžu nosaukuma un atrašanās vietas pareizrakstību, to klasifikāciju attiecīgā grupā, preču zīmēm, kas ir iestādes rīcībā, un kopumā par reģistra satura precizitāti.</w:t>
      </w:r>
    </w:p>
    <w:p w14:paraId="7023B6F1" w14:textId="77777777" w:rsidR="005A2D50" w:rsidRPr="005A2D50" w:rsidRDefault="005A2D50" w:rsidP="005A2D50">
      <w:pPr>
        <w:pStyle w:val="BodyText"/>
        <w:rPr>
          <w:lang w:val="en-US"/>
        </w:rPr>
      </w:pPr>
    </w:p>
    <w:p w14:paraId="252E35E9" w14:textId="77777777" w:rsidR="005A2D50" w:rsidRPr="005A2D50" w:rsidRDefault="005A2D50" w:rsidP="005A2D50">
      <w:pPr>
        <w:pStyle w:val="Heading2"/>
        <w:rPr>
          <w:noProof/>
          <w:lang w:val="en-US"/>
        </w:rPr>
      </w:pPr>
      <w:bookmarkStart w:id="64" w:name="III.2.2.1.1.1._National_registers_of_aut"/>
      <w:bookmarkStart w:id="65" w:name="_bookmark20"/>
      <w:bookmarkStart w:id="66" w:name="_Toc104982778"/>
      <w:bookmarkEnd w:id="64"/>
      <w:bookmarkEnd w:id="65"/>
      <w:r w:rsidRPr="005A2D50">
        <w:rPr>
          <w:noProof/>
          <w:lang w:val="en-US"/>
        </w:rPr>
        <w:t>III.2.2.1.1.1. Licencēto kredītiestāžu valsts reģistri</w:t>
      </w:r>
      <w:bookmarkEnd w:id="66"/>
    </w:p>
    <w:p w14:paraId="78D6F6F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9CC90CE" w14:textId="77777777" w:rsidR="005A2D50" w:rsidRPr="005A2D50" w:rsidRDefault="005A2D50" w:rsidP="005A2D50">
      <w:pPr>
        <w:pStyle w:val="BodyText"/>
        <w:rPr>
          <w:lang w:val="en-US"/>
        </w:rPr>
      </w:pPr>
      <w:r w:rsidRPr="005A2D50">
        <w:rPr>
          <w:lang w:val="en-US"/>
        </w:rPr>
        <w:t>Katra valsts uzraudzības iestāde regulāri publicē valsts līmenī licencēto kredītiestāžu reģistru. Informācija par valstu reģistriem var būt detalizētāka un/vai aktuālāka.</w:t>
      </w:r>
    </w:p>
    <w:p w14:paraId="67DC2871" w14:textId="77777777" w:rsidR="005A2D50" w:rsidRPr="005A2D50" w:rsidRDefault="005A2D50" w:rsidP="005A2D50">
      <w:pPr>
        <w:pStyle w:val="BodyText"/>
        <w:rPr>
          <w:lang w:val="en-US"/>
        </w:rPr>
      </w:pPr>
    </w:p>
    <w:p w14:paraId="04086FB0"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Austrija (</w:t>
      </w:r>
      <w:r w:rsidRPr="005A2D50">
        <w:rPr>
          <w:i/>
          <w:iCs/>
          <w:u w:val="single"/>
          <w:lang w:val="en-US"/>
        </w:rPr>
        <w:t>Finanzmarktaufsicht – FMA</w:t>
      </w:r>
      <w:r w:rsidRPr="005A2D50">
        <w:rPr>
          <w:u w:val="single"/>
          <w:lang w:val="en-US"/>
        </w:rPr>
        <w:t>) – teksts angļu valodā</w:t>
      </w:r>
    </w:p>
    <w:p w14:paraId="52B17759"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Beļģija (</w:t>
      </w:r>
      <w:r w:rsidRPr="005A2D50">
        <w:rPr>
          <w:i/>
          <w:iCs/>
          <w:u w:val="single"/>
          <w:lang w:val="en-US"/>
        </w:rPr>
        <w:t>NBB</w:t>
      </w:r>
      <w:r w:rsidRPr="005A2D50">
        <w:rPr>
          <w:u w:val="single"/>
          <w:lang w:val="en-US"/>
        </w:rPr>
        <w:t>) – teksts franču valodā – teksts holandiešu valodā</w:t>
      </w:r>
    </w:p>
    <w:p w14:paraId="7D3C64F3"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Bulgārija (Bulgārijas Valsts banka) – teksts angļu valodā</w:t>
      </w:r>
    </w:p>
    <w:p w14:paraId="10F9B365"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 xml:space="preserve">Horvātija (Horvātijas Valsts banka) (Horvātijas finanšu pakalpojumu uzraugs) </w:t>
      </w:r>
      <w:r w:rsidRPr="005A2D50">
        <w:rPr>
          <w:u w:val="single"/>
          <w:lang w:val="en-US"/>
        </w:rPr>
        <w:tab/>
      </w:r>
    </w:p>
    <w:p w14:paraId="5663D992"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Kipra (Kipras Centrālā banka)</w:t>
      </w:r>
    </w:p>
    <w:p w14:paraId="4F9E9280"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 xml:space="preserve">Čehijas Republika (Čehijas Valsts banka – </w:t>
      </w:r>
      <w:r w:rsidRPr="005A2D50">
        <w:rPr>
          <w:i/>
          <w:iCs/>
          <w:u w:val="single"/>
          <w:lang w:val="en-US"/>
        </w:rPr>
        <w:t>CNB</w:t>
      </w:r>
      <w:r w:rsidRPr="005A2D50">
        <w:rPr>
          <w:u w:val="single"/>
          <w:lang w:val="en-US"/>
        </w:rPr>
        <w:t>) – teksts angļu valodā</w:t>
      </w:r>
    </w:p>
    <w:p w14:paraId="116717E3"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Dānija (</w:t>
      </w:r>
      <w:r w:rsidRPr="005A2D50">
        <w:rPr>
          <w:i/>
          <w:iCs/>
          <w:u w:val="single"/>
          <w:lang w:val="en-US"/>
        </w:rPr>
        <w:t>Finanstilsynet</w:t>
      </w:r>
      <w:r w:rsidRPr="005A2D50">
        <w:rPr>
          <w:u w:val="single"/>
          <w:lang w:val="en-US"/>
        </w:rPr>
        <w:t>)</w:t>
      </w:r>
    </w:p>
    <w:p w14:paraId="3B0C1BB5"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Igaunija (Igaunijas finanšu uzraudzības iestāde)</w:t>
      </w:r>
    </w:p>
    <w:p w14:paraId="5A8FCA17"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Somija (</w:t>
      </w:r>
      <w:r w:rsidRPr="005A2D50">
        <w:rPr>
          <w:i/>
          <w:iCs/>
          <w:u w:val="single"/>
          <w:lang w:val="en-US"/>
        </w:rPr>
        <w:t>Finanssivalvonta</w:t>
      </w:r>
      <w:r w:rsidRPr="005A2D50">
        <w:rPr>
          <w:u w:val="single"/>
          <w:lang w:val="en-US"/>
        </w:rPr>
        <w:t>)</w:t>
      </w:r>
    </w:p>
    <w:p w14:paraId="5948BE4E"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Francija (</w:t>
      </w:r>
      <w:r w:rsidRPr="005A2D50">
        <w:rPr>
          <w:i/>
          <w:iCs/>
          <w:u w:val="single"/>
          <w:lang w:val="en-US"/>
        </w:rPr>
        <w:t xml:space="preserve">ACPR </w:t>
      </w:r>
      <w:r w:rsidRPr="005A2D50">
        <w:rPr>
          <w:u w:val="single"/>
          <w:lang w:val="en-US"/>
        </w:rPr>
        <w:t>“</w:t>
      </w:r>
      <w:r w:rsidRPr="005A2D50">
        <w:rPr>
          <w:i/>
          <w:iCs/>
          <w:u w:val="single"/>
          <w:lang w:val="en-US"/>
        </w:rPr>
        <w:t>Autorité de contrôle prudentiel et de résolution</w:t>
      </w:r>
      <w:r w:rsidRPr="005A2D50">
        <w:rPr>
          <w:u w:val="single"/>
          <w:lang w:val="en-US"/>
        </w:rPr>
        <w:t>”)</w:t>
      </w:r>
    </w:p>
    <w:p w14:paraId="56B98A08"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Vācija (</w:t>
      </w:r>
      <w:r w:rsidRPr="005A2D50">
        <w:rPr>
          <w:i/>
          <w:iCs/>
          <w:u w:val="single"/>
          <w:lang w:val="en-US"/>
        </w:rPr>
        <w:t>BaFin</w:t>
      </w:r>
      <w:r w:rsidRPr="005A2D50">
        <w:rPr>
          <w:u w:val="single"/>
          <w:lang w:val="en-US"/>
        </w:rPr>
        <w:t>)</w:t>
      </w:r>
    </w:p>
    <w:p w14:paraId="26F12AA0"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Grieķija (Grieķijas banka)</w:t>
      </w:r>
    </w:p>
    <w:p w14:paraId="0CFD0E2D"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Ungārija (Ungārijas Centrālā banka) – teksts angļu valodā</w:t>
      </w:r>
    </w:p>
    <w:p w14:paraId="631583DA"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Īrija (Īrijas Centrālā Banka)</w:t>
      </w:r>
    </w:p>
    <w:p w14:paraId="4B70222E"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Itālija (</w:t>
      </w:r>
      <w:r w:rsidRPr="005A2D50">
        <w:rPr>
          <w:i/>
          <w:iCs/>
          <w:u w:val="single"/>
          <w:lang w:val="en-US"/>
        </w:rPr>
        <w:t>Banca d'Italia</w:t>
      </w:r>
      <w:r w:rsidRPr="005A2D50">
        <w:rPr>
          <w:u w:val="single"/>
          <w:lang w:val="en-US"/>
        </w:rPr>
        <w:t>) – teksts angļu valodā</w:t>
      </w:r>
    </w:p>
    <w:p w14:paraId="27DC0C57"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Latvija (Finanšu un kapitāla tirgus komisija)</w:t>
      </w:r>
    </w:p>
    <w:p w14:paraId="3FD21FFA"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Lietuva (Lietuvas Centrālā banka)</w:t>
      </w:r>
    </w:p>
    <w:p w14:paraId="7B218066"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Luksemburga (</w:t>
      </w:r>
      <w:r w:rsidRPr="005A2D50">
        <w:rPr>
          <w:i/>
          <w:iCs/>
          <w:u w:val="single"/>
          <w:lang w:val="en-US"/>
        </w:rPr>
        <w:t>CSSF</w:t>
      </w:r>
      <w:r w:rsidRPr="005A2D50">
        <w:rPr>
          <w:u w:val="single"/>
          <w:lang w:val="en-US"/>
        </w:rPr>
        <w:t>) – teksts angļu valodā</w:t>
      </w:r>
    </w:p>
    <w:p w14:paraId="4F47CD4D"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Malta (Finanšu pakalpojumu iestāde)</w:t>
      </w:r>
    </w:p>
    <w:p w14:paraId="109BF3BE"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Nīderlande (</w:t>
      </w:r>
      <w:r w:rsidRPr="005A2D50">
        <w:rPr>
          <w:i/>
          <w:iCs/>
          <w:u w:val="single"/>
          <w:lang w:val="en-US"/>
        </w:rPr>
        <w:t>De Nederlandsche Bank NV</w:t>
      </w:r>
      <w:r w:rsidRPr="005A2D50">
        <w:rPr>
          <w:u w:val="single"/>
          <w:lang w:val="en-US"/>
        </w:rPr>
        <w:t>) – teksts angļu valodā</w:t>
      </w:r>
    </w:p>
    <w:p w14:paraId="49E281A9"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Polija (Polijas Finanšu uzraudzības iestāde) – teksts angļu valodā</w:t>
      </w:r>
    </w:p>
    <w:p w14:paraId="11950EBB"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Portugāle (</w:t>
      </w:r>
      <w:r w:rsidRPr="005A2D50">
        <w:rPr>
          <w:i/>
          <w:iCs/>
          <w:u w:val="single"/>
          <w:lang w:val="en-US"/>
        </w:rPr>
        <w:t>Banco de Portugal</w:t>
      </w:r>
      <w:r w:rsidRPr="005A2D50">
        <w:rPr>
          <w:u w:val="single"/>
          <w:lang w:val="en-US"/>
        </w:rPr>
        <w:t>)</w:t>
      </w:r>
    </w:p>
    <w:p w14:paraId="1E62E9B6"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Rumānija (Rumānijas Valsts banka) – teksts angļu valodā</w:t>
      </w:r>
    </w:p>
    <w:p w14:paraId="53ACB36C"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Slovākijas Republika (Slovākijas Centrālā banka) – teksts angļu valodā</w:t>
      </w:r>
    </w:p>
    <w:p w14:paraId="236C1AF1"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Slovēnija (Slovēnijas Banka) – teksts angļu valodā</w:t>
      </w:r>
    </w:p>
    <w:p w14:paraId="055247D3"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Spānija (</w:t>
      </w:r>
      <w:r w:rsidRPr="005A2D50">
        <w:rPr>
          <w:i/>
          <w:iCs/>
          <w:u w:val="single"/>
          <w:lang w:val="en-US"/>
        </w:rPr>
        <w:t>Banco de Espana</w:t>
      </w:r>
      <w:r w:rsidRPr="005A2D50">
        <w:rPr>
          <w:u w:val="single"/>
          <w:lang w:val="en-US"/>
        </w:rPr>
        <w:t>) – teksts angļu valodā</w:t>
      </w:r>
    </w:p>
    <w:p w14:paraId="409A2CF0"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Zviedrija (</w:t>
      </w:r>
      <w:r w:rsidRPr="005A2D50">
        <w:rPr>
          <w:i/>
          <w:iCs/>
          <w:u w:val="single"/>
          <w:lang w:val="en-US"/>
        </w:rPr>
        <w:t>Finansinspektionen</w:t>
      </w:r>
      <w:r w:rsidRPr="005A2D50">
        <w:rPr>
          <w:u w:val="single"/>
          <w:lang w:val="en-US"/>
        </w:rPr>
        <w:t>) – teksts angļu valodā</w:t>
      </w:r>
    </w:p>
    <w:p w14:paraId="75BAD15F" w14:textId="77777777" w:rsidR="005A2D50" w:rsidRPr="005A2D50" w:rsidRDefault="005A2D50" w:rsidP="005A2D50">
      <w:pPr>
        <w:pStyle w:val="BodyText"/>
        <w:numPr>
          <w:ilvl w:val="6"/>
          <w:numId w:val="50"/>
        </w:numPr>
        <w:tabs>
          <w:tab w:val="left" w:pos="851"/>
        </w:tabs>
        <w:ind w:left="284" w:firstLine="0"/>
        <w:rPr>
          <w:u w:val="single"/>
          <w:lang w:val="en-US"/>
        </w:rPr>
      </w:pPr>
      <w:r w:rsidRPr="005A2D50">
        <w:rPr>
          <w:u w:val="single"/>
          <w:lang w:val="en-US"/>
        </w:rPr>
        <w:t>Apvienotā Karaliste (Anglijas Banka – Uzraudzības noteikumu iestāde)</w:t>
      </w:r>
    </w:p>
    <w:p w14:paraId="1AFF0FB7"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60AB007" w14:textId="77777777" w:rsidR="005A2D50" w:rsidRPr="005A2D50" w:rsidRDefault="005A2D50" w:rsidP="005A2D50">
      <w:pPr>
        <w:pStyle w:val="Heading2"/>
        <w:rPr>
          <w:noProof/>
          <w:lang w:val="en-US"/>
        </w:rPr>
      </w:pPr>
      <w:bookmarkStart w:id="67" w:name="III.2.2.1.2._Other_registers"/>
      <w:bookmarkStart w:id="68" w:name="_bookmark21"/>
      <w:bookmarkStart w:id="69" w:name="_Toc104982779"/>
      <w:bookmarkEnd w:id="67"/>
      <w:bookmarkEnd w:id="68"/>
      <w:r w:rsidRPr="005A2D50">
        <w:rPr>
          <w:noProof/>
          <w:lang w:val="en-US"/>
        </w:rPr>
        <w:t>III.2.2.1.2. Citi reģistri</w:t>
      </w:r>
      <w:bookmarkEnd w:id="69"/>
    </w:p>
    <w:p w14:paraId="230FE08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3244DD1" w14:textId="77777777" w:rsidR="005A2D50" w:rsidRPr="005A2D50" w:rsidRDefault="005A2D50" w:rsidP="005A2D50">
      <w:pPr>
        <w:pStyle w:val="BodyText"/>
        <w:numPr>
          <w:ilvl w:val="5"/>
          <w:numId w:val="49"/>
        </w:numPr>
        <w:tabs>
          <w:tab w:val="left" w:pos="851"/>
        </w:tabs>
        <w:ind w:left="284" w:firstLine="0"/>
        <w:rPr>
          <w:lang w:val="en-US"/>
        </w:rPr>
      </w:pPr>
      <w:r w:rsidRPr="005A2D50">
        <w:rPr>
          <w:lang w:val="en-US"/>
        </w:rPr>
        <w:t>EVTI ieguldījumu sabiedrību reģistrs</w:t>
      </w:r>
    </w:p>
    <w:p w14:paraId="12CA1110" w14:textId="77777777" w:rsidR="005A2D50" w:rsidRPr="005A2D50" w:rsidRDefault="005A2D50" w:rsidP="005A2D50">
      <w:pPr>
        <w:numPr>
          <w:ilvl w:val="5"/>
          <w:numId w:val="49"/>
        </w:numPr>
        <w:tabs>
          <w:tab w:val="left" w:pos="851"/>
        </w:tabs>
        <w:ind w:left="284" w:firstLine="0"/>
        <w:jc w:val="both"/>
        <w:rPr>
          <w:rFonts w:ascii="Times New Roman" w:hAnsi="Times New Roman"/>
          <w:noProof/>
          <w:sz w:val="24"/>
          <w:lang w:val="en-US"/>
        </w:rPr>
      </w:pPr>
      <w:r w:rsidRPr="005A2D50">
        <w:rPr>
          <w:rFonts w:ascii="Times New Roman" w:hAnsi="Times New Roman"/>
          <w:noProof/>
          <w:sz w:val="24"/>
          <w:lang w:val="en-US"/>
        </w:rPr>
        <w:t>EAAPI apdrošināšanas sabiedrību reģistrs</w:t>
      </w:r>
    </w:p>
    <w:p w14:paraId="6CFD46E3" w14:textId="77777777" w:rsidR="005A2D50" w:rsidRPr="005A2D50" w:rsidRDefault="005A2D50" w:rsidP="005A2D50">
      <w:pPr>
        <w:pStyle w:val="BodyText"/>
        <w:rPr>
          <w:lang w:val="en-US"/>
        </w:rPr>
      </w:pPr>
    </w:p>
    <w:p w14:paraId="4B955585" w14:textId="77777777" w:rsidR="005A2D50" w:rsidRPr="005A2D50" w:rsidRDefault="005A2D50" w:rsidP="005A2D50">
      <w:pPr>
        <w:pStyle w:val="BodyText"/>
        <w:rPr>
          <w:lang w:val="en-US"/>
        </w:rPr>
      </w:pPr>
      <w:r w:rsidRPr="005A2D50">
        <w:rPr>
          <w:lang w:val="en-US"/>
        </w:rPr>
        <w:t>Lai noteiktu, vai kredītiestāde, finanšu iestāde vai apdrošināšanas sabiedrība ir akreditēta Savienībā saskaņā ar spēkā esošiem Savienības noteikumiem, muitas dienestam iesaka sazināties ar savu valsts kompetento iestādi, kas atbild par akreditāciju to dalībvalstī (parasti valsts centrālā banka vai līdzvērtīga iestāde).</w:t>
      </w:r>
    </w:p>
    <w:p w14:paraId="3AFEAE40" w14:textId="77777777" w:rsidR="005A2D50" w:rsidRPr="005A2D50" w:rsidRDefault="005A2D50" w:rsidP="005A2D50">
      <w:pPr>
        <w:pStyle w:val="BodyText"/>
        <w:rPr>
          <w:lang w:val="en-US"/>
        </w:rPr>
      </w:pPr>
    </w:p>
    <w:p w14:paraId="576FAC68" w14:textId="77777777" w:rsidR="005A2D50" w:rsidRPr="005A2D50" w:rsidRDefault="005A2D50" w:rsidP="005A2D50">
      <w:pPr>
        <w:pStyle w:val="BodyText"/>
        <w:rPr>
          <w:b/>
          <w:bCs/>
          <w:lang w:val="en-US"/>
        </w:rPr>
      </w:pPr>
      <w:bookmarkStart w:id="70" w:name="III.2.2.2._Other_guarantors"/>
      <w:bookmarkEnd w:id="70"/>
      <w:r w:rsidRPr="005A2D50">
        <w:rPr>
          <w:b/>
          <w:bCs/>
          <w:lang w:val="en-US"/>
        </w:rPr>
        <w:t>III.2.2.2. Citi galvinieki</w:t>
      </w:r>
    </w:p>
    <w:p w14:paraId="723605D8"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D8B172C" w14:textId="77777777" w:rsidR="005A2D50" w:rsidRPr="005A2D50" w:rsidRDefault="005A2D50" w:rsidP="005A2D50">
      <w:pPr>
        <w:pStyle w:val="BodyText"/>
        <w:rPr>
          <w:lang w:val="en-US"/>
        </w:rPr>
      </w:pPr>
      <w:r w:rsidRPr="005A2D50">
        <w:rPr>
          <w:lang w:val="en-US"/>
        </w:rPr>
        <w:t>Muitas dienests var atteikties apstiprināt galvinieku, ja izrādās, ka noteiktajā termiņā nevar nodrošināt muitas parādam atbilstīgās ievedmuitas vai izvedmuitas nodokļa summas un citu maksājumu samaksu.</w:t>
      </w:r>
    </w:p>
    <w:p w14:paraId="7C04B571" w14:textId="77777777" w:rsidR="005A2D50" w:rsidRPr="005A2D50" w:rsidRDefault="005A2D50" w:rsidP="005A2D50">
      <w:pPr>
        <w:pStyle w:val="BodyText"/>
        <w:rPr>
          <w:lang w:val="en-US"/>
        </w:rPr>
      </w:pPr>
      <w:r w:rsidRPr="005A2D50">
        <w:rPr>
          <w:lang w:val="en-US"/>
        </w:rPr>
        <w:t>Muitas dienests var atsaukt lēmumu par galvinieka apstiprināšanu. Lēmums par atsaukšanu stājas spēkā sešpadsmitajā dienā pēc dienas, kad galvinieks ir to saņēmis vai ir uzskatāms, ka galvinieks ir to saņēmis.</w:t>
      </w:r>
    </w:p>
    <w:p w14:paraId="5BB1B4AC" w14:textId="77777777" w:rsidR="005A2D50" w:rsidRPr="005A2D50" w:rsidRDefault="005A2D50" w:rsidP="005A2D50">
      <w:pPr>
        <w:pStyle w:val="BodyText"/>
        <w:rPr>
          <w:lang w:val="en-US"/>
        </w:rPr>
      </w:pPr>
    </w:p>
    <w:p w14:paraId="4B6D17CE" w14:textId="77777777" w:rsidR="005A2D50" w:rsidRPr="005A2D50" w:rsidRDefault="005A2D50" w:rsidP="005A2D50">
      <w:pPr>
        <w:pStyle w:val="Heading1"/>
        <w:rPr>
          <w:noProof/>
          <w:lang w:val="en-US"/>
        </w:rPr>
      </w:pPr>
      <w:bookmarkStart w:id="71" w:name="III.3._Other_forms_of_guarantee_providin"/>
      <w:bookmarkStart w:id="72" w:name="_bookmark22"/>
      <w:bookmarkStart w:id="73" w:name="_Toc104982780"/>
      <w:bookmarkEnd w:id="71"/>
      <w:bookmarkEnd w:id="72"/>
      <w:r w:rsidRPr="005A2D50">
        <w:rPr>
          <w:noProof/>
          <w:lang w:val="en-US"/>
        </w:rPr>
        <w:t>III.3. Citi galvojuma veidi, kas nodrošina līdzvērtīgu garantiju (SMK 92. panta 1. punkta c) apakšpunkts)</w:t>
      </w:r>
      <w:bookmarkEnd w:id="73"/>
    </w:p>
    <w:p w14:paraId="33371433"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30EC49D" w14:textId="77777777" w:rsidR="005A2D50" w:rsidRPr="005A2D50" w:rsidRDefault="005A2D50" w:rsidP="005A2D50">
      <w:pPr>
        <w:pStyle w:val="BodyText"/>
        <w:rPr>
          <w:lang w:val="en-US"/>
        </w:rPr>
      </w:pPr>
      <w:r w:rsidRPr="005A2D50">
        <w:rPr>
          <w:lang w:val="en-US"/>
        </w:rPr>
        <w:t>Citi galvojuma veidi, ko var izmantot saskaņā ar SMK 92. panta 1. punkta c) apakšpunktu, ir uzskaitīti SMK DA 83. panta 1. punkta a)–e) apakšpunktā.</w:t>
      </w:r>
    </w:p>
    <w:p w14:paraId="48999DF1" w14:textId="77777777" w:rsidR="005A2D50" w:rsidRPr="005A2D50" w:rsidRDefault="005A2D50" w:rsidP="005A2D50">
      <w:pPr>
        <w:pStyle w:val="BodyText"/>
        <w:rPr>
          <w:lang w:val="en-US"/>
        </w:rPr>
      </w:pPr>
      <w:r w:rsidRPr="005A2D50">
        <w:rPr>
          <w:lang w:val="en-US"/>
        </w:rPr>
        <w:t>Attiecīgajam muitas dienestam jāpieņem šie galvojuma veidi, ciktāl tos pieņem arī saskaņā ar valsts tiesību aktiem. Kā noteikts SMK DA 83. panta 2. punktā, šos galvojuma veidus nepieņem, lai precēm piemērotu tranzīta procedūru.</w:t>
      </w:r>
    </w:p>
    <w:p w14:paraId="484CF766" w14:textId="77777777" w:rsidR="005A2D50" w:rsidRPr="005A2D50" w:rsidRDefault="005A2D50" w:rsidP="005A2D50">
      <w:pPr>
        <w:pStyle w:val="BodyText"/>
        <w:rPr>
          <w:lang w:val="en-US"/>
        </w:rPr>
      </w:pPr>
      <w:r w:rsidRPr="005A2D50">
        <w:rPr>
          <w:lang w:val="en-US"/>
        </w:rPr>
        <w:t>Dalībvalsts, kurā ir radies muitas parāds, ir atbildīga par muitas parāda atgūšanu. Dalībvalsts, kas ir atbildīga par tāda galvojuma pieņemšanu, kas ir spēkā vairāk nekā vienā dalībvalstī un ir nodrošināts vienā no SMK DA 83. panta 1. punktā minētajiem veidiem, muitas parāda summu, kas ir radusies citā dalībvalstī, pārskaita 1 mēneša laikā pēc pieprasījuma saņemšanas, ko nosūtījusi attiecīgā dalībvalsts. Šāds pieprasījums pēdējai minētajai dalībvalstij jānosūta pēc parādniekam noteiktā maksājuma termiņa beigām, ja muitas parāds nav samaksāts. Saskaņā ar SMK ĪA 153. pantu pārskaitītā summa atbilst attiecīgajai galvojuma summai, kas sedz nesamaksāto muitas parādu. Šajā gadījumā uz citu maksājumu atgūšanu neattiecas SMK ĪA 153. pants, bet gan ar nodokļiem saistītais tiesiskais regulējums.</w:t>
      </w:r>
    </w:p>
    <w:p w14:paraId="4BBBDD85"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12E0C84" w14:textId="77777777" w:rsidR="005A2D50" w:rsidRPr="005A2D50" w:rsidRDefault="005A2D50" w:rsidP="005A2D50">
      <w:pPr>
        <w:pStyle w:val="Heading1"/>
        <w:keepNext/>
        <w:keepLines/>
        <w:rPr>
          <w:noProof/>
          <w:lang w:val="en-US"/>
        </w:rPr>
      </w:pPr>
      <w:bookmarkStart w:id="74" w:name="IV._Specific_provisions_for_the_cases_wh"/>
      <w:bookmarkStart w:id="75" w:name="_bookmark23"/>
      <w:bookmarkStart w:id="76" w:name="_Toc104982781"/>
      <w:bookmarkEnd w:id="74"/>
      <w:bookmarkEnd w:id="75"/>
      <w:r w:rsidRPr="005A2D50">
        <w:rPr>
          <w:noProof/>
          <w:lang w:val="en-US"/>
        </w:rPr>
        <w:t>IV. ĪPAŠI NOTEIKUMI GADĪJUMIEM, KAD SMK PAREDZ GALVOJUMA SNIEGŠANU</w:t>
      </w:r>
      <w:bookmarkEnd w:id="76"/>
    </w:p>
    <w:p w14:paraId="5EA2C538" w14:textId="77777777" w:rsidR="005A2D50" w:rsidRPr="005A2D50" w:rsidRDefault="005A2D50" w:rsidP="005A2D50">
      <w:pPr>
        <w:keepNext/>
        <w:keepLines/>
        <w:jc w:val="both"/>
        <w:rPr>
          <w:rFonts w:ascii="Times New Roman" w:eastAsia="Times New Roman" w:hAnsi="Times New Roman" w:cs="Times New Roman"/>
          <w:b/>
          <w:bCs/>
          <w:noProof/>
          <w:sz w:val="24"/>
          <w:szCs w:val="24"/>
          <w:lang w:val="en-US"/>
        </w:rPr>
      </w:pPr>
    </w:p>
    <w:p w14:paraId="2574E810" w14:textId="77777777" w:rsidR="005A2D50" w:rsidRPr="005A2D50" w:rsidRDefault="005A2D50" w:rsidP="005A2D50">
      <w:pPr>
        <w:pStyle w:val="BodyText"/>
        <w:keepNext/>
        <w:keepLines/>
        <w:rPr>
          <w:lang w:val="en-US"/>
        </w:rPr>
      </w:pPr>
      <w:r w:rsidRPr="005A2D50">
        <w:rPr>
          <w:lang w:val="en-US"/>
        </w:rPr>
        <w:t>SMK ietvaros galvojums pēc definīcijas ir instruments, kas parādniekam vai iespējamam parādniekam jāsniedz, lai nodrošinātu esošā vai iespējamā muitas parāda un citu maksājumu, ja piemērojami, samaksu.</w:t>
      </w:r>
    </w:p>
    <w:p w14:paraId="10F77047" w14:textId="77777777" w:rsidR="005A2D50" w:rsidRPr="005A2D50" w:rsidRDefault="005A2D50" w:rsidP="005A2D50">
      <w:pPr>
        <w:pStyle w:val="BodyText"/>
        <w:rPr>
          <w:lang w:val="en-US"/>
        </w:rPr>
      </w:pPr>
    </w:p>
    <w:p w14:paraId="7F9B0BB0" w14:textId="77777777" w:rsidR="005A2D50" w:rsidRPr="005A2D50" w:rsidRDefault="005A2D50" w:rsidP="005A2D50">
      <w:pPr>
        <w:pStyle w:val="Heading1"/>
        <w:rPr>
          <w:noProof/>
          <w:lang w:val="en-US"/>
        </w:rPr>
      </w:pPr>
      <w:bookmarkStart w:id="77" w:name="IV.1._Temporary_storage"/>
      <w:bookmarkStart w:id="78" w:name="_bookmark24"/>
      <w:bookmarkStart w:id="79" w:name="_Toc104982782"/>
      <w:bookmarkEnd w:id="77"/>
      <w:bookmarkEnd w:id="78"/>
      <w:r w:rsidRPr="005A2D50">
        <w:rPr>
          <w:noProof/>
          <w:lang w:val="en-US"/>
        </w:rPr>
        <w:t>IV.1. Pagaidu uzglabāšana</w:t>
      </w:r>
      <w:bookmarkEnd w:id="79"/>
    </w:p>
    <w:p w14:paraId="7A1C4C1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AA09AAD" w14:textId="77777777" w:rsidR="005A2D50" w:rsidRPr="005A2D50" w:rsidRDefault="005A2D50" w:rsidP="005A2D50">
      <w:pPr>
        <w:pStyle w:val="BodyText"/>
        <w:rPr>
          <w:lang w:val="en-US"/>
        </w:rPr>
      </w:pPr>
      <w:r w:rsidRPr="005A2D50">
        <w:rPr>
          <w:lang w:val="en-US"/>
        </w:rPr>
        <w:t>Atļauju izmantot pagaidu uzglabāšanas (</w:t>
      </w:r>
      <w:r w:rsidRPr="005A2D50">
        <w:rPr>
          <w:i/>
          <w:iCs/>
          <w:lang w:val="en-US"/>
        </w:rPr>
        <w:t>TS</w:t>
      </w:r>
      <w:r w:rsidRPr="005A2D50">
        <w:rPr>
          <w:lang w:val="en-US"/>
        </w:rPr>
        <w:t xml:space="preserve">) vietas var piešķirt tikai tad, ja pieteikuma iesniedzējs sniedz garantiju saskaņā ar SMK 89. pantu, ja vien </w:t>
      </w:r>
      <w:r w:rsidRPr="005A2D50">
        <w:rPr>
          <w:i/>
          <w:iCs/>
          <w:lang w:val="en-US"/>
        </w:rPr>
        <w:t xml:space="preserve">TS </w:t>
      </w:r>
      <w:r w:rsidRPr="005A2D50">
        <w:rPr>
          <w:lang w:val="en-US"/>
        </w:rPr>
        <w:t>vietas turētājs nav pats muitas dienests. Saskaņā ar SMK 148. panta 2. punkta c) apakšpunktu minētā garantija ir jāiesniedz pirms atļaujas piešķiršanas. SMK 147. panta 1. punktā noteikts, ka pagaidu uzglabāšanā esošās preces var uzglabāt arī citās vietās, kas nav muitas dienesta apstiprinātās pagaidu uzglabāšanas vietas. Arī šajā gadījumā ir nepieciešama garantija (skat. SMK DA 115. panta 2. punkta a) apakšpunktu).</w:t>
      </w:r>
    </w:p>
    <w:p w14:paraId="6E5AA3DB" w14:textId="77777777" w:rsidR="005A2D50" w:rsidRPr="005A2D50" w:rsidRDefault="005A2D50" w:rsidP="005A2D50">
      <w:pPr>
        <w:pStyle w:val="BodyText"/>
        <w:rPr>
          <w:lang w:val="en-US"/>
        </w:rPr>
      </w:pPr>
    </w:p>
    <w:p w14:paraId="264CED90" w14:textId="77777777" w:rsidR="005A2D50" w:rsidRPr="005A2D50" w:rsidRDefault="005A2D50" w:rsidP="005A2D50">
      <w:pPr>
        <w:pStyle w:val="Heading1"/>
        <w:rPr>
          <w:noProof/>
          <w:lang w:val="en-US"/>
        </w:rPr>
      </w:pPr>
      <w:bookmarkStart w:id="80" w:name="IV.2._Release_for_free_circulation"/>
      <w:bookmarkStart w:id="81" w:name="_bookmark25"/>
      <w:bookmarkStart w:id="82" w:name="_Toc104982783"/>
      <w:bookmarkEnd w:id="80"/>
      <w:bookmarkEnd w:id="81"/>
      <w:r w:rsidRPr="005A2D50">
        <w:rPr>
          <w:noProof/>
          <w:lang w:val="en-US"/>
        </w:rPr>
        <w:t>IV.2. Laišana brīvā apgrozībā</w:t>
      </w:r>
      <w:bookmarkEnd w:id="82"/>
    </w:p>
    <w:p w14:paraId="7042817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26D3EAB" w14:textId="77777777" w:rsidR="005A2D50" w:rsidRPr="005A2D50" w:rsidRDefault="005A2D50" w:rsidP="005A2D50">
      <w:pPr>
        <w:pStyle w:val="BodyText"/>
        <w:rPr>
          <w:lang w:val="en-US"/>
        </w:rPr>
      </w:pPr>
      <w:r w:rsidRPr="005A2D50">
        <w:rPr>
          <w:lang w:val="en-US"/>
        </w:rPr>
        <w:t>Saskaņā ar SMK 195. panta 1. punkta pirmo daļu, ja muitas procedūras piemērošana precēm rada muitas parādu, preces izlaiž tikai tad, ja ir samaksāta muitas parādam atbilstīgā ievedmuitas vai izvedmuitas nodokļa summa vai ja ir sniegts galvojums minētā parāda vai citu maksājumu, ja piemērojami, segšanai. Ja maksājums netiek veikts, galvojums jāsniedz pirms preču izlaišanas.</w:t>
      </w:r>
    </w:p>
    <w:p w14:paraId="740A05F4" w14:textId="77777777" w:rsidR="005A2D50" w:rsidRPr="005A2D50" w:rsidRDefault="005A2D50" w:rsidP="005A2D50">
      <w:pPr>
        <w:pStyle w:val="BodyText"/>
        <w:rPr>
          <w:lang w:val="en-US"/>
        </w:rPr>
      </w:pPr>
    </w:p>
    <w:p w14:paraId="3F9347B1" w14:textId="77777777" w:rsidR="005A2D50" w:rsidRPr="005A2D50" w:rsidRDefault="005A2D50" w:rsidP="005A2D50">
      <w:pPr>
        <w:pStyle w:val="Heading1"/>
        <w:rPr>
          <w:rFonts w:cs="Times New Roman"/>
          <w:bCs/>
          <w:noProof/>
          <w:lang w:val="en-US"/>
        </w:rPr>
      </w:pPr>
      <w:bookmarkStart w:id="83" w:name="IV.3._Special_procedures_other_than_tran"/>
      <w:bookmarkStart w:id="84" w:name="_bookmark26"/>
      <w:bookmarkStart w:id="85" w:name="_Toc104982784"/>
      <w:bookmarkEnd w:id="83"/>
      <w:bookmarkEnd w:id="84"/>
      <w:r w:rsidRPr="005A2D50">
        <w:rPr>
          <w:noProof/>
          <w:lang w:val="en-US"/>
        </w:rPr>
        <w:t>IV.3. Īpašas procedūras, kas nav tranzīts</w:t>
      </w:r>
      <w:r w:rsidRPr="005A2D50">
        <w:rPr>
          <w:rFonts w:cs="Times New Roman"/>
          <w:noProof/>
          <w:vertAlign w:val="superscript"/>
          <w:lang w:val="en-US"/>
        </w:rPr>
        <w:footnoteReference w:id="4"/>
      </w:r>
      <w:bookmarkEnd w:id="85"/>
    </w:p>
    <w:p w14:paraId="10323A6E"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71F83B5D" w14:textId="77777777" w:rsidR="005A2D50" w:rsidRPr="005A2D50" w:rsidRDefault="005A2D50" w:rsidP="005A2D50">
      <w:pPr>
        <w:pStyle w:val="Heading2"/>
        <w:rPr>
          <w:noProof/>
          <w:lang w:val="en-US"/>
        </w:rPr>
      </w:pPr>
      <w:bookmarkStart w:id="86" w:name="IV.3.1._General_provisions"/>
      <w:bookmarkStart w:id="87" w:name="_bookmark27"/>
      <w:bookmarkStart w:id="88" w:name="_Toc104982785"/>
      <w:bookmarkEnd w:id="86"/>
      <w:bookmarkEnd w:id="87"/>
      <w:r w:rsidRPr="005A2D50">
        <w:rPr>
          <w:noProof/>
          <w:lang w:val="en-US"/>
        </w:rPr>
        <w:t>IV.3.1. Vispārējie noteikumi</w:t>
      </w:r>
      <w:bookmarkEnd w:id="88"/>
    </w:p>
    <w:p w14:paraId="5B0A61D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8581CBE" w14:textId="77777777" w:rsidR="005A2D50" w:rsidRPr="005A2D50" w:rsidRDefault="005A2D50" w:rsidP="005A2D50">
      <w:pPr>
        <w:pStyle w:val="BodyText"/>
        <w:rPr>
          <w:lang w:val="en-US"/>
        </w:rPr>
      </w:pPr>
      <w:r w:rsidRPr="005A2D50">
        <w:rPr>
          <w:lang w:val="en-US"/>
        </w:rPr>
        <w:t>Saskaņā ar SMK 211. panta 3. punkta c) apakšpunktu galvojums ir nepieciešams, lai saņemtu atļaujas attiecībā uz jebkuru no turpmāk minētajām īpašajām procedūrām, izņemot tranzītu:</w:t>
      </w:r>
    </w:p>
    <w:p w14:paraId="2753823C" w14:textId="77777777" w:rsidR="005A2D50" w:rsidRPr="005A2D50" w:rsidRDefault="005A2D50" w:rsidP="005A2D50">
      <w:pPr>
        <w:pStyle w:val="BodyText"/>
        <w:rPr>
          <w:lang w:val="en-US"/>
        </w:rPr>
      </w:pPr>
    </w:p>
    <w:p w14:paraId="49B81023"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ievešana pārstrādei / izvešana pārstrādei;</w:t>
      </w:r>
    </w:p>
    <w:p w14:paraId="354FEE79"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īpašs izmantojums – pagaidu ievešana / galapatēriņš;</w:t>
      </w:r>
    </w:p>
    <w:p w14:paraId="567C770A" w14:textId="77777777" w:rsidR="005A2D50" w:rsidRPr="005A2D50" w:rsidRDefault="005A2D50" w:rsidP="005A2D50">
      <w:pPr>
        <w:pStyle w:val="BodyText"/>
        <w:numPr>
          <w:ilvl w:val="3"/>
          <w:numId w:val="59"/>
        </w:numPr>
        <w:tabs>
          <w:tab w:val="left" w:pos="851"/>
        </w:tabs>
        <w:ind w:left="284" w:firstLine="0"/>
        <w:rPr>
          <w:lang w:val="en-US"/>
        </w:rPr>
      </w:pPr>
      <w:r w:rsidRPr="005A2D50">
        <w:rPr>
          <w:lang w:val="en-US"/>
        </w:rPr>
        <w:t>uzglabāšana – muitas procedūra ievešanai noliktavā.</w:t>
      </w:r>
    </w:p>
    <w:p w14:paraId="7FEFA7B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8027665" w14:textId="77777777" w:rsidR="005A2D50" w:rsidRPr="005A2D50" w:rsidRDefault="005A2D50" w:rsidP="005A2D50">
      <w:pPr>
        <w:pStyle w:val="BodyText"/>
        <w:rPr>
          <w:lang w:val="en-US"/>
        </w:rPr>
      </w:pPr>
      <w:r w:rsidRPr="005A2D50">
        <w:rPr>
          <w:lang w:val="en-US"/>
        </w:rPr>
        <w:t>Kā norādīts SMK 195. panta 1. punkta trešajā daļā, precēm nevar piemērot attiecīgo īpašo procedūru, ja nav sniegts galvojums iespējamā muitas parāda summas vai citu maksājumu, ja piemērojami, segšanai.</w:t>
      </w:r>
    </w:p>
    <w:p w14:paraId="0184C2DB" w14:textId="77777777" w:rsidR="005A2D50" w:rsidRPr="005A2D50" w:rsidRDefault="005A2D50" w:rsidP="005A2D50">
      <w:pPr>
        <w:pStyle w:val="BodyText"/>
        <w:rPr>
          <w:lang w:val="en-US"/>
        </w:rPr>
      </w:pPr>
      <w:r w:rsidRPr="005A2D50">
        <w:rPr>
          <w:lang w:val="en-US"/>
        </w:rPr>
        <w:t>Saskaņā ar SMK 211. panta 3. punkta c) apakšpunktu, ja var rasties muitas parāds vai citi maksājumi par precēm, kurām piemēro īpašu procedūru (</w:t>
      </w:r>
      <w:r w:rsidRPr="005A2D50">
        <w:rPr>
          <w:i/>
          <w:iCs/>
          <w:lang w:val="en-US"/>
        </w:rPr>
        <w:t>SPE</w:t>
      </w:r>
      <w:r w:rsidRPr="005A2D50">
        <w:rPr>
          <w:lang w:val="en-US"/>
        </w:rPr>
        <w:t xml:space="preserve">), </w:t>
      </w:r>
      <w:r w:rsidRPr="005A2D50">
        <w:rPr>
          <w:i/>
          <w:iCs/>
          <w:lang w:val="en-US"/>
        </w:rPr>
        <w:t xml:space="preserve">SPE </w:t>
      </w:r>
      <w:r w:rsidRPr="005A2D50">
        <w:rPr>
          <w:lang w:val="en-US"/>
        </w:rPr>
        <w:t xml:space="preserve">atļaujas pieteikuma iesniedzējs sniedz galvojumu saskaņā ar SMK 89. pantu. Tā kā atļauja veikt </w:t>
      </w:r>
      <w:r w:rsidRPr="005A2D50">
        <w:rPr>
          <w:i/>
          <w:iCs/>
          <w:lang w:val="en-US"/>
        </w:rPr>
        <w:t>SPE</w:t>
      </w:r>
      <w:r w:rsidRPr="005A2D50">
        <w:rPr>
          <w:lang w:val="en-US"/>
        </w:rPr>
        <w:t>, kas nav tranzīts, tiek piešķirta, lai precēm šo procedūru piemērotu regulāri vairākos darījumos, pieteikuma iesniedzējam būtu ieteicams sniegt vispārējo galvojumu, kas aptver visas attiecīgajā atļaujā ietvertās darbības.</w:t>
      </w:r>
    </w:p>
    <w:p w14:paraId="5D340DF2" w14:textId="77777777" w:rsidR="005A2D50" w:rsidRPr="005A2D50" w:rsidRDefault="005A2D50" w:rsidP="005A2D50">
      <w:pPr>
        <w:pStyle w:val="BodyText"/>
        <w:rPr>
          <w:lang w:val="en-US"/>
        </w:rPr>
      </w:pPr>
      <w:r w:rsidRPr="005A2D50">
        <w:rPr>
          <w:lang w:val="en-US"/>
        </w:rPr>
        <w:t>Galvojumam, ko nodrošina iespējama parāda segšanai, jāsedz risks, ka parāds radies saistībā ar tās īpašās procedūras pienākumu neizpildi, kuru precēm piemēro. Turklāt galvojums, kas sedz iespējamos muitas parādus, nodrošina šo parādu atgūšanu gadījumā, ja tie rastos un ja parādnieks tos noteiktajā termiņā nemaksātu.</w:t>
      </w:r>
    </w:p>
    <w:p w14:paraId="3107D435" w14:textId="77777777" w:rsidR="005A2D50" w:rsidRPr="005A2D50" w:rsidRDefault="005A2D50" w:rsidP="005A2D50">
      <w:pPr>
        <w:pStyle w:val="BodyText"/>
        <w:rPr>
          <w:lang w:val="en-US"/>
        </w:rPr>
      </w:pPr>
      <w:r w:rsidRPr="005A2D50">
        <w:rPr>
          <w:lang w:val="en-US"/>
        </w:rPr>
        <w:t>Attiecībā uz īpašās procedūras, kas nav tranzīts, izpildi, kas nozīmē pamata galvojuma summas atbloķēšanu, ievešanas pārstrādei procedūras un galapatēriņa gadījumā ir jāuzrāda izpildes dokuments (SMK DA 175. panta 1. punkts). Tas attiecas uz abiem gadījumiem, kad atļauju šīm procedūrām piešķir “pilnā formā” (vairākiem darījumiem) vai pamatojoties uz muitas deklarāciju (SMK DA 163. pants). Galvojums, ko saskaņā ar minēto atļauju sniedz iespējamam muitas parādam, ir jābloķē, līdz kļūst skaidrs, ka muitas parāds nevar rasties, tātad tikai pēc tam, kad muitas dienesti ir veikuši izpildes dokumenta kontroli saskaņā ar SMK ĪA 265. pantu.</w:t>
      </w:r>
    </w:p>
    <w:p w14:paraId="1464CBA6"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Praktiski tas nozīmētu turpmāk minēto.</w:t>
      </w:r>
    </w:p>
    <w:p w14:paraId="79E56356" w14:textId="77777777" w:rsidR="005A2D50" w:rsidRPr="005A2D50" w:rsidRDefault="005A2D50" w:rsidP="005A2D50">
      <w:pPr>
        <w:jc w:val="both"/>
        <w:rPr>
          <w:rFonts w:ascii="Times New Roman" w:hAnsi="Times New Roman" w:cs="Times New Roman"/>
          <w:i/>
          <w:noProof/>
          <w:sz w:val="24"/>
          <w:szCs w:val="24"/>
          <w:lang w:val="en-US"/>
        </w:rPr>
      </w:pPr>
    </w:p>
    <w:p w14:paraId="7020D7BF"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1. Galvojums par iespējamu parādu tiek nodrošināts, lai saņemtu atļauju ievešanas pārstrādei, un tas ir minēts muitas deklarācijā, kas iesniegta par vienu no darbībām.</w:t>
      </w:r>
    </w:p>
    <w:p w14:paraId="37019DD1"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2. Ievešanas pārstrādei darbību pabeidz saskaņā ar SMK 215. panta 1. punktu laikposmā, kas noteikts SMK 257. pantā.</w:t>
      </w:r>
    </w:p>
    <w:p w14:paraId="54103643"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3. Tomēr izpildes dokuments nav uzrādīts, tāpēc ir radies muitas parāds, tas ir noteikts un muitas dienests par to informē parādnieku.</w:t>
      </w:r>
    </w:p>
    <w:p w14:paraId="0CFE924B" w14:textId="77777777" w:rsidR="005A2D50" w:rsidRPr="005A2D50" w:rsidRDefault="005A2D50" w:rsidP="005A2D50">
      <w:pPr>
        <w:ind w:left="284"/>
        <w:jc w:val="both"/>
        <w:rPr>
          <w:rFonts w:ascii="Times New Roman" w:hAnsi="Times New Roman"/>
          <w:i/>
          <w:noProof/>
          <w:sz w:val="24"/>
          <w:lang w:val="en-US"/>
        </w:rPr>
      </w:pPr>
      <w:r w:rsidRPr="005A2D50">
        <w:rPr>
          <w:rFonts w:ascii="Times New Roman" w:hAnsi="Times New Roman"/>
          <w:i/>
          <w:noProof/>
          <w:sz w:val="24"/>
          <w:lang w:val="en-US"/>
        </w:rPr>
        <w:t>4. Galvojumu par iespējamo parādu, kas norādīts 1. punktā minētajā deklarācijā, atbloķē tikai pēc tam, kad parādnieks ir samaksājis muitas parādu un citus maksājumus, ja piemērojami.</w:t>
      </w:r>
    </w:p>
    <w:p w14:paraId="1D3EF495" w14:textId="77777777" w:rsidR="005A2D50" w:rsidRPr="005A2D50" w:rsidRDefault="005A2D50" w:rsidP="005A2D50">
      <w:pPr>
        <w:jc w:val="both"/>
        <w:rPr>
          <w:rFonts w:ascii="Times New Roman" w:hAnsi="Times New Roman" w:cs="Times New Roman"/>
          <w:i/>
          <w:noProof/>
          <w:sz w:val="24"/>
          <w:szCs w:val="24"/>
          <w:lang w:val="en-US"/>
        </w:rPr>
      </w:pPr>
    </w:p>
    <w:p w14:paraId="1339A77D" w14:textId="77777777" w:rsidR="005A2D50" w:rsidRPr="005A2D50" w:rsidRDefault="005A2D50" w:rsidP="005A2D50">
      <w:pPr>
        <w:pStyle w:val="BodyText"/>
        <w:rPr>
          <w:lang w:val="en-US"/>
        </w:rPr>
      </w:pPr>
      <w:r w:rsidRPr="005A2D50">
        <w:rPr>
          <w:lang w:val="en-US"/>
        </w:rPr>
        <w:t>Daudzos gadījumos īpašo procedūru pabeidz ar deklarāciju par preču atpakaļizvešanu un turpmāku izvešanu. Atpakaļizvešanas deklarācijai atsevišķs galvojums nav nepieciešams. Līdz īpašās procedūras faktiskai izpildei, veicot pienācīgu atpakaļizvešanu (vai citu darbību, kuras rezultātā procedūra tiek pabeigta), preces joprojām sedz galvojums, ko sniedz tad, kad precēm piemēro minēto īpašo procedūru.</w:t>
      </w:r>
    </w:p>
    <w:p w14:paraId="25DB1218"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051F896" w14:textId="77777777" w:rsidR="005A2D50" w:rsidRPr="005A2D50" w:rsidRDefault="005A2D50" w:rsidP="005A2D50">
      <w:pPr>
        <w:pStyle w:val="BodyText"/>
        <w:rPr>
          <w:b/>
          <w:bCs/>
          <w:lang w:val="en-US"/>
        </w:rPr>
      </w:pPr>
      <w:bookmarkStart w:id="89" w:name="IV.3.1.1._Temporary_Admission_and_end-us"/>
      <w:bookmarkEnd w:id="89"/>
      <w:r w:rsidRPr="005A2D50">
        <w:rPr>
          <w:b/>
          <w:bCs/>
          <w:lang w:val="en-US"/>
        </w:rPr>
        <w:t>IV.3.1.1. Pagaidu ievešana un galapatēriņš</w:t>
      </w:r>
    </w:p>
    <w:p w14:paraId="43BA727A" w14:textId="77777777" w:rsidR="005A2D50" w:rsidRPr="005A2D50" w:rsidRDefault="005A2D50" w:rsidP="005A2D50">
      <w:pPr>
        <w:pStyle w:val="BodyText"/>
        <w:rPr>
          <w:lang w:val="en-US"/>
        </w:rPr>
      </w:pPr>
    </w:p>
    <w:p w14:paraId="62C67FF2" w14:textId="77777777" w:rsidR="005A2D50" w:rsidRPr="005A2D50" w:rsidRDefault="005A2D50" w:rsidP="005A2D50">
      <w:pPr>
        <w:pStyle w:val="BodyText"/>
        <w:rPr>
          <w:lang w:val="en-US"/>
        </w:rPr>
      </w:pPr>
      <w:r w:rsidRPr="005A2D50">
        <w:rPr>
          <w:lang w:val="en-US"/>
        </w:rPr>
        <w:t>Attiecībā uz pagaidu ievešanu (</w:t>
      </w:r>
      <w:r w:rsidRPr="005A2D50">
        <w:rPr>
          <w:i/>
          <w:iCs/>
          <w:lang w:val="en-US"/>
        </w:rPr>
        <w:t>TA</w:t>
      </w:r>
      <w:r w:rsidRPr="005A2D50">
        <w:rPr>
          <w:lang w:val="en-US"/>
        </w:rPr>
        <w:t xml:space="preserve">) ar daļēju atbrīvojumu no ievedmuitas nodokļa muitas parāds rodas muitas deklarācijas pieņemšanas laikā, SMK 77. pants. Muitas deklarācijas iesniegšanas brīdī nav iespējams noteikt precīzu galīgā muitas parāda summu. Tāpēc galvojums, kas sedz šo parādu, ir jānosaka maksimālajā apmērā (SMK 90. pants), kas ir summa, kura būtu jāmaksā, ja preces tiktu laistas brīvā apgrozībā dienā, kad tām piemēroja </w:t>
      </w:r>
      <w:r w:rsidRPr="005A2D50">
        <w:rPr>
          <w:i/>
          <w:iCs/>
          <w:lang w:val="en-US"/>
        </w:rPr>
        <w:t>TA</w:t>
      </w:r>
      <w:r w:rsidRPr="005A2D50">
        <w:rPr>
          <w:lang w:val="en-US"/>
        </w:rPr>
        <w:t xml:space="preserve">. Tomēr muitas parāds var rasties arī tad, ja netiks izpildīti ar </w:t>
      </w:r>
      <w:r w:rsidRPr="005A2D50">
        <w:rPr>
          <w:i/>
          <w:iCs/>
          <w:lang w:val="en-US"/>
        </w:rPr>
        <w:t xml:space="preserve">SPE </w:t>
      </w:r>
      <w:r w:rsidRPr="005A2D50">
        <w:rPr>
          <w:lang w:val="en-US"/>
        </w:rPr>
        <w:t xml:space="preserve">atļauju saistītie pienākumi. Taču saskaņā ar SMK 89. panta 4. punktu attiecībā uz konkrētām precēm vai konkrētu deklarāciju muitas dienesti pieprasa tikai vienu galvojumu. Tādēļ praksē muitas dienesti pieprasa tikai galvojumu, lai segtu radušos parādus, proti, par summu, kura būtu jāmaksā, ja preces tiktu laistas brīvā apgrozībā dienā, kad tām piemēroja </w:t>
      </w:r>
      <w:r w:rsidRPr="005A2D50">
        <w:rPr>
          <w:i/>
          <w:iCs/>
          <w:lang w:val="en-US"/>
        </w:rPr>
        <w:t>TA</w:t>
      </w:r>
      <w:r w:rsidRPr="005A2D50">
        <w:rPr>
          <w:lang w:val="en-US"/>
        </w:rPr>
        <w:t>.</w:t>
      </w:r>
    </w:p>
    <w:p w14:paraId="742747A5" w14:textId="77777777" w:rsidR="005A2D50" w:rsidRPr="005A2D50" w:rsidRDefault="005A2D50" w:rsidP="005A2D50">
      <w:pPr>
        <w:pStyle w:val="BodyText"/>
        <w:rPr>
          <w:lang w:val="en-US"/>
        </w:rPr>
      </w:pPr>
      <w:r w:rsidRPr="005A2D50">
        <w:rPr>
          <w:lang w:val="en-US"/>
        </w:rPr>
        <w:t>Attiecībā uz pagaidu ievešanu ar pilnīgu atbrīvojumu no ievedmuitas nodokļa vispārējam galvojumam jāsedz tikai iespējamie parādi (skat. paraugu SMK ĪA 32-03. pielikumā). Attiecībā uz galapatēriņa procedūru abus muitas parādu veidus sedz viens galvojums (radies, noteikts samazinātās ievedmuitas likmes līmenī) un potenciāls, ja vien netiek piešķirts pilnīgs atbrīvojums no muitas nodokļa.</w:t>
      </w:r>
    </w:p>
    <w:p w14:paraId="21F471E4"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39C1EF80" w14:textId="77777777" w:rsidR="005A2D50" w:rsidRPr="005A2D50" w:rsidRDefault="005A2D50" w:rsidP="005A2D50">
      <w:pPr>
        <w:pStyle w:val="BodyText"/>
        <w:rPr>
          <w:b/>
          <w:bCs/>
          <w:lang w:val="en-US"/>
        </w:rPr>
      </w:pPr>
      <w:bookmarkStart w:id="90" w:name="IV.3.1.2._Application_for_special_proced"/>
      <w:bookmarkEnd w:id="90"/>
      <w:r w:rsidRPr="005A2D50">
        <w:rPr>
          <w:b/>
          <w:bCs/>
          <w:lang w:val="en-US"/>
        </w:rPr>
        <w:t>IV.3.1.2. Pieteikums īpašo procedūru piemērošanai, pamatojoties uz muitas deklarāciju</w:t>
      </w:r>
    </w:p>
    <w:p w14:paraId="600DD9C4" w14:textId="77777777" w:rsidR="005A2D50" w:rsidRPr="005A2D50" w:rsidRDefault="005A2D50" w:rsidP="005A2D50">
      <w:pPr>
        <w:pStyle w:val="BodyText"/>
        <w:rPr>
          <w:lang w:val="en-US"/>
        </w:rPr>
      </w:pPr>
    </w:p>
    <w:p w14:paraId="0E680CFF" w14:textId="77777777" w:rsidR="005A2D50" w:rsidRPr="005A2D50" w:rsidRDefault="005A2D50" w:rsidP="005A2D50">
      <w:pPr>
        <w:pStyle w:val="BodyText"/>
        <w:rPr>
          <w:lang w:val="en-US"/>
        </w:rPr>
      </w:pPr>
      <w:r w:rsidRPr="005A2D50">
        <w:rPr>
          <w:lang w:val="en-US"/>
        </w:rPr>
        <w:t xml:space="preserve">Ja </w:t>
      </w:r>
      <w:r w:rsidRPr="005A2D50">
        <w:rPr>
          <w:i/>
          <w:iCs/>
          <w:lang w:val="en-US"/>
        </w:rPr>
        <w:t xml:space="preserve">SPE </w:t>
      </w:r>
      <w:r w:rsidRPr="005A2D50">
        <w:rPr>
          <w:lang w:val="en-US"/>
        </w:rPr>
        <w:t>atļaujas pieteikums ir balstīts uz muitas deklarāciju (MD</w:t>
      </w:r>
      <w:r w:rsidRPr="005A2D50">
        <w:rPr>
          <w:i/>
          <w:iCs/>
          <w:lang w:val="en-US"/>
        </w:rPr>
        <w:t xml:space="preserve">) </w:t>
      </w:r>
      <w:r w:rsidRPr="005A2D50">
        <w:rPr>
          <w:lang w:val="en-US"/>
        </w:rPr>
        <w:t xml:space="preserve">vienam darījumam, piemēram, garantijas remontam saskaņā ar IP procedūru vai pagaidu ievešanai izstādāmām precēm, priekšroka dodama vienreizējam galvojumam. Saskaņā ar SMK ĪA 262. pantu “(..) atļauju piešķir ar preču izlaišanu attiecīgajai muitas procedūrai”. Saskaņā ar SMK 195. panta 1. punktu preces nevar izlaist, ja nav sniegts galvojums. Tādēļ var pieņemt arī vispārējo galvojumu, ja </w:t>
      </w:r>
      <w:r w:rsidRPr="005A2D50">
        <w:rPr>
          <w:i/>
          <w:iCs/>
          <w:lang w:val="en-US"/>
        </w:rPr>
        <w:t xml:space="preserve">CA </w:t>
      </w:r>
      <w:r w:rsidRPr="005A2D50">
        <w:rPr>
          <w:lang w:val="en-US"/>
        </w:rPr>
        <w:t xml:space="preserve">nodrošina atsauces summas pienācīgu uzraudzību, pārbaudot sniegtā galvojuma esību, derīgumu un summu katru reizi, kad tiek iesniegta muitas deklarācija saskaņā ar SMK DA 163. pantu. Atļaujas pieteikumus, kas sagatavoti, pamatojoties uz muitas deklarāciju, glabā valsts importa un eksporta MD apstrādes sistēmās. Tas neattiecas uz </w:t>
      </w:r>
      <w:r w:rsidRPr="005A2D50">
        <w:rPr>
          <w:i/>
          <w:iCs/>
          <w:lang w:val="en-US"/>
        </w:rPr>
        <w:t xml:space="preserve">TS </w:t>
      </w:r>
      <w:r w:rsidRPr="005A2D50">
        <w:rPr>
          <w:lang w:val="en-US"/>
        </w:rPr>
        <w:t>un muitas procedūru ievešanai noliktavā.</w:t>
      </w:r>
    </w:p>
    <w:p w14:paraId="48C74F7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140E80B" w14:textId="77777777" w:rsidR="005A2D50" w:rsidRPr="005A2D50" w:rsidRDefault="005A2D50" w:rsidP="005A2D50">
      <w:pPr>
        <w:pStyle w:val="BodyText"/>
        <w:rPr>
          <w:b/>
          <w:bCs/>
          <w:lang w:val="en-US"/>
        </w:rPr>
      </w:pPr>
      <w:bookmarkStart w:id="91" w:name="IV.3.1.3._Storage"/>
      <w:bookmarkEnd w:id="91"/>
      <w:r w:rsidRPr="005A2D50">
        <w:rPr>
          <w:b/>
          <w:bCs/>
          <w:lang w:val="en-US"/>
        </w:rPr>
        <w:t>IV.3.1.3. Uzglabāšana</w:t>
      </w:r>
    </w:p>
    <w:p w14:paraId="5212B6FA" w14:textId="77777777" w:rsidR="005A2D50" w:rsidRPr="005A2D50" w:rsidRDefault="005A2D50" w:rsidP="005A2D50">
      <w:pPr>
        <w:pStyle w:val="BodyText"/>
        <w:rPr>
          <w:lang w:val="en-US"/>
        </w:rPr>
      </w:pPr>
    </w:p>
    <w:p w14:paraId="33026B83" w14:textId="77777777" w:rsidR="005A2D50" w:rsidRPr="005A2D50" w:rsidRDefault="005A2D50" w:rsidP="005A2D50">
      <w:pPr>
        <w:pStyle w:val="BodyText"/>
        <w:rPr>
          <w:lang w:val="en-US"/>
        </w:rPr>
      </w:pPr>
      <w:r w:rsidRPr="005A2D50">
        <w:rPr>
          <w:lang w:val="en-US"/>
        </w:rPr>
        <w:t>Ja tiek piemērota muitas noliktavas procedūra, muitas procedūras ievešanai noliktavā atļaujas turētājam ir jāsniedz galvojums. Atļaujas turētājs (persona, kurai jāsniedz galvojums) ir uzglabāšanas vietas īpašnieks. Attiecībā uz muitas procedūras piemērošanu ievešanai noliktavā galvojums nav nepieciešams, lai precēm piemērotu procedūru, jo galvojums ir nepieciešams tikai tās uzglabāšanas vietas darbībai, kuru izmanto preču glabāšanai muitas noliktavā. Kādā brīdī muitas dienests var secināt, ka uzglabāšanas vietas īpašnieka sniegtais galvojums nav pietiekams, un saskaņā ar SMK 97. pantu jāpieprasa papildu galvojums.</w:t>
      </w:r>
    </w:p>
    <w:p w14:paraId="7EE3607F" w14:textId="77777777" w:rsidR="005A2D50" w:rsidRPr="005A2D50" w:rsidRDefault="005A2D50" w:rsidP="005A2D50">
      <w:pPr>
        <w:pStyle w:val="BodyText"/>
        <w:rPr>
          <w:lang w:val="en-US"/>
        </w:rPr>
      </w:pPr>
      <w:r w:rsidRPr="005A2D50">
        <w:rPr>
          <w:lang w:val="en-US"/>
        </w:rPr>
        <w:t>Ja izmanto publiskās muitas noliktavas, persona, kurai ir atļauja, nav tā pati persona, kas izmanto procedūru. Lai gan būtībā atļaujas turētājam ir jāsniedz galvojums, muitas dienests var pieņemt galvojumu no procedūras izmantotāja, jo saskaņā ar SMK 242. pantu arī šī persona var kļūt par parādnieku (skat. SMK 89. panta 3. punktu).</w:t>
      </w:r>
    </w:p>
    <w:p w14:paraId="73F9D528" w14:textId="77777777" w:rsidR="005A2D50" w:rsidRPr="005A2D50" w:rsidRDefault="005A2D50" w:rsidP="005A2D50">
      <w:pPr>
        <w:pStyle w:val="BodyText"/>
        <w:rPr>
          <w:lang w:val="en-US"/>
        </w:rPr>
      </w:pPr>
      <w:r w:rsidRPr="005A2D50">
        <w:rPr>
          <w:lang w:val="en-US"/>
        </w:rPr>
        <w:t>Tomēr publiskas muitas noliktavas atļaujā var noteikt, ka atbildību var attiecināt tikai uz procedūras izmantotāju (skat. SMK 242. panta 2. punktu).</w:t>
      </w:r>
    </w:p>
    <w:p w14:paraId="52734475" w14:textId="77777777" w:rsidR="005A2D50" w:rsidRPr="005A2D50" w:rsidRDefault="005A2D50" w:rsidP="005A2D50">
      <w:pPr>
        <w:pStyle w:val="BodyText"/>
        <w:rPr>
          <w:lang w:val="en-US"/>
        </w:rPr>
      </w:pPr>
      <w:r w:rsidRPr="005A2D50">
        <w:rPr>
          <w:lang w:val="en-US"/>
        </w:rPr>
        <w:t>Tas ir īpaši lietderīgi attiecībā uz II tipa publiskajām muitas noliktavām, kur pienākumi attiecas uz procedūras izmantotāju (agrāk B tips). Attiecībā uz I tipa publiskajām muitas noliktavām pienākumi attiecas gan uz atļaujas turētāju, gan procedūras izmantotāju.</w:t>
      </w:r>
    </w:p>
    <w:p w14:paraId="2B16301F" w14:textId="77777777" w:rsidR="005A2D50" w:rsidRPr="005A2D50" w:rsidRDefault="005A2D50" w:rsidP="005A2D50">
      <w:pPr>
        <w:pStyle w:val="BodyText"/>
        <w:rPr>
          <w:lang w:val="en-US"/>
        </w:rPr>
      </w:pPr>
      <w:r w:rsidRPr="005A2D50">
        <w:rPr>
          <w:lang w:val="en-US"/>
        </w:rPr>
        <w:t>Papildu galvojumu var sniegt arī procedūras izmantotājs. Mēs iesakām nodrošināt, ka procedūras izmantotāja sniegtais papildu galvojums saistību veidā attiecas uz abu personu solidāro atbildību par iespējamiem muitas parādiem, kas izriet no šīs situācijas.</w:t>
      </w:r>
    </w:p>
    <w:p w14:paraId="0D40D328" w14:textId="77777777" w:rsidR="005A2D50" w:rsidRPr="005A2D50" w:rsidRDefault="005A2D50" w:rsidP="005A2D50">
      <w:pPr>
        <w:pStyle w:val="BodyText"/>
        <w:rPr>
          <w:lang w:val="en-US"/>
        </w:rPr>
      </w:pPr>
    </w:p>
    <w:p w14:paraId="0AF15A5C" w14:textId="77777777" w:rsidR="005A2D50" w:rsidRPr="005A2D50" w:rsidRDefault="005A2D50" w:rsidP="005A2D50">
      <w:pPr>
        <w:pStyle w:val="Heading2"/>
        <w:rPr>
          <w:rFonts w:cs="Times New Roman"/>
          <w:noProof/>
          <w:lang w:val="en-US"/>
        </w:rPr>
      </w:pPr>
      <w:bookmarkStart w:id="92" w:name="IV.3.2._Transfer_of_Rights_and_Obligatio"/>
      <w:bookmarkStart w:id="93" w:name="_bookmark28"/>
      <w:bookmarkStart w:id="94" w:name="_Toc104982786"/>
      <w:bookmarkEnd w:id="92"/>
      <w:bookmarkEnd w:id="93"/>
      <w:r w:rsidRPr="005A2D50">
        <w:rPr>
          <w:noProof/>
          <w:lang w:val="en-US"/>
        </w:rPr>
        <w:t>IV.3.2. Tiesību un pienākumu nodošana (</w:t>
      </w:r>
      <w:r w:rsidRPr="005A2D50">
        <w:rPr>
          <w:i/>
          <w:iCs/>
          <w:noProof/>
          <w:lang w:val="en-US"/>
        </w:rPr>
        <w:t>TORO</w:t>
      </w:r>
      <w:r w:rsidRPr="005A2D50">
        <w:rPr>
          <w:noProof/>
          <w:lang w:val="en-US"/>
        </w:rPr>
        <w:t>)</w:t>
      </w:r>
      <w:bookmarkEnd w:id="94"/>
    </w:p>
    <w:p w14:paraId="6824311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F7B5B7A" w14:textId="77777777" w:rsidR="005A2D50" w:rsidRPr="005A2D50" w:rsidRDefault="005A2D50" w:rsidP="005A2D50">
      <w:pPr>
        <w:pStyle w:val="BodyText"/>
        <w:rPr>
          <w:lang w:val="en-US"/>
        </w:rPr>
      </w:pPr>
      <w:r w:rsidRPr="005A2D50">
        <w:rPr>
          <w:lang w:val="en-US"/>
        </w:rPr>
        <w:t xml:space="preserve">Tiesību un pienākumu nodošana ir iespējama tikai attiecībā uz procedūras izmantotāja tiesībām un pienākumiem. </w:t>
      </w:r>
      <w:r w:rsidRPr="005A2D50">
        <w:rPr>
          <w:i/>
          <w:iCs/>
          <w:lang w:val="en-US"/>
        </w:rPr>
        <w:t xml:space="preserve">TORO </w:t>
      </w:r>
      <w:r w:rsidRPr="005A2D50">
        <w:rPr>
          <w:lang w:val="en-US"/>
        </w:rPr>
        <w:t>nav nepieciešama nevienas turpmākas īpašās procedūras muitas atļaujas izmantošana, jo tiesības un pienākumi, ko var nodot citai personai, ir noteikti saskaņā ar atļauju, ar kuru precēm ir piemērota īpaša procedūra. Tomēr pārņēmējam ir jāatbilst attiecīgās procedūras nosacījumiem. Nodotās tiesības un pienākumi vienmēr ir saistīti ar precēm, kurām piemērota īpašā procedūra. Nevar nodot atsevišķas “personīgas” tiesības un pienākumus, piemēram, “</w:t>
      </w:r>
      <w:r w:rsidRPr="005A2D50">
        <w:rPr>
          <w:i/>
          <w:iCs/>
          <w:lang w:val="en-US"/>
        </w:rPr>
        <w:t xml:space="preserve">AEOC </w:t>
      </w:r>
      <w:r w:rsidRPr="005A2D50">
        <w:rPr>
          <w:lang w:val="en-US"/>
        </w:rPr>
        <w:t>statusu” vai “nepieciešamo garantiju sniegšanu par darbību pienācīgu veikšanu” (skat. SMK 211. panta 3. punkta b) apakšpunktu). Tas var ietekmēt pieprasīto galvojumu, ja pārņēmējam tāds ir jāsniedz.</w:t>
      </w:r>
    </w:p>
    <w:p w14:paraId="4A712C4A" w14:textId="77777777" w:rsidR="005A2D50" w:rsidRPr="005A2D50" w:rsidRDefault="005A2D50" w:rsidP="005A2D50">
      <w:pPr>
        <w:pStyle w:val="BodyText"/>
        <w:rPr>
          <w:lang w:val="en-US"/>
        </w:rPr>
      </w:pPr>
      <w:r w:rsidRPr="005A2D50">
        <w:rPr>
          <w:i/>
          <w:iCs/>
          <w:lang w:val="en-US"/>
        </w:rPr>
        <w:t xml:space="preserve">TORO </w:t>
      </w:r>
      <w:r w:rsidRPr="005A2D50">
        <w:rPr>
          <w:lang w:val="en-US"/>
        </w:rPr>
        <w:t xml:space="preserve">vienmēr ir jāietver atļaujā, un parasti tam izmanto īpašu </w:t>
      </w:r>
      <w:r w:rsidRPr="005A2D50">
        <w:rPr>
          <w:i/>
          <w:iCs/>
          <w:lang w:val="en-US"/>
        </w:rPr>
        <w:t xml:space="preserve">TORO </w:t>
      </w:r>
      <w:r w:rsidRPr="005A2D50">
        <w:rPr>
          <w:lang w:val="en-US"/>
        </w:rPr>
        <w:t>veidlapu (skat. Vadlīniju īpašām procedūrām III pielikumu un V pielikumu</w:t>
      </w:r>
      <w:r w:rsidRPr="005A2D50">
        <w:rPr>
          <w:rStyle w:val="FootnoteReference"/>
          <w:lang w:val="en-US"/>
        </w:rPr>
        <w:footnoteReference w:id="5"/>
      </w:r>
      <w:r w:rsidRPr="005A2D50">
        <w:rPr>
          <w:lang w:val="en-US"/>
        </w:rPr>
        <w:t xml:space="preserve">). Turklāt </w:t>
      </w:r>
      <w:r w:rsidRPr="005A2D50">
        <w:rPr>
          <w:i/>
          <w:iCs/>
          <w:lang w:val="en-US"/>
        </w:rPr>
        <w:t xml:space="preserve">TORO </w:t>
      </w:r>
      <w:r w:rsidRPr="005A2D50">
        <w:rPr>
          <w:lang w:val="en-US"/>
        </w:rPr>
        <w:t xml:space="preserve">nenosaka nepieciešamību pēc turpmākas muitas deklarācijas attiecībā uz to pašu procedūru. Iesaistītie muitas dienesti (nodevēja un pārņēmēja dienesti) ir jāinformē par </w:t>
      </w:r>
      <w:r w:rsidRPr="005A2D50">
        <w:rPr>
          <w:i/>
          <w:iCs/>
          <w:lang w:val="en-US"/>
        </w:rPr>
        <w:t xml:space="preserve">TORO </w:t>
      </w:r>
      <w:r w:rsidRPr="005A2D50">
        <w:rPr>
          <w:lang w:val="en-US"/>
        </w:rPr>
        <w:t xml:space="preserve">un par </w:t>
      </w:r>
      <w:r w:rsidRPr="005A2D50">
        <w:rPr>
          <w:i/>
          <w:iCs/>
          <w:lang w:val="en-US"/>
        </w:rPr>
        <w:t xml:space="preserve">TORO </w:t>
      </w:r>
      <w:r w:rsidRPr="005A2D50">
        <w:rPr>
          <w:lang w:val="en-US"/>
        </w:rPr>
        <w:t xml:space="preserve">noteikumiem, un tiem ir jāpārliecinās, ka ir sniegts galvojums iespējamo muitas parādu segšanai (SMK 79. pants). Lēmumā par </w:t>
      </w:r>
      <w:r w:rsidRPr="005A2D50">
        <w:rPr>
          <w:i/>
          <w:iCs/>
          <w:lang w:val="en-US"/>
        </w:rPr>
        <w:t xml:space="preserve">TORO </w:t>
      </w:r>
      <w:r w:rsidRPr="005A2D50">
        <w:rPr>
          <w:lang w:val="en-US"/>
        </w:rPr>
        <w:t xml:space="preserve">ir jāparedz nosacījumi, saskaņā ar kuriem tiek veikta </w:t>
      </w:r>
      <w:r w:rsidRPr="005A2D50">
        <w:rPr>
          <w:i/>
          <w:iCs/>
          <w:lang w:val="en-US"/>
        </w:rPr>
        <w:t xml:space="preserve">TORO </w:t>
      </w:r>
      <w:r w:rsidRPr="005A2D50">
        <w:rPr>
          <w:lang w:val="en-US"/>
        </w:rPr>
        <w:t>atbilstoši SMK 218. pantam</w:t>
      </w:r>
      <w:r w:rsidRPr="005A2D50">
        <w:rPr>
          <w:vertAlign w:val="superscript"/>
          <w:lang w:val="en-US"/>
        </w:rPr>
        <w:footnoteReference w:id="6"/>
      </w:r>
      <w:r w:rsidRPr="005A2D50">
        <w:rPr>
          <w:vertAlign w:val="superscript"/>
          <w:lang w:val="en-US"/>
        </w:rPr>
        <w:t xml:space="preserve"> </w:t>
      </w:r>
      <w:r w:rsidRPr="005A2D50">
        <w:rPr>
          <w:lang w:val="en-US"/>
        </w:rPr>
        <w:t>un 211. panta 3. punkta c) apakšpunktam</w:t>
      </w:r>
      <w:r w:rsidRPr="005A2D50">
        <w:rPr>
          <w:rStyle w:val="FootnoteReference"/>
          <w:lang w:val="en-US"/>
        </w:rPr>
        <w:footnoteReference w:id="7"/>
      </w:r>
      <w:r w:rsidRPr="005A2D50">
        <w:rPr>
          <w:lang w:val="en-US"/>
        </w:rPr>
        <w:t xml:space="preserve">, un tajā jānorāda, kādas ir nodotās tiesības un pienākumi, kas pārņēmējam ir jāizpilda neatkarīgi no tā, vai tiesību un pienākumu nodošana ir “pilnīga” vai “daļēja” (tostarp galvojuma sniegšana). Galvojumam par precēm, uz kurām attiecas </w:t>
      </w:r>
      <w:r w:rsidRPr="005A2D50">
        <w:rPr>
          <w:i/>
          <w:iCs/>
          <w:lang w:val="en-US"/>
        </w:rPr>
        <w:t>TORO</w:t>
      </w:r>
      <w:r w:rsidRPr="005A2D50">
        <w:rPr>
          <w:lang w:val="en-US"/>
        </w:rPr>
        <w:t xml:space="preserve">, jābūt spēkā, pirms tiek pieņemts lēmums par </w:t>
      </w:r>
      <w:r w:rsidRPr="005A2D50">
        <w:rPr>
          <w:i/>
          <w:iCs/>
          <w:lang w:val="en-US"/>
        </w:rPr>
        <w:t>TORO</w:t>
      </w:r>
      <w:r w:rsidRPr="005A2D50">
        <w:rPr>
          <w:lang w:val="en-US"/>
        </w:rPr>
        <w:t>, un to pieprasa no personas, kura var kļūt par parādnieku, kas saskaņā ar SMK 79. pantu</w:t>
      </w:r>
      <w:r w:rsidRPr="005A2D50">
        <w:rPr>
          <w:vertAlign w:val="superscript"/>
          <w:lang w:val="en-US"/>
        </w:rPr>
        <w:footnoteReference w:id="8"/>
      </w:r>
      <w:r w:rsidRPr="005A2D50">
        <w:rPr>
          <w:vertAlign w:val="superscript"/>
          <w:lang w:val="en-US"/>
        </w:rPr>
        <w:t xml:space="preserve"> </w:t>
      </w:r>
      <w:r w:rsidRPr="005A2D50">
        <w:rPr>
          <w:lang w:val="en-US"/>
        </w:rPr>
        <w:t>ir persona, kura ir atbildīga par pienākumu izpildi attiecībā uz piešķirto atļauju un šīm precēm.</w:t>
      </w:r>
    </w:p>
    <w:p w14:paraId="72BCEBF8" w14:textId="77777777" w:rsidR="005A2D50" w:rsidRPr="005A2D50" w:rsidRDefault="005A2D50" w:rsidP="005A2D50">
      <w:pPr>
        <w:pStyle w:val="BodyText"/>
        <w:rPr>
          <w:lang w:val="en-US"/>
        </w:rPr>
      </w:pPr>
      <w:r w:rsidRPr="005A2D50">
        <w:rPr>
          <w:lang w:val="en-US"/>
        </w:rPr>
        <w:t xml:space="preserve">Lai gan muitas tiesību akti neierobežo iespējas izmantot </w:t>
      </w:r>
      <w:r w:rsidRPr="005A2D50">
        <w:rPr>
          <w:i/>
          <w:iCs/>
          <w:lang w:val="en-US"/>
        </w:rPr>
        <w:t>TORO</w:t>
      </w:r>
      <w:r w:rsidRPr="005A2D50">
        <w:rPr>
          <w:lang w:val="en-US"/>
        </w:rPr>
        <w:t xml:space="preserve">, tas būtībā nav nepieciešams precēm, kurām piemēro īpašas procedūras, kas nav tranzīts vai galapatēriņš. Kā alternatīvs risinājums </w:t>
      </w:r>
      <w:r w:rsidRPr="005A2D50">
        <w:rPr>
          <w:i/>
          <w:iCs/>
          <w:lang w:val="en-US"/>
        </w:rPr>
        <w:t>TORO</w:t>
      </w:r>
      <w:r w:rsidRPr="005A2D50">
        <w:rPr>
          <w:lang w:val="en-US"/>
        </w:rPr>
        <w:t xml:space="preserve">, pilnībā nododot tiesības un pienākumus, būtu jaunas muitas deklarācijas iesniegšana (piemēram, attiecībā uz IP, </w:t>
      </w:r>
      <w:r w:rsidRPr="005A2D50">
        <w:rPr>
          <w:i/>
          <w:iCs/>
          <w:lang w:val="en-US"/>
        </w:rPr>
        <w:t>CW</w:t>
      </w:r>
      <w:r w:rsidRPr="005A2D50">
        <w:rPr>
          <w:lang w:val="en-US"/>
        </w:rPr>
        <w:t xml:space="preserve">). Tomēr šāda prakse nav attiecināma uz galapatēriņa procedūras piemērošanu. Tā kā galapatēriņa mērķiem brīvā apgrozībā laistām precēm ir piešķirts Savienības statuss, tās nevar deklarēt turpmākai muitas procedūrai. Turklāt saskaņā ar SMK 269. panta 2. punkta b) apakšpunktu uz precēm, kas deklarētas galapatēriņa procedūrai un kurām muitas uzraudzība nav beigusies (preces vēl nav sasniegušas galapatēriņa mērķi), nevar attiecināt eksporta procedūru, ja tās izved no muitas teritorijas. Ja nevar veikt </w:t>
      </w:r>
      <w:r w:rsidRPr="005A2D50">
        <w:rPr>
          <w:i/>
          <w:iCs/>
          <w:lang w:val="en-US"/>
        </w:rPr>
        <w:t>TORO</w:t>
      </w:r>
      <w:r w:rsidRPr="005A2D50">
        <w:rPr>
          <w:lang w:val="en-US"/>
        </w:rPr>
        <w:t>, būtu praktiski pārvietot preces uz vietu, kur cita persona, kurai nav atļaujas galapatēriņam, var piešķirt minētās preces paredzētajam galapatēriņam. Šādā gadījumā līdz galapatēriņa procedūras pabeigšanai atbildību uzņemas galapatēriņa atļaujas turētājs.</w:t>
      </w:r>
    </w:p>
    <w:p w14:paraId="54B5882C" w14:textId="77777777" w:rsidR="005A2D50" w:rsidRPr="005A2D50" w:rsidRDefault="005A2D50" w:rsidP="005A2D50">
      <w:pPr>
        <w:jc w:val="both"/>
        <w:rPr>
          <w:lang w:val="en-US"/>
        </w:rPr>
      </w:pPr>
    </w:p>
    <w:p w14:paraId="5335DC38" w14:textId="77777777" w:rsidR="005A2D50" w:rsidRPr="005A2D50" w:rsidRDefault="005A2D50" w:rsidP="005A2D50">
      <w:pPr>
        <w:pStyle w:val="BodyText"/>
        <w:rPr>
          <w:b/>
          <w:bCs/>
          <w:lang w:val="en-US"/>
        </w:rPr>
      </w:pPr>
      <w:bookmarkStart w:id="95" w:name="In_principle,_two_different_procedures_c"/>
      <w:bookmarkEnd w:id="95"/>
      <w:r w:rsidRPr="005A2D50">
        <w:rPr>
          <w:b/>
          <w:bCs/>
          <w:lang w:val="en-US"/>
        </w:rPr>
        <w:t xml:space="preserve">Būtībā </w:t>
      </w:r>
      <w:r w:rsidRPr="005A2D50">
        <w:rPr>
          <w:b/>
          <w:bCs/>
          <w:i/>
          <w:iCs/>
          <w:lang w:val="en-US"/>
        </w:rPr>
        <w:t xml:space="preserve">TORO </w:t>
      </w:r>
      <w:r w:rsidRPr="005A2D50">
        <w:rPr>
          <w:b/>
          <w:bCs/>
          <w:lang w:val="en-US"/>
        </w:rPr>
        <w:t>var izmantot divas dažādas procedūras:</w:t>
      </w:r>
    </w:p>
    <w:p w14:paraId="544E412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927970B" w14:textId="77777777" w:rsidR="005A2D50" w:rsidRPr="005A2D50" w:rsidRDefault="005A2D50" w:rsidP="005A2D50">
      <w:pPr>
        <w:pStyle w:val="BodyText"/>
        <w:rPr>
          <w:lang w:val="en-US"/>
        </w:rPr>
      </w:pPr>
      <w:r w:rsidRPr="005A2D50">
        <w:rPr>
          <w:lang w:val="en-US"/>
        </w:rPr>
        <w:t>1) </w:t>
      </w:r>
      <w:r w:rsidRPr="005A2D50">
        <w:rPr>
          <w:i/>
          <w:iCs/>
          <w:lang w:val="en-US"/>
        </w:rPr>
        <w:t xml:space="preserve">SPE </w:t>
      </w:r>
      <w:r w:rsidRPr="005A2D50">
        <w:rPr>
          <w:lang w:val="en-US"/>
        </w:rPr>
        <w:t xml:space="preserve">atļaujas turētājs (kuram ir arī </w:t>
      </w:r>
      <w:r w:rsidRPr="005A2D50">
        <w:rPr>
          <w:i/>
          <w:iCs/>
          <w:lang w:val="en-US"/>
        </w:rPr>
        <w:t xml:space="preserve">TORO </w:t>
      </w:r>
      <w:r w:rsidRPr="005A2D50">
        <w:rPr>
          <w:lang w:val="en-US"/>
        </w:rPr>
        <w:t>atļauja) nodod tiesības un pienākumus pārņēmējam, kam nav atļaujas; vai</w:t>
      </w:r>
    </w:p>
    <w:p w14:paraId="5EDA5B35" w14:textId="77777777" w:rsidR="005A2D50" w:rsidRPr="005A2D50" w:rsidRDefault="005A2D50" w:rsidP="005A2D50">
      <w:pPr>
        <w:pStyle w:val="BodyText"/>
        <w:rPr>
          <w:lang w:val="en-US"/>
        </w:rPr>
      </w:pPr>
      <w:r w:rsidRPr="005A2D50">
        <w:rPr>
          <w:lang w:val="en-US"/>
        </w:rPr>
        <w:t>2) </w:t>
      </w:r>
      <w:r w:rsidRPr="005A2D50">
        <w:rPr>
          <w:i/>
          <w:iCs/>
          <w:lang w:val="en-US"/>
        </w:rPr>
        <w:t xml:space="preserve">SPE </w:t>
      </w:r>
      <w:r w:rsidRPr="005A2D50">
        <w:rPr>
          <w:lang w:val="en-US"/>
        </w:rPr>
        <w:t xml:space="preserve">atļaujas turētājs (kuram ir arī </w:t>
      </w:r>
      <w:r w:rsidRPr="005A2D50">
        <w:rPr>
          <w:i/>
          <w:iCs/>
          <w:lang w:val="en-US"/>
        </w:rPr>
        <w:t xml:space="preserve">TORO </w:t>
      </w:r>
      <w:r w:rsidRPr="005A2D50">
        <w:rPr>
          <w:lang w:val="en-US"/>
        </w:rPr>
        <w:t xml:space="preserve">atļauja) nodod tiesības un pienākumus pārņēmējam, kam ir </w:t>
      </w:r>
      <w:r w:rsidRPr="005A2D50">
        <w:rPr>
          <w:i/>
          <w:iCs/>
          <w:lang w:val="en-US"/>
        </w:rPr>
        <w:t xml:space="preserve">TORO </w:t>
      </w:r>
      <w:r w:rsidRPr="005A2D50">
        <w:rPr>
          <w:lang w:val="en-US"/>
        </w:rPr>
        <w:t>atļauja.</w:t>
      </w:r>
    </w:p>
    <w:p w14:paraId="79E9F4C4" w14:textId="77777777" w:rsidR="005A2D50" w:rsidRPr="005A2D50" w:rsidRDefault="005A2D50" w:rsidP="005A2D50">
      <w:pPr>
        <w:pStyle w:val="BodyText"/>
        <w:rPr>
          <w:lang w:val="en-US"/>
        </w:rPr>
      </w:pPr>
    </w:p>
    <w:p w14:paraId="1F5FEE5A" w14:textId="77777777" w:rsidR="005A2D50" w:rsidRPr="005A2D50" w:rsidRDefault="005A2D50" w:rsidP="005A2D50">
      <w:pPr>
        <w:pStyle w:val="BodyText"/>
        <w:rPr>
          <w:lang w:val="en-US"/>
        </w:rPr>
      </w:pPr>
      <w:r w:rsidRPr="005A2D50">
        <w:rPr>
          <w:lang w:val="en-US"/>
        </w:rPr>
        <w:t xml:space="preserve">Praksē galvenokārt izmanto otro </w:t>
      </w:r>
      <w:r w:rsidRPr="005A2D50">
        <w:rPr>
          <w:i/>
          <w:iCs/>
          <w:lang w:val="en-US"/>
        </w:rPr>
        <w:t xml:space="preserve">TORO </w:t>
      </w:r>
      <w:r w:rsidRPr="005A2D50">
        <w:rPr>
          <w:lang w:val="en-US"/>
        </w:rPr>
        <w:t>veidu, pilnībā nododot tiesības un pienākumus, un tas attiecas uz precēm, kurām piemēro galapatēriņa procedūru.</w:t>
      </w:r>
    </w:p>
    <w:p w14:paraId="3E47C2F2"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20E85FE" w14:textId="77777777" w:rsidR="005A2D50" w:rsidRPr="005A2D50" w:rsidRDefault="005A2D50" w:rsidP="005A2D50">
      <w:pPr>
        <w:pStyle w:val="BodyText"/>
        <w:keepNext/>
        <w:keepLines/>
        <w:rPr>
          <w:b/>
          <w:bCs/>
          <w:lang w:val="en-US"/>
        </w:rPr>
      </w:pPr>
      <w:r w:rsidRPr="005A2D50">
        <w:rPr>
          <w:b/>
          <w:bCs/>
          <w:lang w:val="en-US"/>
        </w:rPr>
        <w:t xml:space="preserve">IV.3.2.1. </w:t>
      </w:r>
      <w:r w:rsidRPr="005A2D50">
        <w:rPr>
          <w:b/>
          <w:bCs/>
          <w:i/>
          <w:iCs/>
          <w:lang w:val="en-US"/>
        </w:rPr>
        <w:t xml:space="preserve">SPE </w:t>
      </w:r>
      <w:r w:rsidRPr="005A2D50">
        <w:rPr>
          <w:b/>
          <w:bCs/>
          <w:lang w:val="en-US"/>
        </w:rPr>
        <w:t xml:space="preserve">atļaujas turētājs nodod tiesības un pienākumus pārņēmējam, kam ir </w:t>
      </w:r>
      <w:r w:rsidRPr="005A2D50">
        <w:rPr>
          <w:b/>
          <w:bCs/>
          <w:i/>
          <w:iCs/>
          <w:lang w:val="en-US"/>
        </w:rPr>
        <w:t xml:space="preserve">TORO </w:t>
      </w:r>
      <w:r w:rsidRPr="005A2D50">
        <w:rPr>
          <w:b/>
          <w:bCs/>
          <w:lang w:val="en-US"/>
        </w:rPr>
        <w:t>atļauja</w:t>
      </w:r>
    </w:p>
    <w:p w14:paraId="6237576F" w14:textId="77777777" w:rsidR="005A2D50" w:rsidRPr="005A2D50" w:rsidRDefault="005A2D50" w:rsidP="005A2D50">
      <w:pPr>
        <w:keepNext/>
        <w:keepLines/>
        <w:jc w:val="both"/>
        <w:rPr>
          <w:rFonts w:ascii="Times New Roman" w:eastAsia="Times New Roman" w:hAnsi="Times New Roman" w:cs="Times New Roman"/>
          <w:b/>
          <w:bCs/>
          <w:noProof/>
          <w:sz w:val="24"/>
          <w:szCs w:val="24"/>
          <w:lang w:val="en-US"/>
        </w:rPr>
      </w:pPr>
    </w:p>
    <w:p w14:paraId="00222853" w14:textId="77777777" w:rsidR="005A2D50" w:rsidRPr="005A2D50" w:rsidRDefault="005A2D50" w:rsidP="005A2D50">
      <w:pPr>
        <w:pStyle w:val="BodyText"/>
        <w:keepNext/>
        <w:keepLines/>
        <w:rPr>
          <w:lang w:val="en-US"/>
        </w:rPr>
      </w:pPr>
      <w:r w:rsidRPr="005A2D50">
        <w:rPr>
          <w:lang w:val="en-US"/>
        </w:rPr>
        <w:t xml:space="preserve">Pirms tiek veikta </w:t>
      </w:r>
      <w:r w:rsidRPr="005A2D50">
        <w:rPr>
          <w:i/>
          <w:iCs/>
          <w:lang w:val="en-US"/>
        </w:rPr>
        <w:t>TORO</w:t>
      </w:r>
      <w:r w:rsidRPr="005A2D50">
        <w:rPr>
          <w:lang w:val="en-US"/>
        </w:rPr>
        <w:t xml:space="preserve">, pārņēmējam jāsaņem </w:t>
      </w:r>
      <w:r w:rsidRPr="005A2D50">
        <w:rPr>
          <w:i/>
          <w:iCs/>
          <w:lang w:val="en-US"/>
        </w:rPr>
        <w:t xml:space="preserve">TORO </w:t>
      </w:r>
      <w:r w:rsidRPr="005A2D50">
        <w:rPr>
          <w:lang w:val="en-US"/>
        </w:rPr>
        <w:t>atļauja.</w:t>
      </w:r>
    </w:p>
    <w:p w14:paraId="3971BA51" w14:textId="77777777" w:rsidR="005A2D50" w:rsidRPr="005A2D50" w:rsidRDefault="005A2D50" w:rsidP="005A2D50">
      <w:pPr>
        <w:pStyle w:val="BodyText"/>
        <w:rPr>
          <w:lang w:val="en-US"/>
        </w:rPr>
      </w:pPr>
      <w:r w:rsidRPr="005A2D50">
        <w:rPr>
          <w:lang w:val="en-US"/>
        </w:rPr>
        <w:t xml:space="preserve">Papildus citai informācijai lēmumā par </w:t>
      </w:r>
      <w:r w:rsidRPr="005A2D50">
        <w:rPr>
          <w:i/>
          <w:iCs/>
          <w:lang w:val="en-US"/>
        </w:rPr>
        <w:t xml:space="preserve">TORO </w:t>
      </w:r>
      <w:r w:rsidRPr="005A2D50">
        <w:rPr>
          <w:lang w:val="en-US"/>
        </w:rPr>
        <w:t xml:space="preserve">(SMK ĪA 266. pants) ir jānorāda, kurš galvojums tiek pieņemts. Muitas dienestam ir jāpārliecinās, ka preces, uz kurām attiecas </w:t>
      </w:r>
      <w:r w:rsidRPr="005A2D50">
        <w:rPr>
          <w:i/>
          <w:iCs/>
          <w:lang w:val="en-US"/>
        </w:rPr>
        <w:t>TORO</w:t>
      </w:r>
      <w:r w:rsidRPr="005A2D50">
        <w:rPr>
          <w:lang w:val="en-US"/>
        </w:rPr>
        <w:t xml:space="preserve">, jebkurā laikā ir ietvertas galvojumā (pārņēmēja vai nodevēja galvojumā – atkarībā no </w:t>
      </w:r>
      <w:r w:rsidRPr="005A2D50">
        <w:rPr>
          <w:i/>
          <w:iCs/>
          <w:lang w:val="en-US"/>
        </w:rPr>
        <w:t xml:space="preserve">TORO </w:t>
      </w:r>
      <w:r w:rsidRPr="005A2D50">
        <w:rPr>
          <w:lang w:val="en-US"/>
        </w:rPr>
        <w:t>nosacījumiem), līdz muita ir pārbaudījusi un pieņēmusi izpildes dokumentu.</w:t>
      </w:r>
    </w:p>
    <w:p w14:paraId="5B0577D0" w14:textId="77777777" w:rsidR="005A2D50" w:rsidRPr="005A2D50" w:rsidRDefault="005A2D50" w:rsidP="005A2D50">
      <w:pPr>
        <w:pStyle w:val="BodyText"/>
        <w:rPr>
          <w:lang w:val="en-US"/>
        </w:rPr>
      </w:pPr>
      <w:r w:rsidRPr="005A2D50">
        <w:rPr>
          <w:lang w:val="en-US"/>
        </w:rPr>
        <w:t xml:space="preserve">Saskaņā ar </w:t>
      </w:r>
      <w:r w:rsidRPr="005A2D50">
        <w:rPr>
          <w:i/>
          <w:iCs/>
          <w:lang w:val="en-US"/>
        </w:rPr>
        <w:t xml:space="preserve">TORO </w:t>
      </w:r>
      <w:r w:rsidRPr="005A2D50">
        <w:rPr>
          <w:lang w:val="en-US"/>
        </w:rPr>
        <w:t>nodotie pienākumi ietver arī pienākumu pabeigt procedūru pabeigšanas laikposmā un pienākumu samaksāt muitas nodokļus.</w:t>
      </w:r>
    </w:p>
    <w:p w14:paraId="7BD24C3D" w14:textId="77777777" w:rsidR="005A2D50" w:rsidRPr="005A2D50" w:rsidRDefault="005A2D50" w:rsidP="005A2D50">
      <w:pPr>
        <w:pStyle w:val="BodyText"/>
        <w:rPr>
          <w:lang w:val="en-US"/>
        </w:rPr>
      </w:pPr>
      <w:r w:rsidRPr="005A2D50">
        <w:rPr>
          <w:lang w:val="en-US"/>
        </w:rPr>
        <w:t xml:space="preserve">Šajā gadījumā </w:t>
      </w:r>
      <w:r w:rsidRPr="005A2D50">
        <w:rPr>
          <w:i/>
          <w:iCs/>
          <w:lang w:val="en-US"/>
        </w:rPr>
        <w:t xml:space="preserve">SPE </w:t>
      </w:r>
      <w:r w:rsidRPr="005A2D50">
        <w:rPr>
          <w:lang w:val="en-US"/>
        </w:rPr>
        <w:t xml:space="preserve">atļaujas turētājam savā izpildes dokumentā un/vai tā uzskaites datos ir jāsniedz informācija par </w:t>
      </w:r>
      <w:r w:rsidRPr="005A2D50">
        <w:rPr>
          <w:i/>
          <w:iCs/>
          <w:lang w:val="en-US"/>
        </w:rPr>
        <w:t>TORO</w:t>
      </w:r>
      <w:r w:rsidRPr="005A2D50">
        <w:rPr>
          <w:lang w:val="en-US"/>
        </w:rPr>
        <w:t>, ja tas ir nepieciešams. Nav jāsniedz muitai informācija par (procedūras) faktisko noslēgšanu.</w:t>
      </w:r>
    </w:p>
    <w:p w14:paraId="4DC3ACA8" w14:textId="77777777" w:rsidR="005A2D50" w:rsidRPr="005A2D50" w:rsidRDefault="005A2D50" w:rsidP="005A2D50">
      <w:pPr>
        <w:pStyle w:val="BodyText"/>
        <w:rPr>
          <w:lang w:val="en-US"/>
        </w:rPr>
      </w:pPr>
      <w:r w:rsidRPr="005A2D50">
        <w:rPr>
          <w:lang w:val="en-US"/>
        </w:rPr>
        <w:t xml:space="preserve">Pārņēmējam ir jāsniedz savai uzraudzības muitas iestādei informācija par procedūras pabeigšanu vai par sekojošu </w:t>
      </w:r>
      <w:r w:rsidRPr="005A2D50">
        <w:rPr>
          <w:i/>
          <w:iCs/>
          <w:lang w:val="en-US"/>
        </w:rPr>
        <w:t>TORO</w:t>
      </w:r>
      <w:r w:rsidRPr="005A2D50">
        <w:rPr>
          <w:lang w:val="en-US"/>
        </w:rPr>
        <w:t>, tātad pārņēmējs kļūst par procedūras izmantotāju un attiecīgi par iespējamo parādnieku saskaņā ar SMK 79. pantu.</w:t>
      </w:r>
    </w:p>
    <w:p w14:paraId="66C38378" w14:textId="77777777" w:rsidR="005A2D50" w:rsidRPr="005A2D50" w:rsidRDefault="005A2D50" w:rsidP="005A2D50">
      <w:pPr>
        <w:pStyle w:val="BodyText"/>
        <w:rPr>
          <w:lang w:val="en-US"/>
        </w:rPr>
      </w:pPr>
      <w:r w:rsidRPr="005A2D50">
        <w:rPr>
          <w:lang w:val="en-US"/>
        </w:rPr>
        <w:t xml:space="preserve">Tiesību un pienākumu nodevēja atbildība par precēm, uz kurām attiecas </w:t>
      </w:r>
      <w:r w:rsidRPr="005A2D50">
        <w:rPr>
          <w:i/>
          <w:iCs/>
          <w:lang w:val="en-US"/>
        </w:rPr>
        <w:t>TORO</w:t>
      </w:r>
      <w:r w:rsidRPr="005A2D50">
        <w:rPr>
          <w:lang w:val="en-US"/>
        </w:rPr>
        <w:t xml:space="preserve">, var pilnībā beigties nodošanas brīdī, pamatojoties uz nodošanas nosacījumiem. </w:t>
      </w:r>
      <w:r w:rsidRPr="005A2D50">
        <w:rPr>
          <w:i/>
          <w:iCs/>
          <w:lang w:val="en-US"/>
        </w:rPr>
        <w:t xml:space="preserve">SPE </w:t>
      </w:r>
      <w:r w:rsidRPr="005A2D50">
        <w:rPr>
          <w:lang w:val="en-US"/>
        </w:rPr>
        <w:t xml:space="preserve">atļaujas turētājam (nodevējam) pēc nodošanas nav nekādu tiesību un pienākumu attiecībā uz precēm, kurām saskaņā ar viņa īpašo procedūru atļauju un saskaņā ar </w:t>
      </w:r>
      <w:r w:rsidRPr="005A2D50">
        <w:rPr>
          <w:i/>
          <w:iCs/>
          <w:lang w:val="en-US"/>
        </w:rPr>
        <w:t xml:space="preserve">TORO </w:t>
      </w:r>
      <w:r w:rsidRPr="005A2D50">
        <w:rPr>
          <w:lang w:val="en-US"/>
        </w:rPr>
        <w:t xml:space="preserve">piemēro īpašo procedūru, izņemot tikai pienākumu iesniegt izpildes dokumentu par pilnīgu </w:t>
      </w:r>
      <w:r w:rsidRPr="005A2D50">
        <w:rPr>
          <w:i/>
          <w:iCs/>
          <w:lang w:val="en-US"/>
        </w:rPr>
        <w:t>TORO</w:t>
      </w:r>
      <w:r w:rsidRPr="005A2D50">
        <w:rPr>
          <w:lang w:val="en-US"/>
        </w:rPr>
        <w:t xml:space="preserve">. Atbilstīgo galvojuma summu, ko nodevējs iesniedzis attiecībā uz precēm, uz kurām attiecas </w:t>
      </w:r>
      <w:r w:rsidRPr="005A2D50">
        <w:rPr>
          <w:i/>
          <w:iCs/>
          <w:lang w:val="en-US"/>
        </w:rPr>
        <w:t>TORO</w:t>
      </w:r>
      <w:r w:rsidRPr="005A2D50">
        <w:rPr>
          <w:lang w:val="en-US"/>
        </w:rPr>
        <w:t xml:space="preserve">, var izmantot citām muitas operācijām/precēm, uz kurām attiecas viņa atļauja veikt īpašas procedūras, tikai pēc tam, kad muita ir pārbaudījusi un pieņēmusi izpildes dokumentu par pilnīgu </w:t>
      </w:r>
      <w:r w:rsidRPr="005A2D50">
        <w:rPr>
          <w:i/>
          <w:iCs/>
          <w:lang w:val="en-US"/>
        </w:rPr>
        <w:t xml:space="preserve">TORO </w:t>
      </w:r>
      <w:r w:rsidRPr="005A2D50">
        <w:rPr>
          <w:lang w:val="en-US"/>
        </w:rPr>
        <w:t>un preces ir nodotas.</w:t>
      </w:r>
    </w:p>
    <w:p w14:paraId="759775A5" w14:textId="77777777" w:rsidR="005A2D50" w:rsidRPr="005A2D50" w:rsidRDefault="005A2D50" w:rsidP="005A2D50">
      <w:pPr>
        <w:pStyle w:val="BodyText"/>
        <w:rPr>
          <w:lang w:val="en-US"/>
        </w:rPr>
      </w:pPr>
      <w:r w:rsidRPr="005A2D50">
        <w:rPr>
          <w:lang w:val="en-US"/>
        </w:rPr>
        <w:t xml:space="preserve">Saskaņā ar SMK 98. pantu ir iespējams daļēji atbrīvot galvojumu, ko tiesību nodevējs iesniedzis saskaņā ar tā </w:t>
      </w:r>
      <w:r w:rsidRPr="005A2D50">
        <w:rPr>
          <w:i/>
          <w:iCs/>
          <w:lang w:val="en-US"/>
        </w:rPr>
        <w:t xml:space="preserve">SPE </w:t>
      </w:r>
      <w:r w:rsidRPr="005A2D50">
        <w:rPr>
          <w:lang w:val="en-US"/>
        </w:rPr>
        <w:t xml:space="preserve">atļauju, bet tikai attiecībā uz precēm, uz kurām attiecas </w:t>
      </w:r>
      <w:r w:rsidRPr="005A2D50">
        <w:rPr>
          <w:i/>
          <w:iCs/>
          <w:lang w:val="en-US"/>
        </w:rPr>
        <w:t>TORO</w:t>
      </w:r>
      <w:r w:rsidRPr="005A2D50">
        <w:rPr>
          <w:lang w:val="en-US"/>
        </w:rPr>
        <w:t>.</w:t>
      </w:r>
    </w:p>
    <w:p w14:paraId="4E894017" w14:textId="77777777" w:rsidR="005A2D50" w:rsidRPr="005A2D50" w:rsidRDefault="005A2D50" w:rsidP="005A2D50">
      <w:pPr>
        <w:pStyle w:val="BodyText"/>
        <w:rPr>
          <w:lang w:val="en-US"/>
        </w:rPr>
      </w:pPr>
      <w:r w:rsidRPr="005A2D50">
        <w:rPr>
          <w:lang w:val="en-US"/>
        </w:rPr>
        <w:t xml:space="preserve">Iepriekš izklāstītā prakse ir jāpiemēro arī secīgas tāda paša veida </w:t>
      </w:r>
      <w:r w:rsidRPr="005A2D50">
        <w:rPr>
          <w:i/>
          <w:iCs/>
          <w:lang w:val="en-US"/>
        </w:rPr>
        <w:t xml:space="preserve">TORO </w:t>
      </w:r>
      <w:r w:rsidRPr="005A2D50">
        <w:rPr>
          <w:lang w:val="en-US"/>
        </w:rPr>
        <w:t>gadījumā.</w:t>
      </w:r>
    </w:p>
    <w:p w14:paraId="026C83A8" w14:textId="77777777" w:rsidR="005A2D50" w:rsidRPr="005A2D50" w:rsidRDefault="005A2D50" w:rsidP="005A2D50">
      <w:pPr>
        <w:pStyle w:val="BodyText"/>
        <w:rPr>
          <w:lang w:val="en-US"/>
        </w:rPr>
      </w:pPr>
      <w:r w:rsidRPr="005A2D50">
        <w:rPr>
          <w:lang w:val="en-US"/>
        </w:rPr>
        <w:t xml:space="preserve">Ja </w:t>
      </w:r>
      <w:r w:rsidRPr="005A2D50">
        <w:rPr>
          <w:i/>
          <w:iCs/>
          <w:lang w:val="en-US"/>
        </w:rPr>
        <w:t xml:space="preserve">SPE </w:t>
      </w:r>
      <w:r w:rsidRPr="005A2D50">
        <w:rPr>
          <w:lang w:val="en-US"/>
        </w:rPr>
        <w:t xml:space="preserve">un </w:t>
      </w:r>
      <w:r w:rsidRPr="005A2D50">
        <w:rPr>
          <w:i/>
          <w:iCs/>
          <w:lang w:val="en-US"/>
        </w:rPr>
        <w:t xml:space="preserve">TORO </w:t>
      </w:r>
      <w:r w:rsidRPr="005A2D50">
        <w:rPr>
          <w:lang w:val="en-US"/>
        </w:rPr>
        <w:t xml:space="preserve">atļaujas attiecas uz vairāk nekā vienu muitas deklarāciju, ir nepieciešams vispārējais galvojums. Vienreizējo galvojumu var sniegt tad, ja lēmums par </w:t>
      </w:r>
      <w:r w:rsidRPr="005A2D50">
        <w:rPr>
          <w:i/>
          <w:iCs/>
          <w:lang w:val="en-US"/>
        </w:rPr>
        <w:t xml:space="preserve">TORO </w:t>
      </w:r>
      <w:r w:rsidRPr="005A2D50">
        <w:rPr>
          <w:lang w:val="en-US"/>
        </w:rPr>
        <w:t>attiecas tikai uz vienu darījumu (tostarp saskaņā ar SMK DA 163. pantu).</w:t>
      </w:r>
    </w:p>
    <w:p w14:paraId="18037A95" w14:textId="77777777" w:rsidR="005A2D50" w:rsidRPr="005A2D50" w:rsidRDefault="005A2D50" w:rsidP="005A2D50">
      <w:pPr>
        <w:pStyle w:val="BodyText"/>
        <w:rPr>
          <w:lang w:val="en-US"/>
        </w:rPr>
      </w:pPr>
      <w:r w:rsidRPr="005A2D50">
        <w:rPr>
          <w:lang w:val="en-US"/>
        </w:rPr>
        <w:t xml:space="preserve">Ja </w:t>
      </w:r>
      <w:r w:rsidRPr="005A2D50">
        <w:rPr>
          <w:i/>
          <w:iCs/>
          <w:lang w:val="en-US"/>
        </w:rPr>
        <w:t xml:space="preserve">TORO </w:t>
      </w:r>
      <w:r w:rsidRPr="005A2D50">
        <w:rPr>
          <w:lang w:val="en-US"/>
        </w:rPr>
        <w:t>ietver vairāk nekā vienu dalībvalsti, iepriekš ir jāapspriežas ar attiecīgajām dalībvalstīm.</w:t>
      </w:r>
    </w:p>
    <w:p w14:paraId="58826299" w14:textId="77777777" w:rsidR="005A2D50" w:rsidRPr="005A2D50" w:rsidRDefault="005A2D50" w:rsidP="005A2D50">
      <w:pPr>
        <w:pStyle w:val="BodyText"/>
        <w:rPr>
          <w:lang w:val="en-US"/>
        </w:rPr>
      </w:pPr>
      <w:r w:rsidRPr="005A2D50">
        <w:rPr>
          <w:lang w:val="en-US"/>
        </w:rPr>
        <w:t xml:space="preserve">Ja preces, uz kurām attiecas </w:t>
      </w:r>
      <w:r w:rsidRPr="005A2D50">
        <w:rPr>
          <w:i/>
          <w:iCs/>
          <w:lang w:val="en-US"/>
        </w:rPr>
        <w:t>TORO</w:t>
      </w:r>
      <w:r w:rsidRPr="005A2D50">
        <w:rPr>
          <w:lang w:val="en-US"/>
        </w:rPr>
        <w:t>, tiek pārvietotas caur dažādu dalībvalstu teritoriju, ir jāsniedz derīgs ES mēroga galvojums.</w:t>
      </w:r>
    </w:p>
    <w:p w14:paraId="1D0D6877" w14:textId="77777777" w:rsidR="005A2D50" w:rsidRPr="005A2D50" w:rsidRDefault="005A2D50" w:rsidP="005A2D50">
      <w:pPr>
        <w:pStyle w:val="BodyText"/>
        <w:rPr>
          <w:lang w:val="en-US"/>
        </w:rPr>
      </w:pPr>
      <w:r w:rsidRPr="005A2D50">
        <w:rPr>
          <w:lang w:val="en-US"/>
        </w:rPr>
        <w:t>Saskaņā ar SMK 89. panta 2. punktu, ja galvojums ir derīgs vairākās dalībvalstīs, tas sedz arī citus maksājumus. Galvojumam ir jāsedz citu maksājumu augstākā likme par tāda paša veida precēm dalībvalstī, kurā galvojums tiek sniegts.</w:t>
      </w:r>
    </w:p>
    <w:p w14:paraId="266D71C0" w14:textId="77777777" w:rsidR="005A2D50" w:rsidRPr="005A2D50" w:rsidRDefault="005A2D50" w:rsidP="005A2D50">
      <w:pPr>
        <w:pStyle w:val="BodyText"/>
        <w:rPr>
          <w:lang w:val="en-US"/>
        </w:rPr>
      </w:pPr>
      <w:r w:rsidRPr="005A2D50">
        <w:rPr>
          <w:lang w:val="en-US"/>
        </w:rPr>
        <w:t xml:space="preserve">Plašāku un atjauninātu informāciju par </w:t>
      </w:r>
      <w:r w:rsidRPr="005A2D50">
        <w:rPr>
          <w:i/>
          <w:iCs/>
          <w:lang w:val="en-US"/>
        </w:rPr>
        <w:t xml:space="preserve">TORO </w:t>
      </w:r>
      <w:r w:rsidRPr="005A2D50">
        <w:rPr>
          <w:lang w:val="en-US"/>
        </w:rPr>
        <w:t xml:space="preserve">lūgums skatīt Vadlīnijās par </w:t>
      </w:r>
      <w:r w:rsidRPr="005A2D50">
        <w:rPr>
          <w:i/>
          <w:iCs/>
          <w:lang w:val="en-US"/>
        </w:rPr>
        <w:t>SPE</w:t>
      </w:r>
      <w:r w:rsidRPr="005A2D50">
        <w:rPr>
          <w:rStyle w:val="FootnoteReference"/>
          <w:lang w:val="en-US"/>
        </w:rPr>
        <w:footnoteReference w:id="9"/>
      </w:r>
      <w:r w:rsidRPr="005A2D50">
        <w:rPr>
          <w:lang w:val="en-US"/>
        </w:rPr>
        <w:t>.</w:t>
      </w:r>
    </w:p>
    <w:p w14:paraId="4FB1A864" w14:textId="77777777" w:rsidR="005A2D50" w:rsidRPr="005A2D50" w:rsidRDefault="005A2D50" w:rsidP="005A2D50">
      <w:pPr>
        <w:pStyle w:val="BodyText"/>
        <w:rPr>
          <w:lang w:val="en-US"/>
        </w:rPr>
      </w:pPr>
      <w:bookmarkStart w:id="96" w:name="IV.4._Deferment_of_payments_and_other_pa"/>
      <w:bookmarkStart w:id="97" w:name="_bookmark29"/>
      <w:bookmarkEnd w:id="96"/>
      <w:bookmarkEnd w:id="97"/>
    </w:p>
    <w:p w14:paraId="6D95F5C4" w14:textId="77777777" w:rsidR="005A2D50" w:rsidRPr="005A2D50" w:rsidRDefault="005A2D50" w:rsidP="005A2D50">
      <w:pPr>
        <w:pStyle w:val="Heading1"/>
        <w:rPr>
          <w:noProof/>
          <w:lang w:val="en-US"/>
        </w:rPr>
      </w:pPr>
      <w:bookmarkStart w:id="98" w:name="_Toc104982787"/>
      <w:r w:rsidRPr="005A2D50">
        <w:rPr>
          <w:noProof/>
          <w:lang w:val="en-US"/>
        </w:rPr>
        <w:t>IV.4. Maksājumu atlikšana un citi maksājumu atvieglojumi</w:t>
      </w:r>
      <w:bookmarkEnd w:id="98"/>
    </w:p>
    <w:p w14:paraId="2D02608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F3F0745" w14:textId="77777777" w:rsidR="005A2D50" w:rsidRPr="005A2D50" w:rsidRDefault="005A2D50" w:rsidP="005A2D50">
      <w:pPr>
        <w:pStyle w:val="BodyText"/>
        <w:rPr>
          <w:lang w:val="en-US"/>
        </w:rPr>
      </w:pPr>
      <w:r w:rsidRPr="005A2D50">
        <w:rPr>
          <w:lang w:val="en-US"/>
        </w:rPr>
        <w:t>Saskaņā ar SMK 195. pantu preces izlaiž, ja ir samaksāts muitas parāds vai ir sniegts galvojums. Minētais galvojums var attiekties tikai uz laišanu brīvā apgrozībā vai laišanu brīvā apgrozībā ar atlikto maksājumu (skat. SMK ĪA 32-01.–32-03. pielikumu), ja to pieprasa uzņēmējs.</w:t>
      </w:r>
    </w:p>
    <w:p w14:paraId="4006BA2F" w14:textId="77777777" w:rsidR="005A2D50" w:rsidRPr="005A2D50" w:rsidRDefault="005A2D50" w:rsidP="005A2D50">
      <w:pPr>
        <w:pStyle w:val="BodyText"/>
        <w:rPr>
          <w:lang w:val="en-US"/>
        </w:rPr>
      </w:pPr>
      <w:r w:rsidRPr="005A2D50">
        <w:rPr>
          <w:lang w:val="en-US"/>
        </w:rPr>
        <w:t xml:space="preserve">Saskaņā ar SMK 110. pantu </w:t>
      </w:r>
      <w:r w:rsidRPr="005A2D50">
        <w:rPr>
          <w:i/>
          <w:iCs/>
          <w:lang w:val="en-US"/>
        </w:rPr>
        <w:t xml:space="preserve">CA </w:t>
      </w:r>
      <w:r w:rsidRPr="005A2D50">
        <w:rPr>
          <w:lang w:val="en-US"/>
        </w:rPr>
        <w:t>atļauj maksājamā muitas nodokļa samaksu atlikt tikai tad, ja tiek sniegts galvojums.</w:t>
      </w:r>
    </w:p>
    <w:p w14:paraId="5D2167ED" w14:textId="77777777" w:rsidR="005A2D50" w:rsidRPr="005A2D50" w:rsidRDefault="005A2D50" w:rsidP="005A2D50">
      <w:pPr>
        <w:pStyle w:val="BodyText"/>
        <w:rPr>
          <w:lang w:val="en-US"/>
        </w:rPr>
      </w:pPr>
    </w:p>
    <w:p w14:paraId="659CDA8B" w14:textId="77777777" w:rsidR="005A2D50" w:rsidRPr="005A2D50" w:rsidRDefault="005A2D50" w:rsidP="005A2D50">
      <w:pPr>
        <w:pStyle w:val="BodyText"/>
        <w:rPr>
          <w:lang w:val="en-US"/>
        </w:rPr>
      </w:pPr>
      <w:r w:rsidRPr="005A2D50">
        <w:rPr>
          <w:lang w:val="en-US"/>
        </w:rPr>
        <w:t>SMK 111. pants nosaka, ka termiņš, uz kādu atliek samaksu, ir 30 dienas. Saskaņā ar to pašu noteikumu laiku, kad sākas atlikto maksājumu periods, nosaka atbilstoši maksājuma atlikšanas veidam, kas katrā gadījumā ir atšķirīgs, kā paredzēts SMK 110. pantā. Tātad:</w:t>
      </w:r>
    </w:p>
    <w:p w14:paraId="4D78F278" w14:textId="77777777" w:rsidR="005A2D50" w:rsidRPr="005A2D50" w:rsidRDefault="005A2D50" w:rsidP="005A2D50">
      <w:pPr>
        <w:pStyle w:val="BodyText"/>
        <w:rPr>
          <w:lang w:val="en-US"/>
        </w:rPr>
      </w:pPr>
    </w:p>
    <w:p w14:paraId="33FAB59E" w14:textId="77777777" w:rsidR="005A2D50" w:rsidRPr="005A2D50" w:rsidRDefault="005A2D50" w:rsidP="005A2D50">
      <w:pPr>
        <w:pStyle w:val="BodyText"/>
        <w:ind w:left="284"/>
        <w:rPr>
          <w:lang w:val="en-US"/>
        </w:rPr>
      </w:pPr>
      <w:r w:rsidRPr="005A2D50">
        <w:rPr>
          <w:lang w:val="en-US"/>
        </w:rPr>
        <w:t>i) SMK 110. panta a) punktā noteiktajos gadījumos minētais termiņš sākas nākamajā dienā pēc dienas, kad parādniekam ir paziņots muitas parāds;</w:t>
      </w:r>
    </w:p>
    <w:p w14:paraId="341647F0" w14:textId="77777777" w:rsidR="005A2D50" w:rsidRPr="005A2D50" w:rsidRDefault="005A2D50" w:rsidP="005A2D50">
      <w:pPr>
        <w:pStyle w:val="BodyText"/>
        <w:ind w:left="284"/>
        <w:rPr>
          <w:lang w:val="en-US"/>
        </w:rPr>
      </w:pPr>
      <w:r w:rsidRPr="005A2D50">
        <w:rPr>
          <w:lang w:val="en-US"/>
        </w:rPr>
        <w:t>ii) ja samaksa ir atlikta saskaņā ar SMK 110. panta b) vai c) punktu, minētais termiņš sākas nākamajā dienā pēc dienas, kad beidzas apkopošanas laikposms. To samazina par tik dienām, cik atbilst pusei no apkopošanas laikposma dienu skaita.</w:t>
      </w:r>
    </w:p>
    <w:p w14:paraId="55D29E59" w14:textId="77777777" w:rsidR="005A2D50" w:rsidRPr="005A2D50" w:rsidRDefault="005A2D50" w:rsidP="005A2D50">
      <w:pPr>
        <w:pStyle w:val="BodyText"/>
        <w:rPr>
          <w:lang w:val="en-US"/>
        </w:rPr>
      </w:pPr>
    </w:p>
    <w:p w14:paraId="0C11A636" w14:textId="77777777" w:rsidR="005A2D50" w:rsidRPr="005A2D50" w:rsidRDefault="005A2D50" w:rsidP="005A2D50">
      <w:pPr>
        <w:pStyle w:val="BodyText"/>
        <w:rPr>
          <w:lang w:val="en-US"/>
        </w:rPr>
      </w:pPr>
      <w:r w:rsidRPr="005A2D50">
        <w:rPr>
          <w:lang w:val="en-US"/>
        </w:rPr>
        <w:t xml:space="preserve">Lai saņemtu citus samaksas atvieglojumus, ko </w:t>
      </w:r>
      <w:r w:rsidRPr="005A2D50">
        <w:rPr>
          <w:i/>
          <w:iCs/>
          <w:lang w:val="en-US"/>
        </w:rPr>
        <w:t xml:space="preserve">CA </w:t>
      </w:r>
      <w:r w:rsidRPr="005A2D50">
        <w:rPr>
          <w:lang w:val="en-US"/>
        </w:rPr>
        <w:t xml:space="preserve">var piešķirt parādniekam saskaņā ar SMK 112. pantu, tāpat ir jāsniedz galvojums. Saskaņā ar SMK 112. panta 3. punktu </w:t>
      </w:r>
      <w:r w:rsidRPr="005A2D50">
        <w:rPr>
          <w:i/>
          <w:iCs/>
          <w:lang w:val="en-US"/>
        </w:rPr>
        <w:t xml:space="preserve">CA </w:t>
      </w:r>
      <w:r w:rsidRPr="005A2D50">
        <w:rPr>
          <w:lang w:val="en-US"/>
        </w:rPr>
        <w:t>“var neprasīt iesniegt galvojumu, ja, pamatojoties uz parādnieka stāvokļa dokumentētu novērtējumu, ir konstatēts, ka tas radītu nopietnus ekonomiskus vai sociālus sarežģījumus”.</w:t>
      </w:r>
    </w:p>
    <w:p w14:paraId="1C220BFC" w14:textId="77777777" w:rsidR="005A2D50" w:rsidRPr="005A2D50" w:rsidRDefault="005A2D50" w:rsidP="005A2D50">
      <w:pPr>
        <w:jc w:val="both"/>
        <w:rPr>
          <w:rFonts w:ascii="Times New Roman" w:hAnsi="Times New Roman"/>
          <w:noProof/>
          <w:sz w:val="24"/>
          <w:lang w:val="en-US"/>
        </w:rPr>
      </w:pPr>
      <w:r w:rsidRPr="005A2D50">
        <w:rPr>
          <w:rFonts w:ascii="Times New Roman" w:hAnsi="Times New Roman"/>
          <w:noProof/>
          <w:sz w:val="24"/>
          <w:lang w:val="en-US"/>
        </w:rPr>
        <w:t>Galvojums ir jāsniedz, pirms tiek piešķirta atļauja atlikt maksājumus vai atļauja saņemt citus maksājumu atvieglojumus.</w:t>
      </w:r>
    </w:p>
    <w:p w14:paraId="61327605" w14:textId="77777777" w:rsidR="005A2D50" w:rsidRPr="005A2D50" w:rsidRDefault="005A2D50" w:rsidP="005A2D50">
      <w:pPr>
        <w:pStyle w:val="BodyText"/>
        <w:rPr>
          <w:lang w:val="en-US"/>
        </w:rPr>
      </w:pPr>
      <w:bookmarkStart w:id="99" w:name="IV.4.1._Calculation_of_the_period_for_wh"/>
      <w:bookmarkStart w:id="100" w:name="_bookmark30"/>
      <w:bookmarkEnd w:id="99"/>
      <w:bookmarkEnd w:id="100"/>
    </w:p>
    <w:p w14:paraId="67E695D9" w14:textId="77777777" w:rsidR="005A2D50" w:rsidRPr="005A2D50" w:rsidRDefault="005A2D50" w:rsidP="005A2D50">
      <w:pPr>
        <w:pStyle w:val="Heading2"/>
        <w:rPr>
          <w:noProof/>
          <w:lang w:val="en-US"/>
        </w:rPr>
      </w:pPr>
      <w:bookmarkStart w:id="101" w:name="_Toc104982788"/>
      <w:r w:rsidRPr="005A2D50">
        <w:rPr>
          <w:noProof/>
          <w:lang w:val="en-US"/>
        </w:rPr>
        <w:t xml:space="preserve">IV.4.1. Maksājuma atlikšanas termiņa </w:t>
      </w:r>
      <w:bookmarkEnd w:id="101"/>
      <w:r w:rsidRPr="005A2D50">
        <w:rPr>
          <w:noProof/>
          <w:lang w:val="en-US"/>
        </w:rPr>
        <w:t>noteikšana</w:t>
      </w:r>
    </w:p>
    <w:p w14:paraId="140FA596"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375039B8" w14:textId="77777777" w:rsidR="005A2D50" w:rsidRPr="005A2D50" w:rsidRDefault="005A2D50" w:rsidP="005A2D50">
      <w:pPr>
        <w:jc w:val="both"/>
        <w:rPr>
          <w:rFonts w:ascii="Times New Roman" w:hAnsi="Times New Roman"/>
          <w:b/>
          <w:noProof/>
          <w:sz w:val="24"/>
          <w:lang w:val="en-US"/>
        </w:rPr>
      </w:pPr>
      <w:r w:rsidRPr="005A2D50">
        <w:rPr>
          <w:rFonts w:ascii="Times New Roman" w:hAnsi="Times New Roman"/>
          <w:b/>
          <w:noProof/>
          <w:sz w:val="24"/>
          <w:lang w:val="en-US"/>
        </w:rPr>
        <w:t>1. shēma. SMK 110. panta b) punkta piemērošana saistībā ar 111. panta 3. punktu</w:t>
      </w:r>
    </w:p>
    <w:p w14:paraId="1BC31399"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5D3A090"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4ECA7CB1" wp14:editId="491E7BBA">
            <wp:extent cx="5664023" cy="1043940"/>
            <wp:effectExtent l="0" t="0" r="0" b="0"/>
            <wp:docPr id="1" name="image4.png"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4.png" descr="Table&#10;&#10;Description automatically generated"/>
                    <pic:cNvPicPr/>
                  </pic:nvPicPr>
                  <pic:blipFill rotWithShape="1">
                    <a:blip r:embed="rId13" cstate="print"/>
                    <a:srcRect t="18125" r="7243"/>
                    <a:stretch/>
                  </pic:blipFill>
                  <pic:spPr bwMode="auto">
                    <a:xfrm>
                      <a:off x="0" y="0"/>
                      <a:ext cx="5690876" cy="1048889"/>
                    </a:xfrm>
                    <a:prstGeom prst="rect">
                      <a:avLst/>
                    </a:prstGeom>
                    <a:ln>
                      <a:noFill/>
                    </a:ln>
                    <a:extLst>
                      <a:ext uri="{53640926-AAD7-44D8-BBD7-CCE9431645EC}">
                        <a14:shadowObscured xmlns:a14="http://schemas.microsoft.com/office/drawing/2010/main"/>
                      </a:ext>
                    </a:extLst>
                  </pic:spPr>
                </pic:pic>
              </a:graphicData>
            </a:graphic>
          </wp:inline>
        </w:drawing>
      </w:r>
    </w:p>
    <w:p w14:paraId="42C36ED5" w14:textId="77777777" w:rsidR="005A2D50" w:rsidRPr="005A2D50" w:rsidRDefault="005A2D50" w:rsidP="005A2D50">
      <w:pPr>
        <w:pStyle w:val="BodyText"/>
        <w:rPr>
          <w:lang w:val="en-US"/>
        </w:rPr>
      </w:pPr>
    </w:p>
    <w:p w14:paraId="5E7FB5E6" w14:textId="77777777" w:rsidR="005A2D50" w:rsidRPr="005A2D50" w:rsidRDefault="005A2D50" w:rsidP="005A2D50">
      <w:pPr>
        <w:pStyle w:val="BodyText"/>
        <w:rPr>
          <w:lang w:val="en-US"/>
        </w:rPr>
      </w:pPr>
      <w:r w:rsidRPr="005A2D50">
        <w:rPr>
          <w:lang w:val="en-US"/>
        </w:rPr>
        <w:t xml:space="preserve">Ja laikposms, ko </w:t>
      </w:r>
      <w:r w:rsidRPr="005A2D50">
        <w:rPr>
          <w:i/>
          <w:iCs/>
          <w:lang w:val="en-US"/>
        </w:rPr>
        <w:t xml:space="preserve">CA </w:t>
      </w:r>
      <w:r w:rsidRPr="005A2D50">
        <w:rPr>
          <w:lang w:val="en-US"/>
        </w:rPr>
        <w:t>nosaka saskaņā ar 110. panta b) punktu, ir 31 diena, maksājuma termiņš ir vēlākais 15. diena pēc minētā perioda beigām (apkopošanas laikposms) saskaņā ar SMK 108. panta 2. punktu. Praksē summai, kas atbilst muitas parādam, kurš radies par precēm, kas brīvā apgrozībā laistas 2019. gada 4. martā, piemēro ilgāku maksājuma atlikšanas periodu nekā summai, kas atbilst muitas parādam par precēm, kas brīvā apgrozībā laistas minētā mēneša 25. datumā. Abas summas samaksā ne vēlāk kā 2019. gada 15. aprīlī.</w:t>
      </w:r>
    </w:p>
    <w:p w14:paraId="64720E32" w14:textId="77777777" w:rsidR="005A2D50" w:rsidRPr="005A2D50" w:rsidRDefault="005A2D50" w:rsidP="005A2D50">
      <w:pPr>
        <w:jc w:val="both"/>
        <w:rPr>
          <w:lang w:val="en-US"/>
        </w:rPr>
      </w:pPr>
    </w:p>
    <w:p w14:paraId="0697859C" w14:textId="77777777" w:rsidR="005A2D50" w:rsidRPr="005A2D50" w:rsidRDefault="005A2D50" w:rsidP="005A2D50">
      <w:pPr>
        <w:jc w:val="both"/>
        <w:rPr>
          <w:rFonts w:ascii="Times New Roman" w:hAnsi="Times New Roman"/>
          <w:b/>
          <w:noProof/>
          <w:sz w:val="24"/>
          <w:lang w:val="en-US"/>
        </w:rPr>
      </w:pPr>
      <w:r w:rsidRPr="005A2D50">
        <w:rPr>
          <w:rFonts w:ascii="Times New Roman" w:hAnsi="Times New Roman"/>
          <w:b/>
          <w:noProof/>
          <w:sz w:val="24"/>
          <w:lang w:val="en-US"/>
        </w:rPr>
        <w:t>2. shēma. SMK 110. panta c) punkta piemērošana saistībā ar 111. panta 4. punktu</w:t>
      </w:r>
    </w:p>
    <w:p w14:paraId="7DED654B"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753F438"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317D57DA" wp14:editId="30A01266">
            <wp:extent cx="5219700" cy="1237615"/>
            <wp:effectExtent l="0" t="0" r="0" b="0"/>
            <wp:docPr id="3" name="image5.png" descr="A picture containing text, antenna, screensh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5.png" descr="A picture containing text, antenna, screenshot&#10;&#10;Description automatically generated"/>
                    <pic:cNvPicPr/>
                  </pic:nvPicPr>
                  <pic:blipFill rotWithShape="1">
                    <a:blip r:embed="rId14" cstate="print"/>
                    <a:srcRect l="-1" t="19754" r="13615"/>
                    <a:stretch/>
                  </pic:blipFill>
                  <pic:spPr bwMode="auto">
                    <a:xfrm>
                      <a:off x="0" y="0"/>
                      <a:ext cx="5222336" cy="1238240"/>
                    </a:xfrm>
                    <a:prstGeom prst="rect">
                      <a:avLst/>
                    </a:prstGeom>
                    <a:ln>
                      <a:noFill/>
                    </a:ln>
                    <a:extLst>
                      <a:ext uri="{53640926-AAD7-44D8-BBD7-CCE9431645EC}">
                        <a14:shadowObscured xmlns:a14="http://schemas.microsoft.com/office/drawing/2010/main"/>
                      </a:ext>
                    </a:extLst>
                  </pic:spPr>
                </pic:pic>
              </a:graphicData>
            </a:graphic>
          </wp:inline>
        </w:drawing>
      </w:r>
    </w:p>
    <w:p w14:paraId="0ACCD97F"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FC085BF" w14:textId="77777777" w:rsidR="005A2D50" w:rsidRPr="005A2D50" w:rsidRDefault="005A2D50" w:rsidP="005A2D50">
      <w:pPr>
        <w:pStyle w:val="BodyText"/>
        <w:rPr>
          <w:lang w:val="en-US"/>
        </w:rPr>
      </w:pPr>
      <w:r w:rsidRPr="005A2D50">
        <w:rPr>
          <w:lang w:val="en-US"/>
        </w:rPr>
        <w:t>Tas varētu attiekties uz uzņēmēju, kuram ir atļauts iesniegt muitas deklarāciju kā ierakstu deklarētāja reģistros (SMK 182. pants) divu nedēļu laikā (piemēram, laikposmā no 1. līdz 15. martam).</w:t>
      </w:r>
    </w:p>
    <w:p w14:paraId="47D7DB76" w14:textId="77777777" w:rsidR="005A2D50" w:rsidRPr="005A2D50" w:rsidRDefault="005A2D50" w:rsidP="005A2D50">
      <w:pPr>
        <w:pStyle w:val="BodyText"/>
        <w:rPr>
          <w:lang w:val="en-US"/>
        </w:rPr>
      </w:pPr>
      <w:r w:rsidRPr="005A2D50">
        <w:rPr>
          <w:lang w:val="en-US"/>
        </w:rPr>
        <w:t>Laikposms, uz kādu maksājums tiek atlikts (30 dienas), sākas nākamajā dienā pēc dienas, kad beidzas apkopošanas periods, kas ir 16. marts. Šis laikposms beidzas 7. aprīlī (30 dienu periodu samazina par tik dienām, cik atbilst pusei no dienu skaita divu nedēļu periodā (30 – 7 = 23) saskaņā ar SMK 111. panta 4. un 5. punktu).</w:t>
      </w:r>
    </w:p>
    <w:p w14:paraId="3F0B0713" w14:textId="77777777" w:rsidR="005A2D50" w:rsidRPr="005A2D50" w:rsidRDefault="005A2D50" w:rsidP="005A2D50">
      <w:pPr>
        <w:pStyle w:val="BodyText"/>
        <w:rPr>
          <w:lang w:val="en-US"/>
        </w:rPr>
      </w:pPr>
      <w:r w:rsidRPr="005A2D50">
        <w:rPr>
          <w:lang w:val="en-US"/>
        </w:rPr>
        <w:t>Kopējais laikposms, uz kādu maksājums tiek atlikts, ir 23 dienas.</w:t>
      </w:r>
    </w:p>
    <w:p w14:paraId="251B2923" w14:textId="77777777" w:rsidR="005A2D50" w:rsidRPr="005A2D50" w:rsidRDefault="005A2D50" w:rsidP="005A2D50">
      <w:pPr>
        <w:pStyle w:val="BodyText"/>
        <w:rPr>
          <w:b/>
          <w:lang w:val="en-US"/>
        </w:rPr>
      </w:pPr>
    </w:p>
    <w:p w14:paraId="1E05F743" w14:textId="77777777" w:rsidR="005A2D50" w:rsidRPr="005A2D50" w:rsidRDefault="005A2D50" w:rsidP="005A2D50">
      <w:pPr>
        <w:pStyle w:val="BodyText"/>
        <w:rPr>
          <w:lang w:val="en-US"/>
        </w:rPr>
      </w:pPr>
      <w:r w:rsidRPr="005A2D50">
        <w:rPr>
          <w:b/>
          <w:lang w:val="en-US"/>
        </w:rPr>
        <w:t xml:space="preserve">R </w:t>
      </w:r>
      <w:r w:rsidRPr="005A2D50">
        <w:rPr>
          <w:lang w:val="en-US"/>
        </w:rPr>
        <w:t>– preču izlaišanas datums / maksājuma atlikšanas veids; SMK 110. panta b) punkts</w:t>
      </w:r>
    </w:p>
    <w:p w14:paraId="65EB8D1F" w14:textId="77777777" w:rsidR="005A2D50" w:rsidRPr="005A2D50" w:rsidRDefault="005A2D50" w:rsidP="005A2D50">
      <w:pPr>
        <w:pStyle w:val="BodyText"/>
        <w:rPr>
          <w:lang w:val="en-US"/>
        </w:rPr>
      </w:pPr>
      <w:r w:rsidRPr="005A2D50">
        <w:rPr>
          <w:b/>
          <w:lang w:val="en-US"/>
        </w:rPr>
        <w:t xml:space="preserve">R1 </w:t>
      </w:r>
      <w:r w:rsidRPr="005A2D50">
        <w:rPr>
          <w:lang w:val="en-US"/>
        </w:rPr>
        <w:t>– preču izlaišanas datums / maksājuma atlikšanas veids; SMK 110. panta c) punkts</w:t>
      </w:r>
    </w:p>
    <w:p w14:paraId="1891B88E" w14:textId="77777777" w:rsidR="005A2D50" w:rsidRPr="005A2D50" w:rsidRDefault="005A2D50" w:rsidP="005A2D50">
      <w:pPr>
        <w:pStyle w:val="BodyText"/>
        <w:rPr>
          <w:lang w:val="en-US"/>
        </w:rPr>
      </w:pPr>
      <w:r w:rsidRPr="005A2D50">
        <w:rPr>
          <w:b/>
          <w:lang w:val="en-US"/>
        </w:rPr>
        <w:t xml:space="preserve">X </w:t>
      </w:r>
      <w:r w:rsidRPr="005A2D50">
        <w:rPr>
          <w:lang w:val="en-US"/>
        </w:rPr>
        <w:t>– dienu skaits apkopošanas laikposmā / laikposmā, kas noteikts preču izlaišanai</w:t>
      </w:r>
    </w:p>
    <w:p w14:paraId="2961CE58" w14:textId="77777777" w:rsidR="005A2D50" w:rsidRPr="005A2D50" w:rsidRDefault="005A2D50" w:rsidP="005A2D50">
      <w:pPr>
        <w:pStyle w:val="BodyText"/>
        <w:rPr>
          <w:lang w:val="en-US"/>
        </w:rPr>
      </w:pPr>
      <w:r w:rsidRPr="005A2D50">
        <w:rPr>
          <w:b/>
          <w:lang w:val="en-US"/>
        </w:rPr>
        <w:t xml:space="preserve">Y </w:t>
      </w:r>
      <w:r w:rsidRPr="005A2D50">
        <w:rPr>
          <w:lang w:val="en-US"/>
        </w:rPr>
        <w:t>– laikposms, uz kādu maksājums tiek atlikts</w:t>
      </w:r>
    </w:p>
    <w:p w14:paraId="2835C6A2" w14:textId="77777777" w:rsidR="005A2D50" w:rsidRPr="005A2D50" w:rsidRDefault="005A2D50" w:rsidP="005A2D50">
      <w:pPr>
        <w:pStyle w:val="BodyText"/>
        <w:rPr>
          <w:lang w:val="en-US"/>
        </w:rPr>
      </w:pPr>
      <w:r w:rsidRPr="005A2D50">
        <w:rPr>
          <w:b/>
          <w:lang w:val="en-US"/>
        </w:rPr>
        <w:t xml:space="preserve">P </w:t>
      </w:r>
      <w:r w:rsidRPr="005A2D50">
        <w:rPr>
          <w:lang w:val="en-US"/>
        </w:rPr>
        <w:t>– maksājuma termiņš (SMK 108. panta 2. punkts)</w:t>
      </w:r>
    </w:p>
    <w:p w14:paraId="32120553" w14:textId="77777777" w:rsidR="005A2D50" w:rsidRPr="005A2D50" w:rsidRDefault="005A2D50" w:rsidP="005A2D50">
      <w:pPr>
        <w:pStyle w:val="BodyText"/>
        <w:rPr>
          <w:lang w:val="en-US"/>
        </w:rPr>
      </w:pPr>
    </w:p>
    <w:p w14:paraId="78631E23" w14:textId="77777777" w:rsidR="005A2D50" w:rsidRPr="005A2D50" w:rsidRDefault="005A2D50" w:rsidP="005A2D50">
      <w:pPr>
        <w:pStyle w:val="Heading1"/>
        <w:rPr>
          <w:noProof/>
          <w:lang w:val="en-US"/>
        </w:rPr>
      </w:pPr>
      <w:bookmarkStart w:id="102" w:name="IV.5._Suspension_of_the_implementation_o"/>
      <w:bookmarkStart w:id="103" w:name="_bookmark31"/>
      <w:bookmarkStart w:id="104" w:name="_Toc104982789"/>
      <w:bookmarkEnd w:id="102"/>
      <w:bookmarkEnd w:id="103"/>
      <w:r w:rsidRPr="005A2D50">
        <w:rPr>
          <w:noProof/>
          <w:lang w:val="en-US"/>
        </w:rPr>
        <w:t>IV.5. Lēmuma izpildes atlikšana saistībā ar pārsūdzības iesniegšanu (SMK 45. pants)</w:t>
      </w:r>
      <w:bookmarkEnd w:id="104"/>
    </w:p>
    <w:p w14:paraId="0D880E8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7A1A3B6" w14:textId="77777777" w:rsidR="005A2D50" w:rsidRPr="005A2D50" w:rsidRDefault="005A2D50" w:rsidP="005A2D50">
      <w:pPr>
        <w:pStyle w:val="BodyText"/>
        <w:rPr>
          <w:lang w:val="en-US"/>
        </w:rPr>
      </w:pPr>
      <w:r w:rsidRPr="005A2D50">
        <w:rPr>
          <w:lang w:val="en-US"/>
        </w:rPr>
        <w:t xml:space="preserve">Pārsūdzības iesniegšana neaptur </w:t>
      </w:r>
      <w:r w:rsidRPr="005A2D50">
        <w:rPr>
          <w:i/>
          <w:iCs/>
          <w:lang w:val="en-US"/>
        </w:rPr>
        <w:t xml:space="preserve">CA </w:t>
      </w:r>
      <w:r w:rsidRPr="005A2D50">
        <w:rPr>
          <w:lang w:val="en-US"/>
        </w:rPr>
        <w:t>pieņemtā apstrīdamā lēmuma izpildi. Tomēr, ja apstrīdamais lēmums neatbilst tiesību aktiem muitas jomā vai attiecīgajai personai var tikt nodarīts nelabojams kaitējums, šāda lēmuma izpildi var apturēt ar nosacījumu, ka tiek sniegts galvojums, lai nodrošinātu iespējamā muitas parāda samaksu.</w:t>
      </w:r>
    </w:p>
    <w:p w14:paraId="4F125B14" w14:textId="77777777" w:rsidR="005A2D50" w:rsidRPr="005A2D50" w:rsidRDefault="005A2D50" w:rsidP="005A2D50">
      <w:pPr>
        <w:pStyle w:val="BodyText"/>
        <w:rPr>
          <w:lang w:val="en-US"/>
        </w:rPr>
      </w:pPr>
      <w:r w:rsidRPr="005A2D50">
        <w:rPr>
          <w:lang w:val="en-US"/>
        </w:rPr>
        <w:t>Apstrīdamā lēmuma izpildes apturēšana nav atkarīga no galvojuma sniegšanas, ja tas attiecīgajai personai izraisītu nopietnus ekonomiskus vai sociālus sarežģījumus. Novērtējums par iespējamo kaitējumu attiecīgās personas ekonomiskajam vai sociālajam stāvoklim ir pienācīgi jādokumentē.</w:t>
      </w:r>
    </w:p>
    <w:p w14:paraId="0E3CDF91" w14:textId="77777777" w:rsidR="005A2D50" w:rsidRPr="005A2D50" w:rsidRDefault="005A2D50" w:rsidP="005A2D50">
      <w:pPr>
        <w:jc w:val="both"/>
        <w:rPr>
          <w:rFonts w:ascii="Times New Roman" w:hAnsi="Times New Roman" w:cs="Times New Roman"/>
          <w:noProof/>
          <w:sz w:val="24"/>
          <w:szCs w:val="24"/>
          <w:lang w:val="en-US"/>
        </w:rPr>
      </w:pPr>
    </w:p>
    <w:p w14:paraId="50597439" w14:textId="77777777" w:rsidR="005A2D50" w:rsidRPr="005A2D50" w:rsidRDefault="005A2D50" w:rsidP="005A2D50">
      <w:pPr>
        <w:pStyle w:val="Heading1"/>
        <w:rPr>
          <w:noProof/>
          <w:lang w:val="en-US"/>
        </w:rPr>
      </w:pPr>
      <w:bookmarkStart w:id="105" w:name="V._Individual_and_comprehensive_guarante"/>
      <w:bookmarkStart w:id="106" w:name="_bookmark32"/>
      <w:bookmarkStart w:id="107" w:name="_Toc104982790"/>
      <w:bookmarkEnd w:id="105"/>
      <w:bookmarkEnd w:id="106"/>
      <w:r w:rsidRPr="005A2D50">
        <w:rPr>
          <w:noProof/>
          <w:lang w:val="en-US"/>
        </w:rPr>
        <w:t>V. VIENREIZĒJIE UN VISPĀRĒJIE GALVOJUMI</w:t>
      </w:r>
      <w:bookmarkEnd w:id="107"/>
    </w:p>
    <w:p w14:paraId="12CC918A"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CF82503" w14:textId="77777777" w:rsidR="005A2D50" w:rsidRPr="005A2D50" w:rsidRDefault="005A2D50" w:rsidP="005A2D50">
      <w:pPr>
        <w:pStyle w:val="BodyText"/>
        <w:rPr>
          <w:lang w:val="en-US"/>
        </w:rPr>
      </w:pPr>
      <w:r w:rsidRPr="005A2D50">
        <w:rPr>
          <w:lang w:val="en-US"/>
        </w:rPr>
        <w:t xml:space="preserve">Kā noteikts SMK ĪA 154. pantā, ja vienreizējo vai vispārējo galvojumu var izmantot vairāk nekā vienā dalībvalstī, </w:t>
      </w:r>
      <w:r w:rsidRPr="005A2D50">
        <w:rPr>
          <w:i/>
          <w:iCs/>
          <w:lang w:val="en-US"/>
        </w:rPr>
        <w:t xml:space="preserve">COG </w:t>
      </w:r>
      <w:r w:rsidRPr="005A2D50">
        <w:rPr>
          <w:lang w:val="en-US"/>
        </w:rPr>
        <w:t>paziņo personai, kura sniegusi galvojumu, šādu informāciju:</w:t>
      </w:r>
    </w:p>
    <w:p w14:paraId="66B0C1AC" w14:textId="77777777" w:rsidR="005A2D50" w:rsidRPr="005A2D50" w:rsidRDefault="005A2D50" w:rsidP="005A2D50">
      <w:pPr>
        <w:pStyle w:val="BodyText"/>
        <w:rPr>
          <w:lang w:val="en-US"/>
        </w:rPr>
      </w:pPr>
    </w:p>
    <w:p w14:paraId="2602DEAB" w14:textId="77777777" w:rsidR="005A2D50" w:rsidRPr="005A2D50" w:rsidRDefault="005A2D50" w:rsidP="005A2D50">
      <w:pPr>
        <w:pStyle w:val="BodyText"/>
        <w:numPr>
          <w:ilvl w:val="0"/>
          <w:numId w:val="43"/>
        </w:numPr>
        <w:tabs>
          <w:tab w:val="left" w:pos="851"/>
        </w:tabs>
        <w:ind w:left="284" w:firstLine="0"/>
        <w:rPr>
          <w:lang w:val="en-US"/>
        </w:rPr>
      </w:pPr>
      <w:r w:rsidRPr="005A2D50">
        <w:rPr>
          <w:lang w:val="en-US"/>
        </w:rPr>
        <w:t>galvojuma atsauces numurs (</w:t>
      </w:r>
      <w:r w:rsidRPr="005A2D50">
        <w:rPr>
          <w:i/>
          <w:iCs/>
          <w:lang w:val="en-US"/>
        </w:rPr>
        <w:t>GRN</w:t>
      </w:r>
      <w:r w:rsidRPr="005A2D50">
        <w:rPr>
          <w:lang w:val="en-US"/>
        </w:rPr>
        <w:t xml:space="preserve">). Attiecībā uz vispārējo galvojumu </w:t>
      </w:r>
      <w:r w:rsidRPr="005A2D50">
        <w:rPr>
          <w:i/>
          <w:iCs/>
          <w:lang w:val="en-US"/>
        </w:rPr>
        <w:t xml:space="preserve">GRN </w:t>
      </w:r>
      <w:r w:rsidRPr="005A2D50">
        <w:rPr>
          <w:lang w:val="en-US"/>
        </w:rPr>
        <w:t>jāpiešķir katrai atsauces summas daļai atbilstoši pārraudzības veidam, kā precizēts SMK ĪA 157. pantā;</w:t>
      </w:r>
    </w:p>
    <w:p w14:paraId="57251146" w14:textId="77777777" w:rsidR="005A2D50" w:rsidRPr="005A2D50" w:rsidRDefault="005A2D50" w:rsidP="005A2D50">
      <w:pPr>
        <w:pStyle w:val="BodyText"/>
        <w:numPr>
          <w:ilvl w:val="0"/>
          <w:numId w:val="43"/>
        </w:numPr>
        <w:tabs>
          <w:tab w:val="left" w:pos="851"/>
        </w:tabs>
        <w:ind w:left="284" w:firstLine="0"/>
        <w:rPr>
          <w:lang w:val="en-US"/>
        </w:rPr>
      </w:pPr>
      <w:r w:rsidRPr="005A2D50">
        <w:rPr>
          <w:lang w:val="en-US"/>
        </w:rPr>
        <w:t xml:space="preserve">piekļuves kods, kas saistīts ar </w:t>
      </w:r>
      <w:r w:rsidRPr="005A2D50">
        <w:rPr>
          <w:i/>
          <w:iCs/>
          <w:lang w:val="en-US"/>
        </w:rPr>
        <w:t>GRN</w:t>
      </w:r>
      <w:r w:rsidRPr="005A2D50">
        <w:rPr>
          <w:lang w:val="en-US"/>
        </w:rPr>
        <w:t>.</w:t>
      </w:r>
    </w:p>
    <w:p w14:paraId="44148B63" w14:textId="77777777" w:rsidR="005A2D50" w:rsidRPr="005A2D50" w:rsidRDefault="005A2D50" w:rsidP="005A2D50">
      <w:pPr>
        <w:pStyle w:val="BodyText"/>
        <w:rPr>
          <w:lang w:val="en-US"/>
        </w:rPr>
      </w:pPr>
    </w:p>
    <w:p w14:paraId="63343073" w14:textId="77777777" w:rsidR="005A2D50" w:rsidRPr="005A2D50" w:rsidRDefault="005A2D50" w:rsidP="005A2D50">
      <w:pPr>
        <w:pStyle w:val="BodyText"/>
        <w:rPr>
          <w:lang w:val="en-US"/>
        </w:rPr>
      </w:pPr>
      <w:r w:rsidRPr="005A2D50">
        <w:rPr>
          <w:lang w:val="en-US"/>
        </w:rPr>
        <w:t xml:space="preserve">Saskaņā ar SMK ĪA 152. panta 2. punktu, ja ir sniegts vienreizējais galvojums saistību veidā, procedūras izmantotājs nedrīkst mainīt piekļuves kodu, kas saistīts ar </w:t>
      </w:r>
      <w:r w:rsidRPr="005A2D50">
        <w:rPr>
          <w:i/>
          <w:iCs/>
          <w:lang w:val="en-US"/>
        </w:rPr>
        <w:t>GRN</w:t>
      </w:r>
      <w:r w:rsidRPr="005A2D50">
        <w:rPr>
          <w:lang w:val="en-US"/>
        </w:rPr>
        <w:t>. Vienreizējā galvojuma gadījumā papildu piekļuves kodus nenodrošina.</w:t>
      </w:r>
    </w:p>
    <w:p w14:paraId="6433A3A9" w14:textId="77777777" w:rsidR="005A2D50" w:rsidRPr="005A2D50" w:rsidRDefault="005A2D50" w:rsidP="005A2D50">
      <w:pPr>
        <w:pStyle w:val="BodyText"/>
        <w:rPr>
          <w:lang w:val="en-US"/>
        </w:rPr>
      </w:pPr>
      <w:r w:rsidRPr="005A2D50">
        <w:rPr>
          <w:lang w:val="en-US"/>
        </w:rPr>
        <w:t>Attiecībā uz vienreizēju galvojumu ar kvītīm iepriekš minētā informācija ir jāsniedz galviniekam.</w:t>
      </w:r>
    </w:p>
    <w:p w14:paraId="2C1A7C36" w14:textId="77777777" w:rsidR="005A2D50" w:rsidRPr="005A2D50" w:rsidRDefault="005A2D50" w:rsidP="005A2D50">
      <w:pPr>
        <w:pStyle w:val="BodyText"/>
        <w:rPr>
          <w:lang w:val="en-US"/>
        </w:rPr>
      </w:pPr>
      <w:r w:rsidRPr="005A2D50">
        <w:rPr>
          <w:lang w:val="en-US"/>
        </w:rPr>
        <w:t>Ja sniedz vispārējo galvojumu, pēc personas, kas sniedz galvojumu, pieprasījuma var piešķirt papildu piekļuves kodus. Šos kodus var izmantot arī viņa pārstāvji.</w:t>
      </w:r>
    </w:p>
    <w:p w14:paraId="0F1BFA16" w14:textId="77777777" w:rsidR="005A2D50" w:rsidRPr="005A2D50" w:rsidRDefault="005A2D50" w:rsidP="005A2D50">
      <w:pPr>
        <w:pStyle w:val="BodyText"/>
        <w:rPr>
          <w:lang w:val="en-US"/>
        </w:rPr>
      </w:pPr>
      <w:r w:rsidRPr="005A2D50">
        <w:rPr>
          <w:lang w:val="en-US"/>
        </w:rPr>
        <w:t xml:space="preserve">Saskaņā ar SMK ĪA 154. panta 3. punktu katru reizi, kad persona </w:t>
      </w:r>
      <w:r w:rsidRPr="005A2D50">
        <w:rPr>
          <w:i/>
          <w:iCs/>
          <w:lang w:val="en-US"/>
        </w:rPr>
        <w:t xml:space="preserve">CA </w:t>
      </w:r>
      <w:r w:rsidRPr="005A2D50">
        <w:rPr>
          <w:lang w:val="en-US"/>
        </w:rPr>
        <w:t xml:space="preserve">informē par </w:t>
      </w:r>
      <w:r w:rsidRPr="005A2D50">
        <w:rPr>
          <w:i/>
          <w:iCs/>
          <w:lang w:val="en-US"/>
        </w:rPr>
        <w:t xml:space="preserve">GRN </w:t>
      </w:r>
      <w:r w:rsidRPr="005A2D50">
        <w:rPr>
          <w:lang w:val="en-US"/>
        </w:rPr>
        <w:t xml:space="preserve">un saistītajiem piekļuves kodiem, </w:t>
      </w:r>
      <w:r w:rsidRPr="005A2D50">
        <w:rPr>
          <w:i/>
          <w:iCs/>
          <w:lang w:val="en-US"/>
        </w:rPr>
        <w:t xml:space="preserve">CA </w:t>
      </w:r>
      <w:r w:rsidRPr="005A2D50">
        <w:rPr>
          <w:lang w:val="en-US"/>
        </w:rPr>
        <w:t>pārbauda tā galvojuma esību un derīgumu, kas ir nepieciešams, lai nodrošinātu muitas parāda un citu maksājumu samaksu.</w:t>
      </w:r>
    </w:p>
    <w:p w14:paraId="3F55E8FF" w14:textId="77777777" w:rsidR="005A2D50" w:rsidRPr="005A2D50" w:rsidRDefault="005A2D50" w:rsidP="005A2D50">
      <w:pPr>
        <w:pStyle w:val="BodyText"/>
        <w:rPr>
          <w:lang w:val="en-US"/>
        </w:rPr>
      </w:pPr>
      <w:r w:rsidRPr="005A2D50">
        <w:rPr>
          <w:lang w:val="en-US"/>
        </w:rPr>
        <w:t xml:space="preserve">Sniedzot atsauci uz galvojuma atsauces numuru, </w:t>
      </w:r>
      <w:r w:rsidRPr="005A2D50">
        <w:rPr>
          <w:i/>
          <w:iCs/>
          <w:lang w:val="en-US"/>
        </w:rPr>
        <w:t xml:space="preserve">CA </w:t>
      </w:r>
      <w:r w:rsidRPr="005A2D50">
        <w:rPr>
          <w:lang w:val="en-US"/>
        </w:rPr>
        <w:t xml:space="preserve">ir ieteicams pārbaudīt saikni starp personu, kas sniedz informāciju par </w:t>
      </w:r>
      <w:r w:rsidRPr="005A2D50">
        <w:rPr>
          <w:i/>
          <w:iCs/>
          <w:lang w:val="en-US"/>
        </w:rPr>
        <w:t>GRN</w:t>
      </w:r>
      <w:r w:rsidRPr="005A2D50">
        <w:rPr>
          <w:lang w:val="en-US"/>
        </w:rPr>
        <w:t>, un personu, kurai radies muitas parāds (parādnieks vai iespējamais parādnieks).</w:t>
      </w:r>
    </w:p>
    <w:p w14:paraId="5DD851A8" w14:textId="77777777" w:rsidR="005A2D50" w:rsidRPr="005A2D50" w:rsidRDefault="005A2D50" w:rsidP="005A2D50">
      <w:pPr>
        <w:pStyle w:val="BodyText"/>
        <w:rPr>
          <w:lang w:val="en-US"/>
        </w:rPr>
      </w:pPr>
    </w:p>
    <w:p w14:paraId="4EC17DC3" w14:textId="77777777" w:rsidR="005A2D50" w:rsidRPr="005A2D50" w:rsidRDefault="005A2D50" w:rsidP="005A2D50">
      <w:pPr>
        <w:pStyle w:val="BodyText"/>
        <w:rPr>
          <w:b/>
          <w:bCs/>
          <w:u w:color="000000"/>
          <w:lang w:val="en-US"/>
        </w:rPr>
      </w:pPr>
      <w:r w:rsidRPr="005A2D50">
        <w:rPr>
          <w:b/>
          <w:bCs/>
          <w:u w:color="000000"/>
          <w:lang w:val="en-US"/>
        </w:rPr>
        <w:t>Praktiski tas nozīmētu turpmāk minēto.</w:t>
      </w:r>
    </w:p>
    <w:p w14:paraId="7002729C"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Kad galvojums ir reģistrēts, CA izdod galvojuma atsauces numuru un sākotnējo piekļuves kodu.</w:t>
      </w:r>
    </w:p>
    <w:p w14:paraId="28F3C388"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Ja kāda iemesla dēļ nepiederošai personai ir piekļuve galvojuma atsauces numuram un sākotnējam piekļuves kodam, nav iespējams liegt tai ļaunprātīgi izmantot galvojumu. CA pēc iespējas jāsamazina šādi riski darījumdarbībai. Lai novērstu šādas situācijas, ir svarīgi identificēt vienu personu, kas veic visas ar galvojumiem saistītās darbības.</w:t>
      </w:r>
    </w:p>
    <w:p w14:paraId="2AA111CC" w14:textId="77777777" w:rsidR="005A2D50" w:rsidRPr="005A2D50" w:rsidRDefault="005A2D50" w:rsidP="005A2D50">
      <w:pPr>
        <w:pStyle w:val="BodyText"/>
        <w:rPr>
          <w:lang w:val="en-US"/>
        </w:rPr>
      </w:pPr>
    </w:p>
    <w:p w14:paraId="00348D57" w14:textId="77777777" w:rsidR="005A2D50" w:rsidRPr="005A2D50" w:rsidRDefault="005A2D50" w:rsidP="005A2D50">
      <w:pPr>
        <w:pStyle w:val="BodyText"/>
        <w:rPr>
          <w:lang w:val="en-US"/>
        </w:rPr>
      </w:pPr>
      <w:r w:rsidRPr="005A2D50">
        <w:rPr>
          <w:lang w:val="en-US"/>
        </w:rPr>
        <w:t>Ja galvojums ir derīgs tikai vienā dalībvalstī, attiecīgās personas autentifikācijai un sniegtajam galvojumam var piemērot valsts tiesību normas.</w:t>
      </w:r>
    </w:p>
    <w:p w14:paraId="7B1EE7FE" w14:textId="77777777" w:rsidR="005A2D50" w:rsidRPr="005A2D50" w:rsidRDefault="005A2D50" w:rsidP="005A2D50">
      <w:pPr>
        <w:pStyle w:val="BodyText"/>
        <w:rPr>
          <w:lang w:val="en-US"/>
        </w:rPr>
      </w:pPr>
    </w:p>
    <w:p w14:paraId="6BB6ED9D" w14:textId="77777777" w:rsidR="005A2D50" w:rsidRPr="005A2D50" w:rsidRDefault="005A2D50" w:rsidP="005A2D50">
      <w:pPr>
        <w:pStyle w:val="Heading1"/>
        <w:rPr>
          <w:noProof/>
          <w:lang w:val="en-US"/>
        </w:rPr>
      </w:pPr>
      <w:bookmarkStart w:id="108" w:name="V.1._Individual_guarantee"/>
      <w:bookmarkStart w:id="109" w:name="_bookmark33"/>
      <w:bookmarkStart w:id="110" w:name="_Toc104982791"/>
      <w:bookmarkEnd w:id="108"/>
      <w:bookmarkEnd w:id="109"/>
      <w:r w:rsidRPr="005A2D50">
        <w:rPr>
          <w:noProof/>
          <w:lang w:val="en-US"/>
        </w:rPr>
        <w:t>V.1. Vienreizējais galvojums</w:t>
      </w:r>
      <w:bookmarkEnd w:id="110"/>
    </w:p>
    <w:p w14:paraId="63C68F4D"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3747322" w14:textId="77777777" w:rsidR="005A2D50" w:rsidRPr="005A2D50" w:rsidRDefault="005A2D50" w:rsidP="005A2D50">
      <w:pPr>
        <w:pStyle w:val="BodyText"/>
        <w:rPr>
          <w:lang w:val="en-US"/>
        </w:rPr>
      </w:pPr>
      <w:r w:rsidRPr="005A2D50">
        <w:rPr>
          <w:lang w:val="en-US"/>
        </w:rPr>
        <w:t xml:space="preserve">Vienreizējais galvojums sedz vienu darbību/deklarāciju un, ja atbilstīgi, nodrošina esoša vai iespējama muitas parāda un citu maksājumu samaksu. Attiecībā uz saistībām, kas nodrošinātas kā vienreizējais galvojums, ieteicams, ka </w:t>
      </w:r>
      <w:r w:rsidRPr="005A2D50">
        <w:rPr>
          <w:i/>
          <w:iCs/>
          <w:lang w:val="en-US"/>
        </w:rPr>
        <w:t xml:space="preserve">CA </w:t>
      </w:r>
      <w:r w:rsidRPr="005A2D50">
        <w:rPr>
          <w:lang w:val="en-US"/>
        </w:rPr>
        <w:t xml:space="preserve">norāda attiecīgās MD reģistrācijas numuru (galveno atsauces numuru) vai </w:t>
      </w:r>
      <w:r w:rsidRPr="005A2D50">
        <w:rPr>
          <w:i/>
          <w:iCs/>
          <w:lang w:val="en-US"/>
        </w:rPr>
        <w:t xml:space="preserve">TS </w:t>
      </w:r>
      <w:r w:rsidRPr="005A2D50">
        <w:rPr>
          <w:lang w:val="en-US"/>
        </w:rPr>
        <w:t>deklarāciju, uz kuru attiecas minētais galvojums. Šī informācija ir obligāts datu elements, kas noteikts SMK ĪA 32-01. pielikumā.</w:t>
      </w:r>
    </w:p>
    <w:p w14:paraId="3571CA5A" w14:textId="77777777" w:rsidR="005A2D50" w:rsidRPr="005A2D50" w:rsidRDefault="005A2D50" w:rsidP="005A2D50">
      <w:pPr>
        <w:pStyle w:val="BodyText"/>
        <w:rPr>
          <w:lang w:val="en-US"/>
        </w:rPr>
      </w:pPr>
      <w:r w:rsidRPr="005A2D50">
        <w:rPr>
          <w:lang w:val="en-US"/>
        </w:rPr>
        <w:t>Saskaņā ar SMK ĪA 148. panta 1. punktu vienreizējais galvojums par iespējamo muitas parādu sedz “ievedmuitas vai izvedmuitas nodokļa summu atbilstoši muitas parādam, kas var rasties, aprēķinot pēc augstākajām nodokļa likmēm, kas piemērojamas tā paša veida precēm”. Pārējos maksājumus aprēķina pēc “augstākajām likmēm, kas piemērojamas tā paša veida precēm dalībvalstī, kurā attiecīgajām precēm piemēro muitas procedūru vai kur tās ir pagaidu uzglabāšanā”.</w:t>
      </w:r>
    </w:p>
    <w:p w14:paraId="696CA0DB" w14:textId="77777777" w:rsidR="005A2D50" w:rsidRPr="005A2D50" w:rsidRDefault="005A2D50" w:rsidP="005A2D50">
      <w:pPr>
        <w:pStyle w:val="BodyText"/>
        <w:rPr>
          <w:lang w:val="en-US"/>
        </w:rPr>
      </w:pPr>
      <w:r w:rsidRPr="005A2D50">
        <w:rPr>
          <w:lang w:val="en-US"/>
        </w:rPr>
        <w:t>SMK ĪA 152. panta 1. punktā noteikts: “Ja sniedz vienreizēju galvojumu kā galvinieka saistības, minēto saistību apliecinājumu galvojuma derīguma perioda laikā glabā galvojuma muitas iestāde.”</w:t>
      </w:r>
    </w:p>
    <w:p w14:paraId="0763DA50" w14:textId="77777777" w:rsidR="005A2D50" w:rsidRPr="005A2D50" w:rsidRDefault="005A2D50" w:rsidP="005A2D50">
      <w:pPr>
        <w:pStyle w:val="BodyText"/>
        <w:rPr>
          <w:lang w:val="en-US"/>
        </w:rPr>
      </w:pPr>
      <w:r w:rsidRPr="005A2D50">
        <w:rPr>
          <w:lang w:val="en-US"/>
        </w:rPr>
        <w:t xml:space="preserve">Vienreizējā galvojuma derīguma termiņš jānosaka saskaņā ar darbības ilgumu, sākot no brīža, kad preces tiek izlaistas muitas procedūrai / </w:t>
      </w:r>
      <w:r w:rsidRPr="005A2D50">
        <w:rPr>
          <w:i/>
          <w:iCs/>
          <w:lang w:val="en-US"/>
        </w:rPr>
        <w:t>TS</w:t>
      </w:r>
      <w:r w:rsidRPr="005A2D50">
        <w:rPr>
          <w:lang w:val="en-US"/>
        </w:rPr>
        <w:t xml:space="preserve">, līdz brīdim, kad muitas parāds tiek dzēsts vai nevar vairs rasties un </w:t>
      </w:r>
      <w:r w:rsidRPr="005A2D50">
        <w:rPr>
          <w:i/>
          <w:iCs/>
          <w:lang w:val="en-US"/>
        </w:rPr>
        <w:t xml:space="preserve">CA </w:t>
      </w:r>
      <w:r w:rsidRPr="005A2D50">
        <w:rPr>
          <w:lang w:val="en-US"/>
        </w:rPr>
        <w:t>to atbrīvo. To sniedz katrā gadījumā atsevišķi atbilstīgi muitas parādam un, ja atbilstīgi, citiem maksājumiem, kas var rasties vai ir radušies no vienas darbības / muitas deklarācijas (pamatojoties uz darījumu).</w:t>
      </w:r>
    </w:p>
    <w:p w14:paraId="1CBADFFE" w14:textId="77777777" w:rsidR="005A2D50" w:rsidRPr="005A2D50" w:rsidRDefault="005A2D50" w:rsidP="005A2D50">
      <w:pPr>
        <w:pStyle w:val="BodyText"/>
        <w:rPr>
          <w:lang w:val="en-US"/>
        </w:rPr>
      </w:pPr>
      <w:r w:rsidRPr="005A2D50">
        <w:rPr>
          <w:lang w:val="en-US"/>
        </w:rPr>
        <w:t xml:space="preserve">Saskaņā ar SMK 89. panta 6. punktu </w:t>
      </w:r>
      <w:r w:rsidRPr="005A2D50">
        <w:rPr>
          <w:i/>
          <w:iCs/>
          <w:lang w:val="en-US"/>
        </w:rPr>
        <w:t xml:space="preserve">CA </w:t>
      </w:r>
      <w:r w:rsidRPr="005A2D50">
        <w:rPr>
          <w:lang w:val="en-US"/>
        </w:rPr>
        <w:t>uzrauga arī vienreizējo galvojumu.</w:t>
      </w:r>
    </w:p>
    <w:p w14:paraId="482FDE34" w14:textId="77777777" w:rsidR="005A2D50" w:rsidRPr="005A2D50" w:rsidRDefault="005A2D50" w:rsidP="005A2D50">
      <w:pPr>
        <w:pStyle w:val="BodyText"/>
        <w:rPr>
          <w:lang w:val="en-US"/>
        </w:rPr>
      </w:pPr>
    </w:p>
    <w:p w14:paraId="6F6C3CF1" w14:textId="77777777" w:rsidR="005A2D50" w:rsidRPr="005A2D50" w:rsidRDefault="005A2D50" w:rsidP="005A2D50">
      <w:pPr>
        <w:pStyle w:val="Heading1"/>
        <w:rPr>
          <w:noProof/>
          <w:lang w:val="en-US"/>
        </w:rPr>
      </w:pPr>
      <w:bookmarkStart w:id="111" w:name="V.2._Comprehensive_guarantee"/>
      <w:bookmarkStart w:id="112" w:name="_bookmark34"/>
      <w:bookmarkStart w:id="113" w:name="_Toc104982792"/>
      <w:bookmarkEnd w:id="111"/>
      <w:bookmarkEnd w:id="112"/>
      <w:r w:rsidRPr="005A2D50">
        <w:rPr>
          <w:noProof/>
          <w:lang w:val="en-US"/>
        </w:rPr>
        <w:t>V.2. Vispārējais galvojums</w:t>
      </w:r>
      <w:bookmarkEnd w:id="113"/>
    </w:p>
    <w:p w14:paraId="266AD167"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AF02CF7" w14:textId="77777777" w:rsidR="005A2D50" w:rsidRPr="005A2D50" w:rsidRDefault="005A2D50" w:rsidP="005A2D50">
      <w:pPr>
        <w:pStyle w:val="BodyText"/>
        <w:rPr>
          <w:lang w:val="en-US"/>
        </w:rPr>
      </w:pPr>
      <w:r w:rsidRPr="005A2D50">
        <w:rPr>
          <w:lang w:val="en-US"/>
        </w:rPr>
        <w:t>Vispārējais galvojums sedz esoša un iespējama muitas parāda vai, ja atbilstīgi, citu maksājumu summu, kas atbilst vairāk nekā vienai uzņēmēja muitas operācijai/deklarācijai/procedūrai.</w:t>
      </w:r>
    </w:p>
    <w:p w14:paraId="1AF9E3B0" w14:textId="77777777" w:rsidR="005A2D50" w:rsidRPr="005A2D50" w:rsidRDefault="005A2D50" w:rsidP="005A2D50">
      <w:pPr>
        <w:pStyle w:val="BodyText"/>
        <w:rPr>
          <w:lang w:val="en-US"/>
        </w:rPr>
      </w:pPr>
      <w:r w:rsidRPr="005A2D50">
        <w:rPr>
          <w:lang w:val="en-US"/>
        </w:rPr>
        <w:t>SMK ĪA 155. pantā noteikts, ka vispārējā galvojuma atsauces summu veido dažādas daļas, kuru pamatā ir praktiski pasākumi, kas nepieciešami galvojumu pienācīgai pārvaldībai.</w:t>
      </w:r>
    </w:p>
    <w:p w14:paraId="7FA09666" w14:textId="77777777" w:rsidR="005A2D50" w:rsidRPr="005A2D50" w:rsidRDefault="005A2D50" w:rsidP="005A2D50">
      <w:pPr>
        <w:pStyle w:val="BodyText"/>
        <w:rPr>
          <w:lang w:val="en-US"/>
        </w:rPr>
      </w:pPr>
      <w:r w:rsidRPr="005A2D50">
        <w:rPr>
          <w:lang w:val="en-US"/>
        </w:rPr>
        <w:t>Visupirms atsauces summa ir jāsadala, ja piemēro SMK TDA 8. pantu. Pēc tam to dara atbilstoši tās pārraudzības veidam, kas aprakstīts SMK ĪA 157. pantā.</w:t>
      </w:r>
    </w:p>
    <w:p w14:paraId="4EB6C17D" w14:textId="77777777" w:rsidR="005A2D50" w:rsidRPr="005A2D50" w:rsidRDefault="005A2D50" w:rsidP="005A2D50">
      <w:pPr>
        <w:pStyle w:val="BodyText"/>
        <w:rPr>
          <w:lang w:val="en-US"/>
        </w:rPr>
      </w:pPr>
      <w:r w:rsidRPr="005A2D50">
        <w:rPr>
          <w:lang w:val="en-US"/>
        </w:rPr>
        <w:t>Iespējams, atsauces summas ir jāsadala sīkāk, lai nodrošinātu pienācīgu pārraudzību atbilstoši turpmāk minētajam:</w:t>
      </w:r>
    </w:p>
    <w:p w14:paraId="5429AAC1" w14:textId="77777777" w:rsidR="005A2D50" w:rsidRPr="005A2D50" w:rsidRDefault="005A2D50" w:rsidP="005A2D50">
      <w:pPr>
        <w:pStyle w:val="BodyText"/>
        <w:rPr>
          <w:lang w:val="en-US"/>
        </w:rPr>
      </w:pPr>
    </w:p>
    <w:p w14:paraId="5D889FDA" w14:textId="77777777" w:rsidR="005A2D50" w:rsidRPr="005A2D50" w:rsidRDefault="005A2D50" w:rsidP="005A2D50">
      <w:pPr>
        <w:pStyle w:val="BodyText"/>
        <w:numPr>
          <w:ilvl w:val="0"/>
          <w:numId w:val="42"/>
        </w:numPr>
        <w:tabs>
          <w:tab w:val="left" w:pos="851"/>
        </w:tabs>
        <w:ind w:left="284" w:firstLine="0"/>
        <w:rPr>
          <w:lang w:val="en-US"/>
        </w:rPr>
      </w:pPr>
      <w:r w:rsidRPr="005A2D50">
        <w:rPr>
          <w:lang w:val="en-US"/>
        </w:rPr>
        <w:t>attiecīgā galvojuma samazinājuma apmēram (SMK ĪA 158. pants – dažādām muitas procedūrām var noteikt dažādus samazinājuma apmērus);</w:t>
      </w:r>
    </w:p>
    <w:p w14:paraId="5D69640E" w14:textId="77777777" w:rsidR="005A2D50" w:rsidRPr="005A2D50" w:rsidRDefault="005A2D50" w:rsidP="005A2D50">
      <w:pPr>
        <w:pStyle w:val="BodyText"/>
        <w:numPr>
          <w:ilvl w:val="0"/>
          <w:numId w:val="42"/>
        </w:numPr>
        <w:tabs>
          <w:tab w:val="left" w:pos="851"/>
        </w:tabs>
        <w:ind w:left="284" w:firstLine="0"/>
        <w:rPr>
          <w:lang w:val="en-US"/>
        </w:rPr>
      </w:pPr>
      <w:r w:rsidRPr="005A2D50">
        <w:rPr>
          <w:lang w:val="en-US"/>
        </w:rPr>
        <w:t xml:space="preserve">muitas procedūrai, uz kuru attiecas galvojums (atsauces summas daļa, kas atbilst katrai atļaujai, kura piešķirta attiecībā uz īpašu procedūru vai </w:t>
      </w:r>
      <w:r w:rsidRPr="005A2D50">
        <w:rPr>
          <w:i/>
          <w:iCs/>
          <w:lang w:val="en-US"/>
        </w:rPr>
        <w:t>TS</w:t>
      </w:r>
      <w:r w:rsidRPr="005A2D50">
        <w:rPr>
          <w:lang w:val="en-US"/>
        </w:rPr>
        <w:t>, pēc tam tiks saistīta ar šo atļauju, SMK DA A pielikumā norādīto datu elementu, un pēc tam pārraudzīta). Ja atbilstīgi, katra atsauces summas daļa var attiekties uz vairāk nekā vienu režīmu, ja tas neietekmē atsauces summas pārraudzību.</w:t>
      </w:r>
    </w:p>
    <w:p w14:paraId="2F306293" w14:textId="77777777" w:rsidR="005A2D50" w:rsidRPr="005A2D50" w:rsidRDefault="005A2D50" w:rsidP="005A2D50">
      <w:pPr>
        <w:pStyle w:val="BodyText"/>
        <w:rPr>
          <w:lang w:val="en-US"/>
        </w:rPr>
      </w:pPr>
    </w:p>
    <w:p w14:paraId="6E42740C" w14:textId="77777777" w:rsidR="005A2D50" w:rsidRPr="005A2D50" w:rsidRDefault="005A2D50" w:rsidP="005A2D50">
      <w:pPr>
        <w:pStyle w:val="BodyText"/>
        <w:rPr>
          <w:lang w:val="en-US"/>
        </w:rPr>
      </w:pPr>
      <w:r w:rsidRPr="005A2D50">
        <w:rPr>
          <w:lang w:val="en-US"/>
        </w:rPr>
        <w:t xml:space="preserve">Iepriekš minētie norādījumi par atsauces summas sadalīšanu starp dažādām muitas procedūrām un/vai </w:t>
      </w:r>
      <w:r w:rsidRPr="005A2D50">
        <w:rPr>
          <w:i/>
          <w:iCs/>
          <w:lang w:val="en-US"/>
        </w:rPr>
        <w:t xml:space="preserve">TS </w:t>
      </w:r>
      <w:r w:rsidRPr="005A2D50">
        <w:rPr>
          <w:lang w:val="en-US"/>
        </w:rPr>
        <w:t xml:space="preserve">neliedz iesniegt vienu vispārējo galvojumu (vienas galvinieka saistības) visiem režīmiem, tostarp, ja atbilstīgi, </w:t>
      </w:r>
      <w:r w:rsidRPr="005A2D50">
        <w:rPr>
          <w:i/>
          <w:iCs/>
          <w:lang w:val="en-US"/>
        </w:rPr>
        <w:t xml:space="preserve">TS </w:t>
      </w:r>
      <w:r w:rsidRPr="005A2D50">
        <w:rPr>
          <w:lang w:val="en-US"/>
        </w:rPr>
        <w:t>(skat. galvinieka saistību paraugu), vai veikt vienreizēju maksājumu muitas depozītu kontā.</w:t>
      </w:r>
    </w:p>
    <w:p w14:paraId="066AD79D" w14:textId="77777777" w:rsidR="005A2D50" w:rsidRPr="005A2D50" w:rsidRDefault="005A2D50" w:rsidP="005A2D50">
      <w:pPr>
        <w:pStyle w:val="BodyText"/>
        <w:rPr>
          <w:lang w:val="en-US"/>
        </w:rPr>
      </w:pPr>
    </w:p>
    <w:p w14:paraId="4BDE6133" w14:textId="77777777" w:rsidR="005A2D50" w:rsidRPr="005A2D50" w:rsidRDefault="005A2D50" w:rsidP="005A2D50">
      <w:pPr>
        <w:pStyle w:val="Heading2"/>
        <w:rPr>
          <w:noProof/>
          <w:lang w:val="en-US"/>
        </w:rPr>
      </w:pPr>
      <w:bookmarkStart w:id="114" w:name="V.2.1._Forms_of_comprehensive_guarantee"/>
      <w:bookmarkStart w:id="115" w:name="_bookmark35"/>
      <w:bookmarkStart w:id="116" w:name="_Toc104982793"/>
      <w:bookmarkEnd w:id="114"/>
      <w:bookmarkEnd w:id="115"/>
      <w:r w:rsidRPr="005A2D50">
        <w:rPr>
          <w:noProof/>
          <w:lang w:val="en-US"/>
        </w:rPr>
        <w:t>V.2.1. Vispārējā galvojuma veidi</w:t>
      </w:r>
      <w:bookmarkEnd w:id="116"/>
    </w:p>
    <w:p w14:paraId="2D43C017"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B2CEEAD" w14:textId="77777777" w:rsidR="005A2D50" w:rsidRPr="005A2D50" w:rsidRDefault="005A2D50" w:rsidP="005A2D50">
      <w:pPr>
        <w:tabs>
          <w:tab w:val="left" w:pos="938"/>
        </w:tabs>
        <w:jc w:val="both"/>
        <w:rPr>
          <w:rFonts w:ascii="Times New Roman" w:hAnsi="Times New Roman"/>
          <w:b/>
          <w:noProof/>
          <w:sz w:val="24"/>
          <w:lang w:val="en-US"/>
        </w:rPr>
      </w:pPr>
      <w:bookmarkStart w:id="117" w:name="V.2.1.1._Comprehensive_guarantee_in_the_"/>
      <w:bookmarkEnd w:id="117"/>
      <w:r w:rsidRPr="005A2D50">
        <w:rPr>
          <w:rFonts w:ascii="Times New Roman" w:hAnsi="Times New Roman"/>
          <w:b/>
          <w:noProof/>
          <w:sz w:val="24"/>
          <w:lang w:val="en-US"/>
        </w:rPr>
        <w:t>V.2.1.1. Vispārējais galvojums saistību veidā (SMK ĪA 32-03. pielikums)</w:t>
      </w:r>
    </w:p>
    <w:p w14:paraId="25CD1EC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9231136" w14:textId="77777777" w:rsidR="005A2D50" w:rsidRPr="005A2D50" w:rsidRDefault="005A2D50" w:rsidP="005A2D50">
      <w:pPr>
        <w:pStyle w:val="BodyText"/>
        <w:rPr>
          <w:lang w:val="en-US"/>
        </w:rPr>
      </w:pPr>
      <w:r w:rsidRPr="005A2D50">
        <w:rPr>
          <w:lang w:val="en-US"/>
        </w:rPr>
        <w:t>Saskaņā ar SMK ĪA 151. panta 6. punktu un 151. panta 7. punktu vispārējo galvojumu, kas sniegts kā saistības, var sniegt, izmantojot SMK ĪA 32-03. pielikumā norādīto veidlapu vai citā valsts tiesību aktiem atbilstošā veidā, kam ir tāds pats juridiskais spēks.</w:t>
      </w:r>
    </w:p>
    <w:p w14:paraId="615818AF" w14:textId="77777777" w:rsidR="005A2D50" w:rsidRPr="005A2D50" w:rsidRDefault="005A2D50" w:rsidP="005A2D50">
      <w:pPr>
        <w:pStyle w:val="BodyText"/>
        <w:rPr>
          <w:lang w:val="en-US"/>
        </w:rPr>
      </w:pPr>
      <w:r w:rsidRPr="005A2D50">
        <w:rPr>
          <w:lang w:val="en-US"/>
        </w:rPr>
        <w:t>Saistībā ar Savienības tranzīta procedūru vispārējo galvojumu var sniegt tikai kā galvinieka saistības (SMK ĪA 162. pants), un tam principā jābūt derīgam visās dalībvalstīs.</w:t>
      </w:r>
    </w:p>
    <w:p w14:paraId="0BB7EA23" w14:textId="77777777" w:rsidR="005A2D50" w:rsidRPr="005A2D50" w:rsidRDefault="005A2D50" w:rsidP="005A2D50">
      <w:pPr>
        <w:pStyle w:val="BodyText"/>
        <w:rPr>
          <w:lang w:val="en-US"/>
        </w:rPr>
      </w:pPr>
      <w:r w:rsidRPr="005A2D50">
        <w:rPr>
          <w:lang w:val="en-US"/>
        </w:rPr>
        <w:t xml:space="preserve">Ja vispārējais galvojums, kas sniegts kā saistības, ir paredzēts laišanai brīvā apgrozībā, </w:t>
      </w:r>
      <w:r w:rsidRPr="005A2D50">
        <w:rPr>
          <w:i/>
          <w:iCs/>
          <w:lang w:val="en-US"/>
        </w:rPr>
        <w:t>SPE</w:t>
      </w:r>
      <w:r w:rsidRPr="005A2D50">
        <w:rPr>
          <w:lang w:val="en-US"/>
        </w:rPr>
        <w:t xml:space="preserve">, kas nav tranzīts, vai </w:t>
      </w:r>
      <w:r w:rsidRPr="005A2D50">
        <w:rPr>
          <w:i/>
          <w:iCs/>
          <w:lang w:val="en-US"/>
        </w:rPr>
        <w:t>TS</w:t>
      </w:r>
      <w:r w:rsidRPr="005A2D50">
        <w:rPr>
          <w:lang w:val="en-US"/>
        </w:rPr>
        <w:t>, tas var būt derīgs tikai vienā dalībvalstī vai vairākās dalībvalstīs atkarībā no tā, vai muitas parāds ir radies/var rasties citā dalībvalstī.</w:t>
      </w:r>
    </w:p>
    <w:p w14:paraId="299DFE28" w14:textId="77777777" w:rsidR="005A2D50" w:rsidRPr="005A2D50" w:rsidRDefault="005A2D50" w:rsidP="005A2D50">
      <w:pPr>
        <w:pStyle w:val="BodyText"/>
        <w:rPr>
          <w:lang w:val="en-US"/>
        </w:rPr>
      </w:pPr>
      <w:r w:rsidRPr="005A2D50">
        <w:rPr>
          <w:lang w:val="en-US"/>
        </w:rPr>
        <w:t xml:space="preserve">Vienas </w:t>
      </w:r>
      <w:r w:rsidRPr="005A2D50">
        <w:rPr>
          <w:i/>
          <w:iCs/>
          <w:lang w:val="en-US"/>
        </w:rPr>
        <w:t xml:space="preserve">CGU </w:t>
      </w:r>
      <w:r w:rsidRPr="005A2D50">
        <w:rPr>
          <w:lang w:val="en-US"/>
        </w:rPr>
        <w:t xml:space="preserve">atļaujas ietvaros uzņēmējs var nodrošināt vienu vai vairākas saistības. Visām saistībām, kas sniegtas kā vienas </w:t>
      </w:r>
      <w:r w:rsidRPr="005A2D50">
        <w:rPr>
          <w:i/>
          <w:iCs/>
          <w:lang w:val="en-US"/>
        </w:rPr>
        <w:t xml:space="preserve">CGU </w:t>
      </w:r>
      <w:r w:rsidRPr="005A2D50">
        <w:rPr>
          <w:lang w:val="en-US"/>
        </w:rPr>
        <w:t>atļaujas daļa, ir jāatbilst derīguma ģeogrāfiskā areāla prasībām un atsauces summai, kas noteikta muitas procedūrai vai procedūrām, attiecībā uz kurām tās tika sniegtas.</w:t>
      </w:r>
    </w:p>
    <w:p w14:paraId="2D2C1C46" w14:textId="77777777" w:rsidR="005A2D50" w:rsidRPr="005A2D50" w:rsidRDefault="005A2D50" w:rsidP="005A2D50">
      <w:pPr>
        <w:pStyle w:val="BodyText"/>
        <w:rPr>
          <w:lang w:val="en-US"/>
        </w:rPr>
      </w:pPr>
    </w:p>
    <w:p w14:paraId="104577CF" w14:textId="77777777" w:rsidR="005A2D50" w:rsidRPr="005A2D50" w:rsidRDefault="005A2D50" w:rsidP="005A2D50">
      <w:pPr>
        <w:pStyle w:val="BodyText"/>
        <w:rPr>
          <w:b/>
          <w:bCs/>
          <w:lang w:val="en-US"/>
        </w:rPr>
      </w:pPr>
      <w:bookmarkStart w:id="118" w:name="V.2.1.2._Comprehensive_guarantee_in_the_"/>
      <w:bookmarkEnd w:id="118"/>
      <w:r w:rsidRPr="005A2D50">
        <w:rPr>
          <w:b/>
          <w:bCs/>
          <w:lang w:val="en-US"/>
        </w:rPr>
        <w:t>V.2.1.2. Vispārējais galvojums kā skaidras naudas iemaksa / citā veidā (SMK DA 83. panta 1. punkta d) apakšpunkts)</w:t>
      </w:r>
    </w:p>
    <w:p w14:paraId="5411F386"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FB845C7" w14:textId="77777777" w:rsidR="005A2D50" w:rsidRPr="005A2D50" w:rsidRDefault="005A2D50" w:rsidP="005A2D50">
      <w:pPr>
        <w:pStyle w:val="BodyText"/>
        <w:rPr>
          <w:lang w:val="en-US"/>
        </w:rPr>
      </w:pPr>
      <w:r w:rsidRPr="005A2D50">
        <w:rPr>
          <w:lang w:val="en-US"/>
        </w:rPr>
        <w:t xml:space="preserve">Ja vispārējo galvojumu sniedz kā skaidras naudas iemaksu tās dalībvalsts valūtā, kurā </w:t>
      </w:r>
      <w:r w:rsidRPr="005A2D50">
        <w:rPr>
          <w:i/>
          <w:iCs/>
          <w:lang w:val="en-US"/>
        </w:rPr>
        <w:t xml:space="preserve">COG </w:t>
      </w:r>
      <w:r w:rsidRPr="005A2D50">
        <w:rPr>
          <w:lang w:val="en-US"/>
        </w:rPr>
        <w:t xml:space="preserve">ir reģistrēts, izņemot </w:t>
      </w:r>
      <w:r w:rsidRPr="005A2D50">
        <w:rPr>
          <w:i/>
          <w:iCs/>
          <w:lang w:val="en-US"/>
        </w:rPr>
        <w:t>euro</w:t>
      </w:r>
      <w:r w:rsidRPr="005A2D50">
        <w:rPr>
          <w:lang w:val="en-US"/>
        </w:rPr>
        <w:t xml:space="preserve">, lai tas būtu derīgs kā vispārējais galvojums citā dalībvalstī, tas jāpieņem visu to dalībvalstu </w:t>
      </w:r>
      <w:r w:rsidRPr="005A2D50">
        <w:rPr>
          <w:i/>
          <w:iCs/>
          <w:lang w:val="en-US"/>
        </w:rPr>
        <w:t>CA</w:t>
      </w:r>
      <w:r w:rsidRPr="005A2D50">
        <w:rPr>
          <w:lang w:val="en-US"/>
        </w:rPr>
        <w:t>, kurās to pieprasa (kur muitas parāds ir radies vai var rasties), ciktāl tas ir pieņemami saskaņā ar attiecīgās dalībvalsts tiesību aktiem (SMK ĪA 83. panta 3. punkts). Ja tiek uzsākta parāda piedziņas procedūra, piemēro SMK ĪA 153. pantu (savstarpēja palīdzība).</w:t>
      </w:r>
    </w:p>
    <w:p w14:paraId="6B59C4EC" w14:textId="77777777" w:rsidR="005A2D50" w:rsidRPr="005A2D50" w:rsidRDefault="005A2D50" w:rsidP="005A2D50">
      <w:pPr>
        <w:pStyle w:val="BodyText"/>
        <w:rPr>
          <w:lang w:val="en-US"/>
        </w:rPr>
      </w:pPr>
      <w:r w:rsidRPr="005A2D50">
        <w:rPr>
          <w:lang w:val="en-US"/>
        </w:rPr>
        <w:t xml:space="preserve">Saskaņā ar SMK 92. panta 2. punktu vispārējo galvojumu skaidras naudas iemaksas veidā </w:t>
      </w:r>
      <w:r w:rsidRPr="005A2D50">
        <w:rPr>
          <w:i/>
          <w:iCs/>
          <w:lang w:val="en-US"/>
        </w:rPr>
        <w:t xml:space="preserve">euro </w:t>
      </w:r>
      <w:r w:rsidRPr="005A2D50">
        <w:rPr>
          <w:lang w:val="en-US"/>
        </w:rPr>
        <w:t>var izmantot vairāk nekā vienā dalībvalstī, ja to sniedz saskaņā ar noteikumiem, kas ir spēkā dalībvalstī, kurā galvojumu pieprasa.</w:t>
      </w:r>
    </w:p>
    <w:p w14:paraId="6DE48592" w14:textId="77777777" w:rsidR="005A2D50" w:rsidRPr="005A2D50" w:rsidRDefault="005A2D50" w:rsidP="005A2D50">
      <w:pPr>
        <w:pStyle w:val="BodyText"/>
        <w:rPr>
          <w:lang w:val="en-US"/>
        </w:rPr>
      </w:pPr>
    </w:p>
    <w:p w14:paraId="72E52B58" w14:textId="77777777" w:rsidR="005A2D50" w:rsidRPr="005A2D50" w:rsidRDefault="005A2D50" w:rsidP="005A2D50">
      <w:pPr>
        <w:pStyle w:val="Heading2"/>
        <w:rPr>
          <w:rFonts w:cs="Times New Roman"/>
          <w:noProof/>
          <w:lang w:val="en-US"/>
        </w:rPr>
      </w:pPr>
      <w:bookmarkStart w:id="119" w:name="V.2.2._Authorisation_for_the_provision_o"/>
      <w:bookmarkStart w:id="120" w:name="_bookmark36"/>
      <w:bookmarkStart w:id="121" w:name="_Toc104982794"/>
      <w:bookmarkEnd w:id="119"/>
      <w:bookmarkEnd w:id="120"/>
      <w:r w:rsidRPr="005A2D50">
        <w:rPr>
          <w:noProof/>
          <w:lang w:val="en-US"/>
        </w:rPr>
        <w:t>V.2.2. Atļauja, lai sniegtu vispārējo galvojumu, ieskaitot iespējamo samazinājumu vai atbrīvojumu (</w:t>
      </w:r>
      <w:r w:rsidRPr="005A2D50">
        <w:rPr>
          <w:i/>
          <w:iCs/>
          <w:noProof/>
          <w:lang w:val="en-US"/>
        </w:rPr>
        <w:t xml:space="preserve">CGU </w:t>
      </w:r>
      <w:r w:rsidRPr="005A2D50">
        <w:rPr>
          <w:noProof/>
          <w:lang w:val="en-US"/>
        </w:rPr>
        <w:t>atļauja)</w:t>
      </w:r>
      <w:bookmarkEnd w:id="121"/>
    </w:p>
    <w:p w14:paraId="5CBCD22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2D7978F" w14:textId="77777777" w:rsidR="005A2D50" w:rsidRPr="005A2D50" w:rsidRDefault="005A2D50" w:rsidP="005A2D50">
      <w:pPr>
        <w:pStyle w:val="BodyText"/>
        <w:rPr>
          <w:lang w:val="en-US"/>
        </w:rPr>
      </w:pPr>
      <w:r w:rsidRPr="005A2D50">
        <w:rPr>
          <w:lang w:val="en-US"/>
        </w:rPr>
        <w:t xml:space="preserve">Saskaņā ar SMK 89. panta 5. punktu un 95. pantu, </w:t>
      </w:r>
      <w:r w:rsidRPr="005A2D50">
        <w:rPr>
          <w:i/>
          <w:iCs/>
          <w:lang w:val="en-US"/>
        </w:rPr>
        <w:t xml:space="preserve">CA </w:t>
      </w:r>
      <w:r w:rsidRPr="005A2D50">
        <w:rPr>
          <w:lang w:val="en-US"/>
        </w:rPr>
        <w:t>pēc pieteikuma saņemšanas “var atļaut iesniegt vispārēju galvojumu, lai segtu muitas parādam atbilstīgo ievedmuitas vai izvedmuitas nodokļa summu attiecībā uz divām vai vairākām darbībām, deklarācijām vai muitas procedūrām”.</w:t>
      </w:r>
    </w:p>
    <w:p w14:paraId="33DE1DEB" w14:textId="77777777" w:rsidR="005A2D50" w:rsidRPr="005A2D50" w:rsidRDefault="005A2D50" w:rsidP="005A2D50">
      <w:pPr>
        <w:pStyle w:val="BodyText"/>
        <w:rPr>
          <w:lang w:val="en-US"/>
        </w:rPr>
      </w:pPr>
    </w:p>
    <w:p w14:paraId="6B2E9975" w14:textId="77777777" w:rsidR="005A2D50" w:rsidRPr="005A2D50" w:rsidRDefault="005A2D50" w:rsidP="005A2D50">
      <w:pPr>
        <w:pStyle w:val="BodyText"/>
        <w:rPr>
          <w:b/>
          <w:bCs/>
          <w:lang w:val="en-US"/>
        </w:rPr>
      </w:pPr>
      <w:bookmarkStart w:id="122" w:name="V.2.2.1._Procedure_for_granting_the_CGU_"/>
      <w:bookmarkEnd w:id="122"/>
      <w:r w:rsidRPr="005A2D50">
        <w:rPr>
          <w:b/>
          <w:bCs/>
          <w:lang w:val="en-US"/>
        </w:rPr>
        <w:t xml:space="preserve">V.2.2.1. Procedūra </w:t>
      </w:r>
      <w:r w:rsidRPr="005A2D50">
        <w:rPr>
          <w:b/>
          <w:bCs/>
          <w:i/>
          <w:iCs/>
          <w:lang w:val="en-US"/>
        </w:rPr>
        <w:t xml:space="preserve">CGU </w:t>
      </w:r>
      <w:r w:rsidRPr="005A2D50">
        <w:rPr>
          <w:b/>
          <w:bCs/>
          <w:lang w:val="en-US"/>
        </w:rPr>
        <w:t>atļaujas piešķiršanai</w:t>
      </w:r>
    </w:p>
    <w:p w14:paraId="75C21C9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2CF5C5E" w14:textId="77777777" w:rsidR="005A2D50" w:rsidRPr="005A2D50" w:rsidRDefault="005A2D50" w:rsidP="005A2D50">
      <w:pPr>
        <w:pStyle w:val="BodyText"/>
        <w:rPr>
          <w:lang w:val="en-US"/>
        </w:rPr>
      </w:pPr>
      <w:r w:rsidRPr="005A2D50">
        <w:rPr>
          <w:lang w:val="en-US"/>
        </w:rPr>
        <w:t xml:space="preserve">Pieteikums </w:t>
      </w:r>
      <w:r w:rsidRPr="005A2D50">
        <w:rPr>
          <w:i/>
          <w:iCs/>
          <w:lang w:val="en-US"/>
        </w:rPr>
        <w:t xml:space="preserve">CGU </w:t>
      </w:r>
      <w:r w:rsidRPr="005A2D50">
        <w:rPr>
          <w:lang w:val="en-US"/>
        </w:rPr>
        <w:t xml:space="preserve">atļaujas saņemšanai ir jāiesniedz kompetentajam </w:t>
      </w:r>
      <w:r w:rsidRPr="005A2D50">
        <w:rPr>
          <w:i/>
          <w:iCs/>
          <w:lang w:val="en-US"/>
        </w:rPr>
        <w:t>CA</w:t>
      </w:r>
      <w:r w:rsidRPr="005A2D50">
        <w:rPr>
          <w:lang w:val="en-US"/>
        </w:rPr>
        <w:t xml:space="preserve">, kā noteikts SMK 22. panta 1. punktā. Saskaņā ar SMK ĪA 11. pantu dalībvalstis paziņo Komisijai to </w:t>
      </w:r>
      <w:r w:rsidRPr="005A2D50">
        <w:rPr>
          <w:i/>
          <w:iCs/>
          <w:lang w:val="en-US"/>
        </w:rPr>
        <w:t xml:space="preserve">CA </w:t>
      </w:r>
      <w:r w:rsidRPr="005A2D50">
        <w:rPr>
          <w:lang w:val="en-US"/>
        </w:rPr>
        <w:t>sarakstu, kuri izraudzīti saņemt pieteikumus, un informē arī par visām turpmākām izmaiņām šajā sarakstā.</w:t>
      </w:r>
    </w:p>
    <w:p w14:paraId="58174CB3" w14:textId="77777777" w:rsidR="005A2D50" w:rsidRPr="005A2D50" w:rsidRDefault="005A2D50" w:rsidP="005A2D50">
      <w:pPr>
        <w:pStyle w:val="BodyText"/>
        <w:rPr>
          <w:lang w:val="en-US"/>
        </w:rPr>
      </w:pPr>
    </w:p>
    <w:p w14:paraId="10E664F8" w14:textId="77777777" w:rsidR="005A2D50" w:rsidRPr="005A2D50" w:rsidRDefault="005A2D50" w:rsidP="005A2D50">
      <w:pPr>
        <w:pStyle w:val="BodyText"/>
        <w:rPr>
          <w:b/>
          <w:bCs/>
          <w:lang w:val="en-US"/>
        </w:rPr>
      </w:pPr>
      <w:bookmarkStart w:id="123" w:name="V.2.2.1.1._Competent_customs_authority"/>
      <w:bookmarkEnd w:id="123"/>
      <w:r w:rsidRPr="005A2D50">
        <w:rPr>
          <w:b/>
          <w:bCs/>
          <w:lang w:val="en-US"/>
        </w:rPr>
        <w:t>V.2.2.1.1. Kompetentais muitas dienests</w:t>
      </w:r>
    </w:p>
    <w:p w14:paraId="71BC2DD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B36C62D" w14:textId="77777777" w:rsidR="005A2D50" w:rsidRPr="005A2D50" w:rsidRDefault="005A2D50" w:rsidP="005A2D50">
      <w:pPr>
        <w:pStyle w:val="BodyText"/>
        <w:rPr>
          <w:lang w:val="en-US"/>
        </w:rPr>
      </w:pPr>
      <w:r w:rsidRPr="005A2D50">
        <w:rPr>
          <w:lang w:val="en-US"/>
        </w:rPr>
        <w:t>SMK 22. panta 1. punkta trešajā daļā ir noteikts: “Ja nav norādīts citādi, kompetentais muitas dienests ir tās vietas muitas dienests, kurā tiek kārtota pieteikuma iesniedzēja galvenā uzskaite muitas vajadzībām un kur tiks veikta vismaz daļa no darbībām, uz kurām lēmums attieksies.” Šajā sakarā jāatzīmē, ka “pieejams” ir ne tikai fiziski pieejams, bet arī elektroniski pieejams.</w:t>
      </w:r>
    </w:p>
    <w:p w14:paraId="5F5D93F9" w14:textId="77777777" w:rsidR="005A2D50" w:rsidRPr="005A2D50" w:rsidRDefault="005A2D50" w:rsidP="005A2D50">
      <w:pPr>
        <w:pStyle w:val="BodyText"/>
        <w:rPr>
          <w:lang w:val="en-US"/>
        </w:rPr>
      </w:pPr>
      <w:r w:rsidRPr="005A2D50">
        <w:rPr>
          <w:lang w:val="en-US"/>
        </w:rPr>
        <w:t>No iepriekš minētās tiesību normas izriet, ka principā ir jāizpilda divi kritēriji, lai izraudzītu kompetento muitas iestādi, kura ir viena no vietām, kurā:</w:t>
      </w:r>
    </w:p>
    <w:p w14:paraId="24029951" w14:textId="77777777" w:rsidR="005A2D50" w:rsidRPr="005A2D50" w:rsidRDefault="005A2D50" w:rsidP="005A2D50">
      <w:pPr>
        <w:pStyle w:val="BodyText"/>
        <w:rPr>
          <w:lang w:val="en-US"/>
        </w:rPr>
      </w:pPr>
    </w:p>
    <w:p w14:paraId="12C07472" w14:textId="77777777" w:rsidR="005A2D50" w:rsidRPr="005A2D50" w:rsidRDefault="005A2D50" w:rsidP="005A2D50">
      <w:pPr>
        <w:pStyle w:val="BodyText"/>
        <w:ind w:left="284"/>
        <w:rPr>
          <w:lang w:val="en-US"/>
        </w:rPr>
      </w:pPr>
      <w:r w:rsidRPr="005A2D50">
        <w:rPr>
          <w:lang w:val="en-US"/>
        </w:rPr>
        <w:t>i) tiek kārtota un ir pieejama pieteikuma iesniedzēja galvenā uzskaite muitas vajadzībām un</w:t>
      </w:r>
    </w:p>
    <w:p w14:paraId="7C3FFFD8" w14:textId="77777777" w:rsidR="005A2D50" w:rsidRPr="005A2D50" w:rsidRDefault="005A2D50" w:rsidP="005A2D50">
      <w:pPr>
        <w:pStyle w:val="BodyText"/>
        <w:ind w:left="284"/>
        <w:rPr>
          <w:lang w:val="en-US"/>
        </w:rPr>
      </w:pPr>
      <w:r w:rsidRPr="005A2D50">
        <w:rPr>
          <w:lang w:val="en-US"/>
        </w:rPr>
        <w:t>ii) tiks veikta vismaz daļa no darbībām, uz kurām lēmums attieksies.</w:t>
      </w:r>
    </w:p>
    <w:p w14:paraId="3E46F7C8" w14:textId="77777777" w:rsidR="005A2D50" w:rsidRPr="005A2D50" w:rsidRDefault="005A2D50" w:rsidP="005A2D50">
      <w:pPr>
        <w:pStyle w:val="BodyText"/>
        <w:rPr>
          <w:lang w:val="en-US"/>
        </w:rPr>
      </w:pPr>
    </w:p>
    <w:p w14:paraId="439C864D" w14:textId="77777777" w:rsidR="005A2D50" w:rsidRPr="005A2D50" w:rsidRDefault="005A2D50" w:rsidP="005A2D50">
      <w:pPr>
        <w:pStyle w:val="BodyText"/>
        <w:rPr>
          <w:lang w:val="en-US"/>
        </w:rPr>
      </w:pPr>
      <w:r w:rsidRPr="005A2D50">
        <w:rPr>
          <w:lang w:val="en-US"/>
        </w:rPr>
        <w:t>Lai secinātu, ka muitas dienests ir kompetentais muitas dienests, šie divi kritēriji ir kumulatīvi jāizpilda. Praktiski tas nozīmē, ka tad, ja vieta, kurā tiek kārtota pieteikuma iesniedzēja uzskaite, atšķiras no vietas(-ām), kurā(-ās) uzskaite ir pieejama, noteicošais kritērijs būtu vieta, kurā veicamas lēmumā ietvertās darbības.</w:t>
      </w:r>
    </w:p>
    <w:p w14:paraId="66D91F39" w14:textId="77777777" w:rsidR="005A2D50" w:rsidRPr="005A2D50" w:rsidRDefault="005A2D50" w:rsidP="005A2D50">
      <w:pPr>
        <w:pStyle w:val="BodyText"/>
        <w:rPr>
          <w:lang w:val="en-US"/>
        </w:rPr>
      </w:pPr>
      <w:r w:rsidRPr="005A2D50">
        <w:rPr>
          <w:lang w:val="en-US"/>
        </w:rPr>
        <w:t>Tomēr, ņemot vērā progresīvās tendences uzņēmumu organizatoriskajās struktūrās un darījumdarbības plūsmās, kā arī pieaugošo tendenci nodot atsevišķas darbības ārpakalpojumu sniedzējiem, pareizais lēmums ne vienmēr ir acīmredzams. Ja nav iespējams skaidri noteikt dalībvalsti, kurā vajadzētu atrasties kompetentajam dienestam, balstoties uz iepriekš minēto vispārējo principu (citiem vārdiem sakot, ja uzskaite netiek veikta un nav pieejama vietā, kurā persona veic savas muitas darbības), piemēro SMK DA 12. pantu. Saskaņā ar pilnvarojumu SMK 24. panta a) punktā un atkāpjoties no SMK 22. panta 1. punkta SMK DA 12. pants paredz:</w:t>
      </w:r>
    </w:p>
    <w:p w14:paraId="328FB316" w14:textId="77777777" w:rsidR="005A2D50" w:rsidRPr="005A2D50" w:rsidRDefault="005A2D50" w:rsidP="005A2D50">
      <w:pPr>
        <w:pStyle w:val="BodyText"/>
        <w:ind w:left="284"/>
        <w:rPr>
          <w:lang w:val="en-US"/>
        </w:rPr>
      </w:pPr>
      <w:r w:rsidRPr="005A2D50">
        <w:rPr>
          <w:lang w:val="en-US"/>
        </w:rPr>
        <w:t>“Ja nav iespējams noteikt kompetento muitas dienestu saskaņā ar Kodeksa 22. panta 1. punkta trešo daļu, kompetentais muitas dienests ir tās vietas muitas dienests, kurā tiek glabāti vai ir pieejami pieteikuma iesniedzēja reģistri un dokumentācija, kas ļauj muitas dienestam pieņemt lēmumu (galvenie uzskaites reģistri muitas vajadzībām).”</w:t>
      </w:r>
    </w:p>
    <w:p w14:paraId="4DD6239D" w14:textId="77777777" w:rsidR="005A2D50" w:rsidRPr="005A2D50" w:rsidRDefault="005A2D50" w:rsidP="005A2D50">
      <w:pPr>
        <w:pStyle w:val="BodyText"/>
        <w:rPr>
          <w:lang w:val="en-US"/>
        </w:rPr>
      </w:pPr>
    </w:p>
    <w:p w14:paraId="2B2128F6" w14:textId="77777777" w:rsidR="005A2D50" w:rsidRPr="005A2D50" w:rsidRDefault="005A2D50" w:rsidP="005A2D50">
      <w:pPr>
        <w:pStyle w:val="BodyText"/>
        <w:rPr>
          <w:lang w:val="en-US"/>
        </w:rPr>
      </w:pPr>
      <w:r w:rsidRPr="005A2D50">
        <w:rPr>
          <w:lang w:val="en-US"/>
        </w:rPr>
        <w:t>Vispārējais princips paredz, ka pieteikums jāiesniedz dalībvalstī, kas vislabāk pārzina ar muitu saistītās pieteikuma iesniedzēja darbības.</w:t>
      </w:r>
    </w:p>
    <w:p w14:paraId="322D2090" w14:textId="77777777" w:rsidR="005A2D50" w:rsidRPr="005A2D50" w:rsidRDefault="005A2D50" w:rsidP="005A2D50">
      <w:pPr>
        <w:pStyle w:val="BodyText"/>
        <w:rPr>
          <w:lang w:val="en-US"/>
        </w:rPr>
      </w:pPr>
      <w:r w:rsidRPr="005A2D50">
        <w:rPr>
          <w:lang w:val="en-US"/>
        </w:rPr>
        <w:t>Gan 22. panta 1. punkta trešajā daļā, gan DA 12. pantā ir lietots formulējums “</w:t>
      </w:r>
      <w:r w:rsidRPr="005A2D50">
        <w:rPr>
          <w:i/>
          <w:iCs/>
          <w:lang w:val="en-US"/>
        </w:rPr>
        <w:t>ir glabāti vai ir pieejami</w:t>
      </w:r>
      <w:r w:rsidRPr="005A2D50">
        <w:rPr>
          <w:lang w:val="en-US"/>
        </w:rPr>
        <w:t>”. Nosacījumam “</w:t>
      </w:r>
      <w:r w:rsidRPr="005A2D50">
        <w:rPr>
          <w:i/>
          <w:iCs/>
          <w:lang w:val="en-US"/>
        </w:rPr>
        <w:t>glabāti</w:t>
      </w:r>
      <w:r w:rsidRPr="005A2D50">
        <w:rPr>
          <w:lang w:val="en-US"/>
        </w:rPr>
        <w:t>” un nosacījumam “</w:t>
      </w:r>
      <w:r w:rsidRPr="005A2D50">
        <w:rPr>
          <w:i/>
          <w:iCs/>
          <w:lang w:val="en-US"/>
        </w:rPr>
        <w:t>pieejami</w:t>
      </w:r>
      <w:r w:rsidRPr="005A2D50">
        <w:rPr>
          <w:lang w:val="en-US"/>
        </w:rPr>
        <w:t>” jābūt vienlīdz stingriem, un tos nedrīkst neņemt vērā. Tiesību akti dod muitas dienestam iespēju izvēlēties, pie kāda nosacījuma uzskatīt sevi par kompetentu – ja uzskaite tiek veikta vai ir pieejama tādā veidā, kas ļauj muitai pieņemt lēmumu, uzraudzīt atļauju, būt spējīgai revidēt turētāju un citā veidā veikt visus nepieciešamos pasākumus nodokļu iekasēšanai.</w:t>
      </w:r>
    </w:p>
    <w:p w14:paraId="0846FAD3" w14:textId="77777777" w:rsidR="005A2D50" w:rsidRPr="005A2D50" w:rsidRDefault="005A2D50" w:rsidP="005A2D50">
      <w:pPr>
        <w:pStyle w:val="BodyText"/>
        <w:rPr>
          <w:lang w:val="en-US"/>
        </w:rPr>
      </w:pPr>
      <w:r w:rsidRPr="005A2D50">
        <w:rPr>
          <w:lang w:val="en-US"/>
        </w:rPr>
        <w:t xml:space="preserve">Muitas dienestam, kas sevi uzskata par kompetentu piešķirt </w:t>
      </w:r>
      <w:r w:rsidRPr="005A2D50">
        <w:rPr>
          <w:i/>
          <w:iCs/>
          <w:lang w:val="en-US"/>
        </w:rPr>
        <w:t xml:space="preserve">CGU </w:t>
      </w:r>
      <w:r w:rsidRPr="005A2D50">
        <w:rPr>
          <w:lang w:val="en-US"/>
        </w:rPr>
        <w:t>atļauju, ir katrā gadījumā jānovērtē, vai uzskaite ir pieejama tādā apjomā, lai tas varētu:</w:t>
      </w:r>
    </w:p>
    <w:p w14:paraId="26112135" w14:textId="77777777" w:rsidR="005A2D50" w:rsidRPr="005A2D50" w:rsidRDefault="005A2D50" w:rsidP="005A2D50">
      <w:pPr>
        <w:pStyle w:val="BodyText"/>
        <w:rPr>
          <w:lang w:val="en-US"/>
        </w:rPr>
      </w:pPr>
    </w:p>
    <w:p w14:paraId="7A33BCB3" w14:textId="77777777" w:rsidR="005A2D50" w:rsidRPr="005A2D50" w:rsidRDefault="005A2D50" w:rsidP="005A2D50">
      <w:pPr>
        <w:pStyle w:val="BodyText"/>
        <w:numPr>
          <w:ilvl w:val="0"/>
          <w:numId w:val="39"/>
        </w:numPr>
        <w:tabs>
          <w:tab w:val="left" w:pos="851"/>
        </w:tabs>
        <w:ind w:left="284" w:firstLine="0"/>
        <w:rPr>
          <w:lang w:val="en-US"/>
        </w:rPr>
      </w:pPr>
      <w:r w:rsidRPr="005A2D50">
        <w:rPr>
          <w:lang w:val="en-US"/>
        </w:rPr>
        <w:t>pieņemt minētos lēmumus (apstākļu novērtējums galvojuma samazināšanas piešķiršanai, jo īpaši attiecībā uz finanšu maksātspēju utt.);</w:t>
      </w:r>
    </w:p>
    <w:p w14:paraId="2DDB260D" w14:textId="77777777" w:rsidR="005A2D50" w:rsidRPr="005A2D50" w:rsidRDefault="005A2D50" w:rsidP="005A2D50">
      <w:pPr>
        <w:pStyle w:val="BodyText"/>
        <w:numPr>
          <w:ilvl w:val="0"/>
          <w:numId w:val="39"/>
        </w:numPr>
        <w:tabs>
          <w:tab w:val="left" w:pos="851"/>
        </w:tabs>
        <w:ind w:left="284" w:firstLine="0"/>
        <w:rPr>
          <w:lang w:val="en-US"/>
        </w:rPr>
      </w:pPr>
      <w:r w:rsidRPr="005A2D50">
        <w:rPr>
          <w:lang w:val="en-US"/>
        </w:rPr>
        <w:t>pildīt savus pienākumus attiecībā uz minētajām atļaujām (piemēram, uzraudzīt izpildāmos nosacījumus, pārraudzīt atsauces summu un atgūt galvojuma nesegtās summas, ja ir piešķirti samazinājumi/atbrīvojumi utt.).</w:t>
      </w:r>
    </w:p>
    <w:p w14:paraId="4B4F807C" w14:textId="77777777" w:rsidR="005A2D50" w:rsidRPr="005A2D50" w:rsidRDefault="005A2D50" w:rsidP="005A2D50">
      <w:pPr>
        <w:pStyle w:val="BodyText"/>
        <w:rPr>
          <w:lang w:val="en-US"/>
        </w:rPr>
      </w:pPr>
    </w:p>
    <w:p w14:paraId="440104FD" w14:textId="77777777" w:rsidR="005A2D50" w:rsidRPr="005A2D50" w:rsidRDefault="005A2D50" w:rsidP="005A2D50">
      <w:pPr>
        <w:pStyle w:val="BodyText"/>
        <w:rPr>
          <w:lang w:val="en-US"/>
        </w:rPr>
      </w:pPr>
      <w:r w:rsidRPr="005A2D50">
        <w:rPr>
          <w:lang w:val="en-US"/>
        </w:rPr>
        <w:t>Praktiski tas nozīmētu turpmāk minēto.</w:t>
      </w:r>
    </w:p>
    <w:p w14:paraId="762945FC" w14:textId="77777777" w:rsidR="005A2D50" w:rsidRPr="005A2D50" w:rsidRDefault="005A2D50" w:rsidP="005A2D50">
      <w:pPr>
        <w:pStyle w:val="BodyText"/>
        <w:rPr>
          <w:lang w:val="en-US"/>
        </w:rPr>
      </w:pPr>
    </w:p>
    <w:p w14:paraId="286EB9DA" w14:textId="77777777" w:rsidR="005A2D50" w:rsidRPr="005A2D50" w:rsidRDefault="005A2D50" w:rsidP="005A2D50">
      <w:pPr>
        <w:pStyle w:val="BodyText"/>
        <w:keepNext/>
        <w:keepLines/>
        <w:rPr>
          <w:lang w:val="en-US"/>
        </w:rPr>
      </w:pPr>
      <w:r w:rsidRPr="005A2D50">
        <w:rPr>
          <w:lang w:val="en-US"/>
        </w:rPr>
        <w:t>1. piemērs.</w:t>
      </w:r>
    </w:p>
    <w:p w14:paraId="3ADCA9DA" w14:textId="77777777" w:rsidR="005A2D50" w:rsidRPr="005A2D50" w:rsidRDefault="005A2D50" w:rsidP="005A2D50">
      <w:pPr>
        <w:pStyle w:val="BodyText"/>
        <w:keepNext/>
        <w:keepLines/>
        <w:rPr>
          <w:lang w:val="en-US"/>
        </w:rPr>
      </w:pPr>
      <w:r w:rsidRPr="005A2D50">
        <w:rPr>
          <w:lang w:val="en-US"/>
        </w:rPr>
        <w:t>Uzņēmējs vēlas iesniegt pieteikumu atļaujai sniegt vispārējo galvojumu. Tā galvenā uzskaite muitas vajadzībām tiek kārtota dalībvalstī A un ir pieejama dalībvalstī B. Darbības, uz kurām lēmums attiecas, veic dalībvalstī B. Tādēļ kompetentais muitas dienests ir dalībvalsts B muitas dienests.</w:t>
      </w:r>
    </w:p>
    <w:p w14:paraId="3E6CD8E0" w14:textId="77777777" w:rsidR="005A2D50" w:rsidRPr="005A2D50" w:rsidRDefault="005A2D50" w:rsidP="005A2D50">
      <w:pPr>
        <w:pStyle w:val="BodyText"/>
        <w:rPr>
          <w:lang w:val="en-US"/>
        </w:rPr>
      </w:pPr>
    </w:p>
    <w:p w14:paraId="70C8EA8E" w14:textId="77777777" w:rsidR="005A2D50" w:rsidRPr="005A2D50" w:rsidRDefault="005A2D50" w:rsidP="005A2D50">
      <w:pPr>
        <w:pStyle w:val="BodyText"/>
        <w:rPr>
          <w:lang w:val="en-US"/>
        </w:rPr>
      </w:pPr>
      <w:r w:rsidRPr="005A2D50">
        <w:rPr>
          <w:lang w:val="en-US"/>
        </w:rPr>
        <w:t>2. piemērs.</w:t>
      </w:r>
    </w:p>
    <w:p w14:paraId="66DB39FA" w14:textId="77777777" w:rsidR="005A2D50" w:rsidRPr="005A2D50" w:rsidRDefault="005A2D50" w:rsidP="005A2D50">
      <w:pPr>
        <w:pStyle w:val="BodyText"/>
        <w:rPr>
          <w:lang w:val="en-US"/>
        </w:rPr>
      </w:pPr>
      <w:r w:rsidRPr="005A2D50">
        <w:rPr>
          <w:lang w:val="en-US"/>
        </w:rPr>
        <w:t>Uzņēmējs vēlas iesniegt pieteikumu atļaujai veikt ievešanu pārstrādei. Tā galvenā uzskaite muitas vajadzībām tiek kārtota dalībvalstī A un ir pieejama dalībvalstī B. Darbības, uz kurām lēmums attiecas, veic dalībvalstī C. Tādēļ kompetentais muitas dienests ir dalībvalsts A vai B muitas dienests. Uzņēmējs var izvēlēties iesniegt pieteikumu dalībvalstī A vai B.</w:t>
      </w:r>
    </w:p>
    <w:p w14:paraId="034C1759" w14:textId="77777777" w:rsidR="005A2D50" w:rsidRPr="005A2D50" w:rsidRDefault="005A2D50" w:rsidP="005A2D50">
      <w:pPr>
        <w:pStyle w:val="BodyText"/>
        <w:rPr>
          <w:lang w:val="en-US"/>
        </w:rPr>
      </w:pPr>
    </w:p>
    <w:p w14:paraId="1928578C" w14:textId="77777777" w:rsidR="005A2D50" w:rsidRPr="005A2D50" w:rsidRDefault="005A2D50" w:rsidP="005A2D50">
      <w:pPr>
        <w:pStyle w:val="BodyText"/>
        <w:rPr>
          <w:lang w:val="en-US"/>
        </w:rPr>
      </w:pPr>
      <w:r w:rsidRPr="005A2D50">
        <w:rPr>
          <w:lang w:val="en-US"/>
        </w:rPr>
        <w:t>3. piemērs.</w:t>
      </w:r>
    </w:p>
    <w:p w14:paraId="3BB361C4" w14:textId="77777777" w:rsidR="005A2D50" w:rsidRPr="005A2D50" w:rsidRDefault="005A2D50" w:rsidP="005A2D50">
      <w:pPr>
        <w:pStyle w:val="BodyText"/>
        <w:rPr>
          <w:lang w:val="en-US"/>
        </w:rPr>
      </w:pPr>
      <w:r w:rsidRPr="005A2D50">
        <w:rPr>
          <w:lang w:val="en-US"/>
        </w:rPr>
        <w:t>Uzņēmējs vēlas iesniegt pieteikumu atļaujai veikt ievešanu pārstrādei. Tā galvenā uzskaite muitas vajadzībām tiek kārtota trešā valstī un ir pieejama dalībvalstī A. Darbības, uz kurām lēmums attiecas, veic dalībvalstī B. Tādēļ kompetentais muitas dienests ir A dalībvalsts muitas dienests.</w:t>
      </w:r>
    </w:p>
    <w:p w14:paraId="6BBA66C1" w14:textId="77777777" w:rsidR="005A2D50" w:rsidRPr="005A2D50" w:rsidRDefault="005A2D50" w:rsidP="005A2D50">
      <w:pPr>
        <w:pStyle w:val="BodyText"/>
        <w:rPr>
          <w:lang w:val="en-US"/>
        </w:rPr>
      </w:pPr>
      <w:r w:rsidRPr="005A2D50">
        <w:rPr>
          <w:lang w:val="en-US"/>
        </w:rPr>
        <w:t xml:space="preserve">Praksē uzskaite var būt pieejama no dažādām vietām, kas atrodas dažādās dalībvalstīs. Uzņēmējam jāpieprasa </w:t>
      </w:r>
      <w:r w:rsidRPr="005A2D50">
        <w:rPr>
          <w:i/>
          <w:iCs/>
          <w:lang w:val="en-US"/>
        </w:rPr>
        <w:t xml:space="preserve">CGU </w:t>
      </w:r>
      <w:r w:rsidRPr="005A2D50">
        <w:rPr>
          <w:lang w:val="en-US"/>
        </w:rPr>
        <w:t xml:space="preserve">atļauja dalībvalstīs, kurā tiks veikta vismaz daļa no viņa muitas darbībām. Piemēram, dalībvalstis, kas piešķir atļauju attiecīgajai muitas procedūrai, var būt arī kompetenta piešķirt </w:t>
      </w:r>
      <w:r w:rsidRPr="005A2D50">
        <w:rPr>
          <w:i/>
          <w:iCs/>
          <w:lang w:val="en-US"/>
        </w:rPr>
        <w:t xml:space="preserve">CGU </w:t>
      </w:r>
      <w:r w:rsidRPr="005A2D50">
        <w:rPr>
          <w:lang w:val="en-US"/>
        </w:rPr>
        <w:t xml:space="preserve">atļauju. Ja uzņēmējam ir jāsaņem atļauja no dažādām dalībvalstīm, lai tas varētu veikt muitas darbības, visas minētās dalībvalstis principā var būt kompetentas jautājumā par pamata vispārējo galvojumu, bet tikai tad, ja uzņēmēja uzskaite ir pieejama vai tiek glabāta visās šajās dalībvalstīs. Termins “darbības, uz kurām lēmums attieksies”, kā noteikts SMK 22. panta 1. punktā, ietver visas darbības, kas uzņēmējam veicamas attiecībā uz piešķiramo atļauju, sākot no īpašās procedūras piemērošanas precēm līdz tās izpildei. Tostarp tas ietver preču uzglabāšanu, pārstrādi vai pārvietošanu. Uzņēmējam ir pienākums norādīt galveno uzskaiti SMK 22. panta 1. punkta vajadzībām, jo saistībā ar uzņēmēja iesniegto īpašo pieteikumu ir tikai viena “galvenā uzskaite muitas vajadzībām”. Kompetentais muitas dienests var pieņemt vai noraidīt tās informācijas pieejamības līmeni, kas uzņēmēja iesniegtajā pieteikumā minēta par galveno uzskaiti muitas vajadzībām, atkarībā no tā, vai tas ir pietiekams vai nav, lai veiktu darbības saistībā ar minētās atļaujas piešķiršanu un uzraudzību. Plašāka informācija par ar muitu saistītās dokumentācijas pieejamību ir pieejama </w:t>
      </w:r>
      <w:r w:rsidRPr="005A2D50">
        <w:rPr>
          <w:i/>
          <w:iCs/>
          <w:lang w:val="en-US"/>
        </w:rPr>
        <w:t xml:space="preserve">AEO </w:t>
      </w:r>
      <w:r w:rsidRPr="005A2D50">
        <w:rPr>
          <w:lang w:val="en-US"/>
        </w:rPr>
        <w:t>vadlīniju 3.I.2. sadaļā (63. lpp.).</w:t>
      </w:r>
      <w:r w:rsidRPr="005A2D50">
        <w:rPr>
          <w:rStyle w:val="FootnoteReference"/>
          <w:lang w:val="en-US"/>
        </w:rPr>
        <w:footnoteReference w:id="10"/>
      </w:r>
    </w:p>
    <w:p w14:paraId="6904F00C" w14:textId="77777777" w:rsidR="005A2D50" w:rsidRPr="005A2D50" w:rsidRDefault="005A2D50" w:rsidP="005A2D50">
      <w:pPr>
        <w:pStyle w:val="BodyText"/>
        <w:rPr>
          <w:lang w:val="en-US"/>
        </w:rPr>
      </w:pPr>
      <w:r w:rsidRPr="005A2D50">
        <w:rPr>
          <w:lang w:val="en-US"/>
        </w:rPr>
        <w:t xml:space="preserve">Lai gūtu pilnīgu priekšstatu par pieteikuma iesniedzēja ekonomisko stāvokli un muitas darbībām, tostarp viņa finansiālo stāvokli un maksātspēju, jābūt tikai vienam muitas dienestam, kas ir kompetents piešķirt </w:t>
      </w:r>
      <w:r w:rsidRPr="005A2D50">
        <w:rPr>
          <w:i/>
          <w:iCs/>
          <w:lang w:val="en-US"/>
        </w:rPr>
        <w:t xml:space="preserve">CGU </w:t>
      </w:r>
      <w:r w:rsidRPr="005A2D50">
        <w:rPr>
          <w:b/>
          <w:bCs/>
          <w:lang w:val="en-US"/>
        </w:rPr>
        <w:t>atļauju, lai segtu iespējamos muitas parādus un citus maksājumus</w:t>
      </w:r>
      <w:r w:rsidRPr="005A2D50">
        <w:rPr>
          <w:lang w:val="en-US"/>
        </w:rPr>
        <w:t xml:space="preserve">, ja piemērojami. Lai atvieglotu pieteikuma novērtēšanu attiecībā uz SMK DA 84. panta nosacījumiem, ir ieteicams, lai </w:t>
      </w:r>
      <w:r w:rsidRPr="005A2D50">
        <w:rPr>
          <w:i/>
          <w:iCs/>
          <w:lang w:val="en-US"/>
        </w:rPr>
        <w:t xml:space="preserve">CGU </w:t>
      </w:r>
      <w:r w:rsidRPr="005A2D50">
        <w:rPr>
          <w:lang w:val="en-US"/>
        </w:rPr>
        <w:t xml:space="preserve">atļauju piešķirtu tas kompetentais muitas dienests, kurš ir atbildīgs arī par </w:t>
      </w:r>
      <w:r w:rsidRPr="005A2D50">
        <w:rPr>
          <w:i/>
          <w:iCs/>
          <w:lang w:val="en-US"/>
        </w:rPr>
        <w:t xml:space="preserve">AEOC </w:t>
      </w:r>
      <w:r w:rsidRPr="005A2D50">
        <w:rPr>
          <w:lang w:val="en-US"/>
        </w:rPr>
        <w:t>atļaujas piešķiršanu.</w:t>
      </w:r>
    </w:p>
    <w:p w14:paraId="7D79F8F6" w14:textId="77777777" w:rsidR="005A2D50" w:rsidRPr="005A2D50" w:rsidRDefault="005A2D50" w:rsidP="005A2D50">
      <w:pPr>
        <w:pStyle w:val="BodyText"/>
        <w:rPr>
          <w:lang w:val="en-US"/>
        </w:rPr>
      </w:pPr>
      <w:r w:rsidRPr="005A2D50">
        <w:rPr>
          <w:lang w:val="en-US"/>
        </w:rPr>
        <w:t xml:space="preserve">Tas attiecas arī uz </w:t>
      </w:r>
      <w:r w:rsidRPr="005A2D50">
        <w:rPr>
          <w:i/>
          <w:iCs/>
          <w:lang w:val="en-US"/>
        </w:rPr>
        <w:t xml:space="preserve">CGU </w:t>
      </w:r>
      <w:r w:rsidRPr="005A2D50">
        <w:rPr>
          <w:b/>
          <w:bCs/>
          <w:lang w:val="en-US"/>
        </w:rPr>
        <w:t xml:space="preserve">atļaujām, kas sedz radušos muitas parādus </w:t>
      </w:r>
      <w:r w:rsidRPr="005A2D50">
        <w:rPr>
          <w:lang w:val="en-US"/>
        </w:rPr>
        <w:t xml:space="preserve">un citus maksājumus, ja piemērojami, kas piešķirtas </w:t>
      </w:r>
      <w:r w:rsidRPr="005A2D50">
        <w:rPr>
          <w:i/>
          <w:iCs/>
          <w:lang w:val="en-US"/>
        </w:rPr>
        <w:t>AEOC</w:t>
      </w:r>
      <w:r w:rsidRPr="005A2D50">
        <w:rPr>
          <w:lang w:val="en-US"/>
        </w:rPr>
        <w:t xml:space="preserve">. Šādā gadījumā muitas dienestam jāpārbauda </w:t>
      </w:r>
      <w:r w:rsidRPr="005A2D50">
        <w:rPr>
          <w:i/>
          <w:iCs/>
          <w:lang w:val="en-US"/>
        </w:rPr>
        <w:t xml:space="preserve">AEOC </w:t>
      </w:r>
      <w:r w:rsidRPr="005A2D50">
        <w:rPr>
          <w:lang w:val="en-US"/>
        </w:rPr>
        <w:t xml:space="preserve">statusa piešķiršanas datums, tostarp </w:t>
      </w:r>
      <w:r w:rsidRPr="005A2D50">
        <w:rPr>
          <w:i/>
          <w:iCs/>
          <w:lang w:val="en-US"/>
        </w:rPr>
        <w:t xml:space="preserve">AEOC </w:t>
      </w:r>
      <w:r w:rsidRPr="005A2D50">
        <w:rPr>
          <w:lang w:val="en-US"/>
        </w:rPr>
        <w:t xml:space="preserve">statusa uzraudzības rezultāti. Dažos gadījumos, kad var rasties šaubas par finanšu maksātspējas kritērija izpildi, pirms </w:t>
      </w:r>
      <w:r w:rsidRPr="005A2D50">
        <w:rPr>
          <w:i/>
          <w:iCs/>
          <w:lang w:val="en-US"/>
        </w:rPr>
        <w:t xml:space="preserve">CGU </w:t>
      </w:r>
      <w:r w:rsidRPr="005A2D50">
        <w:rPr>
          <w:lang w:val="en-US"/>
        </w:rPr>
        <w:t xml:space="preserve">atļaujas piešķiršanas muita var nolemt atkārtoti novērtēt </w:t>
      </w:r>
      <w:r w:rsidRPr="005A2D50">
        <w:rPr>
          <w:i/>
          <w:iCs/>
          <w:lang w:val="en-US"/>
        </w:rPr>
        <w:t xml:space="preserve">AEOC </w:t>
      </w:r>
      <w:r w:rsidRPr="005A2D50">
        <w:rPr>
          <w:lang w:val="en-US"/>
        </w:rPr>
        <w:t>statusu.</w:t>
      </w:r>
    </w:p>
    <w:p w14:paraId="4B50F831" w14:textId="77777777" w:rsidR="005A2D50" w:rsidRPr="005A2D50" w:rsidRDefault="005A2D50" w:rsidP="005A2D50">
      <w:pPr>
        <w:pStyle w:val="BodyText"/>
        <w:rPr>
          <w:lang w:val="en-US"/>
        </w:rPr>
      </w:pPr>
      <w:r w:rsidRPr="005A2D50">
        <w:rPr>
          <w:lang w:val="en-US"/>
        </w:rPr>
        <w:t xml:space="preserve">Ja pieteikuma iesniedzējs nav saņēmis atļauju muitas vienkāršojumiem, dalībvalstis ir vienojušās, ka ikvienai dalībvalstij, kurā uzņēmējs veic darbības saistībā ar laišanu brīvā apgrozībā, ir jābūt kompetentai piešķirt </w:t>
      </w:r>
      <w:r w:rsidRPr="005A2D50">
        <w:rPr>
          <w:i/>
          <w:iCs/>
          <w:lang w:val="en-US"/>
        </w:rPr>
        <w:t xml:space="preserve">CGU </w:t>
      </w:r>
      <w:r w:rsidRPr="005A2D50">
        <w:rPr>
          <w:lang w:val="en-US"/>
        </w:rPr>
        <w:t>atļauju attiecībā uz atliktajiem maksājumiem / radušos parādu. Ja nepieciešams, kompetentā dalībvalsts var nolemt atļaujas piešķiršanas procesā apspriesties ar citu dalībvalsti attiecībā uz to, kā pieteikuma iesniedzējs izpilda īpašos nosacījumus. Tomēr saskaņā ar SMK ĪA 14. pantu apspriešanās par to, vai pieteikuma iesniedzējs izpilda īpašos nosacījumus, nav obligāta.</w:t>
      </w:r>
    </w:p>
    <w:p w14:paraId="7C4E4F55" w14:textId="77777777" w:rsidR="005A2D50" w:rsidRPr="005A2D50" w:rsidRDefault="005A2D50" w:rsidP="005A2D50">
      <w:pPr>
        <w:pStyle w:val="BodyText"/>
        <w:rPr>
          <w:lang w:val="en-US"/>
        </w:rPr>
      </w:pPr>
      <w:r w:rsidRPr="005A2D50">
        <w:rPr>
          <w:lang w:val="en-US"/>
        </w:rPr>
        <w:t xml:space="preserve">Pašlaik pieteikumus un lēmumus par </w:t>
      </w:r>
      <w:r w:rsidRPr="005A2D50">
        <w:rPr>
          <w:i/>
          <w:iCs/>
          <w:lang w:val="en-US"/>
        </w:rPr>
        <w:t xml:space="preserve">CGU </w:t>
      </w:r>
      <w:r w:rsidRPr="005A2D50">
        <w:rPr>
          <w:lang w:val="en-US"/>
        </w:rPr>
        <w:t xml:space="preserve">atļaujām pārvalda, izmantojot </w:t>
      </w:r>
      <w:r w:rsidRPr="005A2D50">
        <w:rPr>
          <w:i/>
          <w:iCs/>
          <w:lang w:val="en-US"/>
        </w:rPr>
        <w:t>CDS</w:t>
      </w:r>
      <w:r w:rsidRPr="005A2D50">
        <w:rPr>
          <w:lang w:val="en-US"/>
        </w:rPr>
        <w:t>, kas ir īpašs lēmumu pārvaldības IT rīks.</w:t>
      </w:r>
    </w:p>
    <w:p w14:paraId="6346606B"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DEDE27B" w14:textId="77777777" w:rsidR="005A2D50" w:rsidRPr="005A2D50" w:rsidRDefault="005A2D50" w:rsidP="005A2D50">
      <w:pPr>
        <w:pStyle w:val="BodyText"/>
        <w:rPr>
          <w:b/>
          <w:bCs/>
          <w:lang w:val="en-US"/>
        </w:rPr>
      </w:pPr>
      <w:bookmarkStart w:id="124" w:name="V.2.2.1.2._Application_for_an_authorisat"/>
      <w:bookmarkEnd w:id="124"/>
      <w:r w:rsidRPr="005A2D50">
        <w:rPr>
          <w:b/>
          <w:bCs/>
          <w:lang w:val="en-US"/>
        </w:rPr>
        <w:t>V.2.2.1.2. Pieteikums atļaujai sniegt vispārējo galvojumu ar iespējamiem samazinājumiem vai atbrīvojumiem</w:t>
      </w:r>
    </w:p>
    <w:p w14:paraId="4A165AF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6AC2D6A" w14:textId="77777777" w:rsidR="005A2D50" w:rsidRPr="005A2D50" w:rsidRDefault="005A2D50" w:rsidP="005A2D50">
      <w:pPr>
        <w:pStyle w:val="BodyText"/>
        <w:rPr>
          <w:lang w:val="en-US"/>
        </w:rPr>
      </w:pPr>
      <w:r w:rsidRPr="005A2D50">
        <w:rPr>
          <w:lang w:val="en-US"/>
        </w:rPr>
        <w:t>Pieteikumā ir jānorāda konkrētie datu elementi, kas uzskaitīti SMK DA A pielikuma I un VI sadaļā (šā dokumenta 1. pielikums).</w:t>
      </w:r>
    </w:p>
    <w:p w14:paraId="26570F21" w14:textId="77777777" w:rsidR="005A2D50" w:rsidRPr="005A2D50" w:rsidRDefault="005A2D50" w:rsidP="005A2D50">
      <w:pPr>
        <w:pStyle w:val="BodyText"/>
        <w:rPr>
          <w:vertAlign w:val="superscript"/>
          <w:lang w:val="en-US"/>
        </w:rPr>
      </w:pPr>
      <w:r w:rsidRPr="005A2D50">
        <w:rPr>
          <w:lang w:val="en-US"/>
        </w:rPr>
        <w:t>Pieteikumu pieņem muitas dienests, ja tas atbilst vispārējiem noteikumiem par pieteikumiem un lēmumiem.</w:t>
      </w:r>
      <w:r w:rsidRPr="005A2D50">
        <w:rPr>
          <w:vertAlign w:val="superscript"/>
          <w:lang w:val="en-US"/>
        </w:rPr>
        <w:footnoteReference w:id="11"/>
      </w:r>
    </w:p>
    <w:p w14:paraId="74EC33BC" w14:textId="77777777" w:rsidR="005A2D50" w:rsidRPr="005A2D50" w:rsidRDefault="005A2D50" w:rsidP="005A2D50">
      <w:pPr>
        <w:pStyle w:val="BodyText"/>
        <w:rPr>
          <w:lang w:val="en-US"/>
        </w:rPr>
      </w:pPr>
      <w:r w:rsidRPr="005A2D50">
        <w:rPr>
          <w:lang w:val="en-US"/>
        </w:rPr>
        <w:t>Pieteikums, kas ir pieņemts, tiek tālāk apstrādāts saskaņā ar vispārējiem noteikumiem un nosacījumiem attiecībā uz lēmumiem, kas uzskaitīti SMK 22. pantā un SMK DA 8., 9. un 13. pantā.</w:t>
      </w:r>
    </w:p>
    <w:p w14:paraId="2489AFD4" w14:textId="77777777" w:rsidR="005A2D50" w:rsidRPr="005A2D50" w:rsidRDefault="005A2D50" w:rsidP="005A2D50">
      <w:pPr>
        <w:pStyle w:val="BodyText"/>
        <w:rPr>
          <w:lang w:val="en-US"/>
        </w:rPr>
      </w:pPr>
      <w:r w:rsidRPr="005A2D50">
        <w:rPr>
          <w:lang w:val="en-US"/>
        </w:rPr>
        <w:t xml:space="preserve">Ja tiek iesniegts pieteikums atļaujai, kuras derīgums ir paredzēts vairāk nekā vienā dalībvalstī, kompetentajam </w:t>
      </w:r>
      <w:r w:rsidRPr="005A2D50">
        <w:rPr>
          <w:i/>
          <w:iCs/>
          <w:lang w:val="en-US"/>
        </w:rPr>
        <w:t>CA</w:t>
      </w:r>
      <w:r w:rsidRPr="005A2D50">
        <w:rPr>
          <w:lang w:val="en-US"/>
        </w:rPr>
        <w:t xml:space="preserve">, iespējams, ir jākonsultējas ar citiem attiecīgajiem </w:t>
      </w:r>
      <w:r w:rsidRPr="005A2D50">
        <w:rPr>
          <w:i/>
          <w:iCs/>
          <w:lang w:val="en-US"/>
        </w:rPr>
        <w:t>CA</w:t>
      </w:r>
      <w:r w:rsidRPr="005A2D50">
        <w:rPr>
          <w:lang w:val="en-US"/>
        </w:rPr>
        <w:t>, lai nodrošinātu, ka nosacījumi ir izpildīti pirms lēmuma pieņemšanas (SMK 22. pants, SMK ĪA 14. pants). Tas ietver atsauces summas noteikšanu un nosacījumus, kas minēti SMK 95. pantā.</w:t>
      </w:r>
    </w:p>
    <w:p w14:paraId="512B2DA8" w14:textId="77777777" w:rsidR="005A2D50" w:rsidRPr="005A2D50" w:rsidRDefault="005A2D50" w:rsidP="005A2D50">
      <w:pPr>
        <w:pStyle w:val="BodyText"/>
        <w:rPr>
          <w:lang w:val="en-US"/>
        </w:rPr>
      </w:pPr>
    </w:p>
    <w:p w14:paraId="0083777A" w14:textId="77777777" w:rsidR="005A2D50" w:rsidRPr="005A2D50" w:rsidRDefault="005A2D50" w:rsidP="005A2D50">
      <w:pPr>
        <w:pStyle w:val="BodyText"/>
        <w:rPr>
          <w:b/>
          <w:bCs/>
          <w:lang w:val="en-US"/>
        </w:rPr>
      </w:pPr>
      <w:bookmarkStart w:id="125" w:name="V.2.2.1.3._Decisions_by_the_customs_auth"/>
      <w:bookmarkEnd w:id="125"/>
      <w:r w:rsidRPr="005A2D50">
        <w:rPr>
          <w:b/>
          <w:bCs/>
          <w:lang w:val="en-US"/>
        </w:rPr>
        <w:t>V.2.2.1.3. Muitas dienesta lēmumi</w:t>
      </w:r>
    </w:p>
    <w:p w14:paraId="4E8B36F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DC7C186" w14:textId="77777777" w:rsidR="005A2D50" w:rsidRPr="005A2D50" w:rsidRDefault="005A2D50" w:rsidP="005A2D50">
      <w:pPr>
        <w:pStyle w:val="BodyText"/>
        <w:rPr>
          <w:lang w:val="en-US"/>
        </w:rPr>
      </w:pPr>
      <w:r w:rsidRPr="005A2D50">
        <w:rPr>
          <w:lang w:val="en-US"/>
        </w:rPr>
        <w:t xml:space="preserve">Lēmumi par </w:t>
      </w:r>
      <w:r w:rsidRPr="005A2D50">
        <w:rPr>
          <w:i/>
          <w:iCs/>
          <w:lang w:val="en-US"/>
        </w:rPr>
        <w:t xml:space="preserve">CGU </w:t>
      </w:r>
      <w:r w:rsidRPr="005A2D50">
        <w:rPr>
          <w:lang w:val="en-US"/>
        </w:rPr>
        <w:t>atļaujas piešķiršanu jāpieņem saskaņā ar SMK 22. un 95. pantu un SMK ĪA 14. pantu. Papildu norādījumi ir sniegti vispārīgajās vadlīnijās par lēmumiem muitas jomā.</w:t>
      </w:r>
      <w:r w:rsidRPr="005A2D50">
        <w:rPr>
          <w:rStyle w:val="FootnoteReference"/>
          <w:lang w:val="en-US"/>
        </w:rPr>
        <w:footnoteReference w:id="12"/>
      </w:r>
    </w:p>
    <w:p w14:paraId="03580E4C" w14:textId="77777777" w:rsidR="005A2D50" w:rsidRPr="005A2D50" w:rsidRDefault="005A2D50" w:rsidP="005A2D50">
      <w:pPr>
        <w:pStyle w:val="BodyText"/>
        <w:rPr>
          <w:lang w:val="en-US"/>
        </w:rPr>
      </w:pPr>
      <w:r w:rsidRPr="005A2D50">
        <w:rPr>
          <w:lang w:val="en-US"/>
        </w:rPr>
        <w:t xml:space="preserve">Šajā nolūkā kompetentajam </w:t>
      </w:r>
      <w:r w:rsidRPr="005A2D50">
        <w:rPr>
          <w:i/>
          <w:iCs/>
          <w:lang w:val="en-US"/>
        </w:rPr>
        <w:t xml:space="preserve">CA </w:t>
      </w:r>
      <w:r w:rsidRPr="005A2D50">
        <w:rPr>
          <w:lang w:val="en-US"/>
        </w:rPr>
        <w:t xml:space="preserve">ir jābūt pieejamiem datiem par citiem derīgiem galvojumiem, ko sniedzis pieteikuma iesniedzējs, un par </w:t>
      </w:r>
      <w:r w:rsidRPr="005A2D50">
        <w:rPr>
          <w:i/>
          <w:iCs/>
          <w:lang w:val="en-US"/>
        </w:rPr>
        <w:t xml:space="preserve">CGU </w:t>
      </w:r>
      <w:r w:rsidRPr="005A2D50">
        <w:rPr>
          <w:lang w:val="en-US"/>
        </w:rPr>
        <w:t>atļaujām.</w:t>
      </w:r>
    </w:p>
    <w:p w14:paraId="64291A34" w14:textId="77777777" w:rsidR="005A2D50" w:rsidRPr="005A2D50" w:rsidRDefault="005A2D50" w:rsidP="005A2D50">
      <w:pPr>
        <w:pStyle w:val="BodyText"/>
        <w:rPr>
          <w:lang w:val="en-US"/>
        </w:rPr>
      </w:pPr>
      <w:r w:rsidRPr="005A2D50">
        <w:rPr>
          <w:lang w:val="en-US"/>
        </w:rPr>
        <w:t xml:space="preserve">Saskaņā ar SMK ĪA 14. panta 4. punktu visu pārējo dalībvalstu attiecīgo </w:t>
      </w:r>
      <w:r w:rsidRPr="005A2D50">
        <w:rPr>
          <w:i/>
          <w:iCs/>
          <w:lang w:val="en-US"/>
        </w:rPr>
        <w:t xml:space="preserve">CA </w:t>
      </w:r>
      <w:r w:rsidRPr="005A2D50">
        <w:rPr>
          <w:lang w:val="en-US"/>
        </w:rPr>
        <w:t>apspriešanās var būt nepieciešama šādos gadījumos:</w:t>
      </w:r>
    </w:p>
    <w:p w14:paraId="17DF1742" w14:textId="77777777" w:rsidR="005A2D50" w:rsidRPr="005A2D50" w:rsidRDefault="005A2D50" w:rsidP="005A2D50">
      <w:pPr>
        <w:pStyle w:val="BodyText"/>
        <w:rPr>
          <w:lang w:val="en-US"/>
        </w:rPr>
      </w:pPr>
    </w:p>
    <w:p w14:paraId="648BF4B3" w14:textId="77777777" w:rsidR="005A2D50" w:rsidRPr="005A2D50" w:rsidRDefault="005A2D50" w:rsidP="005A2D50">
      <w:pPr>
        <w:pStyle w:val="BodyText"/>
        <w:numPr>
          <w:ilvl w:val="0"/>
          <w:numId w:val="38"/>
        </w:numPr>
        <w:tabs>
          <w:tab w:val="left" w:pos="851"/>
        </w:tabs>
        <w:ind w:left="284" w:firstLine="0"/>
        <w:rPr>
          <w:lang w:val="en-US"/>
        </w:rPr>
      </w:pPr>
      <w:r w:rsidRPr="005A2D50">
        <w:rPr>
          <w:lang w:val="en-US"/>
        </w:rPr>
        <w:t xml:space="preserve">lai uzraudzītu un/vai novērtētu nosacījumus, kas jāizpilda, lai piešķirtu </w:t>
      </w:r>
      <w:r w:rsidRPr="005A2D50">
        <w:rPr>
          <w:i/>
          <w:iCs/>
          <w:lang w:val="en-US"/>
        </w:rPr>
        <w:t xml:space="preserve">CGU </w:t>
      </w:r>
      <w:r w:rsidRPr="005A2D50">
        <w:rPr>
          <w:lang w:val="en-US"/>
        </w:rPr>
        <w:t>atļauju (piemēram, ja pieteikuma iesniedzējs ir reģistrēts vai veic citas muitas darbības citās dalībvalstīs);</w:t>
      </w:r>
    </w:p>
    <w:p w14:paraId="683759EE" w14:textId="77777777" w:rsidR="005A2D50" w:rsidRPr="005A2D50" w:rsidRDefault="005A2D50" w:rsidP="005A2D50">
      <w:pPr>
        <w:pStyle w:val="BodyText"/>
        <w:numPr>
          <w:ilvl w:val="0"/>
          <w:numId w:val="38"/>
        </w:numPr>
        <w:tabs>
          <w:tab w:val="left" w:pos="851"/>
        </w:tabs>
        <w:ind w:left="284" w:firstLine="0"/>
        <w:rPr>
          <w:lang w:val="en-US"/>
        </w:rPr>
      </w:pPr>
      <w:r w:rsidRPr="005A2D50">
        <w:rPr>
          <w:lang w:val="en-US"/>
        </w:rPr>
        <w:t>lai noteiktu atsauces summu pārējiem maksājumiem, ja piemērojami, pat ja galvojums ir derīgs tikai vienā dalībvalstī (piemēram, centralizētā muitošana).</w:t>
      </w:r>
    </w:p>
    <w:p w14:paraId="2E81F6AC" w14:textId="77777777" w:rsidR="005A2D50" w:rsidRPr="005A2D50" w:rsidRDefault="005A2D50" w:rsidP="005A2D50">
      <w:pPr>
        <w:pStyle w:val="BodyText"/>
        <w:rPr>
          <w:lang w:val="en-US"/>
        </w:rPr>
      </w:pPr>
    </w:p>
    <w:p w14:paraId="4AE0FDF3" w14:textId="77777777" w:rsidR="005A2D50" w:rsidRPr="005A2D50" w:rsidRDefault="005A2D50" w:rsidP="005A2D50">
      <w:pPr>
        <w:pStyle w:val="BodyText"/>
        <w:rPr>
          <w:lang w:val="en-US"/>
        </w:rPr>
      </w:pPr>
      <w:r w:rsidRPr="005A2D50">
        <w:rPr>
          <w:lang w:val="en-US"/>
        </w:rPr>
        <w:t>Ja galvojums ir derīgs vairāk nekā vienā dalībvalstī un atsauces summa ir jāsadala starp vairākām dalībvalstīm, apspriešanās ir obligāta pārejas periodā, kas ilgst no 2016. gada 1. maija līdz brīdim, kad ir ieviesta galvojumu pārvaldības sistēma. Apspriešanās par atsauces summas sadali neattiecas uz galvojumiem, kas sniegti kā daļa no Savienības tranzīta procedūras, jo tranzītam dalībvalstij, kas atļauj tranzīta operāciju, ir pieejami visi tās rīcībā esošie elementi saistībā ar tranzīta procedūru un pieprasīto galvojumu. Plašāka informācija par apspriešanās procedūru atsauces summas sadalīšanai ir sniegta šā dokumenta VI.3. sadaļā (Apspriešanās procedūra).</w:t>
      </w:r>
    </w:p>
    <w:p w14:paraId="347B2879" w14:textId="77777777" w:rsidR="005A2D50" w:rsidRPr="005A2D50" w:rsidRDefault="005A2D50" w:rsidP="005A2D50">
      <w:pPr>
        <w:pStyle w:val="BodyText"/>
        <w:rPr>
          <w:lang w:val="en-US"/>
        </w:rPr>
      </w:pPr>
      <w:r w:rsidRPr="005A2D50">
        <w:rPr>
          <w:lang w:val="en-US"/>
        </w:rPr>
        <w:t>Kompetentais dienests sadarbībā ar uzņēmēju nosaka atsauces summu saskaņā ar SMK ĪA 155. pantu.</w:t>
      </w:r>
    </w:p>
    <w:p w14:paraId="73CC7196" w14:textId="77777777" w:rsidR="005A2D50" w:rsidRPr="005A2D50" w:rsidRDefault="005A2D50" w:rsidP="005A2D50">
      <w:pPr>
        <w:pStyle w:val="BodyText"/>
        <w:rPr>
          <w:lang w:val="en-US"/>
        </w:rPr>
      </w:pPr>
      <w:r w:rsidRPr="005A2D50">
        <w:rPr>
          <w:lang w:val="en-US"/>
        </w:rPr>
        <w:t xml:space="preserve">Ja pieteikuma iesniedzējs izpilda nosacījumus atļaujas saņemšanai (izklāstīti SMK 95. pantā, ko papildina arī SMK DA un SMK ĪA noteikumi), </w:t>
      </w:r>
      <w:r w:rsidRPr="005A2D50">
        <w:rPr>
          <w:i/>
          <w:iCs/>
          <w:lang w:val="en-US"/>
        </w:rPr>
        <w:t xml:space="preserve">CGU </w:t>
      </w:r>
      <w:r w:rsidRPr="005A2D50">
        <w:rPr>
          <w:lang w:val="en-US"/>
        </w:rPr>
        <w:t xml:space="preserve">atļauja, tostarp iespējamie samazinājumi vai atbrīvojums attiecībā uz noteikto atsauces summu, tiek piešķirta (skat. V.2.6. iedaļu). Pieņemot pieteikumu </w:t>
      </w:r>
      <w:r w:rsidRPr="005A2D50">
        <w:rPr>
          <w:i/>
          <w:iCs/>
          <w:lang w:val="en-US"/>
        </w:rPr>
        <w:t xml:space="preserve">CGU </w:t>
      </w:r>
      <w:r w:rsidRPr="005A2D50">
        <w:rPr>
          <w:lang w:val="en-US"/>
        </w:rPr>
        <w:t>atļaujas saņemšanai, muitas dienests pārbauda, vai pieteikuma iesniedzējs atbilst SMK 95. panta 1. punkta nosacījumiem.</w:t>
      </w:r>
    </w:p>
    <w:p w14:paraId="052E7A36" w14:textId="77777777" w:rsidR="005A2D50" w:rsidRPr="005A2D50" w:rsidRDefault="005A2D50" w:rsidP="005A2D50">
      <w:pPr>
        <w:pStyle w:val="BodyText"/>
        <w:rPr>
          <w:lang w:val="en-US"/>
        </w:rPr>
      </w:pPr>
    </w:p>
    <w:p w14:paraId="631320B0" w14:textId="77777777" w:rsidR="005A2D50" w:rsidRPr="005A2D50" w:rsidRDefault="005A2D50" w:rsidP="005A2D50">
      <w:pPr>
        <w:pStyle w:val="BodyText"/>
        <w:tabs>
          <w:tab w:val="left" w:pos="851"/>
        </w:tabs>
        <w:ind w:left="284"/>
        <w:rPr>
          <w:lang w:val="en-US"/>
        </w:rPr>
      </w:pPr>
      <w:r w:rsidRPr="005A2D50">
        <w:rPr>
          <w:lang w:val="en-US"/>
        </w:rPr>
        <w:t>1) Vai šī persona veic uzņēmējdarbību Savienības muitas teritorijā?</w:t>
      </w:r>
    </w:p>
    <w:p w14:paraId="6FD9ED2E" w14:textId="77777777" w:rsidR="005A2D50" w:rsidRPr="005A2D50" w:rsidRDefault="005A2D50" w:rsidP="005A2D50">
      <w:pPr>
        <w:pStyle w:val="BodyText"/>
        <w:tabs>
          <w:tab w:val="left" w:pos="851"/>
        </w:tabs>
        <w:ind w:left="284"/>
        <w:rPr>
          <w:lang w:val="en-US"/>
        </w:rPr>
      </w:pPr>
      <w:r w:rsidRPr="005A2D50">
        <w:rPr>
          <w:lang w:val="en-US"/>
        </w:rPr>
        <w:t>Atbilstīgi SMK 5. panta 4. punktam “persona” ir:</w:t>
      </w:r>
    </w:p>
    <w:p w14:paraId="166CF779" w14:textId="77777777" w:rsidR="005A2D50" w:rsidRPr="005A2D50" w:rsidRDefault="005A2D50" w:rsidP="005A2D50">
      <w:pPr>
        <w:pStyle w:val="BodyText"/>
        <w:tabs>
          <w:tab w:val="left" w:pos="851"/>
        </w:tabs>
        <w:ind w:left="284"/>
        <w:rPr>
          <w:lang w:val="en-US"/>
        </w:rPr>
      </w:pPr>
    </w:p>
    <w:p w14:paraId="6D5E96E0" w14:textId="77777777" w:rsidR="005A2D50" w:rsidRPr="005A2D50" w:rsidRDefault="005A2D50" w:rsidP="005A2D50">
      <w:pPr>
        <w:pStyle w:val="BodyText"/>
        <w:numPr>
          <w:ilvl w:val="1"/>
          <w:numId w:val="36"/>
        </w:numPr>
        <w:tabs>
          <w:tab w:val="left" w:pos="851"/>
        </w:tabs>
        <w:ind w:left="284" w:firstLine="0"/>
        <w:rPr>
          <w:lang w:val="en-US"/>
        </w:rPr>
      </w:pPr>
      <w:r w:rsidRPr="005A2D50">
        <w:rPr>
          <w:lang w:val="en-US"/>
        </w:rPr>
        <w:t>fiziska persona;</w:t>
      </w:r>
    </w:p>
    <w:p w14:paraId="60CEF8DF" w14:textId="77777777" w:rsidR="005A2D50" w:rsidRPr="005A2D50" w:rsidRDefault="005A2D50" w:rsidP="005A2D50">
      <w:pPr>
        <w:pStyle w:val="BodyText"/>
        <w:numPr>
          <w:ilvl w:val="1"/>
          <w:numId w:val="36"/>
        </w:numPr>
        <w:tabs>
          <w:tab w:val="left" w:pos="851"/>
        </w:tabs>
        <w:ind w:left="284" w:firstLine="0"/>
        <w:rPr>
          <w:lang w:val="en-US"/>
        </w:rPr>
      </w:pPr>
      <w:r w:rsidRPr="005A2D50">
        <w:rPr>
          <w:lang w:val="en-US"/>
        </w:rPr>
        <w:t>juridiska persona;</w:t>
      </w:r>
    </w:p>
    <w:p w14:paraId="7F2E799F" w14:textId="77777777" w:rsidR="005A2D50" w:rsidRPr="005A2D50" w:rsidRDefault="005A2D50" w:rsidP="005A2D50">
      <w:pPr>
        <w:pStyle w:val="BodyText"/>
        <w:numPr>
          <w:ilvl w:val="1"/>
          <w:numId w:val="36"/>
        </w:numPr>
        <w:tabs>
          <w:tab w:val="left" w:pos="851"/>
        </w:tabs>
        <w:ind w:left="284" w:firstLine="0"/>
        <w:rPr>
          <w:lang w:val="en-US"/>
        </w:rPr>
      </w:pPr>
      <w:r w:rsidRPr="005A2D50">
        <w:rPr>
          <w:lang w:val="en-US"/>
        </w:rPr>
        <w:t>jebkura personu apvienība, kam nav juridiskas personas statusa, bet kas saskaņā ar Savienības vai valsts tiesību aktiem ir tiesīga veikt juridiskas darbības.</w:t>
      </w:r>
    </w:p>
    <w:p w14:paraId="34FCB735" w14:textId="77777777" w:rsidR="005A2D50" w:rsidRPr="005A2D50" w:rsidRDefault="005A2D50" w:rsidP="005A2D50">
      <w:pPr>
        <w:pStyle w:val="BodyText"/>
        <w:tabs>
          <w:tab w:val="left" w:pos="851"/>
        </w:tabs>
        <w:ind w:left="284"/>
        <w:rPr>
          <w:lang w:val="en-US"/>
        </w:rPr>
      </w:pPr>
    </w:p>
    <w:p w14:paraId="5E0D3C33" w14:textId="77777777" w:rsidR="005A2D50" w:rsidRPr="005A2D50" w:rsidRDefault="005A2D50" w:rsidP="005A2D50">
      <w:pPr>
        <w:pStyle w:val="BodyText"/>
        <w:tabs>
          <w:tab w:val="left" w:pos="851"/>
        </w:tabs>
        <w:ind w:left="284"/>
        <w:rPr>
          <w:lang w:val="en-US"/>
        </w:rPr>
      </w:pPr>
      <w:r w:rsidRPr="005A2D50">
        <w:rPr>
          <w:lang w:val="en-US"/>
        </w:rPr>
        <w:t>Katras dalībvalsts tiesību aktos noteikts, ko var uzskatīt par fizisku personu, juridisku personu vai tādu personu apvienību, kam ir tiesības veikt juridiskas darbības, bet nav juridiskas personas statusa.</w:t>
      </w:r>
    </w:p>
    <w:p w14:paraId="3CCB6976" w14:textId="77777777" w:rsidR="005A2D50" w:rsidRPr="005A2D50" w:rsidRDefault="005A2D50" w:rsidP="005A2D50">
      <w:pPr>
        <w:pStyle w:val="BodyText"/>
        <w:tabs>
          <w:tab w:val="left" w:pos="851"/>
        </w:tabs>
        <w:ind w:left="284"/>
        <w:rPr>
          <w:lang w:val="en-US"/>
        </w:rPr>
      </w:pPr>
      <w:r w:rsidRPr="005A2D50">
        <w:rPr>
          <w:lang w:val="en-US"/>
        </w:rPr>
        <w:t>Saskaņā ar SMK 5. panta 31. punktu persona veic uzņēmējdarbību Savienības muitas teritorijā, ja:</w:t>
      </w:r>
    </w:p>
    <w:p w14:paraId="6299B426" w14:textId="77777777" w:rsidR="005A2D50" w:rsidRPr="005A2D50" w:rsidRDefault="005A2D50" w:rsidP="005A2D50">
      <w:pPr>
        <w:pStyle w:val="BodyText"/>
        <w:tabs>
          <w:tab w:val="left" w:pos="851"/>
        </w:tabs>
        <w:ind w:left="284"/>
        <w:rPr>
          <w:lang w:val="en-US"/>
        </w:rPr>
      </w:pPr>
    </w:p>
    <w:p w14:paraId="3DA0FF4E" w14:textId="77777777" w:rsidR="005A2D50" w:rsidRPr="005A2D50" w:rsidRDefault="005A2D50" w:rsidP="005A2D50">
      <w:pPr>
        <w:pStyle w:val="BodyText"/>
        <w:numPr>
          <w:ilvl w:val="0"/>
          <w:numId w:val="35"/>
        </w:numPr>
        <w:tabs>
          <w:tab w:val="left" w:pos="1134"/>
        </w:tabs>
        <w:ind w:left="567" w:firstLine="0"/>
        <w:rPr>
          <w:lang w:val="en-US"/>
        </w:rPr>
      </w:pPr>
      <w:r w:rsidRPr="005A2D50">
        <w:rPr>
          <w:lang w:val="en-US"/>
        </w:rPr>
        <w:t>fiziskas personas gadījumā – personas pastāvīgā dzīvesvieta atrodas Savienības muitas teritorijā;</w:t>
      </w:r>
    </w:p>
    <w:p w14:paraId="646F2395" w14:textId="77777777" w:rsidR="005A2D50" w:rsidRPr="005A2D50" w:rsidRDefault="005A2D50" w:rsidP="005A2D50">
      <w:pPr>
        <w:pStyle w:val="BodyText"/>
        <w:numPr>
          <w:ilvl w:val="0"/>
          <w:numId w:val="35"/>
        </w:numPr>
        <w:tabs>
          <w:tab w:val="left" w:pos="1134"/>
        </w:tabs>
        <w:ind w:left="567" w:firstLine="0"/>
        <w:rPr>
          <w:lang w:val="en-US"/>
        </w:rPr>
      </w:pPr>
      <w:r w:rsidRPr="005A2D50">
        <w:rPr>
          <w:lang w:val="en-US"/>
        </w:rPr>
        <w:t>juridiskas personas vai personu apvienības gadījumā – personas juridiskā adrese, galvenā mītne vai pastāvīgā darījumdarbības vieta atrodas Savienības muitas teritorijā.</w:t>
      </w:r>
    </w:p>
    <w:p w14:paraId="16B4F993" w14:textId="77777777" w:rsidR="005A2D50" w:rsidRPr="005A2D50" w:rsidRDefault="005A2D50" w:rsidP="005A2D50">
      <w:pPr>
        <w:pStyle w:val="BodyText"/>
        <w:tabs>
          <w:tab w:val="left" w:pos="851"/>
        </w:tabs>
        <w:ind w:left="284"/>
        <w:rPr>
          <w:lang w:val="en-US"/>
        </w:rPr>
      </w:pPr>
    </w:p>
    <w:p w14:paraId="37D74C34" w14:textId="77777777" w:rsidR="005A2D50" w:rsidRPr="005A2D50" w:rsidRDefault="005A2D50" w:rsidP="005A2D50">
      <w:pPr>
        <w:pStyle w:val="BodyText"/>
        <w:tabs>
          <w:tab w:val="left" w:pos="851"/>
        </w:tabs>
        <w:ind w:left="284"/>
        <w:rPr>
          <w:lang w:val="en-US"/>
        </w:rPr>
      </w:pPr>
      <w:r w:rsidRPr="005A2D50">
        <w:rPr>
          <w:lang w:val="en-US"/>
        </w:rPr>
        <w:t>SMK 5. panta 32. punktā noteikts, ka “pastāvīga darījumdarbības vieta” ir konkrēta darījumdarbības vieta, kurā pastāvīgi atrodas nepieciešamie cilvēkresursi un tehniskie resursi un caur kuru persona pilnībā vai daļēji veic ar muitu saistītās darbības.</w:t>
      </w:r>
    </w:p>
    <w:p w14:paraId="59932B86" w14:textId="77777777" w:rsidR="005A2D50" w:rsidRPr="005A2D50" w:rsidRDefault="005A2D50" w:rsidP="005A2D50">
      <w:pPr>
        <w:pStyle w:val="BodyText"/>
        <w:tabs>
          <w:tab w:val="left" w:pos="851"/>
        </w:tabs>
        <w:ind w:left="284"/>
        <w:rPr>
          <w:lang w:val="en-US"/>
        </w:rPr>
      </w:pPr>
    </w:p>
    <w:p w14:paraId="7DF99C34" w14:textId="77777777" w:rsidR="005A2D50" w:rsidRPr="005A2D50" w:rsidRDefault="005A2D50" w:rsidP="005A2D50">
      <w:pPr>
        <w:pStyle w:val="BodyText"/>
        <w:tabs>
          <w:tab w:val="left" w:pos="851"/>
        </w:tabs>
        <w:ind w:left="284"/>
        <w:rPr>
          <w:lang w:val="en-US"/>
        </w:rPr>
      </w:pPr>
      <w:r w:rsidRPr="005A2D50">
        <w:rPr>
          <w:lang w:val="en-US"/>
        </w:rPr>
        <w:t>2) Vai šī persona atbilst kritērijiem, kas noteikti SMK 39. panta a) punktā (nav nopietnu pārkāpumu un nav ziņu par smagu noziedzīgu nodarījumu)?</w:t>
      </w:r>
    </w:p>
    <w:p w14:paraId="6BEA5FA3" w14:textId="77777777" w:rsidR="005A2D50" w:rsidRPr="005A2D50" w:rsidRDefault="005A2D50" w:rsidP="005A2D50">
      <w:pPr>
        <w:pStyle w:val="BodyText"/>
        <w:tabs>
          <w:tab w:val="left" w:pos="851"/>
        </w:tabs>
        <w:ind w:left="284"/>
        <w:rPr>
          <w:lang w:val="en-US"/>
        </w:rPr>
      </w:pPr>
      <w:r w:rsidRPr="005A2D50">
        <w:rPr>
          <w:lang w:val="en-US"/>
        </w:rPr>
        <w:t>SMK 39. panta a) punktā noteikts, ka nedrīkst būt smagu vai atkārtotu tiesību aktu muitas jomā un nodokļu noteikumu pārkāpumu, tostarp smagu noziedzīgu nodarījumu, kas saistīti ar pieteikuma iesniedzēja saimniecisko darbību. Turklāt saskaņā ar SMK ĪA 24. pantu šis kritērijs tiek atzīts par izpildītu, ja pēdējo trīs gadu laikā nav izdarīti smagi vai atkārtoti tiesību aktu muitas jomā vai nodokļu noteikumu pārkāpumi un pieteikuma iesniedzējs saistībā ar savu saimniecisko darbību nav izdarījis smagus noziedzīgus nodarījumus.</w:t>
      </w:r>
    </w:p>
    <w:p w14:paraId="1963EE06" w14:textId="77777777" w:rsidR="005A2D50" w:rsidRPr="005A2D50" w:rsidRDefault="005A2D50" w:rsidP="005A2D50">
      <w:pPr>
        <w:pStyle w:val="BodyText"/>
        <w:tabs>
          <w:tab w:val="left" w:pos="851"/>
        </w:tabs>
        <w:ind w:left="284"/>
        <w:rPr>
          <w:lang w:val="en-US"/>
        </w:rPr>
      </w:pPr>
    </w:p>
    <w:p w14:paraId="29AF0EC2" w14:textId="77777777" w:rsidR="005A2D50" w:rsidRPr="005A2D50" w:rsidRDefault="005A2D50" w:rsidP="005A2D50">
      <w:pPr>
        <w:pStyle w:val="BodyText"/>
        <w:tabs>
          <w:tab w:val="left" w:pos="851"/>
        </w:tabs>
        <w:ind w:left="284"/>
        <w:rPr>
          <w:lang w:val="en-US"/>
        </w:rPr>
      </w:pPr>
      <w:r w:rsidRPr="005A2D50">
        <w:rPr>
          <w:lang w:val="en-US"/>
        </w:rPr>
        <w:t xml:space="preserve">3) Vai šī persona regulāri izmanto attiecīgās muitas procedūras vai </w:t>
      </w:r>
      <w:r w:rsidRPr="005A2D50">
        <w:rPr>
          <w:i/>
          <w:iCs/>
          <w:lang w:val="en-US"/>
        </w:rPr>
        <w:t xml:space="preserve">TS </w:t>
      </w:r>
      <w:r w:rsidRPr="005A2D50">
        <w:rPr>
          <w:lang w:val="en-US"/>
        </w:rPr>
        <w:t>vietu turētājus, vai tā var pierādīt praktiskus kompetences vai profesionālās kvalifikācijas standartus, kas tieši saistīti ar veikto darbību?</w:t>
      </w:r>
    </w:p>
    <w:p w14:paraId="3BD5F341" w14:textId="77777777" w:rsidR="005A2D50" w:rsidRPr="005A2D50" w:rsidRDefault="005A2D50" w:rsidP="005A2D50">
      <w:pPr>
        <w:pStyle w:val="BodyText"/>
        <w:tabs>
          <w:tab w:val="left" w:pos="851"/>
        </w:tabs>
        <w:ind w:left="284"/>
        <w:rPr>
          <w:lang w:val="en-US"/>
        </w:rPr>
      </w:pPr>
      <w:r w:rsidRPr="005A2D50">
        <w:rPr>
          <w:lang w:val="en-US"/>
        </w:rPr>
        <w:t xml:space="preserve">Pieteikumus </w:t>
      </w:r>
      <w:r w:rsidRPr="005A2D50">
        <w:rPr>
          <w:i/>
          <w:iCs/>
          <w:lang w:val="en-US"/>
        </w:rPr>
        <w:t xml:space="preserve">CGU </w:t>
      </w:r>
      <w:r w:rsidRPr="005A2D50">
        <w:rPr>
          <w:lang w:val="en-US"/>
        </w:rPr>
        <w:t>atļauju saņemšanai var pieņemt vienīgi no tāda uzņēmēja, kas savā darījumdarbībā ir iesaistīts darbībās, uz kurām attiecināma muitas procedūra vai tiesību akti muitas jomā. Ir skaidri jānorāda, ka SMK 95. panta 1. punkta c) apakšpunktā ir noteikts, ka persona, kas sniedz vispārējo galvojumu, faktiski “regulāri izmanto muitas procedūru”, nevis tikai “veic kādas ar muitu saistītas darbības”.</w:t>
      </w:r>
    </w:p>
    <w:p w14:paraId="19E1E918" w14:textId="77777777" w:rsidR="005A2D50" w:rsidRPr="005A2D50" w:rsidRDefault="005A2D50" w:rsidP="005A2D50">
      <w:pPr>
        <w:pStyle w:val="BodyText"/>
        <w:rPr>
          <w:lang w:val="en-US"/>
        </w:rPr>
      </w:pPr>
    </w:p>
    <w:p w14:paraId="0AB80774" w14:textId="77777777" w:rsidR="005A2D50" w:rsidRPr="005A2D50" w:rsidRDefault="005A2D50" w:rsidP="005A2D50">
      <w:pPr>
        <w:pStyle w:val="BodyText"/>
        <w:keepNext/>
        <w:keepLines/>
        <w:rPr>
          <w:lang w:val="en-US"/>
        </w:rPr>
      </w:pPr>
      <w:r w:rsidRPr="005A2D50">
        <w:rPr>
          <w:lang w:val="en-US"/>
        </w:rPr>
        <w:t>Atļaujā jānorāda konkrētie dati, kas uzskaitīti SMK DA A pielikuma I un VI sadaļā (1. pielikums).</w:t>
      </w:r>
    </w:p>
    <w:p w14:paraId="5102966D" w14:textId="77777777" w:rsidR="005A2D50" w:rsidRPr="005A2D50" w:rsidRDefault="005A2D50" w:rsidP="005A2D50">
      <w:pPr>
        <w:pStyle w:val="BodyText"/>
        <w:rPr>
          <w:lang w:val="en-US"/>
        </w:rPr>
      </w:pPr>
      <w:r w:rsidRPr="005A2D50">
        <w:rPr>
          <w:lang w:val="en-US"/>
        </w:rPr>
        <w:t xml:space="preserve">Ja </w:t>
      </w:r>
      <w:r w:rsidRPr="005A2D50">
        <w:rPr>
          <w:i/>
          <w:iCs/>
          <w:lang w:val="en-US"/>
        </w:rPr>
        <w:t xml:space="preserve">COG </w:t>
      </w:r>
      <w:r w:rsidRPr="005A2D50">
        <w:rPr>
          <w:lang w:val="en-US"/>
        </w:rPr>
        <w:t xml:space="preserve">pieņem labvēlīgu lēmumu piešķirt </w:t>
      </w:r>
      <w:r w:rsidRPr="005A2D50">
        <w:rPr>
          <w:i/>
          <w:iCs/>
          <w:lang w:val="en-US"/>
        </w:rPr>
        <w:t xml:space="preserve">CGU </w:t>
      </w:r>
      <w:r w:rsidRPr="005A2D50">
        <w:rPr>
          <w:lang w:val="en-US"/>
        </w:rPr>
        <w:t xml:space="preserve">atļauju (vispārējā galvojuma sniegšanai, ieskaitot noteiktās atsauces summas iespējamajai samazināšanai vai atbrīvošanai), kas derīga vairāk nekā vienā dalībvalstī, kompetentajam </w:t>
      </w:r>
      <w:r w:rsidRPr="005A2D50">
        <w:rPr>
          <w:i/>
          <w:iCs/>
          <w:lang w:val="en-US"/>
        </w:rPr>
        <w:t xml:space="preserve">CA </w:t>
      </w:r>
      <w:r w:rsidRPr="005A2D50">
        <w:rPr>
          <w:lang w:val="en-US"/>
        </w:rPr>
        <w:t xml:space="preserve">ir jāinformē attiecīgais </w:t>
      </w:r>
      <w:r w:rsidRPr="005A2D50">
        <w:rPr>
          <w:i/>
          <w:iCs/>
          <w:lang w:val="en-US"/>
        </w:rPr>
        <w:t xml:space="preserve">CA </w:t>
      </w:r>
      <w:r w:rsidRPr="005A2D50">
        <w:rPr>
          <w:lang w:val="en-US"/>
        </w:rPr>
        <w:t>par šādu lēmumu saskaņā ar ĪA 14. pantu.</w:t>
      </w:r>
    </w:p>
    <w:p w14:paraId="6B51B0A8" w14:textId="77777777" w:rsidR="005A2D50" w:rsidRPr="005A2D50" w:rsidRDefault="005A2D50" w:rsidP="005A2D50">
      <w:pPr>
        <w:pStyle w:val="BodyText"/>
        <w:rPr>
          <w:lang w:val="en-US"/>
        </w:rPr>
      </w:pPr>
      <w:r w:rsidRPr="005A2D50">
        <w:rPr>
          <w:lang w:val="en-US"/>
        </w:rPr>
        <w:t xml:space="preserve">Ja atsauces summa, ko atļaujas saņemšanai noteicis </w:t>
      </w:r>
      <w:r w:rsidRPr="005A2D50">
        <w:rPr>
          <w:i/>
          <w:iCs/>
          <w:lang w:val="en-US"/>
        </w:rPr>
        <w:t>CA</w:t>
      </w:r>
      <w:r w:rsidRPr="005A2D50">
        <w:rPr>
          <w:lang w:val="en-US"/>
        </w:rPr>
        <w:t>, kurš pieņem lēmumu, atšķiras no pieteikumā norādītās summas, atšķirības iemesls ir jāpamato.</w:t>
      </w:r>
    </w:p>
    <w:p w14:paraId="37F30DCD" w14:textId="77777777" w:rsidR="005A2D50" w:rsidRPr="005A2D50" w:rsidRDefault="005A2D50" w:rsidP="005A2D50">
      <w:pPr>
        <w:pStyle w:val="BodyText"/>
        <w:rPr>
          <w:lang w:val="en-US"/>
        </w:rPr>
      </w:pPr>
      <w:r w:rsidRPr="005A2D50">
        <w:rPr>
          <w:lang w:val="en-US"/>
        </w:rPr>
        <w:t xml:space="preserve">Pēc pieteikuma saņemšanas kompetentais </w:t>
      </w:r>
      <w:r w:rsidRPr="005A2D50">
        <w:rPr>
          <w:i/>
          <w:iCs/>
          <w:lang w:val="en-US"/>
        </w:rPr>
        <w:t xml:space="preserve">CA </w:t>
      </w:r>
      <w:r w:rsidRPr="005A2D50">
        <w:rPr>
          <w:lang w:val="en-US"/>
        </w:rPr>
        <w:t xml:space="preserve">var piešķirt pieteikuma iesniedzējam vienu vai vairākas </w:t>
      </w:r>
      <w:r w:rsidRPr="005A2D50">
        <w:rPr>
          <w:i/>
          <w:iCs/>
          <w:lang w:val="en-US"/>
        </w:rPr>
        <w:t xml:space="preserve">CGU </w:t>
      </w:r>
      <w:r w:rsidRPr="005A2D50">
        <w:rPr>
          <w:lang w:val="en-US"/>
        </w:rPr>
        <w:t>atļaujas, ņemot vērā turpmāk minēto:</w:t>
      </w:r>
    </w:p>
    <w:p w14:paraId="02653330" w14:textId="77777777" w:rsidR="005A2D50" w:rsidRPr="005A2D50" w:rsidRDefault="005A2D50" w:rsidP="005A2D50">
      <w:pPr>
        <w:pStyle w:val="BodyText"/>
        <w:rPr>
          <w:lang w:val="en-US"/>
        </w:rPr>
      </w:pPr>
    </w:p>
    <w:p w14:paraId="7F697760" w14:textId="77777777" w:rsidR="005A2D50" w:rsidRPr="005A2D50" w:rsidRDefault="005A2D50" w:rsidP="005A2D50">
      <w:pPr>
        <w:pStyle w:val="BodyText"/>
        <w:numPr>
          <w:ilvl w:val="0"/>
          <w:numId w:val="34"/>
        </w:numPr>
        <w:tabs>
          <w:tab w:val="left" w:pos="851"/>
        </w:tabs>
        <w:ind w:left="284" w:firstLine="0"/>
        <w:rPr>
          <w:lang w:val="en-US"/>
        </w:rPr>
      </w:pPr>
      <w:r w:rsidRPr="005A2D50">
        <w:rPr>
          <w:lang w:val="en-US"/>
        </w:rPr>
        <w:t>to, kā atsauces summa ir pārraudzīta saskaņā ar SMK ĪA 157. pantu;</w:t>
      </w:r>
    </w:p>
    <w:p w14:paraId="0C158DE6" w14:textId="77777777" w:rsidR="005A2D50" w:rsidRPr="005A2D50" w:rsidRDefault="005A2D50" w:rsidP="005A2D50">
      <w:pPr>
        <w:pStyle w:val="BodyText"/>
        <w:numPr>
          <w:ilvl w:val="0"/>
          <w:numId w:val="34"/>
        </w:numPr>
        <w:tabs>
          <w:tab w:val="left" w:pos="851"/>
        </w:tabs>
        <w:ind w:left="284" w:firstLine="0"/>
        <w:rPr>
          <w:lang w:val="en-US"/>
        </w:rPr>
      </w:pPr>
      <w:r w:rsidRPr="005A2D50">
        <w:rPr>
          <w:lang w:val="en-US"/>
        </w:rPr>
        <w:t xml:space="preserve">pieteikumu skaitu (kopumā pieteikuma iesniedzējam jāvēršas tajā pašā </w:t>
      </w:r>
      <w:r w:rsidRPr="005A2D50">
        <w:rPr>
          <w:i/>
          <w:iCs/>
          <w:lang w:val="en-US"/>
        </w:rPr>
        <w:t>CA</w:t>
      </w:r>
      <w:r w:rsidRPr="005A2D50">
        <w:rPr>
          <w:lang w:val="en-US"/>
        </w:rPr>
        <w:t xml:space="preserve">, ja viņš jau izmanto </w:t>
      </w:r>
      <w:r w:rsidRPr="005A2D50">
        <w:rPr>
          <w:i/>
          <w:iCs/>
          <w:lang w:val="en-US"/>
        </w:rPr>
        <w:t xml:space="preserve">CGU </w:t>
      </w:r>
      <w:r w:rsidRPr="005A2D50">
        <w:rPr>
          <w:lang w:val="en-US"/>
        </w:rPr>
        <w:t xml:space="preserve">atļauju, lai palielinātu savu atsauces summu, pievienojot citas muitas procedūras, kas sedzamas ar to pašu galvojumu. Tomēr, ja viņš nav </w:t>
      </w:r>
      <w:r w:rsidRPr="005A2D50">
        <w:rPr>
          <w:i/>
          <w:iCs/>
          <w:lang w:val="en-US"/>
        </w:rPr>
        <w:t>AEOC</w:t>
      </w:r>
      <w:r w:rsidRPr="005A2D50">
        <w:rPr>
          <w:lang w:val="en-US"/>
        </w:rPr>
        <w:t>, viņš var pieteikties uz vispārējo galvojumu maksājumu atlikšanai katrā dalībvalstī, kurā viņš veic darbības, kas saistītas ar laišanu brīvā apgrozībā);</w:t>
      </w:r>
    </w:p>
    <w:p w14:paraId="31F169E0" w14:textId="77777777" w:rsidR="005A2D50" w:rsidRPr="005A2D50" w:rsidRDefault="005A2D50" w:rsidP="005A2D50">
      <w:pPr>
        <w:pStyle w:val="BodyText"/>
        <w:numPr>
          <w:ilvl w:val="0"/>
          <w:numId w:val="34"/>
        </w:numPr>
        <w:tabs>
          <w:tab w:val="left" w:pos="851"/>
        </w:tabs>
        <w:ind w:left="284" w:firstLine="0"/>
        <w:rPr>
          <w:lang w:val="en-US"/>
        </w:rPr>
      </w:pPr>
      <w:r w:rsidRPr="005A2D50">
        <w:rPr>
          <w:i/>
          <w:iCs/>
          <w:lang w:val="en-US"/>
        </w:rPr>
        <w:t xml:space="preserve">CGU </w:t>
      </w:r>
      <w:r w:rsidRPr="005A2D50">
        <w:rPr>
          <w:lang w:val="en-US"/>
        </w:rPr>
        <w:t xml:space="preserve">atļaujas derīguma ģeogrāfisko areālu (datu elements 1/4, I sadaļa, SMK DA A pielikums). SMK ĪA A pielikumā norādīta kardinalitāte “1x” attiecībā uz datu elementu “derīguma ģeogrāfisko areālu”, tātad katrai atļaujai var izmantot kādu no šādiem kodiem: visas dalībvalstis (ES līmenī), noteiktas dalībvalstis, viena dalībvalsts. Tranzītam paredzētajam galvojumam principā ir jābūt derīgam visā ES (kods “visas”). Attiecībā uz citām muitas procedūrām vai pagaidu uzglabāšanu galvojums parasti var būt derīgs vairākās dalībvalstīs vai tikai vienā dalībvalstī (kods “noteiktas” vai kods “viena”). Tāpēc nav iespējams saglabāt </w:t>
      </w:r>
      <w:r w:rsidRPr="005A2D50">
        <w:rPr>
          <w:i/>
          <w:iCs/>
          <w:lang w:val="en-US"/>
        </w:rPr>
        <w:t xml:space="preserve">CGU </w:t>
      </w:r>
      <w:r w:rsidRPr="005A2D50">
        <w:rPr>
          <w:lang w:val="en-US"/>
        </w:rPr>
        <w:t xml:space="preserve">atļauju tranzīta procedūrai, kurai jābūt derīgai visā ES, un vienlaikus citām muitas procedūrām vai </w:t>
      </w:r>
      <w:r w:rsidRPr="005A2D50">
        <w:rPr>
          <w:i/>
          <w:iCs/>
          <w:lang w:val="en-US"/>
        </w:rPr>
        <w:t>TS</w:t>
      </w:r>
      <w:r w:rsidRPr="005A2D50">
        <w:rPr>
          <w:lang w:val="en-US"/>
        </w:rPr>
        <w:t>, ja derīguma ģeogrāfiskais areāls var attiekties tikai uz vienu dalībvalsti vai vairākām dalībvalstīm;</w:t>
      </w:r>
    </w:p>
    <w:p w14:paraId="15778E7E" w14:textId="77777777" w:rsidR="005A2D50" w:rsidRPr="005A2D50" w:rsidRDefault="005A2D50" w:rsidP="005A2D50">
      <w:pPr>
        <w:pStyle w:val="BodyText"/>
        <w:numPr>
          <w:ilvl w:val="0"/>
          <w:numId w:val="34"/>
        </w:numPr>
        <w:tabs>
          <w:tab w:val="left" w:pos="851"/>
        </w:tabs>
        <w:ind w:left="284" w:firstLine="0"/>
        <w:rPr>
          <w:lang w:val="en-US"/>
        </w:rPr>
      </w:pPr>
      <w:r w:rsidRPr="005A2D50">
        <w:rPr>
          <w:lang w:val="en-US"/>
        </w:rPr>
        <w:t>muitas parāda samaksas termiņu (datu elements VI/6, VI sadaļa, SMK DA A pielikums) – parasts vai atlikts. SMK ĪA A pielikumā norādīta kardinalitāte “1x” attiecībā uz datu elementu “maksājuma termiņš”, tātad katrai atļaujai var izmantot kādu no šādiem kodiem: 1 (parasts maksājums), 2 (atlikts maksājums).</w:t>
      </w:r>
    </w:p>
    <w:p w14:paraId="26A242A1" w14:textId="77777777" w:rsidR="005A2D50" w:rsidRPr="005A2D50" w:rsidRDefault="005A2D50" w:rsidP="005A2D50">
      <w:pPr>
        <w:pStyle w:val="BodyText"/>
        <w:rPr>
          <w:lang w:val="en-US"/>
        </w:rPr>
      </w:pPr>
    </w:p>
    <w:p w14:paraId="39E2DF93" w14:textId="77777777" w:rsidR="005A2D50" w:rsidRPr="005A2D50" w:rsidRDefault="005A2D50" w:rsidP="005A2D50">
      <w:pPr>
        <w:pStyle w:val="BodyText"/>
        <w:rPr>
          <w:lang w:val="en-US"/>
        </w:rPr>
      </w:pPr>
      <w:r w:rsidRPr="005A2D50">
        <w:rPr>
          <w:lang w:val="en-US"/>
        </w:rPr>
        <w:t xml:space="preserve">Saskaņā ar SMK 23. panta 5. punktu kompetentais dienests pārrauga nosacījumus un kritērijus, kas jāizpilda </w:t>
      </w:r>
      <w:r w:rsidRPr="005A2D50">
        <w:rPr>
          <w:i/>
          <w:iCs/>
          <w:lang w:val="en-US"/>
        </w:rPr>
        <w:t xml:space="preserve">CGU </w:t>
      </w:r>
      <w:r w:rsidRPr="005A2D50">
        <w:rPr>
          <w:lang w:val="en-US"/>
        </w:rPr>
        <w:t>atļaujas(-u) turētājam. Tas arī pārrauga, vai tiek ievēroti no attiecīgā lēmuma izrietošie pienākumi (piemēram, nosacījumi, kas jāizpilda, lai piešķirtu galvojuma samazinājumu/atbrīvojumu, pārraudzītu atsauces summu utt.).</w:t>
      </w:r>
    </w:p>
    <w:p w14:paraId="4FA7D003" w14:textId="77777777" w:rsidR="005A2D50" w:rsidRPr="005A2D50" w:rsidRDefault="005A2D50" w:rsidP="005A2D50">
      <w:pPr>
        <w:pStyle w:val="BodyText"/>
        <w:rPr>
          <w:lang w:val="en-US"/>
        </w:rPr>
      </w:pPr>
      <w:r w:rsidRPr="005A2D50">
        <w:rPr>
          <w:lang w:val="en-US"/>
        </w:rPr>
        <w:t xml:space="preserve">Vienlaikus jāpārskata kopējie nosacījumi attiecībā uz </w:t>
      </w:r>
      <w:r w:rsidRPr="005A2D50">
        <w:rPr>
          <w:i/>
          <w:iCs/>
          <w:lang w:val="en-US"/>
        </w:rPr>
        <w:t xml:space="preserve">AEOC </w:t>
      </w:r>
      <w:r w:rsidRPr="005A2D50">
        <w:rPr>
          <w:lang w:val="en-US"/>
        </w:rPr>
        <w:t xml:space="preserve">statusu (SMK 39. pants) un </w:t>
      </w:r>
      <w:r w:rsidRPr="005A2D50">
        <w:rPr>
          <w:i/>
          <w:iCs/>
          <w:lang w:val="en-US"/>
        </w:rPr>
        <w:t xml:space="preserve">CGU </w:t>
      </w:r>
      <w:r w:rsidRPr="005A2D50">
        <w:rPr>
          <w:lang w:val="en-US"/>
        </w:rPr>
        <w:t>atļaujām (SMK 95. panta 2. punkts un SMK DA 84. pants).</w:t>
      </w:r>
    </w:p>
    <w:p w14:paraId="73E3D31C" w14:textId="77777777" w:rsidR="005A2D50" w:rsidRPr="005A2D50" w:rsidRDefault="005A2D50" w:rsidP="005A2D50">
      <w:pPr>
        <w:pStyle w:val="BodyText"/>
        <w:rPr>
          <w:lang w:val="en-US"/>
        </w:rPr>
      </w:pPr>
      <w:r w:rsidRPr="005A2D50">
        <w:rPr>
          <w:lang w:val="en-US"/>
        </w:rPr>
        <w:t xml:space="preserve">Dažādu īpašo nosacījumu atkārtotai novērtēšanai varētu būt dažādi termiņi. Tā kā dažus nosacījumus var nevērtēt atkārtoti katru gadu, </w:t>
      </w:r>
      <w:r w:rsidRPr="005A2D50">
        <w:rPr>
          <w:i/>
          <w:iCs/>
          <w:lang w:val="en-US"/>
        </w:rPr>
        <w:t xml:space="preserve">CGU </w:t>
      </w:r>
      <w:r w:rsidRPr="005A2D50">
        <w:rPr>
          <w:lang w:val="en-US"/>
        </w:rPr>
        <w:t>atļaujas turētāja finansiālais stāvoklis atkārtoti jānovērtē ik pēc 12 mēnešiem, jo īpaši tad, ja ir piešķirts galvojuma samazinājums vai atbrīvojums. Praksē dažas dalībvalstis visus nosacījumus atkārtoti novērtē katru gadu. Citas katru gadu atkārtoti novērtē nosacījumu par pietiekami labu finansiālo stāvokli, bet citus nosacījumus – ik pēc trim gadiem.</w:t>
      </w:r>
    </w:p>
    <w:p w14:paraId="0626D914" w14:textId="77777777" w:rsidR="005A2D50" w:rsidRPr="005A2D50" w:rsidRDefault="005A2D50" w:rsidP="005A2D50">
      <w:pPr>
        <w:pStyle w:val="BodyText"/>
        <w:rPr>
          <w:lang w:val="en-US"/>
        </w:rPr>
      </w:pPr>
      <w:r w:rsidRPr="005A2D50">
        <w:rPr>
          <w:lang w:val="en-US"/>
        </w:rPr>
        <w:t xml:space="preserve">Ja muitas dienesti saņem informāciju par to, ka uzņēmējs vairs neatbilst kādam no nosacījumiem, vai ja ir notikušas izmaiņas uzņēmēja darbībā vai organizācijā, tiem ir atkārtoti jānovērtē </w:t>
      </w:r>
      <w:r w:rsidRPr="005A2D50">
        <w:rPr>
          <w:i/>
          <w:iCs/>
          <w:lang w:val="en-US"/>
        </w:rPr>
        <w:t xml:space="preserve">CGU </w:t>
      </w:r>
      <w:r w:rsidRPr="005A2D50">
        <w:rPr>
          <w:lang w:val="en-US"/>
        </w:rPr>
        <w:t>atļauja. Atkārtoti novērtējot nosacījumu par pietiekami labu finansiālo stāvokli, muitas dienestam ir jāņem vērā atsauces summas pārraudzības rezultāti.</w:t>
      </w:r>
    </w:p>
    <w:p w14:paraId="1B628A24" w14:textId="77777777" w:rsidR="005A2D50" w:rsidRPr="005A2D50" w:rsidRDefault="005A2D50" w:rsidP="005A2D50">
      <w:pPr>
        <w:pStyle w:val="BodyText"/>
        <w:rPr>
          <w:lang w:val="en-US"/>
        </w:rPr>
      </w:pPr>
      <w:r w:rsidRPr="005A2D50">
        <w:rPr>
          <w:i/>
          <w:iCs/>
          <w:lang w:val="en-US"/>
        </w:rPr>
        <w:t xml:space="preserve">CGU </w:t>
      </w:r>
      <w:r w:rsidRPr="005A2D50">
        <w:rPr>
          <w:lang w:val="en-US"/>
        </w:rPr>
        <w:t>atļauju var atkārtoti novērtēt arī pēc uzņēmēja pieprasījuma, ievērojot viņa pienākumu pārraudzīt galvojumus un viņa atļaujas, jo viņš labāk pārzina to, kā tiek izpildīti atļaujas piešķiršanas nosacījumi un kāda ir viņa darbība un organizācija.</w:t>
      </w:r>
    </w:p>
    <w:p w14:paraId="2E5A518F" w14:textId="77777777" w:rsidR="005A2D50" w:rsidRPr="005A2D50" w:rsidRDefault="005A2D50" w:rsidP="005A2D50">
      <w:pPr>
        <w:pStyle w:val="BodyText"/>
        <w:rPr>
          <w:lang w:val="en-US"/>
        </w:rPr>
      </w:pPr>
      <w:r w:rsidRPr="005A2D50">
        <w:rPr>
          <w:i/>
          <w:iCs/>
          <w:lang w:val="en-US"/>
        </w:rPr>
        <w:t xml:space="preserve">CGU </w:t>
      </w:r>
      <w:r w:rsidRPr="005A2D50">
        <w:rPr>
          <w:lang w:val="en-US"/>
        </w:rPr>
        <w:t>atļaujas atkārtotas novērtēšanas procesā muitas dienestiem ir jāpiemēro vispārīgie noteikumi par to lēmumu pārvaldību, kas attiecas uz atļaujām, kuras piešķirtas, pamatojoties uz SMK 22. panta 5. punktu.</w:t>
      </w:r>
    </w:p>
    <w:p w14:paraId="59F7A38E" w14:textId="77777777" w:rsidR="005A2D50" w:rsidRPr="005A2D50" w:rsidRDefault="005A2D50" w:rsidP="005A2D50">
      <w:pPr>
        <w:pStyle w:val="BodyText"/>
        <w:rPr>
          <w:lang w:val="en-US"/>
        </w:rPr>
      </w:pPr>
      <w:r w:rsidRPr="005A2D50">
        <w:rPr>
          <w:lang w:val="en-US"/>
        </w:rPr>
        <w:t xml:space="preserve">Atbilstoši pārraudzības rezultātiem, atļaujas turētāja priekšlikumiem un to dalībvalstu </w:t>
      </w:r>
      <w:r w:rsidRPr="005A2D50">
        <w:rPr>
          <w:i/>
          <w:iCs/>
          <w:lang w:val="en-US"/>
        </w:rPr>
        <w:t xml:space="preserve">CA </w:t>
      </w:r>
      <w:r w:rsidRPr="005A2D50">
        <w:rPr>
          <w:lang w:val="en-US"/>
        </w:rPr>
        <w:t xml:space="preserve">priekšlikumiem, kurās galvojums ir derīgs, kā arī ņemot vērā citus nosacījumus, kas var ietekmēt atļaujas derīgumu un/vai saturu, saskaņā ar SMK 23. panta 3. punktu </w:t>
      </w:r>
      <w:r w:rsidRPr="005A2D50">
        <w:rPr>
          <w:i/>
          <w:iCs/>
          <w:lang w:val="en-US"/>
        </w:rPr>
        <w:t xml:space="preserve">CA </w:t>
      </w:r>
      <w:r w:rsidRPr="005A2D50">
        <w:rPr>
          <w:lang w:val="en-US"/>
        </w:rPr>
        <w:t>var pieņemt šādus lēmumus:</w:t>
      </w:r>
    </w:p>
    <w:p w14:paraId="0C4A58CE" w14:textId="77777777" w:rsidR="005A2D50" w:rsidRPr="005A2D50" w:rsidRDefault="005A2D50" w:rsidP="005A2D50">
      <w:pPr>
        <w:pStyle w:val="BodyText"/>
        <w:rPr>
          <w:lang w:val="en-US"/>
        </w:rPr>
      </w:pPr>
    </w:p>
    <w:p w14:paraId="1B3D7EA0" w14:textId="77777777" w:rsidR="005A2D50" w:rsidRPr="005A2D50" w:rsidRDefault="005A2D50" w:rsidP="005A2D50">
      <w:pPr>
        <w:pStyle w:val="BodyText"/>
        <w:numPr>
          <w:ilvl w:val="0"/>
          <w:numId w:val="33"/>
        </w:numPr>
        <w:tabs>
          <w:tab w:val="left" w:pos="851"/>
        </w:tabs>
        <w:ind w:left="284" w:firstLine="0"/>
        <w:rPr>
          <w:lang w:val="en-US"/>
        </w:rPr>
      </w:pPr>
      <w:r w:rsidRPr="005A2D50">
        <w:rPr>
          <w:lang w:val="en-US"/>
        </w:rPr>
        <w:t>anulēt atļauju saskaņā ar SMK 27. pantu;</w:t>
      </w:r>
    </w:p>
    <w:p w14:paraId="212F84E9" w14:textId="77777777" w:rsidR="005A2D50" w:rsidRPr="005A2D50" w:rsidRDefault="005A2D50" w:rsidP="005A2D50">
      <w:pPr>
        <w:pStyle w:val="BodyText"/>
        <w:numPr>
          <w:ilvl w:val="0"/>
          <w:numId w:val="33"/>
        </w:numPr>
        <w:tabs>
          <w:tab w:val="left" w:pos="851"/>
        </w:tabs>
        <w:ind w:left="284" w:firstLine="0"/>
        <w:rPr>
          <w:lang w:val="en-US"/>
        </w:rPr>
      </w:pPr>
      <w:r w:rsidRPr="005A2D50">
        <w:rPr>
          <w:lang w:val="en-US"/>
        </w:rPr>
        <w:t>atcelt vai grozīt atļauju saskaņā ar SMK 28. pantu;</w:t>
      </w:r>
    </w:p>
    <w:p w14:paraId="370AAEBE" w14:textId="77777777" w:rsidR="005A2D50" w:rsidRPr="005A2D50" w:rsidRDefault="005A2D50" w:rsidP="005A2D50">
      <w:pPr>
        <w:pStyle w:val="BodyText"/>
        <w:numPr>
          <w:ilvl w:val="0"/>
          <w:numId w:val="33"/>
        </w:numPr>
        <w:tabs>
          <w:tab w:val="left" w:pos="851"/>
        </w:tabs>
        <w:ind w:left="284" w:firstLine="0"/>
        <w:rPr>
          <w:lang w:val="en-US"/>
        </w:rPr>
      </w:pPr>
      <w:r w:rsidRPr="005A2D50">
        <w:rPr>
          <w:lang w:val="en-US"/>
        </w:rPr>
        <w:t>apturēt atļauju saskaņā ar SMK 23. panta 4. punkta b) apakšpunktu, SMK DA 16.–18. pantu un SMK ĪA 15. pantu.</w:t>
      </w:r>
    </w:p>
    <w:p w14:paraId="2FDE8F88" w14:textId="77777777" w:rsidR="005A2D50" w:rsidRPr="005A2D50" w:rsidRDefault="005A2D50" w:rsidP="005A2D50">
      <w:pPr>
        <w:pStyle w:val="BodyText"/>
        <w:rPr>
          <w:lang w:val="en-US"/>
        </w:rPr>
      </w:pPr>
    </w:p>
    <w:p w14:paraId="08352C73" w14:textId="77777777" w:rsidR="005A2D50" w:rsidRPr="005A2D50" w:rsidRDefault="005A2D50" w:rsidP="005A2D50">
      <w:pPr>
        <w:pStyle w:val="BodyText"/>
        <w:rPr>
          <w:lang w:val="en-US"/>
        </w:rPr>
      </w:pPr>
      <w:r w:rsidRPr="005A2D50">
        <w:rPr>
          <w:lang w:val="en-US"/>
        </w:rPr>
        <w:t xml:space="preserve">Ja galvojums ir derīgs vairāk nekā vienā dalībvalstī, iepriekš minētos lēmumus kompetentais </w:t>
      </w:r>
      <w:r w:rsidRPr="005A2D50">
        <w:rPr>
          <w:i/>
          <w:iCs/>
          <w:lang w:val="en-US"/>
        </w:rPr>
        <w:t xml:space="preserve">CA </w:t>
      </w:r>
      <w:r w:rsidRPr="005A2D50">
        <w:rPr>
          <w:lang w:val="en-US"/>
        </w:rPr>
        <w:t xml:space="preserve">var pieņemt tikai pēc apspriešanās ar visiem pārējo dalībvalstu attiecīgajiem </w:t>
      </w:r>
      <w:r w:rsidRPr="005A2D50">
        <w:rPr>
          <w:i/>
          <w:iCs/>
          <w:lang w:val="en-US"/>
        </w:rPr>
        <w:t xml:space="preserve">CA </w:t>
      </w:r>
      <w:r w:rsidRPr="005A2D50">
        <w:rPr>
          <w:lang w:val="en-US"/>
        </w:rPr>
        <w:t>saskaņā ar SMK ĪA 14. panta 4. punktu.</w:t>
      </w:r>
    </w:p>
    <w:p w14:paraId="7AF6FBA9" w14:textId="77777777" w:rsidR="005A2D50" w:rsidRPr="005A2D50" w:rsidRDefault="005A2D50" w:rsidP="005A2D50">
      <w:pPr>
        <w:pStyle w:val="BodyText"/>
        <w:rPr>
          <w:lang w:val="en-US"/>
        </w:rPr>
      </w:pPr>
      <w:r w:rsidRPr="005A2D50">
        <w:rPr>
          <w:lang w:val="en-US"/>
        </w:rPr>
        <w:t xml:space="preserve">Atļauju vienkāršojumiem, kas ir daļa no atļaujas veikt īpašu procedūru, kura minēta SMK 210. panta b)–d) punktā, nevar piešķirt, pirms nav piešķirta atļauja veikt īpašu procedūru. Turklāt šiem gadījumiem nav nepieciešams papildu galvojums, izņemot vispārējo galvojumu, ko sniedz saistībā ar </w:t>
      </w:r>
      <w:r w:rsidRPr="005A2D50">
        <w:rPr>
          <w:i/>
          <w:iCs/>
          <w:lang w:val="en-US"/>
        </w:rPr>
        <w:t xml:space="preserve">SPE </w:t>
      </w:r>
      <w:r w:rsidRPr="005A2D50">
        <w:rPr>
          <w:lang w:val="en-US"/>
        </w:rPr>
        <w:t>atļauju. Tomēr, ja ir paredzēts mainīt (grozīt, apturēt, anulēt vai atcelt) īpašas procedūras atļauju, jo šīs atļaujas turētājs nepilda pienākumu attiecībā uz sniegto galvojumu, attiecīgi jāmaina arī atļauja vienkāršojumam un atļauja sniegt vispārējo galvojumu.</w:t>
      </w:r>
    </w:p>
    <w:p w14:paraId="702171F6" w14:textId="77777777" w:rsidR="005A2D50" w:rsidRPr="005A2D50" w:rsidRDefault="005A2D50" w:rsidP="005A2D50">
      <w:pPr>
        <w:pStyle w:val="BodyText"/>
        <w:rPr>
          <w:lang w:val="en-US"/>
        </w:rPr>
      </w:pPr>
    </w:p>
    <w:p w14:paraId="4E1DD60A" w14:textId="77777777" w:rsidR="005A2D50" w:rsidRPr="005A2D50" w:rsidRDefault="005A2D50" w:rsidP="005A2D50">
      <w:pPr>
        <w:pStyle w:val="BodyText"/>
        <w:rPr>
          <w:b/>
          <w:bCs/>
          <w:lang w:val="en-US"/>
        </w:rPr>
      </w:pPr>
      <w:bookmarkStart w:id="126" w:name="V.2.2.2._Temporary_prohibition_relating_"/>
      <w:bookmarkEnd w:id="126"/>
      <w:r w:rsidRPr="005A2D50">
        <w:rPr>
          <w:b/>
          <w:bCs/>
          <w:lang w:val="en-US"/>
        </w:rPr>
        <w:t>V.2.2.2. Pagaidu aizliegumi saistībā ar vispārējo galvojumu izmantošanu – SMK 96. pants</w:t>
      </w:r>
    </w:p>
    <w:p w14:paraId="69A91838"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7130D57" w14:textId="77777777" w:rsidR="005A2D50" w:rsidRPr="005A2D50" w:rsidRDefault="005A2D50" w:rsidP="005A2D50">
      <w:pPr>
        <w:pStyle w:val="BodyText"/>
        <w:rPr>
          <w:lang w:val="en-US"/>
        </w:rPr>
      </w:pPr>
      <w:r w:rsidRPr="005A2D50">
        <w:rPr>
          <w:lang w:val="en-US"/>
        </w:rPr>
        <w:t>Saskaņā ar SMK 96. pantu īpašos gadījumos (īpašas procedūras vai pagaidu uzglabāšana) Komisija var nolemt uz laiku aizliegt izmantot vispārējo galvojumu vai izmantot vispārējo galvojumu par samazinātu summu vai atbrīvojumu no galvojuma attiecībā uz precēm, par kurām ir konstatēts, ka tās ir bijušas liela mēroga krāpšanas objekts.</w:t>
      </w:r>
    </w:p>
    <w:p w14:paraId="50F372C9" w14:textId="77777777" w:rsidR="005A2D50" w:rsidRPr="005A2D50" w:rsidRDefault="005A2D50" w:rsidP="005A2D50">
      <w:pPr>
        <w:pStyle w:val="BodyText"/>
        <w:rPr>
          <w:lang w:val="en-US"/>
        </w:rPr>
      </w:pPr>
      <w:r w:rsidRPr="005A2D50">
        <w:rPr>
          <w:lang w:val="en-US"/>
        </w:rPr>
        <w:t xml:space="preserve">Attiecīgā persona var iesniegt pieteikumu, lai saņemtu atļauju izmantot vispārējo galvojumu, kam ir noteikts pagaidu aizliegums, tam pašam </w:t>
      </w:r>
      <w:r w:rsidRPr="005A2D50">
        <w:rPr>
          <w:i/>
          <w:iCs/>
          <w:lang w:val="en-US"/>
        </w:rPr>
        <w:t>CA</w:t>
      </w:r>
      <w:r w:rsidRPr="005A2D50">
        <w:rPr>
          <w:lang w:val="en-US"/>
        </w:rPr>
        <w:t xml:space="preserve">, kurš ir piešķīris </w:t>
      </w:r>
      <w:r w:rsidRPr="005A2D50">
        <w:rPr>
          <w:i/>
          <w:iCs/>
          <w:lang w:val="en-US"/>
        </w:rPr>
        <w:t xml:space="preserve">CGU </w:t>
      </w:r>
      <w:r w:rsidRPr="005A2D50">
        <w:rPr>
          <w:lang w:val="en-US"/>
        </w:rPr>
        <w:t>atļauju, ja šī persona izpilda SMK 96. panta 2. punkta a) un b) apakšpunktā paredzētos nosacījumus, kā arī SMK 39. panta b) un c) punktā noteiktos kritērijus. Apspriešanās procedūra, kas paredzēta SMK ĪA 14. pantā, var notikt, ja vispārējais galvojums ir derīgs vairāk nekā vienā dalībvalstī.</w:t>
      </w:r>
    </w:p>
    <w:p w14:paraId="26875AFE" w14:textId="77777777" w:rsidR="005A2D50" w:rsidRPr="005A2D50" w:rsidRDefault="005A2D50" w:rsidP="005A2D50">
      <w:pPr>
        <w:pStyle w:val="BodyText"/>
        <w:rPr>
          <w:lang w:val="en-US"/>
        </w:rPr>
      </w:pPr>
      <w:r w:rsidRPr="005A2D50">
        <w:rPr>
          <w:lang w:val="en-US"/>
        </w:rPr>
        <w:t>Šie lēmumi jāpieņem ar īstenošanas aktiem saskaņā ar spēkā esošajām īpašajām procedūrām.</w:t>
      </w:r>
    </w:p>
    <w:p w14:paraId="31BA912D" w14:textId="77777777" w:rsidR="005A2D50" w:rsidRPr="005A2D50" w:rsidRDefault="005A2D50" w:rsidP="005A2D50">
      <w:pPr>
        <w:pStyle w:val="BodyText"/>
        <w:rPr>
          <w:lang w:val="en-US"/>
        </w:rPr>
      </w:pPr>
    </w:p>
    <w:p w14:paraId="5D602916" w14:textId="77777777" w:rsidR="005A2D50" w:rsidRPr="005A2D50" w:rsidRDefault="005A2D50" w:rsidP="005A2D50">
      <w:pPr>
        <w:pStyle w:val="Heading2"/>
        <w:rPr>
          <w:noProof/>
          <w:lang w:val="en-US"/>
        </w:rPr>
      </w:pPr>
      <w:bookmarkStart w:id="127" w:name="V.2.3._Establishment_of_the_reference_am"/>
      <w:bookmarkStart w:id="128" w:name="_bookmark37"/>
      <w:bookmarkStart w:id="129" w:name="_Toc104982795"/>
      <w:bookmarkEnd w:id="127"/>
      <w:bookmarkEnd w:id="128"/>
      <w:r w:rsidRPr="005A2D50">
        <w:rPr>
          <w:noProof/>
          <w:lang w:val="en-US"/>
        </w:rPr>
        <w:t>V.2.3. Atsauces summas noteikšana</w:t>
      </w:r>
      <w:bookmarkEnd w:id="129"/>
    </w:p>
    <w:p w14:paraId="4D15249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F2A3290" w14:textId="77777777" w:rsidR="005A2D50" w:rsidRPr="005A2D50" w:rsidRDefault="005A2D50" w:rsidP="005A2D50">
      <w:pPr>
        <w:tabs>
          <w:tab w:val="left" w:pos="938"/>
        </w:tabs>
        <w:jc w:val="both"/>
        <w:rPr>
          <w:rFonts w:ascii="Times New Roman" w:hAnsi="Times New Roman"/>
          <w:b/>
          <w:noProof/>
          <w:sz w:val="24"/>
          <w:lang w:val="en-US"/>
        </w:rPr>
      </w:pPr>
      <w:bookmarkStart w:id="130" w:name="V.2.3.1._Introduction"/>
      <w:bookmarkEnd w:id="130"/>
      <w:r w:rsidRPr="005A2D50">
        <w:rPr>
          <w:rFonts w:ascii="Times New Roman" w:hAnsi="Times New Roman"/>
          <w:b/>
          <w:noProof/>
          <w:sz w:val="24"/>
          <w:lang w:val="en-US"/>
        </w:rPr>
        <w:t>V.2.3.1. Ievads</w:t>
      </w:r>
    </w:p>
    <w:p w14:paraId="50E2998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0279F84" w14:textId="77777777" w:rsidR="005A2D50" w:rsidRPr="005A2D50" w:rsidRDefault="005A2D50" w:rsidP="005A2D50">
      <w:pPr>
        <w:pStyle w:val="BodyText"/>
        <w:rPr>
          <w:lang w:val="en-US"/>
        </w:rPr>
      </w:pPr>
      <w:r w:rsidRPr="005A2D50">
        <w:rPr>
          <w:lang w:val="en-US"/>
        </w:rPr>
        <w:t>Saskaņā ar SMK ĪA 155. pantu vispārējo galvojumu var izmantot atbilstoši atsauces summai.</w:t>
      </w:r>
    </w:p>
    <w:p w14:paraId="2B1F4087" w14:textId="77777777" w:rsidR="005A2D50" w:rsidRPr="005A2D50" w:rsidRDefault="005A2D50" w:rsidP="005A2D50">
      <w:pPr>
        <w:pStyle w:val="BodyText"/>
        <w:rPr>
          <w:lang w:val="en-US"/>
        </w:rPr>
      </w:pPr>
      <w:r w:rsidRPr="005A2D50">
        <w:rPr>
          <w:lang w:val="en-US"/>
        </w:rPr>
        <w:t xml:space="preserve">Lai aizsargātu Savienības budžeta un dalībvalstu budžetu finansiālās intereses, </w:t>
      </w:r>
      <w:r w:rsidRPr="005A2D50">
        <w:rPr>
          <w:i/>
          <w:iCs/>
          <w:lang w:val="en-US"/>
        </w:rPr>
        <w:t xml:space="preserve">CA </w:t>
      </w:r>
      <w:r w:rsidRPr="005A2D50">
        <w:rPr>
          <w:lang w:val="en-US"/>
        </w:rPr>
        <w:t>nosaka atsauces summu, kas ir pietiekama, lai jebkurā brīdī segtu attiecīgo muitas parāda summu, kas ir radusies un var rasties, un citus maksājumus, ja piemērojami, par kuriem tiks sniegts vispārējais galvojums. Saskaņā ar SMK 89. panta 2. punktu, ja uzņēmējs iesniedz vispārējā galvojuma pieteikumu, kuru paredzēts izmantot vairāk nekā vienā dalībvalstī, atsauces summai jāsedz ievedmuitas/izvedmuitas nodokļi un citi maksājumi, tostarp PVN, kas jāmaksā saistībā ar importu/eksportu (SMK 90. pants un SMK ĪA 155. pants).</w:t>
      </w:r>
    </w:p>
    <w:p w14:paraId="68FB5002" w14:textId="77777777" w:rsidR="005A2D50" w:rsidRPr="005A2D50" w:rsidRDefault="005A2D50" w:rsidP="005A2D50">
      <w:pPr>
        <w:pStyle w:val="BodyText"/>
        <w:rPr>
          <w:lang w:val="en-US"/>
        </w:rPr>
      </w:pPr>
      <w:r w:rsidRPr="005A2D50">
        <w:rPr>
          <w:lang w:val="en-US"/>
        </w:rPr>
        <w:t>Lai noteiktu atsauces summu, jāpiemēro turpmāk minētie principi:</w:t>
      </w:r>
    </w:p>
    <w:p w14:paraId="0C395C2F" w14:textId="77777777" w:rsidR="005A2D50" w:rsidRPr="005A2D50" w:rsidRDefault="005A2D50" w:rsidP="005A2D50">
      <w:pPr>
        <w:pStyle w:val="BodyText"/>
        <w:rPr>
          <w:lang w:val="en-US"/>
        </w:rPr>
      </w:pPr>
    </w:p>
    <w:p w14:paraId="0F92296E"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atsauces summas daļai, kas paredzēta, lai segtu radušos muitas parādu, jāatbilst ievedmuitas vai izvedmuitas nodokļa un citu maksājumu summai, kas maksājama galvojuma pieprasīšanas laikā;</w:t>
      </w:r>
    </w:p>
    <w:p w14:paraId="754C16D5"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 xml:space="preserve">atsauces summas daļai, kas paredzēta, lai segtu iespējamo muitas parādu, jāatbilst ievedmuitas vai izvedmuitas nodokļa un citu maksājumu summai, ko aprēķina, pamatojoties uz augstākajām likmēm, kuras piemēro tāda paša veida precēm </w:t>
      </w:r>
      <w:r w:rsidRPr="005A2D50">
        <w:rPr>
          <w:i/>
          <w:iCs/>
          <w:lang w:val="en-US"/>
        </w:rPr>
        <w:t>COG</w:t>
      </w:r>
      <w:r w:rsidRPr="005A2D50">
        <w:rPr>
          <w:vertAlign w:val="superscript"/>
          <w:lang w:val="en-US"/>
        </w:rPr>
        <w:footnoteReference w:id="13"/>
      </w:r>
      <w:r w:rsidRPr="005A2D50">
        <w:rPr>
          <w:vertAlign w:val="superscript"/>
          <w:lang w:val="en-US"/>
        </w:rPr>
        <w:t xml:space="preserve"> </w:t>
      </w:r>
      <w:r w:rsidRPr="005A2D50">
        <w:rPr>
          <w:lang w:val="en-US"/>
        </w:rPr>
        <w:t xml:space="preserve">dalībvalstīs. Tās var būt maksājamas laikposmā starp attiecīgās muitas procedūras piemērošanu precēm un brīdi, kad minētā procedūra ir pabeigta vai kad tiek pabeigta galapatēriņa preču uzraudzība, vai laikā starp pagaidu uzglabāšanas sākuma un precīzu beigu datumu. Šī summa jānosaka katrai MD vai </w:t>
      </w:r>
      <w:r w:rsidRPr="005A2D50">
        <w:rPr>
          <w:i/>
          <w:iCs/>
          <w:lang w:val="en-US"/>
        </w:rPr>
        <w:t xml:space="preserve">TS </w:t>
      </w:r>
      <w:r w:rsidRPr="005A2D50">
        <w:rPr>
          <w:lang w:val="en-US"/>
        </w:rPr>
        <w:t>deklarācijai, attiecībā uz kuru sniedz galvojumu;</w:t>
      </w:r>
    </w:p>
    <w:p w14:paraId="0314DA3A"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atsauces summai jābūt pietiekamai, lai vienmēr segtu iespējamo un esošo muitas parādu un citus maksājumus, kas laika gaitā var atšķirties;</w:t>
      </w:r>
    </w:p>
    <w:p w14:paraId="52048576" w14:textId="77777777" w:rsidR="005A2D50" w:rsidRPr="005A2D50" w:rsidRDefault="005A2D50" w:rsidP="005A2D50">
      <w:pPr>
        <w:pStyle w:val="BodyText"/>
        <w:numPr>
          <w:ilvl w:val="0"/>
          <w:numId w:val="31"/>
        </w:numPr>
        <w:tabs>
          <w:tab w:val="left" w:pos="851"/>
        </w:tabs>
        <w:ind w:left="284" w:firstLine="0"/>
        <w:rPr>
          <w:lang w:val="en-US"/>
        </w:rPr>
      </w:pPr>
      <w:r w:rsidRPr="005A2D50">
        <w:rPr>
          <w:i/>
          <w:iCs/>
          <w:lang w:val="en-US"/>
        </w:rPr>
        <w:t xml:space="preserve">CA </w:t>
      </w:r>
      <w:r w:rsidRPr="005A2D50">
        <w:rPr>
          <w:lang w:val="en-US"/>
        </w:rPr>
        <w:t>nosaka atsauces summu sadarbībā ar personu, kurai prasīts sniegt galvojumu (SMK ĪA 155. panta 4. punkts);</w:t>
      </w:r>
    </w:p>
    <w:p w14:paraId="1280E806"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 xml:space="preserve">saskaņā ar SMK ĪA 155. panta 4. punktu </w:t>
      </w:r>
      <w:r w:rsidRPr="005A2D50">
        <w:rPr>
          <w:i/>
          <w:iCs/>
          <w:lang w:val="en-US"/>
        </w:rPr>
        <w:t xml:space="preserve">CA </w:t>
      </w:r>
      <w:r w:rsidRPr="005A2D50">
        <w:rPr>
          <w:lang w:val="en-US"/>
        </w:rPr>
        <w:t>“(..) nosaka minēto summu, pamatojoties uz informāciju par precēm, kurām piemērotas attiecīgās muitas procedūras vai kuras ir pagaidu uzglabāšanā iepriekšējos 12 mēnešos, un uz plānoto darbību apjoma aplēsi, tostarp saskaņā ar tās personas tirdzniecības dokumentāciju un uzskaites reģistriem, kurai prasīts sniegt galvojumu”;</w:t>
      </w:r>
    </w:p>
    <w:p w14:paraId="7651E4B9"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 xml:space="preserve">SMK ĪA 155. panta 3. punktā ir paredzēta atkāpšanās iespēja atsauces summas noteikšanai gadījumos, ja to nevar droši noteikt, jo </w:t>
      </w:r>
      <w:r w:rsidRPr="005A2D50">
        <w:rPr>
          <w:i/>
          <w:iCs/>
          <w:lang w:val="en-US"/>
        </w:rPr>
        <w:t xml:space="preserve">CA </w:t>
      </w:r>
      <w:r w:rsidRPr="005A2D50">
        <w:rPr>
          <w:lang w:val="en-US"/>
        </w:rPr>
        <w:t>trūkst nepieciešamās informācijas. Tādā gadījumā summu nosaka 10 000 EUR apmērā par katru deklarāciju;</w:t>
      </w:r>
    </w:p>
    <w:p w14:paraId="3EC09667"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 xml:space="preserve">šajā kontekstā termins “deklarācija” nozīmē MD muitas procedūras piemērošanai precēm vai deklarāciju par </w:t>
      </w:r>
      <w:r w:rsidRPr="005A2D50">
        <w:rPr>
          <w:i/>
          <w:iCs/>
          <w:lang w:val="en-US"/>
        </w:rPr>
        <w:t xml:space="preserve">TS </w:t>
      </w:r>
      <w:r w:rsidRPr="005A2D50">
        <w:rPr>
          <w:lang w:val="en-US"/>
        </w:rPr>
        <w:t xml:space="preserve">piemērošanu precēm. Viena deklarācija attiecas uz visām precēm, kurām piemēro noteiktu muitas procedūru vai </w:t>
      </w:r>
      <w:r w:rsidRPr="005A2D50">
        <w:rPr>
          <w:i/>
          <w:iCs/>
          <w:lang w:val="en-US"/>
        </w:rPr>
        <w:t>TS</w:t>
      </w:r>
      <w:r w:rsidRPr="005A2D50">
        <w:rPr>
          <w:lang w:val="en-US"/>
        </w:rPr>
        <w:t>, kam ir vienāds galvenais atsauces numurs;</w:t>
      </w:r>
    </w:p>
    <w:p w14:paraId="7D56B75E"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saskaņā ar kopīgā tranzīta procedūru, nosakot attiecīgo atsauces summas daļu, Savienības preces uzskata par precēm, kas nav Savienības preces;</w:t>
      </w:r>
    </w:p>
    <w:p w14:paraId="02C59C12" w14:textId="77777777" w:rsidR="005A2D50" w:rsidRPr="005A2D50" w:rsidRDefault="005A2D50" w:rsidP="005A2D50">
      <w:pPr>
        <w:pStyle w:val="BodyText"/>
        <w:numPr>
          <w:ilvl w:val="0"/>
          <w:numId w:val="31"/>
        </w:numPr>
        <w:tabs>
          <w:tab w:val="left" w:pos="851"/>
        </w:tabs>
        <w:ind w:left="284" w:firstLine="0"/>
        <w:rPr>
          <w:lang w:val="en-US"/>
        </w:rPr>
      </w:pPr>
      <w:r w:rsidRPr="005A2D50">
        <w:rPr>
          <w:lang w:val="en-US"/>
        </w:rPr>
        <w:t xml:space="preserve">atsauces summu izskata saskaņā ar SMK ĪA 155. panta 5. punktu, un, ja nepieciešams, tā ir jākoriģē. Tas ietver arī galvojuma summas un </w:t>
      </w:r>
      <w:r w:rsidRPr="005A2D50">
        <w:rPr>
          <w:i/>
          <w:iCs/>
          <w:lang w:val="en-US"/>
        </w:rPr>
        <w:t xml:space="preserve">CGU </w:t>
      </w:r>
      <w:r w:rsidRPr="005A2D50">
        <w:rPr>
          <w:lang w:val="en-US"/>
        </w:rPr>
        <w:t>atļaujas korekciju.</w:t>
      </w:r>
    </w:p>
    <w:p w14:paraId="72010905" w14:textId="77777777" w:rsidR="005A2D50" w:rsidRPr="005A2D50" w:rsidRDefault="005A2D50" w:rsidP="005A2D50">
      <w:pPr>
        <w:pStyle w:val="BodyText"/>
        <w:tabs>
          <w:tab w:val="left" w:pos="851"/>
        </w:tabs>
        <w:ind w:left="284"/>
        <w:rPr>
          <w:lang w:val="en-US"/>
        </w:rPr>
      </w:pPr>
    </w:p>
    <w:p w14:paraId="2CC404A6" w14:textId="77777777" w:rsidR="005A2D50" w:rsidRPr="005A2D50" w:rsidRDefault="005A2D50" w:rsidP="005A2D50">
      <w:pPr>
        <w:pStyle w:val="BodyText"/>
        <w:rPr>
          <w:b/>
          <w:bCs/>
          <w:lang w:val="en-US"/>
        </w:rPr>
      </w:pPr>
      <w:bookmarkStart w:id="131" w:name="V.2.3.2._Calculation_of_the_reference_am"/>
      <w:bookmarkEnd w:id="131"/>
      <w:r w:rsidRPr="005A2D50">
        <w:rPr>
          <w:b/>
          <w:bCs/>
          <w:lang w:val="en-US"/>
        </w:rPr>
        <w:t>V.2.3.2. Atsauces summas aprēķināšana</w:t>
      </w:r>
    </w:p>
    <w:p w14:paraId="76F31A36"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7417583" w14:textId="77777777" w:rsidR="005A2D50" w:rsidRPr="005A2D50" w:rsidRDefault="005A2D50" w:rsidP="005A2D50">
      <w:pPr>
        <w:pStyle w:val="BodyText"/>
        <w:rPr>
          <w:lang w:val="en-US"/>
        </w:rPr>
      </w:pPr>
      <w:r w:rsidRPr="005A2D50">
        <w:rPr>
          <w:lang w:val="en-US"/>
        </w:rPr>
        <w:t>Lai noteiktu atsauces summu ievedmuitas vai izvedmuitas nodoklim un citiem maksājumiem, kas var rasties, ir nepieciešami trīs galvenie dati.</w:t>
      </w:r>
    </w:p>
    <w:p w14:paraId="55461202" w14:textId="77777777" w:rsidR="005A2D50" w:rsidRPr="005A2D50" w:rsidRDefault="005A2D50" w:rsidP="005A2D50">
      <w:pPr>
        <w:pStyle w:val="BodyText"/>
        <w:rPr>
          <w:lang w:val="en-US"/>
        </w:rPr>
      </w:pPr>
    </w:p>
    <w:p w14:paraId="7C2DB462" w14:textId="77777777" w:rsidR="005A2D50" w:rsidRPr="005A2D50" w:rsidRDefault="005A2D50" w:rsidP="005A2D50">
      <w:pPr>
        <w:pStyle w:val="BodyText"/>
        <w:rPr>
          <w:b/>
          <w:bCs/>
          <w:u w:color="000000"/>
          <w:lang w:val="en-US"/>
        </w:rPr>
      </w:pPr>
      <w:r w:rsidRPr="005A2D50">
        <w:rPr>
          <w:b/>
          <w:bCs/>
          <w:u w:color="000000"/>
          <w:lang w:val="en-US"/>
        </w:rPr>
        <w:t xml:space="preserve">i) To preču vērtība, kurām piemēro attiecīgo muitas procedūru vai </w:t>
      </w:r>
      <w:r w:rsidRPr="005A2D50">
        <w:rPr>
          <w:b/>
          <w:bCs/>
          <w:i/>
          <w:iCs/>
          <w:u w:color="000000"/>
          <w:lang w:val="en-US"/>
        </w:rPr>
        <w:t>TS</w:t>
      </w:r>
    </w:p>
    <w:p w14:paraId="006E15C2" w14:textId="77777777" w:rsidR="005A2D50" w:rsidRPr="005A2D50" w:rsidRDefault="005A2D50" w:rsidP="005A2D50">
      <w:pPr>
        <w:pStyle w:val="BodyText"/>
        <w:rPr>
          <w:lang w:val="en-US"/>
        </w:rPr>
      </w:pPr>
    </w:p>
    <w:p w14:paraId="1A455439" w14:textId="77777777" w:rsidR="005A2D50" w:rsidRPr="005A2D50" w:rsidRDefault="005A2D50" w:rsidP="005A2D50">
      <w:pPr>
        <w:pStyle w:val="BodyText"/>
        <w:rPr>
          <w:lang w:val="en-US"/>
        </w:rPr>
      </w:pPr>
      <w:r w:rsidRPr="005A2D50">
        <w:rPr>
          <w:lang w:val="en-US"/>
        </w:rPr>
        <w:t>Personai, kurai prasīts sniegt galvojumu, šie dati jāuzrāda tirdzniecības dokumentācijā un uzskaites reģistros.</w:t>
      </w:r>
    </w:p>
    <w:p w14:paraId="70BCD0A4" w14:textId="77777777" w:rsidR="005A2D50" w:rsidRPr="005A2D50" w:rsidRDefault="005A2D50" w:rsidP="005A2D50">
      <w:pPr>
        <w:pStyle w:val="BodyText"/>
        <w:rPr>
          <w:lang w:val="en-US"/>
        </w:rPr>
      </w:pPr>
      <w:r w:rsidRPr="005A2D50">
        <w:rPr>
          <w:lang w:val="en-US"/>
        </w:rPr>
        <w:t xml:space="preserve">Ja vēsturiskie dati nav pieejami (piemēram, uzņēmējam pirmo reizi tiek piešķirta atļauja izmantot muitas noliktavu), uzņēmējam ir jāaprēķina to preču kopējā vērtība, kurām 12 mēnešu laikposmā tas vēlas piemērot attiecīgo muitas procedūru / </w:t>
      </w:r>
      <w:r w:rsidRPr="005A2D50">
        <w:rPr>
          <w:i/>
          <w:iCs/>
          <w:lang w:val="en-US"/>
        </w:rPr>
        <w:t>TS</w:t>
      </w:r>
      <w:r w:rsidRPr="005A2D50">
        <w:rPr>
          <w:lang w:val="en-US"/>
        </w:rPr>
        <w:t>.</w:t>
      </w:r>
    </w:p>
    <w:p w14:paraId="169D294A" w14:textId="77777777" w:rsidR="005A2D50" w:rsidRPr="005A2D50" w:rsidRDefault="005A2D50" w:rsidP="005A2D50">
      <w:pPr>
        <w:pStyle w:val="BodyText"/>
        <w:rPr>
          <w:b/>
          <w:bCs/>
          <w:u w:color="000000"/>
          <w:lang w:val="en-US"/>
        </w:rPr>
      </w:pPr>
    </w:p>
    <w:p w14:paraId="2645C7F0" w14:textId="77777777" w:rsidR="005A2D50" w:rsidRPr="005A2D50" w:rsidRDefault="005A2D50" w:rsidP="005A2D50">
      <w:pPr>
        <w:pStyle w:val="BodyText"/>
        <w:rPr>
          <w:b/>
          <w:bCs/>
          <w:u w:color="000000"/>
          <w:lang w:val="en-US"/>
        </w:rPr>
      </w:pPr>
      <w:r w:rsidRPr="005A2D50">
        <w:rPr>
          <w:b/>
          <w:bCs/>
          <w:u w:color="000000"/>
          <w:lang w:val="en-US"/>
        </w:rPr>
        <w:t>ii) Preču nodokļa likme</w:t>
      </w:r>
    </w:p>
    <w:p w14:paraId="5E1403AC"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0DDD43F" w14:textId="77777777" w:rsidR="005A2D50" w:rsidRPr="005A2D50" w:rsidRDefault="005A2D50" w:rsidP="005A2D50">
      <w:pPr>
        <w:pStyle w:val="BodyText"/>
        <w:rPr>
          <w:lang w:val="en-US"/>
        </w:rPr>
      </w:pPr>
      <w:r w:rsidRPr="005A2D50">
        <w:rPr>
          <w:lang w:val="en-US"/>
        </w:rPr>
        <w:t xml:space="preserve">Atsauces summu aprēķina, pamatojoties uz augstākajām ievedmuitas vai izvedmuitas nodokļa likmēm, kuras piemērojamas tāda paša veida precēm, un, ja atbilstīgi, augstākajām citu maksājumu likmēm, kas piemērojamas saistībā ar tāda paša veida preču importu vai eksportu </w:t>
      </w:r>
      <w:r w:rsidRPr="005A2D50">
        <w:rPr>
          <w:i/>
          <w:iCs/>
          <w:lang w:val="en-US"/>
        </w:rPr>
        <w:t xml:space="preserve">COG </w:t>
      </w:r>
      <w:r w:rsidRPr="005A2D50">
        <w:rPr>
          <w:lang w:val="en-US"/>
        </w:rPr>
        <w:t>dalībvalstī.</w:t>
      </w:r>
    </w:p>
    <w:p w14:paraId="19244AE8" w14:textId="77777777" w:rsidR="005A2D50" w:rsidRPr="005A2D50" w:rsidRDefault="005A2D50" w:rsidP="005A2D50">
      <w:pPr>
        <w:pStyle w:val="BodyText"/>
        <w:rPr>
          <w:lang w:val="en-US"/>
        </w:rPr>
      </w:pPr>
      <w:r w:rsidRPr="005A2D50">
        <w:rPr>
          <w:lang w:val="en-US"/>
        </w:rPr>
        <w:t>Tāda paša veida preces ir preces, kurām ir līdzīgas īpašības kā precēm, par kurām ir prasīts sniegt galvojumu, tāpēc tās var pildīt tādas pašas funkcijas, lai gan tās var nebūt vienādas visos aspektos. Norādei uz tāda paša veida precēm jāpalīdz aprēķināt atsauces summu, ja informācijas trūkuma dēļ nav iespējams precīzi klasificēt preces, kurām piemēro muitas tarifu.</w:t>
      </w:r>
    </w:p>
    <w:p w14:paraId="205A6DD7" w14:textId="77777777" w:rsidR="005A2D50" w:rsidRPr="005A2D50" w:rsidRDefault="005A2D50" w:rsidP="005A2D50">
      <w:pPr>
        <w:pStyle w:val="BodyText"/>
        <w:rPr>
          <w:lang w:val="en-US"/>
        </w:rPr>
      </w:pPr>
      <w:r w:rsidRPr="005A2D50">
        <w:rPr>
          <w:lang w:val="en-US"/>
        </w:rPr>
        <w:t>Tāpēc aprēķins jāveic, pamatojoties uz ievedmuitas nodokļiem un, ja atbilstīgi, citiem maksājumiem, kas būtu piemērojami tāda paša veida precēm, ja tās laistu brīvā apgrozībā, vai pamatojoties uz ievedmuitas nodokļiem un citiem maksājumiem, ko piemēro tāda paša veida precēm, kuras agrāk laistas brīvā apgrozībā.</w:t>
      </w:r>
    </w:p>
    <w:p w14:paraId="4834967D" w14:textId="77777777" w:rsidR="005A2D50" w:rsidRPr="005A2D50" w:rsidRDefault="005A2D50" w:rsidP="005A2D50">
      <w:pPr>
        <w:pStyle w:val="BodyText"/>
        <w:rPr>
          <w:lang w:val="en-US"/>
        </w:rPr>
      </w:pPr>
      <w:r w:rsidRPr="005A2D50">
        <w:rPr>
          <w:lang w:val="en-US"/>
        </w:rPr>
        <w:t xml:space="preserve">Uzņēmējs kā daļu no </w:t>
      </w:r>
      <w:r w:rsidRPr="005A2D50">
        <w:rPr>
          <w:i/>
          <w:iCs/>
          <w:lang w:val="en-US"/>
        </w:rPr>
        <w:t xml:space="preserve">CGU </w:t>
      </w:r>
      <w:r w:rsidRPr="005A2D50">
        <w:rPr>
          <w:lang w:val="en-US"/>
        </w:rPr>
        <w:t>atļaujas pieteikuma iesniedz informāciju par lielāko nodokļa summu un citiem maksājumiem, kas piemērojami katram atsevišķam sūtījumam un attiecas uz pēdējo 12 mēnešu periodu, vai, ja šāda informācija nav pieejama, informāciju par iespējamo augstāko nodokļa summu un citiem maksājumiem, kas piemērojami jebkuram atsevišķam sūtījumam turpmākajā 12 mēnešu periodā.</w:t>
      </w:r>
    </w:p>
    <w:p w14:paraId="247E1AE5" w14:textId="77777777" w:rsidR="005A2D50" w:rsidRPr="005A2D50" w:rsidRDefault="005A2D50" w:rsidP="005A2D50">
      <w:pPr>
        <w:pStyle w:val="BodyText"/>
        <w:rPr>
          <w:lang w:val="en-US"/>
        </w:rPr>
      </w:pPr>
      <w:r w:rsidRPr="005A2D50">
        <w:rPr>
          <w:lang w:val="en-US"/>
        </w:rPr>
        <w:t>Attiecīgās preces jāklasificē, pamatojoties uz muitas tarifu. Nosakot atsauces summu, nedrīkst ņemt vērā kādus labvēlīgus tarifa pasākumus.</w:t>
      </w:r>
    </w:p>
    <w:p w14:paraId="14DA82BC" w14:textId="77777777" w:rsidR="005A2D50" w:rsidRPr="005A2D50" w:rsidRDefault="005A2D50" w:rsidP="005A2D50">
      <w:pPr>
        <w:pStyle w:val="BodyText"/>
        <w:rPr>
          <w:lang w:val="en-US"/>
        </w:rPr>
      </w:pPr>
      <w:r w:rsidRPr="005A2D50">
        <w:rPr>
          <w:lang w:val="en-US"/>
        </w:rPr>
        <w:t>Nosakot atsauces summu, jāņem vērā antidempinga nodoklis, kompensācijas nodoklis vai papildu nodoklis, kas izriet no koncesiju apturēšanas.</w:t>
      </w:r>
    </w:p>
    <w:p w14:paraId="1DD61AF9" w14:textId="77777777" w:rsidR="005A2D50" w:rsidRPr="005A2D50" w:rsidRDefault="005A2D50" w:rsidP="005A2D50">
      <w:pPr>
        <w:pStyle w:val="BodyText"/>
        <w:rPr>
          <w:lang w:val="en-US"/>
        </w:rPr>
      </w:pPr>
    </w:p>
    <w:p w14:paraId="39D59088" w14:textId="77777777" w:rsidR="005A2D50" w:rsidRPr="005A2D50" w:rsidRDefault="005A2D50" w:rsidP="005A2D50">
      <w:pPr>
        <w:pStyle w:val="BodyText"/>
        <w:rPr>
          <w:b/>
          <w:bCs/>
          <w:u w:color="000000"/>
          <w:lang w:val="en-US"/>
        </w:rPr>
      </w:pPr>
      <w:r w:rsidRPr="005A2D50">
        <w:rPr>
          <w:b/>
          <w:bCs/>
          <w:u w:color="000000"/>
          <w:lang w:val="en-US"/>
        </w:rPr>
        <w:t>iii) Noslēgšanas laikposms</w:t>
      </w:r>
    </w:p>
    <w:p w14:paraId="51169596" w14:textId="77777777" w:rsidR="005A2D50" w:rsidRPr="005A2D50" w:rsidRDefault="005A2D50" w:rsidP="005A2D50">
      <w:pPr>
        <w:pStyle w:val="BodyText"/>
        <w:rPr>
          <w:lang w:val="en-US"/>
        </w:rPr>
      </w:pPr>
    </w:p>
    <w:p w14:paraId="6A756FB6" w14:textId="77777777" w:rsidR="005A2D50" w:rsidRPr="005A2D50" w:rsidRDefault="005A2D50" w:rsidP="005A2D50">
      <w:pPr>
        <w:pStyle w:val="BodyText"/>
        <w:rPr>
          <w:lang w:val="en-US"/>
        </w:rPr>
      </w:pPr>
      <w:r w:rsidRPr="005A2D50">
        <w:rPr>
          <w:lang w:val="en-US"/>
        </w:rPr>
        <w:t xml:space="preserve">Noslēgšanas laikposms ir tāds periods, kad </w:t>
      </w:r>
      <w:r w:rsidRPr="005A2D50">
        <w:rPr>
          <w:b/>
          <w:bCs/>
          <w:lang w:val="en-US"/>
        </w:rPr>
        <w:t>precēm, kurām piemērota īpaša procedūra</w:t>
      </w:r>
      <w:r w:rsidRPr="005A2D50">
        <w:rPr>
          <w:lang w:val="en-US"/>
        </w:rPr>
        <w:t xml:space="preserve">, izņemot tranzītu, </w:t>
      </w:r>
      <w:r w:rsidRPr="005A2D50">
        <w:rPr>
          <w:b/>
          <w:bCs/>
          <w:lang w:val="en-US"/>
        </w:rPr>
        <w:t xml:space="preserve">vai pārstrādātiem produktiem </w:t>
      </w:r>
      <w:r w:rsidRPr="005A2D50">
        <w:rPr>
          <w:lang w:val="en-US"/>
        </w:rPr>
        <w:t>jāpiemēro nākamā muitas procedūra, tie jāiznīcina, jāizved no Savienības muitas teritorijas vai jānodod paredzētajam galapatēriņam. Attiecībā uz izvešanu pārstrādei tas ir laiks, kurā uz laiku izvestās preces jāieved atpakaļ pārstrādātu produktu veidā un jālaiž brīvā apgrozībā, lai daļēji vai pilnībā izmantotu atbrīvojumu no ievedmuitas nodokļa.</w:t>
      </w:r>
    </w:p>
    <w:p w14:paraId="364B7940" w14:textId="77777777" w:rsidR="005A2D50" w:rsidRPr="005A2D50" w:rsidRDefault="005A2D50" w:rsidP="005A2D50">
      <w:pPr>
        <w:pStyle w:val="BodyText"/>
        <w:rPr>
          <w:lang w:val="en-US"/>
        </w:rPr>
      </w:pPr>
      <w:r w:rsidRPr="005A2D50">
        <w:rPr>
          <w:i/>
          <w:iCs/>
          <w:lang w:val="en-US"/>
        </w:rPr>
        <w:t xml:space="preserve">CGU </w:t>
      </w:r>
      <w:r w:rsidRPr="005A2D50">
        <w:rPr>
          <w:lang w:val="en-US"/>
        </w:rPr>
        <w:t xml:space="preserve">atļaujas pieteikuma ietvaros uzņēmējam ir jāsniedz informācija par vidējo laikposmu starp procedūras piemērošanu precēm un procedūras noslēgšanu (skat. </w:t>
      </w:r>
      <w:r w:rsidRPr="005A2D50">
        <w:rPr>
          <w:i/>
          <w:iCs/>
          <w:lang w:val="en-US"/>
        </w:rPr>
        <w:t xml:space="preserve">CGU </w:t>
      </w:r>
      <w:r w:rsidRPr="005A2D50">
        <w:rPr>
          <w:lang w:val="en-US"/>
        </w:rPr>
        <w:t>atļaujas VI/2 datu elementu) attiecībā uz pēdējo 12 mēnešu periodu.</w:t>
      </w:r>
    </w:p>
    <w:p w14:paraId="087767D1" w14:textId="77777777" w:rsidR="005A2D50" w:rsidRPr="005A2D50" w:rsidRDefault="005A2D50" w:rsidP="005A2D50">
      <w:pPr>
        <w:pStyle w:val="BodyText"/>
        <w:rPr>
          <w:lang w:val="en-US"/>
        </w:rPr>
      </w:pPr>
      <w:r w:rsidRPr="005A2D50">
        <w:rPr>
          <w:lang w:val="en-US"/>
        </w:rPr>
        <w:t xml:space="preserve">Tomēr, ja </w:t>
      </w:r>
      <w:r w:rsidRPr="005A2D50">
        <w:rPr>
          <w:i/>
          <w:iCs/>
          <w:lang w:val="en-US"/>
        </w:rPr>
        <w:t xml:space="preserve">CA </w:t>
      </w:r>
      <w:r w:rsidRPr="005A2D50">
        <w:rPr>
          <w:lang w:val="en-US"/>
        </w:rPr>
        <w:t>nav pieejami vēsturiskie dati vai ja uzņēmējs nav iesniedzis dokumentus noslēgšanas laikposma aprēķināšanai, jāņem vērā šai īpašajai procedūrai paredzētais maksimālais laikposms, lai nodrošinātu, ka atsauces summa nevienā brīdī netiek pārsniegta (SMK DA 174. pants – noslēgšanas laikposmu, kas noteikts īpašās procedūras atļaujā, var pagarināt automātiski vai pēc uzņēmēja pieprasījuma pēc tam, kad ir beidzies attiecīgais laikposms).</w:t>
      </w:r>
    </w:p>
    <w:p w14:paraId="67D66F0D" w14:textId="77777777" w:rsidR="005A2D50" w:rsidRPr="005A2D50" w:rsidRDefault="005A2D50" w:rsidP="005A2D50">
      <w:pPr>
        <w:pStyle w:val="BodyText"/>
        <w:rPr>
          <w:lang w:val="en-US"/>
        </w:rPr>
      </w:pPr>
      <w:r w:rsidRPr="005A2D50">
        <w:rPr>
          <w:lang w:val="en-US"/>
        </w:rPr>
        <w:t xml:space="preserve">Trūkstot vēsturiskajiem datiem, atsauces summas aprēķināšanā jābalstās uz maksimālo laikposmu, kas noteikts attiecīgajai muitas procedūrai/darbībai (skat. turpmākos piemērus IV.2.3.4. punktā). Preču uzglabāšanai muitas noliktavā nav noteikta termiņa. Attiecībā uz </w:t>
      </w:r>
      <w:r w:rsidRPr="005A2D50">
        <w:rPr>
          <w:i/>
          <w:iCs/>
          <w:lang w:val="en-US"/>
        </w:rPr>
        <w:t xml:space="preserve">TS  </w:t>
      </w:r>
      <w:r w:rsidRPr="005A2D50">
        <w:rPr>
          <w:lang w:val="en-US"/>
        </w:rPr>
        <w:t>vietām termiņš nedrīkst pārsniegt 90 dienas. Šādā gadījumā uzglabāšanas vietas īpašniekam ir jāsniedz precīza attiecīgā laikposma aplēse, pamatojoties uz tirdzniecības dokumentāciju un uzskaites reģistriem.</w:t>
      </w:r>
    </w:p>
    <w:p w14:paraId="286F336B" w14:textId="77777777" w:rsidR="005A2D50" w:rsidRPr="005A2D50" w:rsidRDefault="005A2D50" w:rsidP="005A2D50">
      <w:pPr>
        <w:pStyle w:val="BodyText"/>
        <w:rPr>
          <w:lang w:val="en-US"/>
        </w:rPr>
      </w:pPr>
      <w:r w:rsidRPr="005A2D50">
        <w:rPr>
          <w:lang w:val="en-US"/>
        </w:rPr>
        <w:t xml:space="preserve">Ja maksājumus atliek, tad, nosakot atsauces summu, ir jāņem vērā informācija par laikposmu starp </w:t>
      </w:r>
      <w:r w:rsidRPr="005A2D50">
        <w:rPr>
          <w:b/>
          <w:bCs/>
          <w:lang w:val="en-US"/>
        </w:rPr>
        <w:t xml:space="preserve">paziņojumu par muitas parādu </w:t>
      </w:r>
      <w:r w:rsidRPr="005A2D50">
        <w:rPr>
          <w:lang w:val="en-US"/>
        </w:rPr>
        <w:t>un datumu, kurā faktiski veikts maksājums par darbībām, kas veiktas pēdējo 12 mēnešu laikā.</w:t>
      </w:r>
    </w:p>
    <w:p w14:paraId="4D1466B6" w14:textId="77777777" w:rsidR="005A2D50" w:rsidRPr="005A2D50" w:rsidRDefault="005A2D50" w:rsidP="005A2D50">
      <w:pPr>
        <w:jc w:val="both"/>
        <w:rPr>
          <w:rFonts w:ascii="Times New Roman" w:hAnsi="Times New Roman" w:cs="Times New Roman"/>
          <w:noProof/>
          <w:sz w:val="24"/>
          <w:szCs w:val="24"/>
          <w:lang w:val="en-US"/>
        </w:rPr>
      </w:pPr>
    </w:p>
    <w:p w14:paraId="22B541F7" w14:textId="77777777" w:rsidR="005A2D50" w:rsidRPr="005A2D50" w:rsidRDefault="005A2D50" w:rsidP="005A2D50">
      <w:pPr>
        <w:pStyle w:val="BodyText"/>
        <w:rPr>
          <w:b/>
          <w:bCs/>
          <w:lang w:val="en-US"/>
        </w:rPr>
      </w:pPr>
      <w:bookmarkStart w:id="132" w:name="V.2.3.3._Methods_of_assessment_or_facili"/>
      <w:bookmarkEnd w:id="132"/>
      <w:r w:rsidRPr="005A2D50">
        <w:rPr>
          <w:b/>
          <w:bCs/>
          <w:lang w:val="en-US"/>
        </w:rPr>
        <w:t>V.2.3.3. Vērtēšanas metodes vai atvieglojumi atsauces summas aprēķināšanai</w:t>
      </w:r>
    </w:p>
    <w:p w14:paraId="1EB05F26"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F3EF40B" w14:textId="77777777" w:rsidR="005A2D50" w:rsidRPr="005A2D50" w:rsidRDefault="005A2D50" w:rsidP="005A2D50">
      <w:pPr>
        <w:pStyle w:val="BodyText"/>
        <w:rPr>
          <w:lang w:val="en-US"/>
        </w:rPr>
      </w:pPr>
      <w:r w:rsidRPr="005A2D50">
        <w:rPr>
          <w:lang w:val="en-US"/>
        </w:rPr>
        <w:t>Būtībā atsauces summa jāaprēķina pēc iespējas precīzāk, pamatojoties uz iepriekš minētajiem galvenajiem datiem.</w:t>
      </w:r>
    </w:p>
    <w:p w14:paraId="5D252F86" w14:textId="77777777" w:rsidR="005A2D50" w:rsidRPr="005A2D50" w:rsidRDefault="005A2D50" w:rsidP="005A2D50">
      <w:pPr>
        <w:pStyle w:val="BodyText"/>
        <w:rPr>
          <w:lang w:val="en-US"/>
        </w:rPr>
      </w:pPr>
      <w:r w:rsidRPr="005A2D50">
        <w:rPr>
          <w:lang w:val="en-US"/>
        </w:rPr>
        <w:t>Ja nav pieejami vēsturiskie dati par darbībām, kuras pēdējo 12 mēnešu laikā veiktas objekta telpās un attiecībā uz kurām tiek prasīts galvojums, atsauces summu var noteikt saskaņā ar datiem, kas ir pieejami par salīdzināmu laikposmu, vai uzņēmēja paredzamo darījumdarbības apjomu attiecībā uz šo objektu.</w:t>
      </w:r>
    </w:p>
    <w:p w14:paraId="769D0650" w14:textId="77777777" w:rsidR="005A2D50" w:rsidRPr="005A2D50" w:rsidRDefault="005A2D50" w:rsidP="005A2D50">
      <w:pPr>
        <w:pStyle w:val="BodyText"/>
        <w:rPr>
          <w:lang w:val="en-US"/>
        </w:rPr>
      </w:pPr>
      <w:r w:rsidRPr="005A2D50">
        <w:rPr>
          <w:lang w:val="en-US"/>
        </w:rPr>
        <w:t xml:space="preserve">Lai veiktu aprēķinu tad, kad vajadzīgie dati </w:t>
      </w:r>
      <w:r w:rsidRPr="005A2D50">
        <w:rPr>
          <w:i/>
          <w:iCs/>
          <w:lang w:val="en-US"/>
        </w:rPr>
        <w:t xml:space="preserve">CA </w:t>
      </w:r>
      <w:r w:rsidRPr="005A2D50">
        <w:rPr>
          <w:lang w:val="en-US"/>
        </w:rPr>
        <w:t xml:space="preserve">nav pieejami vai uzņēmējs tos nav sniedzis, </w:t>
      </w:r>
      <w:r w:rsidRPr="005A2D50">
        <w:rPr>
          <w:i/>
          <w:iCs/>
          <w:lang w:val="en-US"/>
        </w:rPr>
        <w:t xml:space="preserve">CA </w:t>
      </w:r>
      <w:r w:rsidRPr="005A2D50">
        <w:rPr>
          <w:lang w:val="en-US"/>
        </w:rPr>
        <w:t>varētu ņemt vērā uzņēmēja noteikto atsauces summu attiecībā uz viņa darījumdarbības apjoma aplēsi. Šādā gadījumā, lai pārbaudītu atsauces summas noteikšanas pareizību, ir ieteicams savlaicīgi revidēt atsauces summas pārraudzību (skat. V.5.2.4. iedaļu).</w:t>
      </w:r>
    </w:p>
    <w:p w14:paraId="010814B7" w14:textId="77777777" w:rsidR="005A2D50" w:rsidRPr="005A2D50" w:rsidRDefault="005A2D50" w:rsidP="005A2D50">
      <w:pPr>
        <w:pStyle w:val="BodyText"/>
        <w:rPr>
          <w:lang w:val="en-US"/>
        </w:rPr>
      </w:pPr>
      <w:r w:rsidRPr="005A2D50">
        <w:rPr>
          <w:lang w:val="en-US"/>
        </w:rPr>
        <w:t xml:space="preserve">Attiecībā uz I vai II tipa publiskajām muitas noliktavām vai </w:t>
      </w:r>
      <w:r w:rsidRPr="005A2D50">
        <w:rPr>
          <w:i/>
          <w:iCs/>
          <w:lang w:val="en-US"/>
        </w:rPr>
        <w:t xml:space="preserve">TS </w:t>
      </w:r>
      <w:r w:rsidRPr="005A2D50">
        <w:rPr>
          <w:lang w:val="en-US"/>
        </w:rPr>
        <w:t xml:space="preserve">vietām uzņēmējiem bieži vien nav informācijas, kas nepieciešama, lai aprēķinātu muitas nodokļus, kas var rasties, jo preces bieži glabā sūtījumos. Turklāt, lai gan personai, kurai ir atļauja izmantot muitas noliktavu, vai </w:t>
      </w:r>
      <w:r w:rsidRPr="005A2D50">
        <w:rPr>
          <w:i/>
          <w:iCs/>
          <w:lang w:val="en-US"/>
        </w:rPr>
        <w:t xml:space="preserve">TS </w:t>
      </w:r>
      <w:r w:rsidRPr="005A2D50">
        <w:rPr>
          <w:lang w:val="en-US"/>
        </w:rPr>
        <w:t>vietas turētājam ir prasīts sniegt galvojumu, tas nav attiecīgo preču deklarētājs. Lai aprēķinātu jaunās uzglabāšanas vietas apjomu, var izmantot visus datus, kas attiecas uz līdzīgām uzglabāšanas vietām, kuras izmanto tā pati persona vai cita persona, un uz tajās glabātajām precēm.</w:t>
      </w:r>
    </w:p>
    <w:p w14:paraId="2E0F6874" w14:textId="77777777" w:rsidR="005A2D50" w:rsidRPr="005A2D50" w:rsidRDefault="005A2D50" w:rsidP="005A2D50">
      <w:pPr>
        <w:jc w:val="both"/>
        <w:rPr>
          <w:lang w:val="en-US"/>
        </w:rPr>
      </w:pPr>
    </w:p>
    <w:p w14:paraId="2026F7EB" w14:textId="77777777" w:rsidR="005A2D50" w:rsidRPr="005A2D50" w:rsidRDefault="005A2D50" w:rsidP="005A2D50">
      <w:pPr>
        <w:pStyle w:val="BodyText"/>
        <w:rPr>
          <w:b/>
          <w:bCs/>
          <w:lang w:val="en-US"/>
        </w:rPr>
      </w:pPr>
      <w:bookmarkStart w:id="133" w:name="V.2.3.4._Examples_for_calculation_of_the"/>
      <w:bookmarkEnd w:id="133"/>
      <w:r w:rsidRPr="005A2D50">
        <w:rPr>
          <w:b/>
          <w:bCs/>
          <w:lang w:val="en-US"/>
        </w:rPr>
        <w:t>V.2.3.4. Piemēri atsauces summas aprēķināšanai</w:t>
      </w:r>
      <w:r w:rsidRPr="005A2D50">
        <w:rPr>
          <w:b/>
          <w:bCs/>
          <w:vertAlign w:val="superscript"/>
          <w:lang w:val="en-US"/>
        </w:rPr>
        <w:footnoteReference w:id="14"/>
      </w:r>
    </w:p>
    <w:p w14:paraId="1201C62E" w14:textId="77777777" w:rsidR="005A2D50" w:rsidRPr="005A2D50" w:rsidRDefault="005A2D50" w:rsidP="005A2D50">
      <w:pPr>
        <w:jc w:val="both"/>
        <w:rPr>
          <w:rFonts w:ascii="Times New Roman" w:eastAsia="Arial" w:hAnsi="Times New Roman" w:cs="Times New Roman"/>
          <w:b/>
          <w:bCs/>
          <w:noProof/>
          <w:sz w:val="24"/>
          <w:szCs w:val="24"/>
          <w:lang w:val="en-US"/>
        </w:rPr>
      </w:pPr>
    </w:p>
    <w:p w14:paraId="691C9FB3" w14:textId="77777777" w:rsidR="005A2D50" w:rsidRPr="005A2D50" w:rsidRDefault="005A2D50" w:rsidP="005A2D50">
      <w:pPr>
        <w:pStyle w:val="BodyText"/>
        <w:rPr>
          <w:lang w:val="en-US"/>
        </w:rPr>
      </w:pPr>
      <w:r w:rsidRPr="005A2D50">
        <w:rPr>
          <w:lang w:val="en-US"/>
        </w:rPr>
        <w:t>Šajā iedaļā sniegti piemēri iespējamajām aprēķinu metodēm, bet tajā nav aprakstīta ierobežojoša metode atsauces summas noteikšanai. Piedāvātie “varianti” ir tikai piemēri. Piemēru saraksts ir papildināms. Citus “variantus”, kas nav norādīti sarakstā, var piemērot, ja tie nodrošina, ka atsauces summa ir noteikta pareizi.</w:t>
      </w:r>
    </w:p>
    <w:p w14:paraId="0A277514" w14:textId="77777777" w:rsidR="005A2D50" w:rsidRPr="005A2D50" w:rsidRDefault="005A2D50" w:rsidP="005A2D50">
      <w:pPr>
        <w:pStyle w:val="BodyText"/>
        <w:rPr>
          <w:lang w:val="en-US"/>
        </w:rPr>
      </w:pPr>
      <w:r w:rsidRPr="005A2D50">
        <w:rPr>
          <w:lang w:val="en-US"/>
        </w:rPr>
        <w:t>Kopumā piemēri ir sniegti par katru muitas procedūru vai pagaidu uzglabāšanu. Tomēr jāņem vērā, ka arī darījumdarbības veidam ir nozīme pat attiecībā uz vienu un to pašu procedūru.</w:t>
      </w:r>
    </w:p>
    <w:p w14:paraId="26C3305F" w14:textId="77777777" w:rsidR="005A2D50" w:rsidRPr="005A2D50" w:rsidRDefault="005A2D50" w:rsidP="005A2D50">
      <w:pPr>
        <w:pStyle w:val="BodyText"/>
        <w:rPr>
          <w:lang w:val="en-US"/>
        </w:rPr>
      </w:pPr>
      <w:r w:rsidRPr="005A2D50">
        <w:rPr>
          <w:lang w:val="en-US"/>
        </w:rPr>
        <w:t>Neatkarīgi no izmantotās metodes ir svarīgi uzsvērt, ka atsauces summa jānosaka tādā līmenī, kas visos iespējamajos gadījumos nodrošina ES finansiālo interešu aizsardzību.</w:t>
      </w:r>
    </w:p>
    <w:p w14:paraId="29237784" w14:textId="77777777" w:rsidR="005A2D50" w:rsidRPr="005A2D50" w:rsidRDefault="005A2D50" w:rsidP="005A2D50">
      <w:pPr>
        <w:pStyle w:val="BodyText"/>
        <w:rPr>
          <w:lang w:val="en-US"/>
        </w:rPr>
      </w:pPr>
    </w:p>
    <w:p w14:paraId="50ACD5F9" w14:textId="77777777" w:rsidR="005A2D50" w:rsidRPr="005A2D50" w:rsidRDefault="005A2D50" w:rsidP="005A2D50">
      <w:pPr>
        <w:pStyle w:val="BodyText"/>
        <w:rPr>
          <w:b/>
          <w:bCs/>
          <w:lang w:val="en-US"/>
        </w:rPr>
      </w:pPr>
      <w:r w:rsidRPr="005A2D50">
        <w:rPr>
          <w:b/>
          <w:bCs/>
          <w:lang w:val="en-US"/>
        </w:rPr>
        <w:t>a) Ievešana pārstrādei (IP)</w:t>
      </w:r>
    </w:p>
    <w:p w14:paraId="11999531" w14:textId="77777777" w:rsidR="005A2D50" w:rsidRPr="005A2D50" w:rsidRDefault="005A2D50" w:rsidP="005A2D50">
      <w:pPr>
        <w:pStyle w:val="BodyText"/>
        <w:rPr>
          <w:lang w:val="en-US"/>
        </w:rPr>
      </w:pPr>
    </w:p>
    <w:p w14:paraId="4BFD2336" w14:textId="77777777" w:rsidR="005A2D50" w:rsidRPr="005A2D50" w:rsidRDefault="005A2D50" w:rsidP="005A2D50">
      <w:pPr>
        <w:pStyle w:val="BodyText"/>
        <w:rPr>
          <w:lang w:val="en-US"/>
        </w:rPr>
      </w:pPr>
      <w:r w:rsidRPr="005A2D50">
        <w:rPr>
          <w:lang w:val="en-US"/>
        </w:rPr>
        <w:t>Atbilstoši noteikumiem atļaujai veikt ievešanu pārstrādei maksimālais noslēgšanas laikposms ir 6 mēneši. Aprēķinot to preču vērtību, kurām piemēro procedūru un noslēgšanu, ir jāņem vērā vēsturiskie dati, kā arī darījumdarbības apjoma aplēse.</w:t>
      </w:r>
    </w:p>
    <w:p w14:paraId="493CA11D" w14:textId="77777777" w:rsidR="005A2D50" w:rsidRPr="005A2D50" w:rsidRDefault="005A2D50" w:rsidP="005A2D50">
      <w:pPr>
        <w:jc w:val="both"/>
        <w:rPr>
          <w:rFonts w:ascii="Times New Roman" w:hAnsi="Times New Roman"/>
          <w:noProof/>
          <w:sz w:val="24"/>
          <w:lang w:val="en-US"/>
        </w:rPr>
      </w:pPr>
      <w:r w:rsidRPr="005A2D50">
        <w:rPr>
          <w:rFonts w:ascii="Times New Roman" w:hAnsi="Times New Roman"/>
          <w:noProof/>
          <w:sz w:val="24"/>
          <w:lang w:val="en-US"/>
        </w:rPr>
        <w:t>Galvojuma atsauces summu var aprēķināt tā, kā rādīts piemērā.</w:t>
      </w:r>
    </w:p>
    <w:p w14:paraId="35FDAEDA" w14:textId="77777777" w:rsidR="005A2D50" w:rsidRPr="005A2D50" w:rsidRDefault="005A2D50" w:rsidP="005A2D50">
      <w:pPr>
        <w:jc w:val="both"/>
        <w:rPr>
          <w:rFonts w:ascii="Times New Roman" w:hAnsi="Times New Roman" w:cs="Times New Roman"/>
          <w:noProof/>
          <w:sz w:val="24"/>
          <w:szCs w:val="24"/>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6143"/>
        <w:gridCol w:w="2988"/>
      </w:tblGrid>
      <w:tr w:rsidR="005A2D50" w:rsidRPr="005A2D50" w14:paraId="39303A04" w14:textId="77777777" w:rsidTr="00F14166">
        <w:tc>
          <w:tcPr>
            <w:tcW w:w="5000" w:type="pct"/>
            <w:gridSpan w:val="2"/>
          </w:tcPr>
          <w:p w14:paraId="6029A873" w14:textId="77777777" w:rsidR="005A2D50" w:rsidRPr="005A2D50" w:rsidRDefault="005A2D50" w:rsidP="00F14166">
            <w:pPr>
              <w:numPr>
                <w:ilvl w:val="0"/>
                <w:numId w:val="28"/>
              </w:numPr>
              <w:tabs>
                <w:tab w:val="left" w:pos="426"/>
              </w:tabs>
              <w:ind w:left="0" w:firstLine="0"/>
              <w:jc w:val="both"/>
              <w:rPr>
                <w:rFonts w:ascii="Times New Roman" w:hAnsi="Times New Roman"/>
                <w:noProof/>
                <w:sz w:val="24"/>
                <w:lang w:val="en-US"/>
              </w:rPr>
            </w:pPr>
            <w:r w:rsidRPr="005A2D50">
              <w:rPr>
                <w:rFonts w:ascii="Times New Roman" w:hAnsi="Times New Roman"/>
                <w:noProof/>
                <w:sz w:val="24"/>
                <w:lang w:val="en-US"/>
              </w:rPr>
              <w:t>To preču kopējā vērtība, kurām var piemērot IP procedūru 5 gadu laikā</w:t>
            </w:r>
          </w:p>
        </w:tc>
      </w:tr>
      <w:tr w:rsidR="005A2D50" w:rsidRPr="005A2D50" w14:paraId="3E75FC89" w14:textId="77777777" w:rsidTr="00F14166">
        <w:tc>
          <w:tcPr>
            <w:tcW w:w="3364" w:type="pct"/>
          </w:tcPr>
          <w:p w14:paraId="0A2E770F" w14:textId="77777777" w:rsidR="005A2D50" w:rsidRPr="005A2D50" w:rsidRDefault="005A2D50" w:rsidP="00F14166">
            <w:pPr>
              <w:tabs>
                <w:tab w:val="left" w:pos="5886"/>
              </w:tabs>
              <w:jc w:val="both"/>
              <w:rPr>
                <w:rFonts w:ascii="Times New Roman" w:hAnsi="Times New Roman"/>
                <w:noProof/>
                <w:sz w:val="24"/>
                <w:lang w:val="en-US"/>
              </w:rPr>
            </w:pPr>
            <w:r w:rsidRPr="005A2D50">
              <w:rPr>
                <w:rFonts w:ascii="Times New Roman" w:hAnsi="Times New Roman"/>
                <w:noProof/>
                <w:sz w:val="24"/>
                <w:lang w:val="en-US"/>
              </w:rPr>
              <w:t>(skat. atļaujas 7. datu lauku):</w:t>
            </w:r>
          </w:p>
        </w:tc>
        <w:tc>
          <w:tcPr>
            <w:tcW w:w="1636" w:type="pct"/>
          </w:tcPr>
          <w:p w14:paraId="339A387E" w14:textId="77777777" w:rsidR="005A2D50" w:rsidRPr="005A2D50" w:rsidRDefault="005A2D50" w:rsidP="00F14166">
            <w:pPr>
              <w:jc w:val="both"/>
              <w:rPr>
                <w:rFonts w:ascii="Times New Roman" w:hAnsi="Times New Roman"/>
                <w:noProof/>
                <w:sz w:val="24"/>
                <w:lang w:val="en-US"/>
              </w:rPr>
            </w:pPr>
            <w:r w:rsidRPr="005A2D50">
              <w:rPr>
                <w:rFonts w:ascii="Times New Roman" w:hAnsi="Times New Roman"/>
                <w:noProof/>
                <w:sz w:val="24"/>
                <w:lang w:val="en-US"/>
              </w:rPr>
              <w:t>EUR 600 000</w:t>
            </w:r>
          </w:p>
        </w:tc>
      </w:tr>
      <w:tr w:rsidR="005A2D50" w:rsidRPr="005A2D50" w14:paraId="5C64C737" w14:textId="77777777" w:rsidTr="00F14166">
        <w:tc>
          <w:tcPr>
            <w:tcW w:w="3364" w:type="pct"/>
          </w:tcPr>
          <w:p w14:paraId="4F65E78A" w14:textId="77777777" w:rsidR="005A2D50" w:rsidRPr="005A2D50" w:rsidRDefault="005A2D50" w:rsidP="00F14166">
            <w:pPr>
              <w:numPr>
                <w:ilvl w:val="0"/>
                <w:numId w:val="28"/>
              </w:numPr>
              <w:tabs>
                <w:tab w:val="left" w:pos="426"/>
                <w:tab w:val="left" w:pos="5886"/>
              </w:tabs>
              <w:ind w:left="0" w:firstLine="0"/>
              <w:jc w:val="both"/>
              <w:rPr>
                <w:rFonts w:ascii="Times New Roman" w:hAnsi="Times New Roman"/>
                <w:noProof/>
                <w:sz w:val="24"/>
                <w:lang w:val="en-US"/>
              </w:rPr>
            </w:pPr>
            <w:r w:rsidRPr="005A2D50">
              <w:rPr>
                <w:rFonts w:ascii="Times New Roman" w:hAnsi="Times New Roman"/>
                <w:noProof/>
                <w:sz w:val="24"/>
                <w:lang w:val="en-US"/>
              </w:rPr>
              <w:t>Nodokļa likme:</w:t>
            </w:r>
          </w:p>
        </w:tc>
        <w:tc>
          <w:tcPr>
            <w:tcW w:w="1636" w:type="pct"/>
          </w:tcPr>
          <w:p w14:paraId="137075D2" w14:textId="77777777" w:rsidR="005A2D50" w:rsidRPr="005A2D50" w:rsidRDefault="005A2D50" w:rsidP="00F14166">
            <w:pPr>
              <w:jc w:val="both"/>
              <w:rPr>
                <w:rFonts w:ascii="Times New Roman" w:hAnsi="Times New Roman" w:cs="Times New Roman"/>
                <w:noProof/>
                <w:sz w:val="24"/>
                <w:szCs w:val="24"/>
                <w:lang w:val="en-US"/>
              </w:rPr>
            </w:pPr>
            <w:r w:rsidRPr="005A2D50">
              <w:rPr>
                <w:rFonts w:ascii="Times New Roman" w:hAnsi="Times New Roman"/>
                <w:noProof/>
                <w:sz w:val="24"/>
                <w:lang w:val="en-US"/>
              </w:rPr>
              <w:t>10 %</w:t>
            </w:r>
            <w:r w:rsidRPr="005A2D50">
              <w:rPr>
                <w:rStyle w:val="FootnoteReference"/>
                <w:rFonts w:ascii="Times New Roman" w:hAnsi="Times New Roman" w:cs="Times New Roman"/>
                <w:noProof/>
                <w:sz w:val="24"/>
                <w:szCs w:val="24"/>
                <w:lang w:val="en-US"/>
              </w:rPr>
              <w:footnoteReference w:id="15"/>
            </w:r>
          </w:p>
        </w:tc>
      </w:tr>
      <w:tr w:rsidR="005A2D50" w:rsidRPr="005A2D50" w14:paraId="6CE45301" w14:textId="77777777" w:rsidTr="00F14166">
        <w:tc>
          <w:tcPr>
            <w:tcW w:w="3364" w:type="pct"/>
          </w:tcPr>
          <w:p w14:paraId="213B5F3A" w14:textId="77777777" w:rsidR="005A2D50" w:rsidRPr="005A2D50" w:rsidRDefault="005A2D50" w:rsidP="00F14166">
            <w:pPr>
              <w:numPr>
                <w:ilvl w:val="0"/>
                <w:numId w:val="28"/>
              </w:numPr>
              <w:tabs>
                <w:tab w:val="left" w:pos="426"/>
                <w:tab w:val="left" w:pos="5886"/>
              </w:tabs>
              <w:ind w:left="0" w:firstLine="0"/>
              <w:jc w:val="both"/>
              <w:rPr>
                <w:rFonts w:ascii="Times New Roman" w:hAnsi="Times New Roman"/>
                <w:noProof/>
                <w:sz w:val="24"/>
                <w:lang w:val="en-US"/>
              </w:rPr>
            </w:pPr>
            <w:r w:rsidRPr="005A2D50">
              <w:rPr>
                <w:rFonts w:ascii="Times New Roman" w:hAnsi="Times New Roman"/>
                <w:noProof/>
                <w:sz w:val="24"/>
                <w:lang w:val="en-US"/>
              </w:rPr>
              <w:t>PVN likme:</w:t>
            </w:r>
          </w:p>
        </w:tc>
        <w:tc>
          <w:tcPr>
            <w:tcW w:w="1636" w:type="pct"/>
          </w:tcPr>
          <w:p w14:paraId="7DC0EA2A" w14:textId="77777777" w:rsidR="005A2D50" w:rsidRPr="005A2D50" w:rsidRDefault="005A2D50" w:rsidP="00F14166">
            <w:pPr>
              <w:jc w:val="both"/>
              <w:rPr>
                <w:rFonts w:ascii="Times New Roman" w:hAnsi="Times New Roman" w:cs="Times New Roman"/>
                <w:noProof/>
                <w:sz w:val="24"/>
                <w:szCs w:val="24"/>
                <w:lang w:val="en-US"/>
              </w:rPr>
            </w:pPr>
            <w:r w:rsidRPr="005A2D50">
              <w:rPr>
                <w:rFonts w:ascii="Times New Roman" w:hAnsi="Times New Roman"/>
                <w:noProof/>
                <w:sz w:val="24"/>
                <w:lang w:val="en-US"/>
              </w:rPr>
              <w:t>20 %</w:t>
            </w:r>
            <w:r w:rsidRPr="005A2D50">
              <w:rPr>
                <w:rStyle w:val="FootnoteReference"/>
                <w:rFonts w:ascii="Times New Roman" w:hAnsi="Times New Roman" w:cs="Times New Roman"/>
                <w:noProof/>
                <w:sz w:val="24"/>
                <w:szCs w:val="24"/>
                <w:lang w:val="en-US"/>
              </w:rPr>
              <w:footnoteReference w:id="16"/>
            </w:r>
          </w:p>
        </w:tc>
      </w:tr>
    </w:tbl>
    <w:p w14:paraId="0E51300C" w14:textId="77777777" w:rsidR="005A2D50" w:rsidRPr="005A2D50" w:rsidRDefault="005A2D50" w:rsidP="005A2D50">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1446"/>
        <w:gridCol w:w="2409"/>
        <w:gridCol w:w="2502"/>
        <w:gridCol w:w="2774"/>
      </w:tblGrid>
      <w:tr w:rsidR="005A2D50" w:rsidRPr="005A2D50" w14:paraId="76631E79" w14:textId="77777777" w:rsidTr="00F14166">
        <w:tc>
          <w:tcPr>
            <w:tcW w:w="792" w:type="pct"/>
            <w:tcBorders>
              <w:top w:val="single" w:sz="5" w:space="0" w:color="000000"/>
              <w:left w:val="single" w:sz="5" w:space="0" w:color="000000"/>
              <w:bottom w:val="single" w:sz="5" w:space="0" w:color="000000"/>
              <w:right w:val="single" w:sz="5" w:space="0" w:color="000000"/>
            </w:tcBorders>
          </w:tcPr>
          <w:p w14:paraId="5BACF860"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Datums</w:t>
            </w:r>
          </w:p>
        </w:tc>
        <w:tc>
          <w:tcPr>
            <w:tcW w:w="1319" w:type="pct"/>
            <w:tcBorders>
              <w:top w:val="single" w:sz="5" w:space="0" w:color="000000"/>
              <w:left w:val="single" w:sz="5" w:space="0" w:color="000000"/>
              <w:bottom w:val="single" w:sz="5" w:space="0" w:color="000000"/>
              <w:right w:val="single" w:sz="5" w:space="0" w:color="000000"/>
            </w:tcBorders>
          </w:tcPr>
          <w:p w14:paraId="15C167AC" w14:textId="77777777" w:rsidR="005A2D50" w:rsidRPr="005A2D50" w:rsidRDefault="005A2D50" w:rsidP="00F14166">
            <w:pPr>
              <w:pStyle w:val="TableParagraph"/>
              <w:keepNext/>
              <w:keepLines/>
              <w:tabs>
                <w:tab w:val="left" w:pos="877"/>
                <w:tab w:val="left" w:pos="1283"/>
              </w:tabs>
              <w:jc w:val="both"/>
              <w:rPr>
                <w:rFonts w:ascii="Times New Roman" w:hAnsi="Times New Roman"/>
                <w:noProof/>
                <w:sz w:val="24"/>
                <w:lang w:val="en-US"/>
              </w:rPr>
            </w:pPr>
            <w:r w:rsidRPr="005A2D50">
              <w:rPr>
                <w:rFonts w:ascii="Times New Roman" w:hAnsi="Times New Roman"/>
                <w:noProof/>
                <w:sz w:val="24"/>
                <w:lang w:val="en-US"/>
              </w:rPr>
              <w:t>To preču vērtība, kurām piemēro IP procedūru</w:t>
            </w:r>
          </w:p>
        </w:tc>
        <w:tc>
          <w:tcPr>
            <w:tcW w:w="1370" w:type="pct"/>
            <w:tcBorders>
              <w:top w:val="single" w:sz="5" w:space="0" w:color="000000"/>
              <w:left w:val="single" w:sz="5" w:space="0" w:color="000000"/>
              <w:bottom w:val="single" w:sz="5" w:space="0" w:color="000000"/>
              <w:right w:val="single" w:sz="5" w:space="0" w:color="000000"/>
            </w:tcBorders>
          </w:tcPr>
          <w:p w14:paraId="37B3016F" w14:textId="77777777" w:rsidR="005A2D50" w:rsidRPr="005A2D50" w:rsidRDefault="005A2D50" w:rsidP="00F14166">
            <w:pPr>
              <w:pStyle w:val="TableParagraph"/>
              <w:keepNext/>
              <w:keepLines/>
              <w:tabs>
                <w:tab w:val="left" w:pos="961"/>
                <w:tab w:val="left" w:pos="1452"/>
              </w:tabs>
              <w:jc w:val="both"/>
              <w:rPr>
                <w:rFonts w:ascii="Times New Roman" w:hAnsi="Times New Roman"/>
                <w:noProof/>
                <w:sz w:val="24"/>
                <w:lang w:val="en-US"/>
              </w:rPr>
            </w:pPr>
            <w:r w:rsidRPr="005A2D50">
              <w:rPr>
                <w:rFonts w:ascii="Times New Roman" w:hAnsi="Times New Roman"/>
                <w:noProof/>
                <w:sz w:val="24"/>
                <w:lang w:val="en-US"/>
              </w:rPr>
              <w:t>To preču vērtība, kurām noslēgta IP procedūra</w:t>
            </w:r>
          </w:p>
        </w:tc>
        <w:tc>
          <w:tcPr>
            <w:tcW w:w="1519" w:type="pct"/>
            <w:tcBorders>
              <w:top w:val="single" w:sz="5" w:space="0" w:color="000000"/>
              <w:left w:val="single" w:sz="5" w:space="0" w:color="000000"/>
              <w:bottom w:val="single" w:sz="5" w:space="0" w:color="000000"/>
              <w:right w:val="single" w:sz="5" w:space="0" w:color="000000"/>
            </w:tcBorders>
          </w:tcPr>
          <w:p w14:paraId="694AD1E5"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To preču vērtība, uz kurām attiecas IP procedūra</w:t>
            </w:r>
          </w:p>
        </w:tc>
      </w:tr>
      <w:tr w:rsidR="005A2D50" w:rsidRPr="005A2D50" w14:paraId="6C898E5D" w14:textId="77777777" w:rsidTr="00F14166">
        <w:tc>
          <w:tcPr>
            <w:tcW w:w="792" w:type="pct"/>
            <w:tcBorders>
              <w:top w:val="single" w:sz="5" w:space="0" w:color="000000"/>
              <w:left w:val="single" w:sz="5" w:space="0" w:color="000000"/>
              <w:bottom w:val="single" w:sz="5" w:space="0" w:color="000000"/>
              <w:right w:val="single" w:sz="5" w:space="0" w:color="000000"/>
            </w:tcBorders>
          </w:tcPr>
          <w:p w14:paraId="5394F175"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1. janv. N</w:t>
            </w:r>
          </w:p>
        </w:tc>
        <w:tc>
          <w:tcPr>
            <w:tcW w:w="1319" w:type="pct"/>
            <w:tcBorders>
              <w:top w:val="single" w:sz="5" w:space="0" w:color="000000"/>
              <w:left w:val="single" w:sz="5" w:space="0" w:color="000000"/>
              <w:bottom w:val="single" w:sz="5" w:space="0" w:color="000000"/>
              <w:right w:val="single" w:sz="5" w:space="0" w:color="000000"/>
            </w:tcBorders>
          </w:tcPr>
          <w:p w14:paraId="13FFE5C1"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45 000</w:t>
            </w:r>
          </w:p>
        </w:tc>
        <w:tc>
          <w:tcPr>
            <w:tcW w:w="1370" w:type="pct"/>
            <w:tcBorders>
              <w:top w:val="single" w:sz="5" w:space="0" w:color="000000"/>
              <w:left w:val="single" w:sz="5" w:space="0" w:color="000000"/>
              <w:bottom w:val="single" w:sz="5" w:space="0" w:color="000000"/>
              <w:right w:val="single" w:sz="5" w:space="0" w:color="000000"/>
            </w:tcBorders>
          </w:tcPr>
          <w:p w14:paraId="5B1DE531"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0</w:t>
            </w:r>
          </w:p>
        </w:tc>
        <w:tc>
          <w:tcPr>
            <w:tcW w:w="1519" w:type="pct"/>
            <w:tcBorders>
              <w:top w:val="single" w:sz="5" w:space="0" w:color="000000"/>
              <w:left w:val="single" w:sz="5" w:space="0" w:color="000000"/>
              <w:bottom w:val="single" w:sz="5" w:space="0" w:color="000000"/>
              <w:right w:val="single" w:sz="5" w:space="0" w:color="000000"/>
            </w:tcBorders>
          </w:tcPr>
          <w:p w14:paraId="24EE7EF7" w14:textId="77777777" w:rsidR="005A2D50" w:rsidRPr="005A2D50" w:rsidRDefault="005A2D50" w:rsidP="00F14166">
            <w:pPr>
              <w:pStyle w:val="TableParagraph"/>
              <w:keepNext/>
              <w:keepLines/>
              <w:jc w:val="both"/>
              <w:rPr>
                <w:rFonts w:ascii="Times New Roman" w:hAnsi="Times New Roman"/>
                <w:noProof/>
                <w:sz w:val="24"/>
                <w:lang w:val="en-US"/>
              </w:rPr>
            </w:pPr>
            <w:r w:rsidRPr="005A2D50">
              <w:rPr>
                <w:rFonts w:ascii="Times New Roman" w:hAnsi="Times New Roman"/>
                <w:noProof/>
                <w:sz w:val="24"/>
                <w:lang w:val="en-US"/>
              </w:rPr>
              <w:t>45 000</w:t>
            </w:r>
          </w:p>
        </w:tc>
      </w:tr>
      <w:tr w:rsidR="005A2D50" w:rsidRPr="005A2D50" w14:paraId="14AA5EBE" w14:textId="77777777" w:rsidTr="00F14166">
        <w:tc>
          <w:tcPr>
            <w:tcW w:w="792" w:type="pct"/>
            <w:tcBorders>
              <w:top w:val="single" w:sz="5" w:space="0" w:color="000000"/>
              <w:left w:val="single" w:sz="5" w:space="0" w:color="000000"/>
              <w:bottom w:val="single" w:sz="5" w:space="0" w:color="000000"/>
              <w:right w:val="single" w:sz="5" w:space="0" w:color="000000"/>
            </w:tcBorders>
          </w:tcPr>
          <w:p w14:paraId="74276E4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febr. N</w:t>
            </w:r>
          </w:p>
        </w:tc>
        <w:tc>
          <w:tcPr>
            <w:tcW w:w="1319" w:type="pct"/>
            <w:tcBorders>
              <w:top w:val="single" w:sz="5" w:space="0" w:color="000000"/>
              <w:left w:val="single" w:sz="5" w:space="0" w:color="000000"/>
              <w:bottom w:val="single" w:sz="5" w:space="0" w:color="000000"/>
              <w:right w:val="single" w:sz="5" w:space="0" w:color="000000"/>
            </w:tcBorders>
          </w:tcPr>
          <w:p w14:paraId="27BFB58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10 000</w:t>
            </w:r>
          </w:p>
        </w:tc>
        <w:tc>
          <w:tcPr>
            <w:tcW w:w="1370" w:type="pct"/>
            <w:tcBorders>
              <w:top w:val="single" w:sz="5" w:space="0" w:color="000000"/>
              <w:left w:val="single" w:sz="5" w:space="0" w:color="000000"/>
              <w:bottom w:val="single" w:sz="5" w:space="0" w:color="000000"/>
              <w:right w:val="single" w:sz="5" w:space="0" w:color="000000"/>
            </w:tcBorders>
          </w:tcPr>
          <w:p w14:paraId="00A3B40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15 000</w:t>
            </w:r>
          </w:p>
        </w:tc>
        <w:tc>
          <w:tcPr>
            <w:tcW w:w="1519" w:type="pct"/>
            <w:tcBorders>
              <w:top w:val="single" w:sz="5" w:space="0" w:color="000000"/>
              <w:left w:val="single" w:sz="5" w:space="0" w:color="000000"/>
              <w:bottom w:val="single" w:sz="5" w:space="0" w:color="000000"/>
              <w:right w:val="single" w:sz="5" w:space="0" w:color="000000"/>
            </w:tcBorders>
          </w:tcPr>
          <w:p w14:paraId="233DCB3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40 000</w:t>
            </w:r>
          </w:p>
        </w:tc>
      </w:tr>
      <w:tr w:rsidR="005A2D50" w:rsidRPr="005A2D50" w14:paraId="42487DCA" w14:textId="77777777" w:rsidTr="00F14166">
        <w:tc>
          <w:tcPr>
            <w:tcW w:w="792" w:type="pct"/>
            <w:tcBorders>
              <w:top w:val="single" w:sz="5" w:space="0" w:color="000000"/>
              <w:left w:val="single" w:sz="5" w:space="0" w:color="000000"/>
              <w:bottom w:val="single" w:sz="5" w:space="0" w:color="000000"/>
              <w:right w:val="single" w:sz="5" w:space="0" w:color="000000"/>
            </w:tcBorders>
          </w:tcPr>
          <w:p w14:paraId="670168D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marts N</w:t>
            </w:r>
          </w:p>
        </w:tc>
        <w:tc>
          <w:tcPr>
            <w:tcW w:w="1319" w:type="pct"/>
            <w:tcBorders>
              <w:top w:val="single" w:sz="5" w:space="0" w:color="000000"/>
              <w:left w:val="single" w:sz="5" w:space="0" w:color="000000"/>
              <w:bottom w:val="single" w:sz="5" w:space="0" w:color="000000"/>
              <w:right w:val="single" w:sz="5" w:space="0" w:color="000000"/>
            </w:tcBorders>
          </w:tcPr>
          <w:p w14:paraId="3C20D39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370" w:type="pct"/>
            <w:tcBorders>
              <w:top w:val="single" w:sz="5" w:space="0" w:color="000000"/>
              <w:left w:val="single" w:sz="5" w:space="0" w:color="000000"/>
              <w:bottom w:val="single" w:sz="5" w:space="0" w:color="000000"/>
              <w:right w:val="single" w:sz="5" w:space="0" w:color="000000"/>
            </w:tcBorders>
          </w:tcPr>
          <w:p w14:paraId="52614BC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10 000</w:t>
            </w:r>
          </w:p>
        </w:tc>
        <w:tc>
          <w:tcPr>
            <w:tcW w:w="1519" w:type="pct"/>
            <w:tcBorders>
              <w:top w:val="single" w:sz="5" w:space="0" w:color="000000"/>
              <w:left w:val="single" w:sz="5" w:space="0" w:color="000000"/>
              <w:bottom w:val="single" w:sz="5" w:space="0" w:color="000000"/>
              <w:right w:val="single" w:sz="5" w:space="0" w:color="000000"/>
            </w:tcBorders>
          </w:tcPr>
          <w:p w14:paraId="79A4CC8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35 000</w:t>
            </w:r>
          </w:p>
        </w:tc>
      </w:tr>
      <w:tr w:rsidR="005A2D50" w:rsidRPr="005A2D50" w14:paraId="0D5FE212" w14:textId="77777777" w:rsidTr="00F14166">
        <w:tc>
          <w:tcPr>
            <w:tcW w:w="792" w:type="pct"/>
            <w:tcBorders>
              <w:top w:val="single" w:sz="5" w:space="0" w:color="000000"/>
              <w:left w:val="single" w:sz="5" w:space="0" w:color="000000"/>
              <w:bottom w:val="single" w:sz="5" w:space="0" w:color="000000"/>
              <w:right w:val="single" w:sz="5" w:space="0" w:color="000000"/>
            </w:tcBorders>
          </w:tcPr>
          <w:p w14:paraId="720E815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apr. N</w:t>
            </w:r>
          </w:p>
        </w:tc>
        <w:tc>
          <w:tcPr>
            <w:tcW w:w="1319" w:type="pct"/>
            <w:tcBorders>
              <w:top w:val="single" w:sz="5" w:space="0" w:color="000000"/>
              <w:left w:val="single" w:sz="5" w:space="0" w:color="000000"/>
              <w:bottom w:val="single" w:sz="5" w:space="0" w:color="000000"/>
              <w:right w:val="single" w:sz="5" w:space="0" w:color="000000"/>
            </w:tcBorders>
          </w:tcPr>
          <w:p w14:paraId="3184504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12 000</w:t>
            </w:r>
          </w:p>
        </w:tc>
        <w:tc>
          <w:tcPr>
            <w:tcW w:w="1370" w:type="pct"/>
            <w:tcBorders>
              <w:top w:val="single" w:sz="5" w:space="0" w:color="000000"/>
              <w:left w:val="single" w:sz="5" w:space="0" w:color="000000"/>
              <w:bottom w:val="single" w:sz="5" w:space="0" w:color="000000"/>
              <w:right w:val="single" w:sz="5" w:space="0" w:color="000000"/>
            </w:tcBorders>
          </w:tcPr>
          <w:p w14:paraId="3C0888D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519" w:type="pct"/>
            <w:tcBorders>
              <w:top w:val="single" w:sz="5" w:space="0" w:color="000000"/>
              <w:left w:val="single" w:sz="5" w:space="0" w:color="000000"/>
              <w:bottom w:val="single" w:sz="5" w:space="0" w:color="000000"/>
              <w:right w:val="single" w:sz="5" w:space="0" w:color="000000"/>
            </w:tcBorders>
          </w:tcPr>
          <w:p w14:paraId="2E7659C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42 000</w:t>
            </w:r>
          </w:p>
        </w:tc>
      </w:tr>
      <w:tr w:rsidR="005A2D50" w:rsidRPr="005A2D50" w14:paraId="696D8E9D" w14:textId="77777777" w:rsidTr="00F14166">
        <w:tc>
          <w:tcPr>
            <w:tcW w:w="792" w:type="pct"/>
            <w:tcBorders>
              <w:top w:val="single" w:sz="5" w:space="0" w:color="000000"/>
              <w:left w:val="single" w:sz="5" w:space="0" w:color="000000"/>
              <w:bottom w:val="single" w:sz="5" w:space="0" w:color="000000"/>
              <w:right w:val="single" w:sz="5" w:space="0" w:color="000000"/>
            </w:tcBorders>
          </w:tcPr>
          <w:p w14:paraId="327082C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maijs N</w:t>
            </w:r>
          </w:p>
        </w:tc>
        <w:tc>
          <w:tcPr>
            <w:tcW w:w="1319" w:type="pct"/>
            <w:tcBorders>
              <w:top w:val="single" w:sz="5" w:space="0" w:color="000000"/>
              <w:left w:val="single" w:sz="5" w:space="0" w:color="000000"/>
              <w:bottom w:val="single" w:sz="5" w:space="0" w:color="000000"/>
              <w:right w:val="single" w:sz="5" w:space="0" w:color="000000"/>
            </w:tcBorders>
          </w:tcPr>
          <w:p w14:paraId="2156465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8000</w:t>
            </w:r>
          </w:p>
        </w:tc>
        <w:tc>
          <w:tcPr>
            <w:tcW w:w="1370" w:type="pct"/>
            <w:tcBorders>
              <w:top w:val="single" w:sz="5" w:space="0" w:color="000000"/>
              <w:left w:val="single" w:sz="5" w:space="0" w:color="000000"/>
              <w:bottom w:val="single" w:sz="5" w:space="0" w:color="000000"/>
              <w:right w:val="single" w:sz="5" w:space="0" w:color="000000"/>
            </w:tcBorders>
          </w:tcPr>
          <w:p w14:paraId="05D551F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0</w:t>
            </w:r>
          </w:p>
        </w:tc>
        <w:tc>
          <w:tcPr>
            <w:tcW w:w="1519" w:type="pct"/>
            <w:tcBorders>
              <w:top w:val="single" w:sz="5" w:space="0" w:color="000000"/>
              <w:left w:val="single" w:sz="5" w:space="0" w:color="000000"/>
              <w:bottom w:val="single" w:sz="5" w:space="0" w:color="000000"/>
              <w:right w:val="single" w:sz="5" w:space="0" w:color="000000"/>
            </w:tcBorders>
          </w:tcPr>
          <w:p w14:paraId="63B6732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50 000</w:t>
            </w:r>
          </w:p>
        </w:tc>
      </w:tr>
      <w:tr w:rsidR="005A2D50" w:rsidRPr="005A2D50" w14:paraId="3102A417" w14:textId="77777777" w:rsidTr="00F14166">
        <w:tc>
          <w:tcPr>
            <w:tcW w:w="792" w:type="pct"/>
            <w:tcBorders>
              <w:top w:val="single" w:sz="5" w:space="0" w:color="000000"/>
              <w:left w:val="single" w:sz="5" w:space="0" w:color="000000"/>
              <w:bottom w:val="single" w:sz="5" w:space="0" w:color="000000"/>
              <w:right w:val="single" w:sz="5" w:space="0" w:color="000000"/>
            </w:tcBorders>
          </w:tcPr>
          <w:p w14:paraId="2B05143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jūn. N</w:t>
            </w:r>
          </w:p>
        </w:tc>
        <w:tc>
          <w:tcPr>
            <w:tcW w:w="1319" w:type="pct"/>
            <w:tcBorders>
              <w:top w:val="single" w:sz="5" w:space="0" w:color="000000"/>
              <w:left w:val="single" w:sz="5" w:space="0" w:color="000000"/>
              <w:bottom w:val="single" w:sz="5" w:space="0" w:color="000000"/>
              <w:right w:val="single" w:sz="5" w:space="0" w:color="000000"/>
            </w:tcBorders>
          </w:tcPr>
          <w:p w14:paraId="7CE68E5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370" w:type="pct"/>
            <w:tcBorders>
              <w:top w:val="single" w:sz="5" w:space="0" w:color="000000"/>
              <w:left w:val="single" w:sz="5" w:space="0" w:color="000000"/>
              <w:bottom w:val="single" w:sz="5" w:space="0" w:color="000000"/>
              <w:right w:val="single" w:sz="5" w:space="0" w:color="000000"/>
            </w:tcBorders>
          </w:tcPr>
          <w:p w14:paraId="33EFE7E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8000</w:t>
            </w:r>
          </w:p>
        </w:tc>
        <w:tc>
          <w:tcPr>
            <w:tcW w:w="1519" w:type="pct"/>
            <w:tcBorders>
              <w:top w:val="single" w:sz="5" w:space="0" w:color="000000"/>
              <w:left w:val="single" w:sz="5" w:space="0" w:color="000000"/>
              <w:bottom w:val="single" w:sz="5" w:space="0" w:color="000000"/>
              <w:right w:val="single" w:sz="5" w:space="0" w:color="000000"/>
            </w:tcBorders>
          </w:tcPr>
          <w:p w14:paraId="159FDD8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47 000</w:t>
            </w:r>
          </w:p>
        </w:tc>
      </w:tr>
      <w:tr w:rsidR="005A2D50" w:rsidRPr="005A2D50" w14:paraId="2965BA91" w14:textId="77777777" w:rsidTr="00F14166">
        <w:tc>
          <w:tcPr>
            <w:tcW w:w="792" w:type="pct"/>
            <w:tcBorders>
              <w:top w:val="single" w:sz="5" w:space="0" w:color="000000"/>
              <w:left w:val="single" w:sz="5" w:space="0" w:color="000000"/>
              <w:bottom w:val="single" w:sz="5" w:space="0" w:color="000000"/>
              <w:right w:val="single" w:sz="5" w:space="0" w:color="000000"/>
            </w:tcBorders>
          </w:tcPr>
          <w:p w14:paraId="4D5DDF9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jūl. N</w:t>
            </w:r>
          </w:p>
        </w:tc>
        <w:tc>
          <w:tcPr>
            <w:tcW w:w="1319" w:type="pct"/>
            <w:tcBorders>
              <w:top w:val="single" w:sz="5" w:space="0" w:color="000000"/>
              <w:left w:val="single" w:sz="5" w:space="0" w:color="000000"/>
              <w:bottom w:val="single" w:sz="5" w:space="0" w:color="000000"/>
              <w:right w:val="single" w:sz="5" w:space="0" w:color="000000"/>
            </w:tcBorders>
          </w:tcPr>
          <w:p w14:paraId="2557B0D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370" w:type="pct"/>
            <w:tcBorders>
              <w:top w:val="single" w:sz="5" w:space="0" w:color="000000"/>
              <w:left w:val="single" w:sz="5" w:space="0" w:color="000000"/>
              <w:bottom w:val="single" w:sz="5" w:space="0" w:color="000000"/>
              <w:right w:val="single" w:sz="5" w:space="0" w:color="000000"/>
            </w:tcBorders>
          </w:tcPr>
          <w:p w14:paraId="30292F0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519" w:type="pct"/>
            <w:tcBorders>
              <w:top w:val="single" w:sz="5" w:space="0" w:color="000000"/>
              <w:left w:val="single" w:sz="5" w:space="0" w:color="000000"/>
              <w:bottom w:val="single" w:sz="5" w:space="0" w:color="000000"/>
              <w:right w:val="single" w:sz="5" w:space="0" w:color="000000"/>
            </w:tcBorders>
          </w:tcPr>
          <w:p w14:paraId="36FD2AF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45 000</w:t>
            </w:r>
          </w:p>
        </w:tc>
      </w:tr>
      <w:tr w:rsidR="005A2D50" w:rsidRPr="005A2D50" w14:paraId="7CDA195C" w14:textId="77777777" w:rsidTr="00F14166">
        <w:tc>
          <w:tcPr>
            <w:tcW w:w="792" w:type="pct"/>
            <w:tcBorders>
              <w:top w:val="single" w:sz="5" w:space="0" w:color="000000"/>
              <w:left w:val="single" w:sz="5" w:space="0" w:color="000000"/>
              <w:bottom w:val="single" w:sz="5" w:space="0" w:color="000000"/>
              <w:right w:val="single" w:sz="5" w:space="0" w:color="000000"/>
            </w:tcBorders>
          </w:tcPr>
          <w:p w14:paraId="3EB3240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aug. N</w:t>
            </w:r>
          </w:p>
        </w:tc>
        <w:tc>
          <w:tcPr>
            <w:tcW w:w="1319" w:type="pct"/>
            <w:tcBorders>
              <w:top w:val="single" w:sz="5" w:space="0" w:color="000000"/>
              <w:left w:val="single" w:sz="5" w:space="0" w:color="000000"/>
              <w:bottom w:val="single" w:sz="5" w:space="0" w:color="000000"/>
              <w:right w:val="single" w:sz="5" w:space="0" w:color="000000"/>
            </w:tcBorders>
          </w:tcPr>
          <w:p w14:paraId="797A8BE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0</w:t>
            </w:r>
          </w:p>
        </w:tc>
        <w:tc>
          <w:tcPr>
            <w:tcW w:w="1370" w:type="pct"/>
            <w:tcBorders>
              <w:top w:val="single" w:sz="5" w:space="0" w:color="000000"/>
              <w:left w:val="single" w:sz="5" w:space="0" w:color="000000"/>
              <w:bottom w:val="single" w:sz="5" w:space="0" w:color="000000"/>
              <w:right w:val="single" w:sz="5" w:space="0" w:color="000000"/>
            </w:tcBorders>
          </w:tcPr>
          <w:p w14:paraId="6D55981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519" w:type="pct"/>
            <w:tcBorders>
              <w:top w:val="single" w:sz="5" w:space="0" w:color="000000"/>
              <w:left w:val="single" w:sz="5" w:space="0" w:color="000000"/>
              <w:bottom w:val="single" w:sz="5" w:space="0" w:color="000000"/>
              <w:right w:val="single" w:sz="5" w:space="0" w:color="000000"/>
            </w:tcBorders>
          </w:tcPr>
          <w:p w14:paraId="07B9C57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40 000</w:t>
            </w:r>
          </w:p>
        </w:tc>
      </w:tr>
      <w:tr w:rsidR="005A2D50" w:rsidRPr="005A2D50" w14:paraId="48CC0AC1" w14:textId="77777777" w:rsidTr="00F14166">
        <w:tc>
          <w:tcPr>
            <w:tcW w:w="792" w:type="pct"/>
            <w:tcBorders>
              <w:top w:val="single" w:sz="5" w:space="0" w:color="000000"/>
              <w:left w:val="single" w:sz="5" w:space="0" w:color="000000"/>
              <w:bottom w:val="single" w:sz="5" w:space="0" w:color="000000"/>
              <w:right w:val="single" w:sz="5" w:space="0" w:color="000000"/>
            </w:tcBorders>
          </w:tcPr>
          <w:p w14:paraId="560BCD2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sept. N</w:t>
            </w:r>
          </w:p>
        </w:tc>
        <w:tc>
          <w:tcPr>
            <w:tcW w:w="1319" w:type="pct"/>
            <w:tcBorders>
              <w:top w:val="single" w:sz="5" w:space="0" w:color="000000"/>
              <w:left w:val="single" w:sz="5" w:space="0" w:color="000000"/>
              <w:bottom w:val="single" w:sz="5" w:space="0" w:color="000000"/>
              <w:right w:val="single" w:sz="5" w:space="0" w:color="000000"/>
            </w:tcBorders>
          </w:tcPr>
          <w:p w14:paraId="1DCAB01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370" w:type="pct"/>
            <w:tcBorders>
              <w:top w:val="single" w:sz="5" w:space="0" w:color="000000"/>
              <w:left w:val="single" w:sz="5" w:space="0" w:color="000000"/>
              <w:bottom w:val="single" w:sz="5" w:space="0" w:color="000000"/>
              <w:right w:val="single" w:sz="5" w:space="0" w:color="000000"/>
            </w:tcBorders>
          </w:tcPr>
          <w:p w14:paraId="03D1D7B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10 000</w:t>
            </w:r>
          </w:p>
        </w:tc>
        <w:tc>
          <w:tcPr>
            <w:tcW w:w="1519" w:type="pct"/>
            <w:tcBorders>
              <w:top w:val="single" w:sz="5" w:space="0" w:color="000000"/>
              <w:left w:val="single" w:sz="5" w:space="0" w:color="000000"/>
              <w:bottom w:val="single" w:sz="5" w:space="0" w:color="000000"/>
              <w:right w:val="single" w:sz="5" w:space="0" w:color="000000"/>
            </w:tcBorders>
          </w:tcPr>
          <w:p w14:paraId="244D694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35 000</w:t>
            </w:r>
          </w:p>
        </w:tc>
      </w:tr>
      <w:tr w:rsidR="005A2D50" w:rsidRPr="005A2D50" w14:paraId="74A8997E" w14:textId="77777777" w:rsidTr="00F14166">
        <w:tc>
          <w:tcPr>
            <w:tcW w:w="792" w:type="pct"/>
            <w:tcBorders>
              <w:top w:val="single" w:sz="5" w:space="0" w:color="000000"/>
              <w:left w:val="single" w:sz="5" w:space="0" w:color="000000"/>
              <w:bottom w:val="single" w:sz="5" w:space="0" w:color="000000"/>
              <w:right w:val="single" w:sz="5" w:space="0" w:color="000000"/>
            </w:tcBorders>
          </w:tcPr>
          <w:p w14:paraId="56C558A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okt. N</w:t>
            </w:r>
          </w:p>
        </w:tc>
        <w:tc>
          <w:tcPr>
            <w:tcW w:w="1319" w:type="pct"/>
            <w:tcBorders>
              <w:top w:val="single" w:sz="5" w:space="0" w:color="000000"/>
              <w:left w:val="single" w:sz="5" w:space="0" w:color="000000"/>
              <w:bottom w:val="single" w:sz="5" w:space="0" w:color="000000"/>
              <w:right w:val="single" w:sz="5" w:space="0" w:color="000000"/>
            </w:tcBorders>
          </w:tcPr>
          <w:p w14:paraId="6BE767B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15 000</w:t>
            </w:r>
          </w:p>
        </w:tc>
        <w:tc>
          <w:tcPr>
            <w:tcW w:w="1370" w:type="pct"/>
            <w:tcBorders>
              <w:top w:val="single" w:sz="5" w:space="0" w:color="000000"/>
              <w:left w:val="single" w:sz="5" w:space="0" w:color="000000"/>
              <w:bottom w:val="single" w:sz="5" w:space="0" w:color="000000"/>
              <w:right w:val="single" w:sz="5" w:space="0" w:color="000000"/>
            </w:tcBorders>
          </w:tcPr>
          <w:p w14:paraId="2781EDC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10 000</w:t>
            </w:r>
          </w:p>
        </w:tc>
        <w:tc>
          <w:tcPr>
            <w:tcW w:w="1519" w:type="pct"/>
            <w:tcBorders>
              <w:top w:val="single" w:sz="5" w:space="0" w:color="000000"/>
              <w:left w:val="single" w:sz="5" w:space="0" w:color="000000"/>
              <w:bottom w:val="single" w:sz="5" w:space="0" w:color="000000"/>
              <w:right w:val="single" w:sz="5" w:space="0" w:color="000000"/>
            </w:tcBorders>
          </w:tcPr>
          <w:p w14:paraId="3E8AFA1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40 000</w:t>
            </w:r>
          </w:p>
        </w:tc>
      </w:tr>
      <w:tr w:rsidR="005A2D50" w:rsidRPr="005A2D50" w14:paraId="73638E7C" w14:textId="77777777" w:rsidTr="00F14166">
        <w:tc>
          <w:tcPr>
            <w:tcW w:w="792" w:type="pct"/>
            <w:tcBorders>
              <w:top w:val="single" w:sz="5" w:space="0" w:color="000000"/>
              <w:left w:val="single" w:sz="5" w:space="0" w:color="000000"/>
              <w:bottom w:val="single" w:sz="5" w:space="0" w:color="000000"/>
              <w:right w:val="single" w:sz="5" w:space="0" w:color="000000"/>
            </w:tcBorders>
          </w:tcPr>
          <w:p w14:paraId="03157AE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nov. N</w:t>
            </w:r>
          </w:p>
        </w:tc>
        <w:tc>
          <w:tcPr>
            <w:tcW w:w="1319" w:type="pct"/>
            <w:tcBorders>
              <w:top w:val="single" w:sz="5" w:space="0" w:color="000000"/>
              <w:left w:val="single" w:sz="5" w:space="0" w:color="000000"/>
              <w:bottom w:val="single" w:sz="5" w:space="0" w:color="000000"/>
              <w:right w:val="single" w:sz="5" w:space="0" w:color="000000"/>
            </w:tcBorders>
          </w:tcPr>
          <w:p w14:paraId="6A179FD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15 000</w:t>
            </w:r>
          </w:p>
        </w:tc>
        <w:tc>
          <w:tcPr>
            <w:tcW w:w="1370" w:type="pct"/>
            <w:tcBorders>
              <w:top w:val="single" w:sz="5" w:space="0" w:color="000000"/>
              <w:left w:val="single" w:sz="5" w:space="0" w:color="000000"/>
              <w:bottom w:val="single" w:sz="5" w:space="0" w:color="000000"/>
              <w:right w:val="single" w:sz="5" w:space="0" w:color="000000"/>
            </w:tcBorders>
          </w:tcPr>
          <w:p w14:paraId="275BEB5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12 000</w:t>
            </w:r>
          </w:p>
        </w:tc>
        <w:tc>
          <w:tcPr>
            <w:tcW w:w="1519" w:type="pct"/>
            <w:tcBorders>
              <w:top w:val="single" w:sz="5" w:space="0" w:color="000000"/>
              <w:left w:val="single" w:sz="5" w:space="0" w:color="000000"/>
              <w:bottom w:val="single" w:sz="5" w:space="0" w:color="000000"/>
              <w:right w:val="single" w:sz="5" w:space="0" w:color="000000"/>
            </w:tcBorders>
          </w:tcPr>
          <w:p w14:paraId="0C60A9E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42 000</w:t>
            </w:r>
          </w:p>
        </w:tc>
      </w:tr>
      <w:tr w:rsidR="005A2D50" w:rsidRPr="005A2D50" w14:paraId="71F95B29" w14:textId="77777777" w:rsidTr="00F14166">
        <w:tc>
          <w:tcPr>
            <w:tcW w:w="792" w:type="pct"/>
            <w:tcBorders>
              <w:top w:val="single" w:sz="5" w:space="0" w:color="000000"/>
              <w:left w:val="single" w:sz="5" w:space="0" w:color="000000"/>
              <w:bottom w:val="single" w:sz="5" w:space="0" w:color="000000"/>
              <w:right w:val="single" w:sz="5" w:space="0" w:color="000000"/>
            </w:tcBorders>
          </w:tcPr>
          <w:p w14:paraId="4D5E1D6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dec. N+1</w:t>
            </w:r>
          </w:p>
        </w:tc>
        <w:tc>
          <w:tcPr>
            <w:tcW w:w="1319" w:type="pct"/>
            <w:tcBorders>
              <w:top w:val="single" w:sz="5" w:space="0" w:color="000000"/>
              <w:left w:val="single" w:sz="5" w:space="0" w:color="000000"/>
              <w:bottom w:val="single" w:sz="5" w:space="0" w:color="000000"/>
              <w:right w:val="single" w:sz="5" w:space="0" w:color="000000"/>
            </w:tcBorders>
          </w:tcPr>
          <w:p w14:paraId="2E9A400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8000</w:t>
            </w:r>
          </w:p>
        </w:tc>
        <w:tc>
          <w:tcPr>
            <w:tcW w:w="1370" w:type="pct"/>
            <w:tcBorders>
              <w:top w:val="single" w:sz="5" w:space="0" w:color="000000"/>
              <w:left w:val="single" w:sz="5" w:space="0" w:color="000000"/>
              <w:bottom w:val="single" w:sz="5" w:space="0" w:color="000000"/>
              <w:right w:val="single" w:sz="5" w:space="0" w:color="000000"/>
            </w:tcBorders>
          </w:tcPr>
          <w:p w14:paraId="6E95FC1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5000</w:t>
            </w:r>
          </w:p>
        </w:tc>
        <w:tc>
          <w:tcPr>
            <w:tcW w:w="1519" w:type="pct"/>
            <w:tcBorders>
              <w:top w:val="single" w:sz="5" w:space="0" w:color="000000"/>
              <w:left w:val="single" w:sz="5" w:space="0" w:color="000000"/>
              <w:bottom w:val="single" w:sz="5" w:space="0" w:color="000000"/>
              <w:right w:val="single" w:sz="5" w:space="0" w:color="000000"/>
            </w:tcBorders>
          </w:tcPr>
          <w:p w14:paraId="0AF4F22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45 000</w:t>
            </w:r>
          </w:p>
        </w:tc>
      </w:tr>
    </w:tbl>
    <w:p w14:paraId="062B342D"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27D54A0"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07EEA27C" wp14:editId="68DC10D6">
            <wp:extent cx="5762625" cy="2011680"/>
            <wp:effectExtent l="0" t="0" r="0" b="0"/>
            <wp:docPr id="8" name="Picture 8"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line chart&#10;&#10;Description automatically generated"/>
                    <pic:cNvPicPr/>
                  </pic:nvPicPr>
                  <pic:blipFill>
                    <a:blip r:embed="rId15">
                      <a:extLst>
                        <a:ext uri="{28A0092B-C50C-407E-A947-70E740481C1C}">
                          <a14:useLocalDpi xmlns:a14="http://schemas.microsoft.com/office/drawing/2010/main" val="0"/>
                        </a:ext>
                      </a:extLst>
                    </a:blip>
                    <a:stretch>
                      <a:fillRect/>
                    </a:stretch>
                  </pic:blipFill>
                  <pic:spPr>
                    <a:xfrm>
                      <a:off x="0" y="0"/>
                      <a:ext cx="5762625" cy="2011680"/>
                    </a:xfrm>
                    <a:prstGeom prst="rect">
                      <a:avLst/>
                    </a:prstGeom>
                  </pic:spPr>
                </pic:pic>
              </a:graphicData>
            </a:graphic>
          </wp:inline>
        </w:drawing>
      </w:r>
    </w:p>
    <w:p w14:paraId="5D245364"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55A0184A" w14:textId="77777777" w:rsidR="005A2D50" w:rsidRPr="005A2D50" w:rsidRDefault="005A2D50" w:rsidP="005A2D50">
      <w:pPr>
        <w:numPr>
          <w:ilvl w:val="0"/>
          <w:numId w:val="28"/>
        </w:numPr>
        <w:tabs>
          <w:tab w:val="left" w:pos="488"/>
        </w:tabs>
        <w:ind w:left="0" w:firstLine="0"/>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To preču maksimālā vērtība, uz kurām var attiekties IP procedūra, saskaņā ar darījumdarbības apjomu</w:t>
      </w:r>
      <w:r w:rsidRPr="005A2D50">
        <w:rPr>
          <w:rFonts w:ascii="Times New Roman" w:hAnsi="Times New Roman" w:cs="Times New Roman"/>
          <w:noProof/>
          <w:sz w:val="24"/>
          <w:szCs w:val="24"/>
          <w:vertAlign w:val="superscript"/>
          <w:lang w:val="en-US"/>
        </w:rPr>
        <w:footnoteReference w:id="17"/>
      </w:r>
      <w:r w:rsidRPr="005A2D50">
        <w:rPr>
          <w:rFonts w:ascii="Times New Roman" w:hAnsi="Times New Roman" w:cs="Times New Roman"/>
          <w:noProof/>
          <w:sz w:val="24"/>
          <w:szCs w:val="24"/>
          <w:vertAlign w:val="superscript"/>
          <w:lang w:val="en-US"/>
        </w:rPr>
        <w:t xml:space="preserve"> </w:t>
      </w:r>
      <w:r w:rsidRPr="005A2D50">
        <w:rPr>
          <w:rFonts w:ascii="Times New Roman" w:hAnsi="Times New Roman"/>
          <w:noProof/>
          <w:sz w:val="24"/>
          <w:lang w:val="en-US"/>
        </w:rPr>
        <w:t>= 50 000 EUR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left w:w="28" w:type="dxa"/>
          <w:bottom w:w="28" w:type="dxa"/>
          <w:right w:w="28" w:type="dxa"/>
        </w:tblCellMar>
        <w:tblLook w:val="04A0" w:firstRow="1" w:lastRow="0" w:firstColumn="1" w:lastColumn="0" w:noHBand="0" w:noVBand="1"/>
      </w:tblPr>
      <w:tblGrid>
        <w:gridCol w:w="5502"/>
        <w:gridCol w:w="3629"/>
      </w:tblGrid>
      <w:tr w:rsidR="005A2D50" w:rsidRPr="005A2D50" w14:paraId="58712EEA" w14:textId="77777777" w:rsidTr="00F14166">
        <w:tc>
          <w:tcPr>
            <w:tcW w:w="3013" w:type="pct"/>
          </w:tcPr>
          <w:p w14:paraId="79D0BD79" w14:textId="77777777" w:rsidR="005A2D50" w:rsidRPr="005A2D50" w:rsidRDefault="005A2D50" w:rsidP="00F14166">
            <w:pPr>
              <w:tabs>
                <w:tab w:val="left" w:pos="5886"/>
              </w:tabs>
              <w:jc w:val="both"/>
              <w:rPr>
                <w:rFonts w:ascii="Times New Roman" w:hAnsi="Times New Roman"/>
                <w:noProof/>
                <w:sz w:val="24"/>
                <w:lang w:val="en-US"/>
              </w:rPr>
            </w:pPr>
            <w:r w:rsidRPr="005A2D50">
              <w:rPr>
                <w:rFonts w:ascii="Times New Roman" w:hAnsi="Times New Roman"/>
                <w:noProof/>
                <w:sz w:val="24"/>
                <w:lang w:val="en-US"/>
              </w:rPr>
              <w:t>Atsauces summas daļa, kas sedz ievedmuitas nodokli:</w:t>
            </w:r>
          </w:p>
        </w:tc>
        <w:tc>
          <w:tcPr>
            <w:tcW w:w="1987" w:type="pct"/>
          </w:tcPr>
          <w:p w14:paraId="5801CF0E" w14:textId="77777777" w:rsidR="005A2D50" w:rsidRPr="005A2D50" w:rsidRDefault="005A2D50" w:rsidP="00F14166">
            <w:pPr>
              <w:tabs>
                <w:tab w:val="left" w:pos="5886"/>
              </w:tabs>
              <w:jc w:val="right"/>
              <w:rPr>
                <w:rFonts w:ascii="Times New Roman" w:hAnsi="Times New Roman"/>
                <w:noProof/>
                <w:sz w:val="24"/>
                <w:lang w:val="en-US"/>
              </w:rPr>
            </w:pPr>
            <w:r w:rsidRPr="005A2D50">
              <w:rPr>
                <w:rFonts w:ascii="Times New Roman" w:hAnsi="Times New Roman"/>
                <w:noProof/>
                <w:sz w:val="24"/>
                <w:lang w:val="en-US"/>
              </w:rPr>
              <w:t>50 000 EUR x 10 % = 5000 EUR</w:t>
            </w:r>
          </w:p>
        </w:tc>
      </w:tr>
      <w:tr w:rsidR="005A2D50" w:rsidRPr="005A2D50" w14:paraId="6020B98F" w14:textId="77777777" w:rsidTr="00F14166">
        <w:tc>
          <w:tcPr>
            <w:tcW w:w="3013" w:type="pct"/>
          </w:tcPr>
          <w:p w14:paraId="0921B741" w14:textId="77777777" w:rsidR="005A2D50" w:rsidRPr="005A2D50" w:rsidRDefault="005A2D50" w:rsidP="00F14166">
            <w:pPr>
              <w:tabs>
                <w:tab w:val="left" w:pos="5886"/>
              </w:tabs>
              <w:jc w:val="both"/>
              <w:rPr>
                <w:rFonts w:ascii="Times New Roman" w:hAnsi="Times New Roman"/>
                <w:noProof/>
                <w:sz w:val="24"/>
                <w:lang w:val="en-US"/>
              </w:rPr>
            </w:pPr>
            <w:r w:rsidRPr="005A2D50">
              <w:rPr>
                <w:rFonts w:ascii="Times New Roman" w:hAnsi="Times New Roman"/>
                <w:noProof/>
                <w:sz w:val="24"/>
                <w:lang w:val="en-US"/>
              </w:rPr>
              <w:t>Atsauces summas daļa, kas sedz pārējos maksājumus:</w:t>
            </w:r>
          </w:p>
        </w:tc>
        <w:tc>
          <w:tcPr>
            <w:tcW w:w="1987" w:type="pct"/>
            <w:vAlign w:val="bottom"/>
          </w:tcPr>
          <w:p w14:paraId="6D7FEFD5" w14:textId="77777777" w:rsidR="005A2D50" w:rsidRPr="005A2D50" w:rsidRDefault="005A2D50" w:rsidP="00F14166">
            <w:pPr>
              <w:tabs>
                <w:tab w:val="left" w:pos="5886"/>
              </w:tabs>
              <w:jc w:val="right"/>
              <w:rPr>
                <w:rFonts w:ascii="Times New Roman" w:hAnsi="Times New Roman"/>
                <w:noProof/>
                <w:sz w:val="24"/>
                <w:lang w:val="en-US"/>
              </w:rPr>
            </w:pPr>
            <w:r w:rsidRPr="005A2D50">
              <w:rPr>
                <w:rFonts w:ascii="Times New Roman" w:hAnsi="Times New Roman"/>
                <w:noProof/>
                <w:sz w:val="24"/>
                <w:lang w:val="en-US"/>
              </w:rPr>
              <w:t>55 000 EUR x 20 % = 11 000 EUR</w:t>
            </w:r>
          </w:p>
        </w:tc>
      </w:tr>
      <w:tr w:rsidR="005A2D50" w:rsidRPr="005A2D50" w14:paraId="7F8B5EEC" w14:textId="77777777" w:rsidTr="00F14166">
        <w:tc>
          <w:tcPr>
            <w:tcW w:w="3013" w:type="pct"/>
          </w:tcPr>
          <w:p w14:paraId="627B9477" w14:textId="77777777" w:rsidR="005A2D50" w:rsidRPr="005A2D50" w:rsidRDefault="005A2D50" w:rsidP="00F14166">
            <w:pPr>
              <w:numPr>
                <w:ilvl w:val="0"/>
                <w:numId w:val="28"/>
              </w:numPr>
              <w:tabs>
                <w:tab w:val="left" w:pos="488"/>
                <w:tab w:val="left" w:pos="8046"/>
              </w:tabs>
              <w:ind w:left="0" w:firstLine="0"/>
              <w:jc w:val="both"/>
              <w:rPr>
                <w:rFonts w:ascii="Times New Roman" w:hAnsi="Times New Roman"/>
                <w:noProof/>
                <w:sz w:val="24"/>
                <w:lang w:val="en-US"/>
              </w:rPr>
            </w:pPr>
            <w:r w:rsidRPr="005A2D50">
              <w:rPr>
                <w:rFonts w:ascii="Times New Roman" w:hAnsi="Times New Roman"/>
                <w:noProof/>
                <w:sz w:val="24"/>
                <w:lang w:val="en-US"/>
              </w:rPr>
              <w:t>Galvojuma atsauces summa:</w:t>
            </w:r>
          </w:p>
        </w:tc>
        <w:tc>
          <w:tcPr>
            <w:tcW w:w="1987" w:type="pct"/>
          </w:tcPr>
          <w:p w14:paraId="39FB7A30" w14:textId="77777777" w:rsidR="005A2D50" w:rsidRPr="005A2D50" w:rsidRDefault="005A2D50" w:rsidP="00F14166">
            <w:pPr>
              <w:tabs>
                <w:tab w:val="left" w:pos="5886"/>
              </w:tabs>
              <w:jc w:val="right"/>
              <w:rPr>
                <w:rFonts w:ascii="Times New Roman" w:hAnsi="Times New Roman"/>
                <w:noProof/>
                <w:sz w:val="24"/>
                <w:lang w:val="en-US"/>
              </w:rPr>
            </w:pPr>
            <w:r w:rsidRPr="005A2D50">
              <w:rPr>
                <w:rFonts w:ascii="Times New Roman" w:hAnsi="Times New Roman"/>
                <w:noProof/>
                <w:sz w:val="24"/>
                <w:lang w:val="en-US"/>
              </w:rPr>
              <w:t>16 000 EUR</w:t>
            </w:r>
          </w:p>
        </w:tc>
      </w:tr>
    </w:tbl>
    <w:p w14:paraId="20C57B9F" w14:textId="77777777" w:rsidR="005A2D50" w:rsidRPr="005A2D50" w:rsidRDefault="005A2D50" w:rsidP="005A2D50">
      <w:pPr>
        <w:pStyle w:val="BodyText"/>
        <w:rPr>
          <w:lang w:val="en-US"/>
        </w:rPr>
      </w:pPr>
      <w:r w:rsidRPr="005A2D50">
        <w:rPr>
          <w:lang w:val="en-US"/>
        </w:rPr>
        <w:t>Atsauces summa ir attiecīgā maksimālā summa = 16 000 EUR, kas atbilst muitas parāda un citu maksājumu summai par precēm, kurām piemēro IP procedūru un kurām konkrētajā brīdī nepiemēro nākamo muitas procedūru. Šī summa varētu atbilst vienai vai vairākām MD.</w:t>
      </w:r>
    </w:p>
    <w:p w14:paraId="53244E37" w14:textId="77777777" w:rsidR="005A2D50" w:rsidRPr="005A2D50" w:rsidRDefault="005A2D50" w:rsidP="005A2D50">
      <w:pPr>
        <w:pStyle w:val="BodyText"/>
        <w:rPr>
          <w:lang w:val="en-US"/>
        </w:rPr>
      </w:pPr>
    </w:p>
    <w:p w14:paraId="32D96A73" w14:textId="77777777" w:rsidR="005A2D50" w:rsidRPr="005A2D50" w:rsidRDefault="005A2D50" w:rsidP="005A2D50">
      <w:pPr>
        <w:pStyle w:val="BodyText"/>
        <w:rPr>
          <w:lang w:val="en-US"/>
        </w:rPr>
      </w:pPr>
      <w:r w:rsidRPr="005A2D50">
        <w:rPr>
          <w:lang w:val="en-US"/>
        </w:rPr>
        <w:t>Iepriekšējā piemērā attēlots tas, ka galvojums jāsniedz vienīgi par tām precēm, kam faktiski var piemērot IP procedūru, nevis par tām precēm, kurām šādas procedūras piemērošana ir teorētiski iespējama. Citiem vārdiem sakot, jāņem vērā faktiskā situācija, t. i., to preču aprēķinātā vērtība, kas atbilst MD, kas sagatavotas IP procedūrai, un aprēķinātā vērtība, kas atbilst darījumiem, ar ko IP procedūras tiek pabeigtas (SMK 215. panta 1. punkts), kopā ar to attīstību pārskata periodā, kā to parāda tās personas tirdzniecības dokumentācija un uzskaites reģistri, kurai prasīts sniegt galvojumu (ĪA 155. panta 4. punkts).</w:t>
      </w:r>
    </w:p>
    <w:p w14:paraId="59D588C8" w14:textId="77777777" w:rsidR="005A2D50" w:rsidRPr="005A2D50" w:rsidRDefault="005A2D50" w:rsidP="005A2D50">
      <w:pPr>
        <w:pStyle w:val="BodyText"/>
        <w:rPr>
          <w:lang w:val="en-US"/>
        </w:rPr>
      </w:pPr>
      <w:r w:rsidRPr="005A2D50">
        <w:rPr>
          <w:lang w:val="en-US"/>
        </w:rPr>
        <w:t>Nosakot to attiecīgo preču vērtību, kurām piemēro IP procedūru, ir jāņem vērā arī iepriekšējos 12 mēnešos veikto IP darbību vēsturiskie dati.</w:t>
      </w:r>
    </w:p>
    <w:p w14:paraId="6FED33AD" w14:textId="77777777" w:rsidR="005A2D50" w:rsidRPr="005A2D50" w:rsidRDefault="005A2D50" w:rsidP="005A2D50">
      <w:pPr>
        <w:pStyle w:val="BodyText"/>
        <w:rPr>
          <w:lang w:val="en-US"/>
        </w:rPr>
      </w:pPr>
    </w:p>
    <w:p w14:paraId="79E45793" w14:textId="77777777" w:rsidR="005A2D50" w:rsidRPr="005A2D50" w:rsidRDefault="005A2D50" w:rsidP="005A2D50">
      <w:pPr>
        <w:pStyle w:val="BodyText"/>
        <w:rPr>
          <w:b/>
          <w:bCs/>
          <w:lang w:val="en-US"/>
        </w:rPr>
      </w:pPr>
      <w:r w:rsidRPr="005A2D50">
        <w:rPr>
          <w:b/>
          <w:bCs/>
          <w:lang w:val="en-US"/>
        </w:rPr>
        <w:t>b) Muitas procedūra ievešanai noliktavā</w:t>
      </w:r>
    </w:p>
    <w:p w14:paraId="4800999D" w14:textId="77777777" w:rsidR="005A2D50" w:rsidRPr="005A2D50" w:rsidRDefault="005A2D50" w:rsidP="005A2D50">
      <w:pPr>
        <w:jc w:val="both"/>
        <w:rPr>
          <w:rFonts w:ascii="Times New Roman" w:eastAsia="Times New Roman" w:hAnsi="Times New Roman" w:cs="Times New Roman"/>
          <w:i/>
          <w:noProof/>
          <w:sz w:val="24"/>
          <w:szCs w:val="24"/>
          <w:u w:val="single" w:color="000000"/>
          <w:lang w:val="en-US"/>
        </w:rPr>
      </w:pPr>
    </w:p>
    <w:p w14:paraId="5A11F593" w14:textId="77777777" w:rsidR="005A2D50" w:rsidRPr="005A2D50" w:rsidRDefault="005A2D50" w:rsidP="005A2D50">
      <w:pPr>
        <w:jc w:val="both"/>
        <w:rPr>
          <w:rFonts w:ascii="Times New Roman" w:eastAsia="Times New Roman" w:hAnsi="Times New Roman" w:cs="Times New Roman"/>
          <w:iCs/>
          <w:noProof/>
          <w:sz w:val="24"/>
          <w:szCs w:val="24"/>
          <w:u w:val="thick" w:color="000000"/>
          <w:lang w:val="en-US"/>
        </w:rPr>
      </w:pPr>
      <w:r w:rsidRPr="005A2D50">
        <w:rPr>
          <w:rFonts w:ascii="Times New Roman" w:hAnsi="Times New Roman"/>
          <w:i/>
          <w:noProof/>
          <w:sz w:val="24"/>
          <w:u w:val="single"/>
          <w:lang w:val="en-US"/>
        </w:rPr>
        <w:t>1. variants. Aprēķināšanas metode, ja ir pieejami uzskaites un aplēšu dati (</w:t>
      </w:r>
      <w:r w:rsidRPr="005A2D50">
        <w:rPr>
          <w:rFonts w:ascii="Times New Roman" w:hAnsi="Times New Roman"/>
          <w:b/>
          <w:bCs/>
          <w:i/>
          <w:noProof/>
          <w:sz w:val="24"/>
          <w:u w:val="single"/>
          <w:lang w:val="en-US"/>
        </w:rPr>
        <w:t>šo metodi var piemērot tikai tad, ja ir vienota to preču vērtības sadale, kurām iepriekšējā 12 mēnešu perioda laikā piemēro muitas procedūru ievešanai noliktavā</w:t>
      </w:r>
      <w:r w:rsidRPr="005A2D50">
        <w:rPr>
          <w:rFonts w:ascii="Times New Roman" w:hAnsi="Times New Roman"/>
          <w:i/>
          <w:noProof/>
          <w:sz w:val="24"/>
          <w:u w:val="single"/>
          <w:lang w:val="en-US"/>
        </w:rPr>
        <w:t>)</w:t>
      </w:r>
    </w:p>
    <w:p w14:paraId="7E06E490" w14:textId="77777777" w:rsidR="005A2D50" w:rsidRPr="005A2D50" w:rsidRDefault="005A2D50" w:rsidP="005A2D50">
      <w:pPr>
        <w:jc w:val="both"/>
        <w:rPr>
          <w:rFonts w:ascii="Times New Roman" w:eastAsia="Times New Roman" w:hAnsi="Times New Roman" w:cs="Times New Roman"/>
          <w:iCs/>
          <w:noProof/>
          <w:sz w:val="24"/>
          <w:szCs w:val="24"/>
          <w:u w:val="single" w:color="000000"/>
          <w:lang w:val="en-US"/>
        </w:rPr>
      </w:pPr>
    </w:p>
    <w:p w14:paraId="697B522F" w14:textId="77777777" w:rsidR="005A2D50" w:rsidRPr="005A2D50" w:rsidRDefault="005A2D50" w:rsidP="005A2D50">
      <w:pPr>
        <w:pStyle w:val="BodyText"/>
        <w:numPr>
          <w:ilvl w:val="1"/>
          <w:numId w:val="29"/>
        </w:numPr>
        <w:tabs>
          <w:tab w:val="left" w:pos="851"/>
        </w:tabs>
        <w:ind w:left="284" w:firstLine="0"/>
        <w:rPr>
          <w:rFonts w:eastAsia="Times New Roman"/>
          <w:lang w:val="en-US"/>
        </w:rPr>
      </w:pPr>
      <w:r w:rsidRPr="005A2D50">
        <w:rPr>
          <w:lang w:val="en-US"/>
        </w:rPr>
        <w:t xml:space="preserve">Tiek aprēķināts, ka to preču kopējā vērtība, kurām piemērojama muitas procedūra ievešanai noliktavā, </w:t>
      </w:r>
      <w:r w:rsidRPr="005A2D50">
        <w:rPr>
          <w:b/>
          <w:bCs/>
          <w:u w:val="single"/>
          <w:lang w:val="en-US"/>
        </w:rPr>
        <w:t xml:space="preserve">viena gada laikā </w:t>
      </w:r>
      <w:r w:rsidRPr="005A2D50">
        <w:rPr>
          <w:lang w:val="en-US"/>
        </w:rPr>
        <w:t>sasniegs: 50 000 000 EUR</w:t>
      </w:r>
    </w:p>
    <w:p w14:paraId="3B0CC83D"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Maksimālā nodokļa likme, ko piemēro muitas noliktavā uzglabātām precēm: 10 %</w:t>
      </w:r>
    </w:p>
    <w:p w14:paraId="746AACF7"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Maksimālais noslēgšanas laikposms: 2 nedēļas</w:t>
      </w:r>
    </w:p>
    <w:p w14:paraId="3B7A73A5"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Nodokļa risks gadā: 50 000 000 EUR x 10 % = 5 000 000 EUR</w:t>
      </w:r>
    </w:p>
    <w:p w14:paraId="63B35AC7"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Nodokļa risks nedēļā: 5 000 000 EUR / 52 nedēļas = 96 150 EUR</w:t>
      </w:r>
    </w:p>
    <w:p w14:paraId="72AE7C53"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Atsauces summa: 96 150 EUR x 2 nedēļas = 192 300 EUR</w:t>
      </w:r>
    </w:p>
    <w:p w14:paraId="2AE47BE8" w14:textId="77777777" w:rsidR="005A2D50" w:rsidRPr="005A2D50" w:rsidRDefault="005A2D50" w:rsidP="005A2D50">
      <w:pPr>
        <w:jc w:val="both"/>
        <w:rPr>
          <w:rFonts w:ascii="Times New Roman" w:eastAsia="Times New Roman" w:hAnsi="Times New Roman" w:cs="Times New Roman"/>
          <w:i/>
          <w:noProof/>
          <w:sz w:val="24"/>
          <w:szCs w:val="24"/>
          <w:u w:val="single" w:color="000000"/>
          <w:lang w:val="en-US"/>
        </w:rPr>
      </w:pPr>
    </w:p>
    <w:p w14:paraId="1A724195" w14:textId="77777777" w:rsidR="005A2D50" w:rsidRPr="005A2D50" w:rsidRDefault="005A2D50" w:rsidP="005A2D50">
      <w:pPr>
        <w:jc w:val="both"/>
        <w:rPr>
          <w:rFonts w:ascii="Times New Roman" w:hAnsi="Times New Roman"/>
          <w:i/>
          <w:noProof/>
          <w:sz w:val="24"/>
          <w:u w:val="single" w:color="000000"/>
          <w:lang w:val="en-US"/>
        </w:rPr>
      </w:pPr>
      <w:r w:rsidRPr="005A2D50">
        <w:rPr>
          <w:rFonts w:ascii="Times New Roman" w:hAnsi="Times New Roman"/>
          <w:i/>
          <w:noProof/>
          <w:sz w:val="24"/>
          <w:u w:val="single" w:color="000000"/>
          <w:lang w:val="en-US"/>
        </w:rPr>
        <w:t>2. variants. Nav pieejami vēsturiskie dati, bet ir pieejams aprēķins</w:t>
      </w:r>
    </w:p>
    <w:p w14:paraId="2C4AC3DA" w14:textId="77777777" w:rsidR="005A2D50" w:rsidRPr="005A2D50" w:rsidRDefault="005A2D50" w:rsidP="005A2D50">
      <w:pPr>
        <w:jc w:val="both"/>
        <w:rPr>
          <w:rFonts w:ascii="Times New Roman" w:eastAsia="Times New Roman" w:hAnsi="Times New Roman" w:cs="Times New Roman"/>
          <w:i/>
          <w:noProof/>
          <w:sz w:val="24"/>
          <w:szCs w:val="24"/>
          <w:lang w:val="en-US"/>
        </w:rPr>
      </w:pPr>
    </w:p>
    <w:p w14:paraId="4B484A0D" w14:textId="77777777" w:rsidR="005A2D50" w:rsidRPr="005A2D50" w:rsidRDefault="005A2D50" w:rsidP="005A2D50">
      <w:pPr>
        <w:pStyle w:val="BodyText"/>
        <w:rPr>
          <w:lang w:val="en-US"/>
        </w:rPr>
      </w:pPr>
      <w:r w:rsidRPr="005A2D50">
        <w:rPr>
          <w:lang w:val="en-US"/>
        </w:rPr>
        <w:t>Atsauces summa jānosaka, pamatojoties uz to preču vērtību, kurām var piemērot muitas procedūru ievešanai noliktavā atbilstoši uzglabāšanas kapacitātei uzglabāšanas vietā un konkrētās uzglabāšanas vietas darījumdarbības apjoma novērtējumam.</w:t>
      </w:r>
    </w:p>
    <w:p w14:paraId="2F4DB5FB" w14:textId="77777777" w:rsidR="005A2D50" w:rsidRPr="005A2D50" w:rsidRDefault="005A2D50" w:rsidP="005A2D50">
      <w:pPr>
        <w:pStyle w:val="BodyText"/>
        <w:rPr>
          <w:lang w:val="en-US"/>
        </w:rPr>
      </w:pPr>
    </w:p>
    <w:p w14:paraId="534B2F2E" w14:textId="77777777" w:rsidR="005A2D50" w:rsidRPr="005A2D50" w:rsidRDefault="005A2D50" w:rsidP="005A2D50">
      <w:pPr>
        <w:pStyle w:val="BodyText"/>
        <w:numPr>
          <w:ilvl w:val="1"/>
          <w:numId w:val="29"/>
        </w:numPr>
        <w:tabs>
          <w:tab w:val="left" w:pos="851"/>
        </w:tabs>
        <w:ind w:left="284" w:firstLine="0"/>
        <w:rPr>
          <w:rFonts w:eastAsia="Times New Roman"/>
          <w:lang w:val="en-US"/>
        </w:rPr>
      </w:pPr>
      <w:r w:rsidRPr="005A2D50">
        <w:rPr>
          <w:lang w:val="en-US"/>
        </w:rPr>
        <w:t xml:space="preserve">Tiek aprēķināts, ka to preču kopējā vērtība, kurām jāpiemēro muitas procedūra ievešanai noliktavā, </w:t>
      </w:r>
      <w:r w:rsidRPr="005A2D50">
        <w:rPr>
          <w:b/>
          <w:bCs/>
          <w:u w:val="single"/>
          <w:lang w:val="en-US"/>
        </w:rPr>
        <w:t xml:space="preserve">viena gada laikā </w:t>
      </w:r>
      <w:r w:rsidRPr="005A2D50">
        <w:rPr>
          <w:lang w:val="en-US"/>
        </w:rPr>
        <w:t>sasniegs: 5 000 000 EUR</w:t>
      </w:r>
    </w:p>
    <w:p w14:paraId="065DDF1E"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Maksimālā to attiecīgo preču vērtība, kurām var piemērot muitas procedūru ievešanai noliktavā atbilstoši uzglabāšanas jaudai un darījumdarbības apjoma novērtējumam: 1 000 000 EUR</w:t>
      </w:r>
    </w:p>
    <w:p w14:paraId="5A45287C"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Maksimālā nodokļa likme, ko piemēro muitas noliktavā uzglabātām precēm: 10 %</w:t>
      </w:r>
    </w:p>
    <w:p w14:paraId="2A2F0BCB"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PVN likme (</w:t>
      </w:r>
      <w:r w:rsidRPr="005A2D50">
        <w:rPr>
          <w:i/>
          <w:iCs/>
          <w:lang w:val="en-US"/>
        </w:rPr>
        <w:t xml:space="preserve">COG </w:t>
      </w:r>
      <w:r w:rsidRPr="005A2D50">
        <w:rPr>
          <w:lang w:val="en-US"/>
        </w:rPr>
        <w:t>dalībvalsts augstākā PVN likme): 20 %</w:t>
      </w:r>
    </w:p>
    <w:p w14:paraId="69E4300D"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Ievedmuitas nodokļa atsauces summas aprēķināšana:</w:t>
      </w:r>
    </w:p>
    <w:p w14:paraId="72146399" w14:textId="77777777" w:rsidR="005A2D50" w:rsidRPr="005A2D50" w:rsidRDefault="005A2D50" w:rsidP="005A2D50">
      <w:pPr>
        <w:pStyle w:val="BodyText"/>
        <w:numPr>
          <w:ilvl w:val="2"/>
          <w:numId w:val="29"/>
        </w:numPr>
        <w:tabs>
          <w:tab w:val="left" w:pos="1134"/>
        </w:tabs>
        <w:ind w:left="567" w:firstLine="0"/>
        <w:rPr>
          <w:lang w:val="en-US"/>
        </w:rPr>
      </w:pPr>
      <w:r w:rsidRPr="005A2D50">
        <w:rPr>
          <w:lang w:val="en-US"/>
        </w:rPr>
        <w:t xml:space="preserve">1 000 000 EUR x 10 % = </w:t>
      </w:r>
      <w:r w:rsidRPr="005A2D50">
        <w:rPr>
          <w:u w:val="single" w:color="000000"/>
          <w:lang w:val="en-US"/>
        </w:rPr>
        <w:t>100 000 </w:t>
      </w:r>
      <w:r w:rsidRPr="005A2D50">
        <w:rPr>
          <w:lang w:val="en-US"/>
        </w:rPr>
        <w:t>EUR</w:t>
      </w:r>
    </w:p>
    <w:p w14:paraId="133DCE9C"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Pārējiem maksājumiem atbilstošās atsauces summas aprēķināšana:</w:t>
      </w:r>
    </w:p>
    <w:p w14:paraId="452BEB0C" w14:textId="77777777" w:rsidR="005A2D50" w:rsidRPr="005A2D50" w:rsidRDefault="005A2D50" w:rsidP="005A2D50">
      <w:pPr>
        <w:pStyle w:val="BodyText"/>
        <w:numPr>
          <w:ilvl w:val="2"/>
          <w:numId w:val="29"/>
        </w:numPr>
        <w:tabs>
          <w:tab w:val="left" w:pos="1134"/>
        </w:tabs>
        <w:ind w:left="567" w:firstLine="0"/>
        <w:rPr>
          <w:lang w:val="en-US"/>
        </w:rPr>
      </w:pPr>
      <w:r w:rsidRPr="005A2D50">
        <w:rPr>
          <w:lang w:val="en-US"/>
        </w:rPr>
        <w:t>1 100 000 EUR x 20 % = 220 000 EUR</w:t>
      </w:r>
    </w:p>
    <w:p w14:paraId="40E503ED"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 xml:space="preserve">Atsauces summa = </w:t>
      </w:r>
      <w:r w:rsidRPr="005A2D50">
        <w:rPr>
          <w:u w:val="single" w:color="000000"/>
          <w:lang w:val="en-US"/>
        </w:rPr>
        <w:t>320 000 </w:t>
      </w:r>
      <w:r w:rsidRPr="005A2D50">
        <w:rPr>
          <w:lang w:val="en-US"/>
        </w:rPr>
        <w:t>EUR</w:t>
      </w:r>
    </w:p>
    <w:p w14:paraId="2CD46966" w14:textId="77777777" w:rsidR="005A2D50" w:rsidRPr="005A2D50" w:rsidRDefault="005A2D50" w:rsidP="005A2D50">
      <w:pPr>
        <w:jc w:val="both"/>
        <w:rPr>
          <w:rFonts w:ascii="Times New Roman" w:eastAsia="Times New Roman" w:hAnsi="Times New Roman" w:cs="Times New Roman"/>
          <w:i/>
          <w:noProof/>
          <w:sz w:val="24"/>
          <w:szCs w:val="24"/>
          <w:u w:val="single" w:color="000000"/>
          <w:lang w:val="en-US"/>
        </w:rPr>
      </w:pPr>
    </w:p>
    <w:p w14:paraId="6BDC40C6" w14:textId="77777777" w:rsidR="005A2D50" w:rsidRPr="005A2D50" w:rsidRDefault="005A2D50" w:rsidP="005A2D50">
      <w:pPr>
        <w:jc w:val="both"/>
        <w:rPr>
          <w:rFonts w:ascii="Times New Roman" w:hAnsi="Times New Roman"/>
          <w:i/>
          <w:noProof/>
          <w:sz w:val="24"/>
          <w:u w:val="single" w:color="000000"/>
          <w:lang w:val="en-US"/>
        </w:rPr>
      </w:pPr>
      <w:r w:rsidRPr="005A2D50">
        <w:rPr>
          <w:rFonts w:ascii="Times New Roman" w:hAnsi="Times New Roman"/>
          <w:i/>
          <w:noProof/>
          <w:sz w:val="24"/>
          <w:u w:val="single" w:color="000000"/>
          <w:lang w:val="en-US"/>
        </w:rPr>
        <w:t>3. variants. Glabāšana tvertnēs</w:t>
      </w:r>
    </w:p>
    <w:p w14:paraId="7BADDA25" w14:textId="77777777" w:rsidR="005A2D50" w:rsidRPr="005A2D50" w:rsidRDefault="005A2D50" w:rsidP="005A2D50">
      <w:pPr>
        <w:jc w:val="both"/>
        <w:rPr>
          <w:rFonts w:ascii="Times New Roman" w:eastAsia="Times New Roman" w:hAnsi="Times New Roman" w:cs="Times New Roman"/>
          <w:i/>
          <w:noProof/>
          <w:sz w:val="24"/>
          <w:szCs w:val="24"/>
          <w:lang w:val="en-US"/>
        </w:rPr>
      </w:pPr>
    </w:p>
    <w:p w14:paraId="5796C523" w14:textId="77777777" w:rsidR="005A2D50" w:rsidRPr="005A2D50" w:rsidRDefault="005A2D50" w:rsidP="005A2D50">
      <w:pPr>
        <w:pStyle w:val="BodyText"/>
        <w:rPr>
          <w:lang w:val="en-US"/>
        </w:rPr>
      </w:pPr>
      <w:r w:rsidRPr="005A2D50">
        <w:rPr>
          <w:lang w:val="en-US"/>
        </w:rPr>
        <w:t>Tādu muitas noliktavu operatoriem, kurās uzglabā tvertnes, varētu atļaut izmantot šo vērtēšanas metodi.</w:t>
      </w:r>
    </w:p>
    <w:p w14:paraId="4E15A7C1" w14:textId="77777777" w:rsidR="005A2D50" w:rsidRPr="005A2D50" w:rsidRDefault="005A2D50" w:rsidP="005A2D50">
      <w:pPr>
        <w:pStyle w:val="BodyText"/>
        <w:rPr>
          <w:lang w:val="en-US"/>
        </w:rPr>
      </w:pPr>
    </w:p>
    <w:p w14:paraId="2FD1815D" w14:textId="77777777" w:rsidR="005A2D50" w:rsidRPr="005A2D50" w:rsidRDefault="005A2D50" w:rsidP="005A2D50">
      <w:pPr>
        <w:pStyle w:val="BodyText"/>
        <w:rPr>
          <w:lang w:val="en-US"/>
        </w:rPr>
      </w:pPr>
      <w:r w:rsidRPr="005A2D50">
        <w:rPr>
          <w:lang w:val="en-US"/>
        </w:rPr>
        <w:t>Muitas noliktavā glabāto tvertņu skaitu var noteikt atkarībā no uzglabāšanas jaudas vai aprēķināt kā maksimālos krājumus minētajā uzglabāšanas vietā, pamatojoties uz darījumdarbības apjoma novērtējumu.</w:t>
      </w:r>
    </w:p>
    <w:p w14:paraId="135C95FE" w14:textId="77777777" w:rsidR="005A2D50" w:rsidRPr="005A2D50" w:rsidRDefault="005A2D50" w:rsidP="005A2D50">
      <w:pPr>
        <w:pStyle w:val="BodyText"/>
        <w:rPr>
          <w:lang w:val="en-US"/>
        </w:rPr>
      </w:pPr>
    </w:p>
    <w:p w14:paraId="61F2F681" w14:textId="77777777" w:rsidR="005A2D50" w:rsidRPr="005A2D50" w:rsidRDefault="005A2D50" w:rsidP="005A2D50">
      <w:pPr>
        <w:pStyle w:val="BodyText"/>
        <w:rPr>
          <w:lang w:val="en-US"/>
        </w:rPr>
      </w:pPr>
      <w:r w:rsidRPr="005A2D50">
        <w:rPr>
          <w:lang w:val="en-US"/>
        </w:rPr>
        <w:t>Vienas tvertnes vērtība varētu būt aprēķinātā vidējā summa vai apdrošināšanas vērtība vienai tvertnei.</w:t>
      </w:r>
    </w:p>
    <w:p w14:paraId="40E7ACC6" w14:textId="77777777" w:rsidR="005A2D50" w:rsidRPr="005A2D50" w:rsidRDefault="005A2D50" w:rsidP="005A2D50">
      <w:pPr>
        <w:pStyle w:val="BodyText"/>
        <w:rPr>
          <w:lang w:val="en-US"/>
        </w:rPr>
      </w:pPr>
    </w:p>
    <w:p w14:paraId="12DBEFB7"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Maksimālais attiecīgo tvertņu skaits, ko var uzglabāt muitas noliktavā: 1000</w:t>
      </w:r>
    </w:p>
    <w:p w14:paraId="1A87F369"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Preču vērtība (t. i., apdrošināšanas summa) vienā tvertnē: 10 000 EUR</w:t>
      </w:r>
    </w:p>
    <w:p w14:paraId="6C91B1E6"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Maksimālā nodokļa likme: 10 %</w:t>
      </w:r>
    </w:p>
    <w:p w14:paraId="2C62AB95" w14:textId="77777777" w:rsidR="005A2D50" w:rsidRPr="005A2D50" w:rsidRDefault="005A2D50" w:rsidP="005A2D50">
      <w:pPr>
        <w:pStyle w:val="BodyText"/>
        <w:numPr>
          <w:ilvl w:val="1"/>
          <w:numId w:val="29"/>
        </w:numPr>
        <w:tabs>
          <w:tab w:val="left" w:pos="851"/>
        </w:tabs>
        <w:ind w:left="284" w:firstLine="0"/>
        <w:rPr>
          <w:lang w:val="en-US"/>
        </w:rPr>
      </w:pPr>
      <w:r w:rsidRPr="005A2D50">
        <w:rPr>
          <w:lang w:val="en-US"/>
        </w:rPr>
        <w:t xml:space="preserve">Atsauces summas aprēķināšana: 10 000 000 EUR x 10 % = </w:t>
      </w:r>
      <w:r w:rsidRPr="005A2D50">
        <w:rPr>
          <w:u w:val="single" w:color="000000"/>
          <w:lang w:val="en-US"/>
        </w:rPr>
        <w:t>1 000 000 </w:t>
      </w:r>
      <w:r w:rsidRPr="005A2D50">
        <w:rPr>
          <w:lang w:val="en-US"/>
        </w:rPr>
        <w:t>EUR</w:t>
      </w:r>
    </w:p>
    <w:p w14:paraId="605D43AD" w14:textId="77777777" w:rsidR="005A2D50" w:rsidRPr="005A2D50" w:rsidRDefault="005A2D50" w:rsidP="005A2D50">
      <w:pPr>
        <w:pStyle w:val="BodyText"/>
        <w:rPr>
          <w:b/>
          <w:bCs/>
          <w:lang w:val="en-US"/>
        </w:rPr>
      </w:pPr>
    </w:p>
    <w:p w14:paraId="74FA27CD" w14:textId="77777777" w:rsidR="005A2D50" w:rsidRPr="005A2D50" w:rsidRDefault="005A2D50" w:rsidP="005A2D50">
      <w:pPr>
        <w:pStyle w:val="BodyText"/>
        <w:rPr>
          <w:b/>
          <w:bCs/>
          <w:lang w:val="en-US"/>
        </w:rPr>
      </w:pPr>
      <w:r w:rsidRPr="005A2D50">
        <w:rPr>
          <w:b/>
          <w:bCs/>
          <w:lang w:val="en-US"/>
        </w:rPr>
        <w:t>c) Pagaidu uzglabāšanas vietas</w:t>
      </w:r>
    </w:p>
    <w:p w14:paraId="3BD5C927" w14:textId="77777777" w:rsidR="005A2D50" w:rsidRPr="005A2D50" w:rsidRDefault="005A2D50" w:rsidP="005A2D50">
      <w:pPr>
        <w:pStyle w:val="BodyText"/>
        <w:rPr>
          <w:lang w:val="en-US"/>
        </w:rPr>
      </w:pPr>
    </w:p>
    <w:p w14:paraId="1392A361" w14:textId="77777777" w:rsidR="005A2D50" w:rsidRPr="005A2D50" w:rsidRDefault="005A2D50" w:rsidP="005A2D50">
      <w:pPr>
        <w:pStyle w:val="BodyText"/>
        <w:rPr>
          <w:lang w:val="en-US"/>
        </w:rPr>
      </w:pPr>
      <w:r w:rsidRPr="005A2D50">
        <w:rPr>
          <w:lang w:val="en-US"/>
        </w:rPr>
        <w:t xml:space="preserve">Lai aprēķinātu atsauces summu </w:t>
      </w:r>
      <w:r w:rsidRPr="005A2D50">
        <w:rPr>
          <w:i/>
          <w:iCs/>
          <w:lang w:val="en-US"/>
        </w:rPr>
        <w:t xml:space="preserve">TS </w:t>
      </w:r>
      <w:r w:rsidRPr="005A2D50">
        <w:rPr>
          <w:lang w:val="en-US"/>
        </w:rPr>
        <w:t>vietām, varētu izmantot tās pašas metodes kā attiecībā uz muitas noliktavām.</w:t>
      </w:r>
    </w:p>
    <w:p w14:paraId="7B927B47" w14:textId="77777777" w:rsidR="005A2D50" w:rsidRPr="005A2D50" w:rsidRDefault="005A2D50" w:rsidP="005A2D50">
      <w:pPr>
        <w:pStyle w:val="BodyText"/>
        <w:rPr>
          <w:lang w:val="en-US"/>
        </w:rPr>
      </w:pPr>
    </w:p>
    <w:p w14:paraId="3D905817" w14:textId="77777777" w:rsidR="005A2D50" w:rsidRPr="005A2D50" w:rsidRDefault="005A2D50" w:rsidP="005A2D50">
      <w:pPr>
        <w:pStyle w:val="Heading2"/>
        <w:rPr>
          <w:noProof/>
          <w:lang w:val="en-US"/>
        </w:rPr>
      </w:pPr>
      <w:bookmarkStart w:id="134" w:name="V.2.4._Monitoring_of_the_reference_amoun"/>
      <w:bookmarkStart w:id="135" w:name="_bookmark38"/>
      <w:bookmarkStart w:id="136" w:name="_Toc104982796"/>
      <w:bookmarkEnd w:id="134"/>
      <w:bookmarkEnd w:id="135"/>
      <w:r w:rsidRPr="005A2D50">
        <w:rPr>
          <w:noProof/>
          <w:lang w:val="en-US"/>
        </w:rPr>
        <w:t>V.2.4. Atsauces summas pārraudzība</w:t>
      </w:r>
      <w:bookmarkEnd w:id="136"/>
    </w:p>
    <w:p w14:paraId="65904996"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B63FA86" w14:textId="77777777" w:rsidR="005A2D50" w:rsidRPr="005A2D50" w:rsidRDefault="005A2D50" w:rsidP="005A2D50">
      <w:pPr>
        <w:tabs>
          <w:tab w:val="left" w:pos="934"/>
        </w:tabs>
        <w:jc w:val="both"/>
        <w:rPr>
          <w:rFonts w:ascii="Times New Roman" w:hAnsi="Times New Roman"/>
          <w:b/>
          <w:noProof/>
          <w:sz w:val="24"/>
          <w:lang w:val="en-US"/>
        </w:rPr>
      </w:pPr>
      <w:bookmarkStart w:id="137" w:name="V.2.4.1._Monitoring_of_the_reference_amo"/>
      <w:bookmarkEnd w:id="137"/>
      <w:r w:rsidRPr="005A2D50">
        <w:rPr>
          <w:rFonts w:ascii="Times New Roman" w:hAnsi="Times New Roman"/>
          <w:b/>
          <w:noProof/>
          <w:sz w:val="24"/>
          <w:lang w:val="en-US"/>
        </w:rPr>
        <w:t>V.2.4.1. Atsauces summas pārraudzība, ko veic persona, kurai prasīts sniegt galvojumu (ĪA 156. pants)</w:t>
      </w:r>
    </w:p>
    <w:p w14:paraId="758ECA4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1F22F41" w14:textId="77777777" w:rsidR="005A2D50" w:rsidRPr="005A2D50" w:rsidRDefault="005A2D50" w:rsidP="005A2D50">
      <w:pPr>
        <w:pStyle w:val="BodyText"/>
        <w:rPr>
          <w:lang w:val="en-US"/>
        </w:rPr>
      </w:pPr>
      <w:r w:rsidRPr="005A2D50">
        <w:rPr>
          <w:lang w:val="en-US"/>
        </w:rPr>
        <w:t>Vispārējais princips ir tāds, ka atsauces summa jānosaka pietiekamā apmērā. Tas ļauj jebkurā brīdī segt muitas parādu un citu maksājumu kopsummu. Tas nozīmē, ka uzņēmējs, uzsākot darījumus, kuros muitas parādu vai citu maksājumu summa vairs netiktu segta, nevar pārsniegt atsauces summu.</w:t>
      </w:r>
    </w:p>
    <w:p w14:paraId="430B8C08" w14:textId="77777777" w:rsidR="005A2D50" w:rsidRPr="005A2D50" w:rsidRDefault="005A2D50" w:rsidP="005A2D50">
      <w:pPr>
        <w:pStyle w:val="BodyText"/>
        <w:rPr>
          <w:lang w:val="en-US"/>
        </w:rPr>
      </w:pPr>
      <w:r w:rsidRPr="005A2D50">
        <w:rPr>
          <w:lang w:val="en-US"/>
        </w:rPr>
        <w:t xml:space="preserve">SMK ĪA 156. pants jālasa kā tāds, kurā noteikts, ka gadījumos, ja </w:t>
      </w:r>
      <w:r w:rsidRPr="005A2D50">
        <w:rPr>
          <w:i/>
          <w:iCs/>
          <w:lang w:val="en-US"/>
        </w:rPr>
        <w:t xml:space="preserve">CGU </w:t>
      </w:r>
      <w:r w:rsidRPr="005A2D50">
        <w:rPr>
          <w:lang w:val="en-US"/>
        </w:rPr>
        <w:t>atļauju, kas ir personai, kura nav parādnieks/iespējamais parādnieks:</w:t>
      </w:r>
    </w:p>
    <w:p w14:paraId="2D07EA53" w14:textId="77777777" w:rsidR="005A2D50" w:rsidRPr="005A2D50" w:rsidRDefault="005A2D50" w:rsidP="005A2D50">
      <w:pPr>
        <w:pStyle w:val="BodyText"/>
        <w:rPr>
          <w:lang w:val="en-US"/>
        </w:rPr>
      </w:pPr>
    </w:p>
    <w:p w14:paraId="23B52D59" w14:textId="77777777" w:rsidR="005A2D50" w:rsidRPr="005A2D50" w:rsidRDefault="005A2D50" w:rsidP="005A2D50">
      <w:pPr>
        <w:pStyle w:val="BodyText"/>
        <w:numPr>
          <w:ilvl w:val="4"/>
          <w:numId w:val="27"/>
        </w:numPr>
        <w:tabs>
          <w:tab w:val="left" w:pos="851"/>
        </w:tabs>
        <w:ind w:left="284" w:firstLine="0"/>
        <w:rPr>
          <w:lang w:val="en-US"/>
        </w:rPr>
      </w:pPr>
      <w:r w:rsidRPr="005A2D50">
        <w:rPr>
          <w:lang w:val="en-US"/>
        </w:rPr>
        <w:t>pārrauga muitas dienesti, balstoties uz revīziju, un</w:t>
      </w:r>
    </w:p>
    <w:p w14:paraId="789975D6" w14:textId="77777777" w:rsidR="005A2D50" w:rsidRPr="005A2D50" w:rsidRDefault="005A2D50" w:rsidP="005A2D50">
      <w:pPr>
        <w:pStyle w:val="BodyText"/>
        <w:numPr>
          <w:ilvl w:val="4"/>
          <w:numId w:val="27"/>
        </w:numPr>
        <w:tabs>
          <w:tab w:val="left" w:pos="851"/>
        </w:tabs>
        <w:ind w:left="284" w:firstLine="0"/>
        <w:rPr>
          <w:lang w:val="en-US"/>
        </w:rPr>
      </w:pPr>
      <w:r w:rsidRPr="005A2D50">
        <w:rPr>
          <w:lang w:val="en-US"/>
        </w:rPr>
        <w:t>izmanto tikai īpašās procedūras izmantotājs, lai precēm piemērotu šo procedūru,</w:t>
      </w:r>
    </w:p>
    <w:p w14:paraId="324A9006" w14:textId="77777777" w:rsidR="005A2D50" w:rsidRPr="005A2D50" w:rsidRDefault="005A2D50" w:rsidP="005A2D50">
      <w:pPr>
        <w:jc w:val="both"/>
        <w:rPr>
          <w:rFonts w:ascii="Times New Roman" w:hAnsi="Times New Roman" w:cs="Times New Roman"/>
          <w:noProof/>
          <w:sz w:val="24"/>
          <w:szCs w:val="24"/>
          <w:lang w:val="en-US"/>
        </w:rPr>
      </w:pPr>
    </w:p>
    <w:p w14:paraId="718404A0" w14:textId="77777777" w:rsidR="005A2D50" w:rsidRPr="005A2D50" w:rsidRDefault="005A2D50" w:rsidP="005A2D50">
      <w:pPr>
        <w:pStyle w:val="BodyText"/>
        <w:rPr>
          <w:lang w:val="en-US"/>
        </w:rPr>
      </w:pPr>
      <w:r w:rsidRPr="005A2D50">
        <w:rPr>
          <w:lang w:val="en-US"/>
        </w:rPr>
        <w:t xml:space="preserve">personai, kurai prasīts sniegt galvojumu (īpašās procedūras izmantotājs), ir pienākums pārraudzīt atsauces summu, un tai ir jāinformē </w:t>
      </w:r>
      <w:r w:rsidRPr="005A2D50">
        <w:rPr>
          <w:i/>
          <w:iCs/>
          <w:lang w:val="en-US"/>
        </w:rPr>
        <w:t>CA</w:t>
      </w:r>
      <w:r w:rsidRPr="005A2D50">
        <w:rPr>
          <w:lang w:val="en-US"/>
        </w:rPr>
        <w:t>, ja atsauces summa vairs nav pietiekama, lai segtu iespējamā/esošā muitas parāda summu. Šis paziņojums, kā arī papildu galvojums vai galvojuma aizstāšana ar pietiekamu summu ir jāsniedz pirms atsauces summas pārsniegšanas.</w:t>
      </w:r>
    </w:p>
    <w:p w14:paraId="70B27525" w14:textId="77777777" w:rsidR="005A2D50" w:rsidRPr="005A2D50" w:rsidRDefault="005A2D50" w:rsidP="005A2D50">
      <w:pPr>
        <w:pStyle w:val="BodyText"/>
        <w:rPr>
          <w:lang w:val="en-US"/>
        </w:rPr>
      </w:pPr>
      <w:r w:rsidRPr="005A2D50">
        <w:rPr>
          <w:lang w:val="en-US"/>
        </w:rPr>
        <w:t xml:space="preserve">Jebkurā gadījumā arī pašam </w:t>
      </w:r>
      <w:r w:rsidRPr="005A2D50">
        <w:rPr>
          <w:i/>
          <w:iCs/>
          <w:lang w:val="en-US"/>
        </w:rPr>
        <w:t xml:space="preserve">CGU </w:t>
      </w:r>
      <w:r w:rsidRPr="005A2D50">
        <w:rPr>
          <w:lang w:val="en-US"/>
        </w:rPr>
        <w:t>atļaujas turētājam ir pienākums pārliecināties, ka atsauces summa netiek pārsniegta. Šis pienākums izriet tieši no SMK 23. panta 1. punkta.</w:t>
      </w:r>
    </w:p>
    <w:p w14:paraId="0944F293" w14:textId="77777777" w:rsidR="005A2D50" w:rsidRPr="005A2D50" w:rsidRDefault="005A2D50" w:rsidP="005A2D50">
      <w:pPr>
        <w:pStyle w:val="BodyText"/>
        <w:rPr>
          <w:lang w:val="en-US"/>
        </w:rPr>
      </w:pPr>
      <w:r w:rsidRPr="005A2D50">
        <w:rPr>
          <w:lang w:val="en-US"/>
        </w:rPr>
        <w:t>Jebkurš pārraudzības veids ir derīgs, ja tas nodrošina, ka atsauces summa netiek pārsniegta.</w:t>
      </w:r>
    </w:p>
    <w:p w14:paraId="351A94B2" w14:textId="77777777" w:rsidR="005A2D50" w:rsidRPr="005A2D50" w:rsidRDefault="005A2D50" w:rsidP="005A2D50">
      <w:pPr>
        <w:pStyle w:val="BodyText"/>
        <w:rPr>
          <w:lang w:val="en-US"/>
        </w:rPr>
      </w:pPr>
      <w:r w:rsidRPr="005A2D50">
        <w:rPr>
          <w:lang w:val="en-US"/>
        </w:rPr>
        <w:t xml:space="preserve">To, kā </w:t>
      </w:r>
      <w:r w:rsidRPr="005A2D50">
        <w:rPr>
          <w:i/>
          <w:iCs/>
          <w:lang w:val="en-US"/>
        </w:rPr>
        <w:t xml:space="preserve">CGU </w:t>
      </w:r>
      <w:r w:rsidRPr="005A2D50">
        <w:rPr>
          <w:lang w:val="en-US"/>
        </w:rPr>
        <w:t>atļaujas turētājs veic pārraudzību, var aprakstīt pieteikumā/atļaujā.</w:t>
      </w:r>
    </w:p>
    <w:p w14:paraId="57C73958" w14:textId="77777777" w:rsidR="005A2D50" w:rsidRPr="005A2D50" w:rsidRDefault="005A2D50" w:rsidP="005A2D50">
      <w:pPr>
        <w:pStyle w:val="BodyText"/>
        <w:rPr>
          <w:lang w:val="en-US"/>
        </w:rPr>
      </w:pPr>
      <w:r w:rsidRPr="005A2D50">
        <w:rPr>
          <w:lang w:val="en-US"/>
        </w:rPr>
        <w:t>Šajā sakarā kompetentās iestādes jo īpaši var pieprasīt, lai persona, kurai prasīts pārraudzīt atsauces summu, uzskaita vismaz katru deklarāciju un, ja atbilstīgi, attiecīgo nodokļu un citu maksājumu aprēķināto vai aplēsto summu.</w:t>
      </w:r>
    </w:p>
    <w:p w14:paraId="10EFC627" w14:textId="77777777" w:rsidR="005A2D50" w:rsidRPr="005A2D50" w:rsidRDefault="005A2D50" w:rsidP="005A2D50">
      <w:pPr>
        <w:pStyle w:val="BodyText"/>
        <w:rPr>
          <w:lang w:val="en-US"/>
        </w:rPr>
      </w:pPr>
      <w:r w:rsidRPr="005A2D50">
        <w:rPr>
          <w:lang w:val="en-US"/>
        </w:rPr>
        <w:t xml:space="preserve">Ja pienākums sniegt pietiekamu garantiju netika izpildīts neatbilstošas pārraudzības dēļ, </w:t>
      </w:r>
      <w:r w:rsidRPr="005A2D50">
        <w:rPr>
          <w:i/>
          <w:iCs/>
          <w:lang w:val="en-US"/>
        </w:rPr>
        <w:t>CA</w:t>
      </w:r>
      <w:r w:rsidRPr="005A2D50">
        <w:rPr>
          <w:lang w:val="en-US"/>
        </w:rPr>
        <w:t>, kas ir pieņēmuši lēmumu piešķirt atļauju muitas procedūrai, uz kuru attiecas attiecīgais galvojums (SMK 211. panta 3. punkta c) apakšpunkts), jebkurā brīdī var to grozīt, apturēt, anulēt vai atcelt (SMK 23. panta 3. punkts, 27. un 28. pants, SMK DA 16. pants, SMK ĪA 15. pants).</w:t>
      </w:r>
    </w:p>
    <w:p w14:paraId="59919032" w14:textId="77777777" w:rsidR="005A2D50" w:rsidRPr="005A2D50" w:rsidRDefault="005A2D50" w:rsidP="005A2D50">
      <w:pPr>
        <w:pStyle w:val="BodyText"/>
        <w:rPr>
          <w:lang w:val="en-US"/>
        </w:rPr>
      </w:pPr>
    </w:p>
    <w:p w14:paraId="4055B9B0" w14:textId="77777777" w:rsidR="005A2D50" w:rsidRPr="005A2D50" w:rsidRDefault="005A2D50" w:rsidP="005A2D50">
      <w:pPr>
        <w:pStyle w:val="BodyText"/>
        <w:rPr>
          <w:b/>
          <w:bCs/>
          <w:lang w:val="en-US"/>
        </w:rPr>
      </w:pPr>
      <w:bookmarkStart w:id="138" w:name="V.2.4.2._Monitoring_of_the_reference_amo"/>
      <w:bookmarkEnd w:id="138"/>
      <w:r w:rsidRPr="005A2D50">
        <w:rPr>
          <w:b/>
          <w:bCs/>
          <w:lang w:val="en-US"/>
        </w:rPr>
        <w:t>V.2.4.2. Atsauces summas pārraudzība, ko veic muitas dienesti – SMK ĪA 157. pants</w:t>
      </w:r>
    </w:p>
    <w:p w14:paraId="33C1618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CC6D0DC" w14:textId="77777777" w:rsidR="005A2D50" w:rsidRPr="005A2D50" w:rsidRDefault="005A2D50" w:rsidP="005A2D50">
      <w:pPr>
        <w:pStyle w:val="BodyText"/>
        <w:rPr>
          <w:lang w:val="en-US"/>
        </w:rPr>
      </w:pPr>
      <w:r w:rsidRPr="005A2D50">
        <w:rPr>
          <w:lang w:val="en-US"/>
        </w:rPr>
        <w:t>Īstenošanas regulā (SMK ĪA) ir aprakstīti trīs iespējamie veidi, kā muitas dienesti var veikt atsauces summas pārraudzību atkarībā no procedūras:</w:t>
      </w:r>
    </w:p>
    <w:p w14:paraId="12473B7A" w14:textId="77777777" w:rsidR="005A2D50" w:rsidRPr="005A2D50" w:rsidRDefault="005A2D50" w:rsidP="005A2D50">
      <w:pPr>
        <w:pStyle w:val="BodyText"/>
        <w:rPr>
          <w:lang w:val="en-US"/>
        </w:rPr>
      </w:pPr>
    </w:p>
    <w:p w14:paraId="51C16999" w14:textId="77777777" w:rsidR="005A2D50" w:rsidRPr="005A2D50" w:rsidRDefault="005A2D50" w:rsidP="005A2D50">
      <w:pPr>
        <w:pStyle w:val="BodyText"/>
        <w:numPr>
          <w:ilvl w:val="0"/>
          <w:numId w:val="26"/>
        </w:numPr>
        <w:tabs>
          <w:tab w:val="left" w:pos="851"/>
        </w:tabs>
        <w:ind w:left="284" w:firstLine="0"/>
        <w:rPr>
          <w:lang w:val="en-US"/>
        </w:rPr>
      </w:pPr>
      <w:r w:rsidRPr="005A2D50">
        <w:rPr>
          <w:lang w:val="en-US"/>
        </w:rPr>
        <w:t>laišana brīvā apgrozībā – par katru MD laikā, kad precēm tiek piemērota procedūra (standarta deklarācija), un par katru papildu deklarāciju (vienkāršota muitas deklarācija / ieraksts deklarētāja reģistros);</w:t>
      </w:r>
    </w:p>
    <w:p w14:paraId="03FCE7DB" w14:textId="77777777" w:rsidR="005A2D50" w:rsidRPr="005A2D50" w:rsidRDefault="005A2D50" w:rsidP="005A2D50">
      <w:pPr>
        <w:pStyle w:val="BodyText"/>
        <w:numPr>
          <w:ilvl w:val="0"/>
          <w:numId w:val="26"/>
        </w:numPr>
        <w:tabs>
          <w:tab w:val="left" w:pos="851"/>
        </w:tabs>
        <w:ind w:left="284" w:firstLine="0"/>
        <w:rPr>
          <w:lang w:val="en-US"/>
        </w:rPr>
      </w:pPr>
      <w:r w:rsidRPr="005A2D50">
        <w:rPr>
          <w:lang w:val="en-US"/>
        </w:rPr>
        <w:t>tranzītā – par katru darījumu, ja ir pieejama jaunā datorizētā tranzīta kontroles sistēma (</w:t>
      </w:r>
      <w:r w:rsidRPr="005A2D50">
        <w:rPr>
          <w:i/>
          <w:iCs/>
          <w:lang w:val="en-US"/>
        </w:rPr>
        <w:t>NCTS</w:t>
      </w:r>
      <w:r w:rsidRPr="005A2D50">
        <w:rPr>
          <w:lang w:val="en-US"/>
        </w:rPr>
        <w:t>);</w:t>
      </w:r>
    </w:p>
    <w:p w14:paraId="185764CC" w14:textId="77777777" w:rsidR="005A2D50" w:rsidRPr="005A2D50" w:rsidRDefault="005A2D50" w:rsidP="005A2D50">
      <w:pPr>
        <w:pStyle w:val="BodyText"/>
        <w:numPr>
          <w:ilvl w:val="0"/>
          <w:numId w:val="26"/>
        </w:numPr>
        <w:tabs>
          <w:tab w:val="left" w:pos="851"/>
        </w:tabs>
        <w:ind w:left="284" w:firstLine="0"/>
        <w:rPr>
          <w:lang w:val="en-US"/>
        </w:rPr>
      </w:pPr>
      <w:r w:rsidRPr="005A2D50">
        <w:rPr>
          <w:lang w:val="en-US"/>
        </w:rPr>
        <w:t xml:space="preserve">visos pārējos gadījumos (tostarp </w:t>
      </w:r>
      <w:r w:rsidRPr="005A2D50">
        <w:rPr>
          <w:i/>
          <w:iCs/>
          <w:lang w:val="en-US"/>
        </w:rPr>
        <w:t>TS</w:t>
      </w:r>
      <w:r w:rsidRPr="005A2D50">
        <w:rPr>
          <w:lang w:val="en-US"/>
        </w:rPr>
        <w:t>) – nodrošina ar revīziju.</w:t>
      </w:r>
    </w:p>
    <w:p w14:paraId="6BC2AE57" w14:textId="77777777" w:rsidR="005A2D50" w:rsidRPr="005A2D50" w:rsidRDefault="005A2D50" w:rsidP="005A2D50">
      <w:pPr>
        <w:pStyle w:val="BodyText"/>
        <w:rPr>
          <w:b/>
          <w:bCs/>
          <w:lang w:val="en-US"/>
        </w:rPr>
      </w:pPr>
      <w:bookmarkStart w:id="139" w:name="V.2.4.2.1._Release_for_free_circulation"/>
      <w:bookmarkEnd w:id="139"/>
    </w:p>
    <w:p w14:paraId="26A71D58" w14:textId="77777777" w:rsidR="005A2D50" w:rsidRPr="005A2D50" w:rsidRDefault="005A2D50" w:rsidP="005A2D50">
      <w:pPr>
        <w:pStyle w:val="BodyText"/>
        <w:rPr>
          <w:b/>
          <w:bCs/>
          <w:lang w:val="en-US"/>
        </w:rPr>
      </w:pPr>
      <w:r w:rsidRPr="005A2D50">
        <w:rPr>
          <w:b/>
          <w:bCs/>
          <w:lang w:val="en-US"/>
        </w:rPr>
        <w:t>V.2.4.2.1. Laišana brīvā apgrozībā</w:t>
      </w:r>
    </w:p>
    <w:p w14:paraId="741D756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92F1392" w14:textId="77777777" w:rsidR="005A2D50" w:rsidRPr="005A2D50" w:rsidRDefault="005A2D50" w:rsidP="005A2D50">
      <w:pPr>
        <w:pStyle w:val="BodyText"/>
        <w:rPr>
          <w:lang w:val="en-US"/>
        </w:rPr>
      </w:pPr>
      <w:r w:rsidRPr="005A2D50">
        <w:rPr>
          <w:lang w:val="en-US"/>
        </w:rPr>
        <w:t>Saskaņā ar SMK ĪA 157. panta 1. punktu atsauces summas pārraudzība ir jānodrošina par katru MD laikā, kad precēm tiek piemērota procedūra.</w:t>
      </w:r>
    </w:p>
    <w:p w14:paraId="0E0E7F6A" w14:textId="77777777" w:rsidR="005A2D50" w:rsidRPr="005A2D50" w:rsidRDefault="005A2D50" w:rsidP="005A2D50">
      <w:pPr>
        <w:pStyle w:val="BodyText"/>
        <w:rPr>
          <w:lang w:val="en-US"/>
        </w:rPr>
      </w:pPr>
      <w:r w:rsidRPr="005A2D50">
        <w:rPr>
          <w:lang w:val="en-US"/>
        </w:rPr>
        <w:t>Pārraudzības nodrošināšana par katru MD laikā, kad precēm tiek piemērota procedūra, – tā dēvētā, uz darījumu balstītā pārraudzība (piemērojama, ja preču laišanai brīvā apgrozībā vai tranzītā izdod standarta deklarāciju), kā minēts SMK ĪA 157. pantā, – ietver to, ka pirms preču nodošanas procedūrai pārbauda galvojuma esību un nepieciešamās summas (kas noteikta deklarētajām precēm) pieejamību attiecīgajā atsauces summas daļā. Tādējādi procedūrai netiek nodotas preces, ja galvojuma nav vai pieejamā summa nav pietiekama.</w:t>
      </w:r>
    </w:p>
    <w:p w14:paraId="5D3AC1E6" w14:textId="77777777" w:rsidR="005A2D50" w:rsidRPr="005A2D50" w:rsidRDefault="005A2D50" w:rsidP="005A2D50">
      <w:pPr>
        <w:pStyle w:val="BodyText"/>
        <w:rPr>
          <w:lang w:val="en-US"/>
        </w:rPr>
      </w:pPr>
      <w:r w:rsidRPr="005A2D50">
        <w:rPr>
          <w:lang w:val="en-US"/>
        </w:rPr>
        <w:t xml:space="preserve">Ja tiek izmantota SMK 166. pantā (vienkāršota deklarācija), 182. pantā (ieraksts deklarētāja reģistros) un 185. pantā (nodokļu pašaprēķins) minētā vienkāršošana un ir sniegts vispārējs galvojums, preču izlaišana nav atkarīga no </w:t>
      </w:r>
      <w:r w:rsidRPr="005A2D50">
        <w:rPr>
          <w:i/>
          <w:iCs/>
          <w:lang w:val="en-US"/>
        </w:rPr>
        <w:t xml:space="preserve">CA </w:t>
      </w:r>
      <w:r w:rsidRPr="005A2D50">
        <w:rPr>
          <w:lang w:val="en-US"/>
        </w:rPr>
        <w:t>veiktas galvojuma uzraudzības (SMK 195. panta 3. punkts).</w:t>
      </w:r>
    </w:p>
    <w:p w14:paraId="322D7DD5" w14:textId="77777777" w:rsidR="005A2D50" w:rsidRPr="005A2D50" w:rsidRDefault="005A2D50" w:rsidP="005A2D50">
      <w:pPr>
        <w:pStyle w:val="BodyText"/>
        <w:rPr>
          <w:lang w:val="en-US"/>
        </w:rPr>
      </w:pPr>
      <w:r w:rsidRPr="005A2D50">
        <w:rPr>
          <w:lang w:val="en-US"/>
        </w:rPr>
        <w:t>Pārraudzības nodrošināšana par katru papildu deklarāciju/informāciju, kas ierakstīta reģistros (piemērojama, ja preču laišanai brīvā apgrozībā iesniedz vienkāršoto deklarāciju vai veic ierakstu deklarētāja reģistros), kā minēts SMK ĪA 157. panta 1. punktā, ietver to, ka pēc preču nodošanas procedūrai pārbauda galvojuma esību un derīgumu, kā arī deklarētās summas (kas aprēķināta par deklarētajām precēm) pieejamību attiecīgajā atsauces summas daļā, kā arī to, ka tiek veikta atbilstoša atsauces summas / revīzijas pārbaude/pārskatīšana, ja galvojums netika sniegts, tas nebija derīgs vai pieejamā summa nebija pietiekama. Šī ir uz darījumu balstīta pārraudzība, ko veic īpaši, ja tiek sniegta vienkāršota deklarācija vai veikts ieraksts deklarētāja reģistros.</w:t>
      </w:r>
    </w:p>
    <w:p w14:paraId="16410FBA" w14:textId="77777777" w:rsidR="005A2D50" w:rsidRPr="005A2D50" w:rsidRDefault="005A2D50" w:rsidP="005A2D50">
      <w:pPr>
        <w:pStyle w:val="BodyText"/>
        <w:rPr>
          <w:lang w:val="en-US"/>
        </w:rPr>
      </w:pPr>
    </w:p>
    <w:p w14:paraId="590500A6" w14:textId="77777777" w:rsidR="005A2D50" w:rsidRPr="005A2D50" w:rsidRDefault="005A2D50" w:rsidP="005A2D50">
      <w:pPr>
        <w:pStyle w:val="BodyText"/>
        <w:rPr>
          <w:b/>
          <w:bCs/>
          <w:lang w:val="en-US"/>
        </w:rPr>
      </w:pPr>
      <w:bookmarkStart w:id="140" w:name="V.2.4.2.2._New_Computerised_Transit_Syst"/>
      <w:bookmarkEnd w:id="140"/>
      <w:r w:rsidRPr="005A2D50">
        <w:rPr>
          <w:b/>
          <w:bCs/>
          <w:lang w:val="en-US"/>
        </w:rPr>
        <w:t>V.2.4.2.2. Jaunā datorizētā tranzīta kontroles sistēma (</w:t>
      </w:r>
      <w:r w:rsidRPr="005A2D50">
        <w:rPr>
          <w:b/>
          <w:bCs/>
          <w:i/>
          <w:iCs/>
          <w:lang w:val="en-US"/>
        </w:rPr>
        <w:t>NCTS</w:t>
      </w:r>
      <w:r w:rsidRPr="005A2D50">
        <w:rPr>
          <w:b/>
          <w:bCs/>
          <w:lang w:val="en-US"/>
        </w:rPr>
        <w:t>)</w:t>
      </w:r>
    </w:p>
    <w:p w14:paraId="2FF6D558"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B63602B" w14:textId="77777777" w:rsidR="005A2D50" w:rsidRPr="005A2D50" w:rsidRDefault="005A2D50" w:rsidP="005A2D50">
      <w:pPr>
        <w:pStyle w:val="BodyText"/>
        <w:rPr>
          <w:lang w:val="en-US"/>
        </w:rPr>
      </w:pPr>
      <w:r w:rsidRPr="005A2D50">
        <w:rPr>
          <w:lang w:val="en-US"/>
        </w:rPr>
        <w:t xml:space="preserve">Attiecībā uz precēm, kurām piemēro Savienības tranzīta procedūru, ja deklarāciju apstrādā, izmantojot SMK ĪA 273. panta 1. punktā minēto elektronisko sistēmu, atsauces summas uzraudzībai izmanto </w:t>
      </w:r>
      <w:r w:rsidRPr="005A2D50">
        <w:rPr>
          <w:i/>
          <w:iCs/>
          <w:lang w:val="en-US"/>
        </w:rPr>
        <w:t>NCTS</w:t>
      </w:r>
      <w:r w:rsidRPr="005A2D50">
        <w:rPr>
          <w:lang w:val="en-US"/>
        </w:rPr>
        <w:t xml:space="preserve">. </w:t>
      </w:r>
      <w:r w:rsidRPr="005A2D50">
        <w:rPr>
          <w:i/>
          <w:iCs/>
          <w:lang w:val="en-US"/>
        </w:rPr>
        <w:t xml:space="preserve">NCTS </w:t>
      </w:r>
      <w:r w:rsidRPr="005A2D50">
        <w:rPr>
          <w:lang w:val="en-US"/>
        </w:rPr>
        <w:t>jāatjaunina, kā paredzēts Komisijas Īstenošanas lēmumā (ES) 2016/578, ar ko izveido darba programmu Savienības Muitas kodeksam. SMK ĪA 72-04. pielikumā sniegta informācija par atsauces summas un galvojuma pārraudzību gadījumā, ja elektroniskā tranzīta sistēma īslaicīgi nedarbojas.</w:t>
      </w:r>
    </w:p>
    <w:p w14:paraId="1E6D2B3D" w14:textId="77777777" w:rsidR="005A2D50" w:rsidRPr="005A2D50" w:rsidRDefault="005A2D50" w:rsidP="005A2D50">
      <w:pPr>
        <w:pStyle w:val="BodyText"/>
        <w:rPr>
          <w:lang w:val="en-US"/>
        </w:rPr>
      </w:pPr>
    </w:p>
    <w:p w14:paraId="5D207FED" w14:textId="77777777" w:rsidR="005A2D50" w:rsidRPr="005A2D50" w:rsidRDefault="005A2D50" w:rsidP="005A2D50">
      <w:pPr>
        <w:pStyle w:val="BodyText"/>
        <w:rPr>
          <w:b/>
          <w:bCs/>
          <w:lang w:val="en-US"/>
        </w:rPr>
      </w:pPr>
      <w:bookmarkStart w:id="141" w:name="V.2.4.2.3._Audit_approach"/>
      <w:bookmarkEnd w:id="141"/>
      <w:r w:rsidRPr="005A2D50">
        <w:rPr>
          <w:b/>
          <w:bCs/>
          <w:lang w:val="en-US"/>
        </w:rPr>
        <w:t>V.2.4.2.3. Revīzijas pieeja</w:t>
      </w:r>
      <w:bookmarkStart w:id="142" w:name="V.2.4.2.3.1_General"/>
      <w:bookmarkEnd w:id="142"/>
    </w:p>
    <w:p w14:paraId="42D88CDA" w14:textId="77777777" w:rsidR="005A2D50" w:rsidRPr="005A2D50" w:rsidRDefault="005A2D50" w:rsidP="005A2D50">
      <w:pPr>
        <w:pStyle w:val="BodyText"/>
        <w:rPr>
          <w:b/>
          <w:bCs/>
          <w:lang w:val="en-US"/>
        </w:rPr>
      </w:pPr>
    </w:p>
    <w:p w14:paraId="08A0544D" w14:textId="77777777" w:rsidR="005A2D50" w:rsidRPr="005A2D50" w:rsidRDefault="005A2D50" w:rsidP="005A2D50">
      <w:pPr>
        <w:pStyle w:val="BodyText"/>
        <w:rPr>
          <w:b/>
          <w:bCs/>
          <w:lang w:val="en-US"/>
        </w:rPr>
      </w:pPr>
      <w:r w:rsidRPr="005A2D50">
        <w:rPr>
          <w:b/>
          <w:bCs/>
          <w:lang w:val="en-US"/>
        </w:rPr>
        <w:t>V.2.4.2.3.1. Vispārīga informācija</w:t>
      </w:r>
    </w:p>
    <w:p w14:paraId="09CEBDEE" w14:textId="77777777" w:rsidR="005A2D50" w:rsidRPr="005A2D50" w:rsidRDefault="005A2D50" w:rsidP="005A2D50">
      <w:pPr>
        <w:pStyle w:val="BodyText"/>
        <w:rPr>
          <w:lang w:val="en-US"/>
        </w:rPr>
      </w:pPr>
    </w:p>
    <w:p w14:paraId="5B591087" w14:textId="77777777" w:rsidR="005A2D50" w:rsidRPr="005A2D50" w:rsidRDefault="005A2D50" w:rsidP="005A2D50">
      <w:pPr>
        <w:pStyle w:val="BodyText"/>
        <w:rPr>
          <w:lang w:val="en-US"/>
        </w:rPr>
      </w:pPr>
      <w:r w:rsidRPr="005A2D50">
        <w:rPr>
          <w:lang w:val="en-US"/>
        </w:rPr>
        <w:t>Gadījumos, kas nav minēti IV.2.4.2.1. un IV.2.4.2.2.2. punktā, atsauces summas pārraudzību nodrošina ar regulāru un atbilstīgu revīziju (SMK ĪA 157. panta 3. punkts).</w:t>
      </w:r>
    </w:p>
    <w:p w14:paraId="02DBE64F" w14:textId="77777777" w:rsidR="005A2D50" w:rsidRPr="005A2D50" w:rsidRDefault="005A2D50" w:rsidP="005A2D50">
      <w:pPr>
        <w:pStyle w:val="BodyText"/>
        <w:rPr>
          <w:lang w:val="en-US"/>
        </w:rPr>
      </w:pPr>
      <w:r w:rsidRPr="005A2D50">
        <w:rPr>
          <w:lang w:val="en-US"/>
        </w:rPr>
        <w:t>Šāda veida pārraudzība var attiekties uz:</w:t>
      </w:r>
    </w:p>
    <w:p w14:paraId="491F2151" w14:textId="77777777" w:rsidR="005A2D50" w:rsidRPr="005A2D50" w:rsidRDefault="005A2D50" w:rsidP="005A2D50">
      <w:pPr>
        <w:pStyle w:val="BodyText"/>
        <w:rPr>
          <w:lang w:val="en-US"/>
        </w:rPr>
      </w:pPr>
    </w:p>
    <w:p w14:paraId="4A4DF83E" w14:textId="77777777" w:rsidR="005A2D50" w:rsidRPr="005A2D50" w:rsidRDefault="005A2D50" w:rsidP="005A2D50">
      <w:pPr>
        <w:pStyle w:val="BodyText"/>
        <w:numPr>
          <w:ilvl w:val="5"/>
          <w:numId w:val="25"/>
        </w:numPr>
        <w:tabs>
          <w:tab w:val="left" w:pos="851"/>
        </w:tabs>
        <w:ind w:left="284" w:firstLine="0"/>
        <w:rPr>
          <w:lang w:val="en-US"/>
        </w:rPr>
      </w:pPr>
      <w:r w:rsidRPr="005A2D50">
        <w:rPr>
          <w:lang w:val="en-US"/>
        </w:rPr>
        <w:t>precēm, ko pārvadā pa dzelzceļu, ja pārejas periodā izmanto vienkāršošanu papīra formā;</w:t>
      </w:r>
    </w:p>
    <w:p w14:paraId="2C394EDF" w14:textId="77777777" w:rsidR="005A2D50" w:rsidRPr="005A2D50" w:rsidRDefault="005A2D50" w:rsidP="005A2D50">
      <w:pPr>
        <w:pStyle w:val="BodyText"/>
        <w:numPr>
          <w:ilvl w:val="5"/>
          <w:numId w:val="25"/>
        </w:numPr>
        <w:tabs>
          <w:tab w:val="left" w:pos="851"/>
        </w:tabs>
        <w:ind w:left="284" w:firstLine="0"/>
        <w:rPr>
          <w:lang w:val="en-US"/>
        </w:rPr>
      </w:pPr>
      <w:r w:rsidRPr="005A2D50">
        <w:rPr>
          <w:lang w:val="en-US"/>
        </w:rPr>
        <w:t xml:space="preserve">precēm, kurām piemēro īpašu procedūru, kas nav tranzīts vai </w:t>
      </w:r>
      <w:r w:rsidRPr="005A2D50">
        <w:rPr>
          <w:i/>
          <w:iCs/>
          <w:lang w:val="en-US"/>
        </w:rPr>
        <w:t>TS</w:t>
      </w:r>
      <w:r w:rsidRPr="005A2D50">
        <w:rPr>
          <w:lang w:val="en-US"/>
        </w:rPr>
        <w:t>.</w:t>
      </w:r>
    </w:p>
    <w:p w14:paraId="2D938D84"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0A8C5E4" w14:textId="77777777" w:rsidR="005A2D50" w:rsidRPr="005A2D50" w:rsidRDefault="005A2D50" w:rsidP="005A2D50">
      <w:pPr>
        <w:pStyle w:val="BodyText"/>
        <w:keepNext/>
        <w:keepLines/>
        <w:rPr>
          <w:b/>
          <w:bCs/>
          <w:u w:color="000000"/>
          <w:lang w:val="en-US"/>
        </w:rPr>
      </w:pPr>
      <w:r w:rsidRPr="005A2D50">
        <w:rPr>
          <w:b/>
          <w:bCs/>
          <w:u w:color="000000"/>
          <w:lang w:val="en-US"/>
        </w:rPr>
        <w:t>Regulāra un atbilstīga revīzija</w:t>
      </w:r>
    </w:p>
    <w:p w14:paraId="35BC7380" w14:textId="77777777" w:rsidR="005A2D50" w:rsidRPr="005A2D50" w:rsidRDefault="005A2D50" w:rsidP="005A2D50">
      <w:pPr>
        <w:keepNext/>
        <w:keepLines/>
        <w:jc w:val="both"/>
        <w:rPr>
          <w:rFonts w:ascii="Times New Roman" w:eastAsia="Times New Roman" w:hAnsi="Times New Roman" w:cs="Times New Roman"/>
          <w:b/>
          <w:bCs/>
          <w:noProof/>
          <w:sz w:val="24"/>
          <w:szCs w:val="24"/>
          <w:lang w:val="en-US"/>
        </w:rPr>
      </w:pPr>
    </w:p>
    <w:p w14:paraId="19A7CDC5" w14:textId="77777777" w:rsidR="005A2D50" w:rsidRPr="005A2D50" w:rsidRDefault="005A2D50" w:rsidP="005A2D50">
      <w:pPr>
        <w:pStyle w:val="BodyText"/>
        <w:keepNext/>
        <w:keepLines/>
        <w:rPr>
          <w:lang w:val="en-US"/>
        </w:rPr>
      </w:pPr>
      <w:r w:rsidRPr="005A2D50">
        <w:rPr>
          <w:lang w:val="en-US"/>
        </w:rPr>
        <w:t xml:space="preserve">SMK ĪA 157. panta 3. punktā minētā revīzija praksē ir sava veida periodiska pārbaude, ko veic nolūkā pēc muitošanas pārbaudīt, vai galvojums pastāvēja visā laikposmā, kurā tas bija prasīts (jebkurā brīdī), un vai </w:t>
      </w:r>
      <w:r w:rsidRPr="005A2D50">
        <w:rPr>
          <w:u w:val="single"/>
          <w:lang w:val="en-US"/>
        </w:rPr>
        <w:t xml:space="preserve">jebkurā galvojuma izmantošanas brīdī </w:t>
      </w:r>
      <w:r w:rsidRPr="005A2D50">
        <w:rPr>
          <w:lang w:val="en-US"/>
        </w:rPr>
        <w:t>atsauces summa netika pārsniegta (vai to nepārsniedza uzņēmējs). Papildus dokumentiem un sistēmām, kas ir uzņēmēja rīcībā, galvojuma atsauces dati, kas, ja nepieciešams, ievadīti MD, un visi attiecīgie ieraksti, kas pieejami muitas iestādei, var būt kā pierādījums šādai pārbaudei.</w:t>
      </w:r>
    </w:p>
    <w:p w14:paraId="558DB0FE" w14:textId="77777777" w:rsidR="005A2D50" w:rsidRPr="005A2D50" w:rsidRDefault="005A2D50" w:rsidP="005A2D50">
      <w:pPr>
        <w:pStyle w:val="BodyText"/>
        <w:rPr>
          <w:lang w:val="en-US"/>
        </w:rPr>
      </w:pPr>
      <w:r w:rsidRPr="005A2D50">
        <w:rPr>
          <w:lang w:val="en-US"/>
        </w:rPr>
        <w:t xml:space="preserve">Revīzijā nepārbauda, vai ir pareizi noteiktas konkrētas summas, kas saistītas ar katru darbību (attiecībā uz muitas vērtību, izcelsmi, likmēm vai citiem faktoriem), un vai sniegtā galvojuma samazinājuma līmenis joprojām ir pamatots. Tomēr, ja šīs darbības rezultāts parādīs, ka atsauces summa nebija pietiekama, uzņēmējam ir jāsniedz papildu galvojums. Attiecībā uz vispārējā galvojuma apmēra samazinājumu / atbrīvojumu no galvojuma </w:t>
      </w:r>
      <w:r w:rsidRPr="005A2D50">
        <w:rPr>
          <w:i/>
          <w:iCs/>
          <w:lang w:val="en-US"/>
        </w:rPr>
        <w:t xml:space="preserve">CA </w:t>
      </w:r>
      <w:r w:rsidRPr="005A2D50">
        <w:rPr>
          <w:lang w:val="en-US"/>
        </w:rPr>
        <w:t>varētu būt atkārtoti jānovērtē, vai finansiālais stāvoklis saskaņā ar SMK DA 84. pantu joprojām ir pietiekami labs un vai uzņēmējam līdz ar to joprojām var piešķirt vispārējo galvojumu ar samazinātu apmēru vai atbrīvojumu no galvojuma. Uzņēmējs var arī lūgt veikt atkārtotu novērtējumu, lai tam varētu piešķirt lielāku galvojuma samazinājumu, ja pēc revīzijas uzraudzības slēdziena ir pierādīts, ka atsauces summa ir pārsniegta, vai viņš var lūgt “daļēju” galvojuma atbrīvojumu saskaņā ar SMK 98. pantu.</w:t>
      </w:r>
    </w:p>
    <w:p w14:paraId="37CBE37B" w14:textId="77777777" w:rsidR="005A2D50" w:rsidRPr="005A2D50" w:rsidRDefault="005A2D50" w:rsidP="005A2D50">
      <w:pPr>
        <w:pStyle w:val="BodyText"/>
        <w:rPr>
          <w:lang w:val="en-US"/>
        </w:rPr>
      </w:pPr>
      <w:r w:rsidRPr="005A2D50">
        <w:rPr>
          <w:lang w:val="en-US"/>
        </w:rPr>
        <w:t xml:space="preserve">Atsauces summas revīzija, ko veic </w:t>
      </w:r>
      <w:r w:rsidRPr="005A2D50">
        <w:rPr>
          <w:i/>
          <w:iCs/>
          <w:lang w:val="en-US"/>
        </w:rPr>
        <w:t>CA</w:t>
      </w:r>
      <w:r w:rsidRPr="005A2D50">
        <w:rPr>
          <w:lang w:val="en-US"/>
        </w:rPr>
        <w:t xml:space="preserve">, ir balstīta uz visas uzņēmēja sniegtās un </w:t>
      </w:r>
      <w:r w:rsidRPr="005A2D50">
        <w:rPr>
          <w:i/>
          <w:iCs/>
          <w:lang w:val="en-US"/>
        </w:rPr>
        <w:t xml:space="preserve">CA </w:t>
      </w:r>
      <w:r w:rsidRPr="005A2D50">
        <w:rPr>
          <w:lang w:val="en-US"/>
        </w:rPr>
        <w:t>pieejamās informācijas pārbaudi. Tomēr tās ietvaros var veikt arī pārbaudi uz vietas uzņēmēja telpās vai preču uzglabāšanas vietā.</w:t>
      </w:r>
    </w:p>
    <w:p w14:paraId="23E2AC0B" w14:textId="77777777" w:rsidR="005A2D50" w:rsidRPr="005A2D50" w:rsidRDefault="005A2D50" w:rsidP="005A2D50">
      <w:pPr>
        <w:pStyle w:val="BodyText"/>
        <w:rPr>
          <w:lang w:val="en-US"/>
        </w:rPr>
      </w:pPr>
      <w:r w:rsidRPr="005A2D50">
        <w:rPr>
          <w:i/>
          <w:iCs/>
          <w:lang w:val="en-US"/>
        </w:rPr>
        <w:t xml:space="preserve">COG </w:t>
      </w:r>
      <w:r w:rsidRPr="005A2D50">
        <w:rPr>
          <w:lang w:val="en-US"/>
        </w:rPr>
        <w:t xml:space="preserve">ir jāatrod līdzsvars starp atbilstības nodrošināšanu tiesību aktiem un </w:t>
      </w:r>
      <w:r w:rsidRPr="005A2D50">
        <w:rPr>
          <w:i/>
          <w:iCs/>
          <w:lang w:val="en-US"/>
        </w:rPr>
        <w:t>CA</w:t>
      </w:r>
      <w:r w:rsidRPr="005A2D50">
        <w:rPr>
          <w:lang w:val="en-US"/>
        </w:rPr>
        <w:t xml:space="preserve">, kā arī uzņēmēja finanšu risku un laika risku ierobežošanu. Tādējādi, no vienas puses, atsauces summas revīzijā ņem vērā citu revīziju rezultātus. No otras puses, to var apvienot un koordinēt ar citām īpašām revīzijas darbībām (piemēram, īpašu atļauju revīzija atzītajam uzņēmējam, kuram ir atļauja muitas vienkāršojumiem). Tas jāņem vērā, plānojot revīzijas darbības attiecīgajam uzņēmējam. Šādā veidā </w:t>
      </w:r>
      <w:r w:rsidRPr="005A2D50">
        <w:rPr>
          <w:i/>
          <w:iCs/>
          <w:lang w:val="en-US"/>
        </w:rPr>
        <w:t xml:space="preserve">CA </w:t>
      </w:r>
      <w:r w:rsidRPr="005A2D50">
        <w:rPr>
          <w:lang w:val="en-US"/>
        </w:rPr>
        <w:t>varētu veikt pilnīgu revīziju, aptverot visas uzņēmēja darbības.</w:t>
      </w:r>
    </w:p>
    <w:p w14:paraId="49EEEAFA" w14:textId="77777777" w:rsidR="005A2D50" w:rsidRPr="005A2D50" w:rsidRDefault="005A2D50" w:rsidP="005A2D50">
      <w:pPr>
        <w:pStyle w:val="BodyText"/>
        <w:rPr>
          <w:lang w:val="en-US"/>
        </w:rPr>
      </w:pPr>
    </w:p>
    <w:p w14:paraId="6DB94F83" w14:textId="77777777" w:rsidR="005A2D50" w:rsidRPr="005A2D50" w:rsidRDefault="005A2D50" w:rsidP="005A2D50">
      <w:pPr>
        <w:pStyle w:val="BodyText"/>
        <w:rPr>
          <w:b/>
          <w:bCs/>
          <w:u w:color="000000"/>
          <w:lang w:val="en-US"/>
        </w:rPr>
      </w:pPr>
      <w:r w:rsidRPr="005A2D50">
        <w:rPr>
          <w:b/>
          <w:bCs/>
          <w:u w:color="000000"/>
          <w:lang w:val="en-US"/>
        </w:rPr>
        <w:t>Regulāra revīzija</w:t>
      </w:r>
    </w:p>
    <w:p w14:paraId="792C347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FE6D929" w14:textId="77777777" w:rsidR="005A2D50" w:rsidRPr="005A2D50" w:rsidRDefault="005A2D50" w:rsidP="005A2D50">
      <w:pPr>
        <w:pStyle w:val="BodyText"/>
        <w:rPr>
          <w:lang w:val="en-US"/>
        </w:rPr>
      </w:pPr>
      <w:r w:rsidRPr="005A2D50">
        <w:rPr>
          <w:lang w:val="en-US"/>
        </w:rPr>
        <w:t>Ieteicamais termiņš revīzijas darbību plānošanai atsauces summas pārraudzības mērķiem ir 12 mēneši (šo termiņu iesaka pēc tam, kad ir noteikta atsauces summa. Saskaņā ar SMK ĪA 155. panta 4. punktu datus, kas jānovērtē, lai aprēķinātu atsauces summu, vāc 12 mēnešu periodā).</w:t>
      </w:r>
    </w:p>
    <w:p w14:paraId="4625B876" w14:textId="77777777" w:rsidR="005A2D50" w:rsidRPr="005A2D50" w:rsidRDefault="005A2D50" w:rsidP="005A2D50">
      <w:pPr>
        <w:pStyle w:val="BodyText"/>
        <w:rPr>
          <w:lang w:val="en-US"/>
        </w:rPr>
      </w:pPr>
      <w:r w:rsidRPr="005A2D50">
        <w:rPr>
          <w:lang w:val="en-US"/>
        </w:rPr>
        <w:t xml:space="preserve">Ja tiek reģistrēts jauns uzņēmējs vai īpašas procedūras atļauju apstiprina pirmo reizi un tāpēc uzņēmējam nav datu/pieredzes (piemēram, ir izsniegta atļauja jaunai muitas noliktavai), revīziju ir ieteicams veikt laikposmā, kas ir īsāks par 12 mēnešiem, sākot no </w:t>
      </w:r>
      <w:r w:rsidRPr="005A2D50">
        <w:rPr>
          <w:i/>
          <w:iCs/>
          <w:lang w:val="en-US"/>
        </w:rPr>
        <w:t xml:space="preserve">CGU </w:t>
      </w:r>
      <w:r w:rsidRPr="005A2D50">
        <w:rPr>
          <w:lang w:val="en-US"/>
        </w:rPr>
        <w:t>atļaujas piešķiršanas brīža.</w:t>
      </w:r>
    </w:p>
    <w:p w14:paraId="3022540B" w14:textId="77777777" w:rsidR="005A2D50" w:rsidRPr="005A2D50" w:rsidRDefault="005A2D50" w:rsidP="005A2D50">
      <w:pPr>
        <w:pStyle w:val="BodyText"/>
        <w:rPr>
          <w:lang w:val="en-US"/>
        </w:rPr>
      </w:pPr>
      <w:r w:rsidRPr="005A2D50">
        <w:rPr>
          <w:lang w:val="en-US"/>
        </w:rPr>
        <w:t>Ja uzņēmējs paplašina savu darījumdarbību (tāpēc, iespējams, veic vairāk darbību), tas varētu būt signāls tam, ka ir jāveic revīzija (ārpus pašreizējā revīzijas plāna).</w:t>
      </w:r>
    </w:p>
    <w:p w14:paraId="2FFF0748" w14:textId="77777777" w:rsidR="005A2D50" w:rsidRPr="005A2D50" w:rsidRDefault="005A2D50" w:rsidP="005A2D50">
      <w:pPr>
        <w:pStyle w:val="BodyText"/>
        <w:rPr>
          <w:u w:color="000000"/>
          <w:lang w:val="en-US"/>
        </w:rPr>
      </w:pPr>
    </w:p>
    <w:p w14:paraId="65C73477" w14:textId="77777777" w:rsidR="005A2D50" w:rsidRPr="005A2D50" w:rsidRDefault="005A2D50" w:rsidP="005A2D50">
      <w:pPr>
        <w:pStyle w:val="BodyText"/>
        <w:rPr>
          <w:b/>
          <w:bCs/>
          <w:u w:color="000000"/>
          <w:lang w:val="en-US"/>
        </w:rPr>
      </w:pPr>
      <w:r w:rsidRPr="005A2D50">
        <w:rPr>
          <w:b/>
          <w:bCs/>
          <w:u w:color="000000"/>
          <w:lang w:val="en-US"/>
        </w:rPr>
        <w:t>Atbilstīga revīzija</w:t>
      </w:r>
    </w:p>
    <w:p w14:paraId="263494D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A3FE81B" w14:textId="77777777" w:rsidR="005A2D50" w:rsidRPr="005A2D50" w:rsidRDefault="005A2D50" w:rsidP="005A2D50">
      <w:pPr>
        <w:pStyle w:val="BodyText"/>
        <w:rPr>
          <w:lang w:val="en-US"/>
        </w:rPr>
      </w:pPr>
      <w:r w:rsidRPr="005A2D50">
        <w:rPr>
          <w:lang w:val="en-US"/>
        </w:rPr>
        <w:t>Atbilstīgums ir revīzijas kvalitātes rādītājs attiecībā uz to pierādījumu atbilstību un ticamību, kas savākti, palīdzot secināt, vai atsauces summa bija pietiekama jebkurā brīdī, lai segtu muitas parāda un citu maksājumu, ja piemērojami, summu saistībā ar darbībām, par kurām ir prasīts minētais galvojums. Revīzijas apjomā (pārbaudīto muitas deklarāciju skaits) jāietver visas darbības, uz kurām attiecas sniegtā galvojuma summa, ņemot vērā uzskaiti, kas attiecas uz uzņēmēja iesniegtajām deklarācijām un procedūras pārraudzības noslēgšanu/beigām.</w:t>
      </w:r>
    </w:p>
    <w:p w14:paraId="10B83D63" w14:textId="77777777" w:rsidR="005A2D50" w:rsidRPr="005A2D50" w:rsidRDefault="005A2D50" w:rsidP="005A2D50">
      <w:pPr>
        <w:pStyle w:val="BodyText"/>
        <w:rPr>
          <w:lang w:val="en-US"/>
        </w:rPr>
      </w:pPr>
      <w:r w:rsidRPr="005A2D50">
        <w:rPr>
          <w:lang w:val="en-US"/>
        </w:rPr>
        <w:t>SMK ĪA 157. panta 3. punkts jāinterpretē tā, ka tas norāda obligātās prasības attiecībā uz veidiem, kādos muitas dienesti pārrauga atsauces summu gadījumos, kas nav minēti SMK ĪA 157. panta 1. un 2. punktā. Ja dalībvalstu prakse to atļauj, var pieņemt ciešākas pārraudzības darbības, tostarp uz darījumu balstītu pārraudzību. Tad šāda veida pārraudzību varētu uzskatīt par atbilstīgu un regulāru, kā minēts SMK ĪA 157. panta 3. punktā.</w:t>
      </w:r>
    </w:p>
    <w:p w14:paraId="0717AFD2" w14:textId="77777777" w:rsidR="005A2D50" w:rsidRPr="005A2D50" w:rsidRDefault="005A2D50" w:rsidP="005A2D50">
      <w:pPr>
        <w:pStyle w:val="BodyText"/>
        <w:rPr>
          <w:lang w:val="en-US"/>
        </w:rPr>
      </w:pPr>
      <w:r w:rsidRPr="005A2D50">
        <w:rPr>
          <w:lang w:val="en-US"/>
        </w:rPr>
        <w:t xml:space="preserve">Tomēr saskaņā ar SMK ĪA 154. panta 3. punktu </w:t>
      </w:r>
      <w:r w:rsidRPr="005A2D50">
        <w:rPr>
          <w:i/>
          <w:iCs/>
          <w:lang w:val="en-US"/>
        </w:rPr>
        <w:t xml:space="preserve">CA </w:t>
      </w:r>
      <w:r w:rsidRPr="005A2D50">
        <w:rPr>
          <w:lang w:val="en-US"/>
        </w:rPr>
        <w:t>jāpārbauda galvojuma esība un derīgums ikreiz, kad uzņēmējs muitas deklarācijā norāda galvojuma atsauces numuru.</w:t>
      </w:r>
    </w:p>
    <w:p w14:paraId="32C0CF40" w14:textId="77777777" w:rsidR="005A2D50" w:rsidRPr="005A2D50" w:rsidRDefault="005A2D50" w:rsidP="005A2D50">
      <w:pPr>
        <w:pStyle w:val="BodyText"/>
        <w:rPr>
          <w:lang w:val="en-US"/>
        </w:rPr>
      </w:pPr>
    </w:p>
    <w:p w14:paraId="29DB9A6D" w14:textId="77777777" w:rsidR="005A2D50" w:rsidRPr="005A2D50" w:rsidRDefault="005A2D50" w:rsidP="005A2D50">
      <w:pPr>
        <w:pStyle w:val="BodyText"/>
        <w:rPr>
          <w:b/>
          <w:bCs/>
          <w:lang w:val="en-US"/>
        </w:rPr>
      </w:pPr>
      <w:bookmarkStart w:id="143" w:name="V.2.4.2.3.2_Monitoring_of_the_RA_by_audi"/>
      <w:bookmarkEnd w:id="143"/>
      <w:r w:rsidRPr="005A2D50">
        <w:rPr>
          <w:b/>
          <w:bCs/>
          <w:lang w:val="en-US"/>
        </w:rPr>
        <w:t>V.2.4.2.3.2. Regulāras revīzijas uzraudzība, veicot revīziju par galvojumu, kas derīgs vairāk nekā vienā dalībvalstī, ja piemēro SMK TDA 8. pantu</w:t>
      </w:r>
    </w:p>
    <w:p w14:paraId="68C008B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A1B020A" w14:textId="77777777" w:rsidR="005A2D50" w:rsidRPr="005A2D50" w:rsidRDefault="005A2D50" w:rsidP="005A2D50">
      <w:pPr>
        <w:pStyle w:val="BodyText"/>
        <w:rPr>
          <w:lang w:val="en-US"/>
        </w:rPr>
      </w:pPr>
      <w:r w:rsidRPr="005A2D50">
        <w:rPr>
          <w:lang w:val="en-US"/>
        </w:rPr>
        <w:t>Ja vispārējais galvojums ir derīgs vairāk nekā vienā dalībvalstī, katrai dalībvalstij ir pienākums pārraudzīt savu atsauces summas daļu, ja tā ir sadalīta starp šīm dalībvalstīm saskaņā ar SMK TDA 8. pantu.</w:t>
      </w:r>
    </w:p>
    <w:p w14:paraId="6929FDE4" w14:textId="77777777" w:rsidR="005A2D50" w:rsidRPr="005A2D50" w:rsidRDefault="005A2D50" w:rsidP="005A2D50">
      <w:pPr>
        <w:pStyle w:val="BodyText"/>
        <w:rPr>
          <w:lang w:val="en-US"/>
        </w:rPr>
      </w:pPr>
      <w:r w:rsidRPr="005A2D50">
        <w:rPr>
          <w:lang w:val="en-US"/>
        </w:rPr>
        <w:t>Šajā sakarā dalībvalstīm jāsadarbojas un jāspēj apmainīties ar attiecīgo informāciju par galvojumiem, kas ir derīgi vairāk nekā vienā dalībvalstī. Tādēļ attiecīgajām dalībvalstīm kopīgi jāvienojas par pietiekamu laikposmu un piemērotu veidu revīzijai.</w:t>
      </w:r>
    </w:p>
    <w:p w14:paraId="0AFDFFE1" w14:textId="77777777" w:rsidR="005A2D50" w:rsidRPr="005A2D50" w:rsidRDefault="005A2D50" w:rsidP="005A2D50">
      <w:pPr>
        <w:pStyle w:val="BodyText"/>
        <w:rPr>
          <w:lang w:val="en-US"/>
        </w:rPr>
      </w:pPr>
      <w:r w:rsidRPr="005A2D50">
        <w:rPr>
          <w:lang w:val="en-US"/>
        </w:rPr>
        <w:t xml:space="preserve">Saskaņā ar SMK ĪA 157. panta 3. punktu dažas dalībvalstis veic atsauces summas darījumu pārraudzību, citas revīzijā aptver visas muitas deklarācijas, savukārt dažas dalībvalstis veic uz sistēmu balstītu revīziju (muitas deklarāciju atlasi), ko var apvienot ar </w:t>
      </w:r>
      <w:r w:rsidRPr="005A2D50">
        <w:rPr>
          <w:i/>
          <w:iCs/>
          <w:lang w:val="en-US"/>
        </w:rPr>
        <w:t xml:space="preserve">CGU </w:t>
      </w:r>
      <w:r w:rsidRPr="005A2D50">
        <w:rPr>
          <w:lang w:val="en-US"/>
        </w:rPr>
        <w:t xml:space="preserve">atļauju pārraudzību. Dažas dalībvalstis paļaujas uz to, ka uzņēmējam ir pienākums veikt pārraudzību, un uzticas informācijai, ko uzņēmējs sniedzis savā grāmatvedības sistēmā, (piemēram, ja </w:t>
      </w:r>
      <w:r w:rsidRPr="005A2D50">
        <w:rPr>
          <w:i/>
          <w:iCs/>
          <w:lang w:val="en-US"/>
        </w:rPr>
        <w:t xml:space="preserve">CA </w:t>
      </w:r>
      <w:r w:rsidRPr="005A2D50">
        <w:rPr>
          <w:lang w:val="en-US"/>
        </w:rPr>
        <w:t>ir grūtības zināt, kad procedūra ir noslēgta, vai tās nezina, kad preces faktiski izved no ES teritorijas caur citu dalībvalsti).</w:t>
      </w:r>
    </w:p>
    <w:p w14:paraId="4D4E0B5E" w14:textId="77777777" w:rsidR="005A2D50" w:rsidRPr="005A2D50" w:rsidRDefault="005A2D50" w:rsidP="005A2D50">
      <w:pPr>
        <w:pStyle w:val="BodyText"/>
        <w:rPr>
          <w:lang w:val="en-US"/>
        </w:rPr>
      </w:pPr>
      <w:r w:rsidRPr="005A2D50">
        <w:rPr>
          <w:lang w:val="en-US"/>
        </w:rPr>
        <w:t>Jebkāda prakse ir pieņemama, ja vien dalībvalstis atkārtoti pārliecinās, ka atsauces summa ir pietiekama, lai jebkurā brīdī segtu muitas parāda un citu maksājumu, ja piemērojami, summu.</w:t>
      </w:r>
    </w:p>
    <w:p w14:paraId="4616EA91" w14:textId="77777777" w:rsidR="005A2D50" w:rsidRPr="005A2D50" w:rsidRDefault="005A2D50" w:rsidP="005A2D50">
      <w:pPr>
        <w:pStyle w:val="BodyText"/>
        <w:rPr>
          <w:lang w:val="en-US"/>
        </w:rPr>
      </w:pPr>
    </w:p>
    <w:p w14:paraId="78319936" w14:textId="77777777" w:rsidR="005A2D50" w:rsidRPr="005A2D50" w:rsidRDefault="005A2D50" w:rsidP="005A2D50">
      <w:pPr>
        <w:pStyle w:val="Heading2"/>
        <w:rPr>
          <w:noProof/>
          <w:lang w:val="en-US"/>
        </w:rPr>
      </w:pPr>
      <w:bookmarkStart w:id="144" w:name="V.2.5._Review_of_the_reference_amount"/>
      <w:bookmarkStart w:id="145" w:name="_bookmark39"/>
      <w:bookmarkStart w:id="146" w:name="_Toc104982797"/>
      <w:bookmarkEnd w:id="144"/>
      <w:bookmarkEnd w:id="145"/>
      <w:r w:rsidRPr="005A2D50">
        <w:rPr>
          <w:noProof/>
          <w:lang w:val="en-US"/>
        </w:rPr>
        <w:t>V.2.5. Atsauces summas izskatīšana</w:t>
      </w:r>
      <w:bookmarkEnd w:id="146"/>
    </w:p>
    <w:p w14:paraId="21CF92F9"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34612BB" w14:textId="77777777" w:rsidR="005A2D50" w:rsidRPr="005A2D50" w:rsidRDefault="005A2D50" w:rsidP="005A2D50">
      <w:pPr>
        <w:pStyle w:val="BodyText"/>
        <w:rPr>
          <w:lang w:val="en-US"/>
        </w:rPr>
      </w:pPr>
      <w:r w:rsidRPr="005A2D50">
        <w:rPr>
          <w:lang w:val="en-US"/>
        </w:rPr>
        <w:t xml:space="preserve">Saskaņā ar SMK ĪA 155. panta 5. punktu </w:t>
      </w:r>
      <w:r w:rsidRPr="005A2D50">
        <w:rPr>
          <w:i/>
          <w:iCs/>
          <w:lang w:val="en-US"/>
        </w:rPr>
        <w:t xml:space="preserve">COG </w:t>
      </w:r>
      <w:r w:rsidRPr="005A2D50">
        <w:rPr>
          <w:lang w:val="en-US"/>
        </w:rPr>
        <w:t>muitas iestāde pēc savas iniciatīvas vai pēc tās personas pieprasījuma, kurai prasīts sniegt galvojumu, izskata atsauces summu un, ja nepieciešams, koriģē to.</w:t>
      </w:r>
    </w:p>
    <w:p w14:paraId="22495339" w14:textId="77777777" w:rsidR="005A2D50" w:rsidRPr="005A2D50" w:rsidRDefault="005A2D50" w:rsidP="005A2D50">
      <w:pPr>
        <w:pStyle w:val="BodyText"/>
        <w:rPr>
          <w:lang w:val="en-US"/>
        </w:rPr>
      </w:pPr>
      <w:r w:rsidRPr="005A2D50">
        <w:rPr>
          <w:lang w:val="en-US"/>
        </w:rPr>
        <w:t>Šajā kontekstā atsauces summas izskatīšana nozīmē atsauces summas vērtības atjaunināšanu.</w:t>
      </w:r>
    </w:p>
    <w:p w14:paraId="720A6987" w14:textId="77777777" w:rsidR="005A2D50" w:rsidRPr="005A2D50" w:rsidRDefault="005A2D50" w:rsidP="005A2D50">
      <w:pPr>
        <w:pStyle w:val="BodyText"/>
        <w:rPr>
          <w:lang w:val="en-US"/>
        </w:rPr>
      </w:pPr>
      <w:r w:rsidRPr="005A2D50">
        <w:rPr>
          <w:lang w:val="en-US"/>
        </w:rPr>
        <w:t>Tā kā atsauces summas pārraudzībā pārbauda, vai noteiktā atsauces summa ir pietiekama, lai segtu ievedmuitas vai izvedmuitas nodokļa un to citu maksājumu summu, kas ir radušies vai var rasties jebkurā brīdī, atsauces summas izskatīšanu var uzskatīt par pārraudzības darbības rezultātu.</w:t>
      </w:r>
    </w:p>
    <w:p w14:paraId="147F4640" w14:textId="77777777" w:rsidR="005A2D50" w:rsidRPr="005A2D50" w:rsidRDefault="005A2D50" w:rsidP="005A2D50">
      <w:pPr>
        <w:pStyle w:val="BodyText"/>
        <w:rPr>
          <w:lang w:val="en-US"/>
        </w:rPr>
      </w:pPr>
      <w:r w:rsidRPr="005A2D50">
        <w:rPr>
          <w:lang w:val="en-US"/>
        </w:rPr>
        <w:t>Atsauces summas izskatīšana ietekmē tā galvojuma apjomu, kas sniegts, lai segtu muitas parāda un citu maksājumu summu, vai attiecīgās atļaujas attiecībā uz minēto atsauces summu.</w:t>
      </w:r>
    </w:p>
    <w:p w14:paraId="71B6AF6F" w14:textId="77777777" w:rsidR="005A2D50" w:rsidRPr="005A2D50" w:rsidRDefault="005A2D50" w:rsidP="005A2D50">
      <w:pPr>
        <w:pStyle w:val="BodyText"/>
        <w:rPr>
          <w:lang w:val="en-US"/>
        </w:rPr>
      </w:pPr>
    </w:p>
    <w:p w14:paraId="08751948" w14:textId="77777777" w:rsidR="005A2D50" w:rsidRPr="005A2D50" w:rsidRDefault="005A2D50" w:rsidP="005A2D50">
      <w:pPr>
        <w:pStyle w:val="Heading2"/>
        <w:rPr>
          <w:noProof/>
          <w:lang w:val="en-US"/>
        </w:rPr>
      </w:pPr>
      <w:bookmarkStart w:id="147" w:name="V.2.6._Levels_of_reduction_of_the_compre"/>
      <w:bookmarkStart w:id="148" w:name="_bookmark40"/>
      <w:bookmarkStart w:id="149" w:name="_Toc104982798"/>
      <w:bookmarkEnd w:id="147"/>
      <w:bookmarkEnd w:id="148"/>
      <w:r w:rsidRPr="005A2D50">
        <w:rPr>
          <w:noProof/>
          <w:lang w:val="en-US"/>
        </w:rPr>
        <w:t>V.2.6. Vispārējā galvojuma samazinājuma apmēri</w:t>
      </w:r>
      <w:bookmarkEnd w:id="149"/>
    </w:p>
    <w:p w14:paraId="0F579EA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F6D0DD5" w14:textId="77777777" w:rsidR="005A2D50" w:rsidRPr="005A2D50" w:rsidRDefault="005A2D50" w:rsidP="005A2D50">
      <w:pPr>
        <w:pStyle w:val="BodyText"/>
        <w:rPr>
          <w:b/>
          <w:bCs/>
          <w:lang w:val="en-US"/>
        </w:rPr>
      </w:pPr>
      <w:bookmarkStart w:id="150" w:name="V.2.6.1._Customs_debt_and_other_charges_"/>
      <w:bookmarkEnd w:id="150"/>
      <w:r w:rsidRPr="005A2D50">
        <w:rPr>
          <w:b/>
          <w:bCs/>
          <w:lang w:val="en-US"/>
        </w:rPr>
        <w:t>V.2.6.1. Muitas parāds un citi maksājumi, kas ir radušies</w:t>
      </w:r>
    </w:p>
    <w:p w14:paraId="05B87694"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0A9C936" w14:textId="77777777" w:rsidR="005A2D50" w:rsidRPr="005A2D50" w:rsidRDefault="005A2D50" w:rsidP="005A2D50">
      <w:pPr>
        <w:pStyle w:val="BodyText"/>
        <w:rPr>
          <w:lang w:val="en-US"/>
        </w:rPr>
      </w:pPr>
      <w:r w:rsidRPr="005A2D50">
        <w:rPr>
          <w:lang w:val="en-US"/>
        </w:rPr>
        <w:t>Esošs muitas parāds ir saistīts ar šādām muitas operācijām:</w:t>
      </w:r>
    </w:p>
    <w:p w14:paraId="5C98CDFE" w14:textId="77777777" w:rsidR="005A2D50" w:rsidRPr="005A2D50" w:rsidRDefault="005A2D50" w:rsidP="005A2D50">
      <w:pPr>
        <w:pStyle w:val="BodyText"/>
        <w:rPr>
          <w:lang w:val="en-US"/>
        </w:rPr>
      </w:pPr>
    </w:p>
    <w:p w14:paraId="6D237E02"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laišana brīvā apgrozībā ar standarta muitas deklarāciju bez atliktā maksājuma;</w:t>
      </w:r>
    </w:p>
    <w:p w14:paraId="05A612C8"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laišana brīvā apgrozībā ar standarta muitas deklarāciju ar atlikto maksājumu;</w:t>
      </w:r>
    </w:p>
    <w:p w14:paraId="4F2B4677"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laišana brīvā apgrozībā ar muitas deklarāciju, ko iesniedz saskaņā ar SMK 166. pantu;</w:t>
      </w:r>
    </w:p>
    <w:p w14:paraId="4A3B2BD4"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laišana brīvā apgrozībā ar muitas deklarāciju, ko iesniedz saskaņā ar SMK 182. pantu;</w:t>
      </w:r>
    </w:p>
    <w:p w14:paraId="5B0D53BB"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pagaidu ievešanas procedūra ar daļēju atbrīvojumu no ievedmuitas nodokļa;</w:t>
      </w:r>
    </w:p>
    <w:p w14:paraId="29522678"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galapatēriņa procedūra;</w:t>
      </w:r>
    </w:p>
    <w:p w14:paraId="4F9A94E5"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cita veida operācija.</w:t>
      </w:r>
    </w:p>
    <w:p w14:paraId="784F0415" w14:textId="77777777" w:rsidR="005A2D50" w:rsidRPr="005A2D50" w:rsidRDefault="005A2D50" w:rsidP="005A2D50">
      <w:pPr>
        <w:pStyle w:val="BodyText"/>
        <w:rPr>
          <w:lang w:val="en-US"/>
        </w:rPr>
      </w:pPr>
    </w:p>
    <w:p w14:paraId="0A5C933E" w14:textId="77777777" w:rsidR="005A2D50" w:rsidRPr="005A2D50" w:rsidRDefault="005A2D50" w:rsidP="005A2D50">
      <w:pPr>
        <w:pStyle w:val="BodyText"/>
        <w:rPr>
          <w:lang w:val="en-US"/>
        </w:rPr>
      </w:pPr>
      <w:r w:rsidRPr="005A2D50">
        <w:rPr>
          <w:lang w:val="en-US"/>
        </w:rPr>
        <w:t>Saskaņā ar SMK 95. panta 3. punktu galvojuma summu, kas atbilst muitas parādiem un citiem maksājumiem, kuri radušies saistībā ar vienu vai vairākām muitas operācijām, deklarācijām vai procedūrām (SMK ĪA 32-03. pielikuma 1.b punkts), var samazināt līdz 30 % no atsauces summas daļas (SMK ĪA 158. panta 2. punkts).</w:t>
      </w:r>
    </w:p>
    <w:p w14:paraId="1C895D82" w14:textId="77777777" w:rsidR="005A2D50" w:rsidRPr="005A2D50" w:rsidRDefault="005A2D50" w:rsidP="005A2D50">
      <w:pPr>
        <w:pStyle w:val="BodyText"/>
        <w:rPr>
          <w:lang w:val="en-US"/>
        </w:rPr>
      </w:pPr>
      <w:r w:rsidRPr="005A2D50">
        <w:rPr>
          <w:lang w:val="en-US"/>
        </w:rPr>
        <w:t>Šo samazinājumu piešķir tikai atzītiem uzņēmējiem, kuriem ir atļauja muitas vienkāršojumiem (</w:t>
      </w:r>
      <w:r w:rsidRPr="005A2D50">
        <w:rPr>
          <w:i/>
          <w:iCs/>
          <w:lang w:val="en-US"/>
        </w:rPr>
        <w:t>AEOC</w:t>
      </w:r>
      <w:r w:rsidRPr="005A2D50">
        <w:rPr>
          <w:lang w:val="en-US"/>
        </w:rPr>
        <w:t xml:space="preserve">) pēc pieprasījuma. Tiesību normās nav paredzēti citi nosacījumi, kas </w:t>
      </w:r>
      <w:r w:rsidRPr="005A2D50">
        <w:rPr>
          <w:i/>
          <w:iCs/>
          <w:lang w:val="en-US"/>
        </w:rPr>
        <w:t xml:space="preserve">AEOC </w:t>
      </w:r>
      <w:r w:rsidRPr="005A2D50">
        <w:rPr>
          <w:lang w:val="en-US"/>
        </w:rPr>
        <w:t>jāievēro, lai varētu izmantot šo samazinājuma līmeni.</w:t>
      </w:r>
    </w:p>
    <w:p w14:paraId="5CD50F9A" w14:textId="77777777" w:rsidR="005A2D50" w:rsidRPr="005A2D50" w:rsidRDefault="005A2D50" w:rsidP="005A2D50">
      <w:pPr>
        <w:jc w:val="both"/>
        <w:rPr>
          <w:rFonts w:ascii="Times New Roman" w:hAnsi="Times New Roman" w:cs="Times New Roman"/>
          <w:noProof/>
          <w:sz w:val="24"/>
          <w:szCs w:val="24"/>
          <w:lang w:val="en-US"/>
        </w:rPr>
      </w:pPr>
    </w:p>
    <w:p w14:paraId="74C47CCE" w14:textId="77777777" w:rsidR="005A2D50" w:rsidRPr="005A2D50" w:rsidRDefault="005A2D50" w:rsidP="005A2D50">
      <w:pPr>
        <w:pStyle w:val="BodyText"/>
        <w:rPr>
          <w:b/>
          <w:bCs/>
          <w:lang w:val="en-US"/>
        </w:rPr>
      </w:pPr>
      <w:bookmarkStart w:id="151" w:name="V.2.6.2._Customs_debt_and_other_charges_"/>
      <w:bookmarkEnd w:id="151"/>
      <w:r w:rsidRPr="005A2D50">
        <w:rPr>
          <w:b/>
          <w:bCs/>
          <w:lang w:val="en-US"/>
        </w:rPr>
        <w:t>V.2.6.2. Muitas parāds un citi maksājumi, kas var rasties</w:t>
      </w:r>
    </w:p>
    <w:p w14:paraId="30F4E053"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D4EA2CC" w14:textId="77777777" w:rsidR="005A2D50" w:rsidRPr="005A2D50" w:rsidRDefault="005A2D50" w:rsidP="005A2D50">
      <w:pPr>
        <w:pStyle w:val="BodyText"/>
        <w:rPr>
          <w:lang w:val="en-US"/>
        </w:rPr>
      </w:pPr>
      <w:r w:rsidRPr="005A2D50">
        <w:rPr>
          <w:lang w:val="en-US"/>
        </w:rPr>
        <w:t>Iespējamais muitas parāds ir saistīts ar preču pagaidu uzglabāšanu un šādām muitas procedūrām:</w:t>
      </w:r>
    </w:p>
    <w:p w14:paraId="0CC8535D" w14:textId="77777777" w:rsidR="005A2D50" w:rsidRPr="005A2D50" w:rsidRDefault="005A2D50" w:rsidP="005A2D50">
      <w:pPr>
        <w:pStyle w:val="BodyText"/>
        <w:rPr>
          <w:lang w:val="en-US"/>
        </w:rPr>
      </w:pPr>
    </w:p>
    <w:p w14:paraId="7C32D5CC"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Savienības tranzīta procedūra / kopīgā tranzīta procedūra;</w:t>
      </w:r>
    </w:p>
    <w:p w14:paraId="4540EA18"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uzglabāšanas muitas noliktavā procedūra;</w:t>
      </w:r>
    </w:p>
    <w:p w14:paraId="666185A4"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pagaidu ievešanas procedūra ar pilnīgu atbrīvojumu no ievedmuitas nodokļa;</w:t>
      </w:r>
    </w:p>
    <w:p w14:paraId="4650C622"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ievešanas pārstrādei procedūra;</w:t>
      </w:r>
    </w:p>
    <w:p w14:paraId="23CDF339"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galapatēriņa procedūra;</w:t>
      </w:r>
    </w:p>
    <w:p w14:paraId="2EF8A8A0"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cita veida muitas darbības.</w:t>
      </w:r>
    </w:p>
    <w:p w14:paraId="1469D094" w14:textId="77777777" w:rsidR="005A2D50" w:rsidRPr="005A2D50" w:rsidRDefault="005A2D50" w:rsidP="005A2D50">
      <w:pPr>
        <w:pStyle w:val="BodyText"/>
        <w:rPr>
          <w:lang w:val="en-US"/>
        </w:rPr>
      </w:pPr>
    </w:p>
    <w:p w14:paraId="3A73780F" w14:textId="77777777" w:rsidR="005A2D50" w:rsidRPr="005A2D50" w:rsidRDefault="005A2D50" w:rsidP="005A2D50">
      <w:pPr>
        <w:pStyle w:val="BodyText"/>
        <w:rPr>
          <w:lang w:val="en-US"/>
        </w:rPr>
      </w:pPr>
      <w:r w:rsidRPr="005A2D50">
        <w:rPr>
          <w:lang w:val="en-US"/>
        </w:rPr>
        <w:t>Saskaņā ar SMK ĪA 158. panta 1. punktu vispārējā galvojuma summu, kas sedz muitas parādus un citus maksājumus, kuri var rasties (SMK 95. panta 2. punkts), piemērojot precēm vienu vai vairākas muitas operācijas (</w:t>
      </w:r>
      <w:r w:rsidRPr="005A2D50">
        <w:rPr>
          <w:i/>
          <w:iCs/>
          <w:lang w:val="en-US"/>
        </w:rPr>
        <w:t xml:space="preserve">TS </w:t>
      </w:r>
      <w:r w:rsidRPr="005A2D50">
        <w:rPr>
          <w:lang w:val="en-US"/>
        </w:rPr>
        <w:t>un/vai vienu vai vairākas muitas procedūras), kas uzskaitītas SMK ĪA 32-03. pielikuma 1.a punktā, var samazināt līdz:</w:t>
      </w:r>
    </w:p>
    <w:p w14:paraId="7AD1BD6C" w14:textId="77777777" w:rsidR="005A2D50" w:rsidRPr="005A2D50" w:rsidRDefault="005A2D50" w:rsidP="005A2D50">
      <w:pPr>
        <w:pStyle w:val="BodyText"/>
        <w:rPr>
          <w:lang w:val="en-US"/>
        </w:rPr>
      </w:pPr>
    </w:p>
    <w:p w14:paraId="5B5CE09A"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50 % no atsauces summas daļas – pieteikuma iesniedzējam ir jāizpilda SMK 95. panta un SMK DA 84. panta 1. punkta nosacījumi;</w:t>
      </w:r>
    </w:p>
    <w:p w14:paraId="15216444"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30 % no atsauces summas daļas – pieteikuma iesniedzējam ir jāizpilda SMK 95. panta un SMK DA 84. panta 2. punkta nosacījumi;</w:t>
      </w:r>
    </w:p>
    <w:p w14:paraId="3D1042E5" w14:textId="77777777" w:rsidR="005A2D50" w:rsidRPr="005A2D50" w:rsidRDefault="005A2D50" w:rsidP="005A2D50">
      <w:pPr>
        <w:pStyle w:val="BodyText"/>
        <w:numPr>
          <w:ilvl w:val="4"/>
          <w:numId w:val="24"/>
        </w:numPr>
        <w:tabs>
          <w:tab w:val="left" w:pos="851"/>
        </w:tabs>
        <w:ind w:left="284" w:firstLine="0"/>
        <w:rPr>
          <w:lang w:val="en-US"/>
        </w:rPr>
      </w:pPr>
      <w:r w:rsidRPr="005A2D50">
        <w:rPr>
          <w:lang w:val="en-US"/>
        </w:rPr>
        <w:t>0 % no atsauces summas daļas (atbrīvojums no galvojuma) – pieteikuma iesniedzējam ir jāizpilda SMK 95. panta un SMK DA 84. panta 3. punkta nosacījumi.</w:t>
      </w:r>
    </w:p>
    <w:p w14:paraId="33E31BE4" w14:textId="77777777" w:rsidR="005A2D50" w:rsidRPr="005A2D50" w:rsidRDefault="005A2D50" w:rsidP="005A2D50">
      <w:pPr>
        <w:pStyle w:val="BodyText"/>
        <w:rPr>
          <w:lang w:val="en-US"/>
        </w:rPr>
      </w:pPr>
    </w:p>
    <w:p w14:paraId="2AB1C55C" w14:textId="77777777" w:rsidR="005A2D50" w:rsidRPr="005A2D50" w:rsidRDefault="005A2D50" w:rsidP="005A2D50">
      <w:pPr>
        <w:pStyle w:val="BodyText"/>
        <w:rPr>
          <w:lang w:val="en-US"/>
        </w:rPr>
      </w:pPr>
      <w:r w:rsidRPr="005A2D50">
        <w:rPr>
          <w:lang w:val="en-US"/>
        </w:rPr>
        <w:t xml:space="preserve">Saskaņā ar specifikācijām, kas minētas SMK ĪA A pielikuma VI sadaļā </w:t>
      </w:r>
      <w:r w:rsidRPr="005A2D50">
        <w:rPr>
          <w:i/>
          <w:iCs/>
          <w:lang w:val="en-US"/>
        </w:rPr>
        <w:t xml:space="preserve">CGU </w:t>
      </w:r>
      <w:r w:rsidRPr="005A2D50">
        <w:rPr>
          <w:lang w:val="en-US"/>
        </w:rPr>
        <w:t xml:space="preserve">atļauja, d. e. VI/3 (galvojuma apmērs) kardinalitāte ir 99x. Tāpēc ar vienu atļauju izmantot vispārējo galvojumu kompetentais muitas dienests saskaņā ar SMK ĪA 158. pantu var piešķirt dažādus samazinājuma apmērus katrai atsauces summas daļai, kas atbilst </w:t>
      </w:r>
      <w:r w:rsidRPr="005A2D50">
        <w:rPr>
          <w:i/>
          <w:iCs/>
          <w:lang w:val="en-US"/>
        </w:rPr>
        <w:t xml:space="preserve">SPE </w:t>
      </w:r>
      <w:r w:rsidRPr="005A2D50">
        <w:rPr>
          <w:lang w:val="en-US"/>
        </w:rPr>
        <w:t xml:space="preserve">vai </w:t>
      </w:r>
      <w:r w:rsidRPr="005A2D50">
        <w:rPr>
          <w:i/>
          <w:iCs/>
          <w:lang w:val="en-US"/>
        </w:rPr>
        <w:t xml:space="preserve">TS </w:t>
      </w:r>
      <w:r w:rsidRPr="005A2D50">
        <w:rPr>
          <w:lang w:val="en-US"/>
        </w:rPr>
        <w:t xml:space="preserve">atļaujai. Tomēr SMK būtība ir tāda, ka </w:t>
      </w:r>
      <w:r w:rsidRPr="005A2D50">
        <w:rPr>
          <w:i/>
          <w:iCs/>
          <w:lang w:val="en-US"/>
        </w:rPr>
        <w:t xml:space="preserve">CGU </w:t>
      </w:r>
      <w:r w:rsidRPr="005A2D50">
        <w:rPr>
          <w:lang w:val="en-US"/>
        </w:rPr>
        <w:t xml:space="preserve">atļauja ir atvieglojums, kas paredzēts, lai aptvertu visas uzņēmēja muitas darbības. Turklāt SMK 95. panta 2. punkta, deleģētā akta 84. panta 1. punkta un īstenošanas akta 158. panta formulējums attiecas uz uzņēmēju un viņa pieteikumu vispārējam galvojumam tādā veidā, ko varētu interpretēt kā iespēju piešķirt tikai vienu samazinājuma apmēru, bet kas nav ļoti specifisks attiecībā uz šo ierobežojumu. Turklāt atsauces summas izmantošanas elastība ievērojami samazinātos ikreiz, kad muita nolemtu sadalīt to pa dažādām muitas procedūrām / </w:t>
      </w:r>
      <w:r w:rsidRPr="005A2D50">
        <w:rPr>
          <w:i/>
          <w:iCs/>
          <w:lang w:val="en-US"/>
        </w:rPr>
        <w:t>TS</w:t>
      </w:r>
      <w:r w:rsidRPr="005A2D50">
        <w:rPr>
          <w:lang w:val="en-US"/>
        </w:rPr>
        <w:t>, lai varētu piešķirt dažādus samazinājuma apmērus.</w:t>
      </w:r>
    </w:p>
    <w:p w14:paraId="00ED1180" w14:textId="77777777" w:rsidR="005A2D50" w:rsidRPr="005A2D50" w:rsidRDefault="005A2D50" w:rsidP="005A2D50">
      <w:pPr>
        <w:pStyle w:val="BodyText"/>
        <w:rPr>
          <w:lang w:val="en-US"/>
        </w:rPr>
      </w:pPr>
      <w:r w:rsidRPr="005A2D50">
        <w:rPr>
          <w:lang w:val="en-US"/>
        </w:rPr>
        <w:t xml:space="preserve">Tomēr īpašos gadījumos (piemēram, </w:t>
      </w:r>
      <w:r w:rsidRPr="005A2D50">
        <w:rPr>
          <w:i/>
          <w:iCs/>
          <w:lang w:val="en-US"/>
        </w:rPr>
        <w:t xml:space="preserve">TS </w:t>
      </w:r>
      <w:r w:rsidRPr="005A2D50">
        <w:rPr>
          <w:lang w:val="en-US"/>
        </w:rPr>
        <w:t>vietas) muitas dienests saskaņā ar SMK DA 84. panta 3.a punkta otro daļu var lemt, ka muitas parāda rašanās risks ir “nulle”, un var piešķirt atbrīvojumu no galvojuma. Tas varētu neattiekties uz riska novērtējumu attiecībā uz atsauces summu, kas atbilst tā paša uzņēmēja tranzīta darbībām, un garantijas samazinājums, ko varētu piešķirt šim mērķim, varētu būt tikai 50 % no atsauces summas vai šāda samazinājuma var nemaz nebūt.</w:t>
      </w:r>
    </w:p>
    <w:p w14:paraId="21C4FC05" w14:textId="77777777" w:rsidR="005A2D50" w:rsidRPr="005A2D50" w:rsidRDefault="005A2D50" w:rsidP="005A2D50">
      <w:pPr>
        <w:pStyle w:val="BodyText"/>
        <w:rPr>
          <w:lang w:val="en-US"/>
        </w:rPr>
      </w:pPr>
      <w:r w:rsidRPr="005A2D50">
        <w:rPr>
          <w:lang w:val="en-US"/>
        </w:rPr>
        <w:t>Jebkurš uzņēmējs, kurš izpilda SMK DA 84. panta nosacījumus, var iesniegt pieteikumu samazināt vispārējo galvojumu vai atbrīvot no tā, kas sedz iespējamos muitas parādus un citus maksājumus, ja piemērojami.</w:t>
      </w:r>
    </w:p>
    <w:p w14:paraId="1D051F37" w14:textId="77777777" w:rsidR="005A2D50" w:rsidRPr="005A2D50" w:rsidRDefault="005A2D50" w:rsidP="005A2D50">
      <w:pPr>
        <w:pStyle w:val="BodyText"/>
        <w:rPr>
          <w:lang w:val="en-US"/>
        </w:rPr>
      </w:pPr>
      <w:r w:rsidRPr="005A2D50">
        <w:rPr>
          <w:lang w:val="en-US"/>
        </w:rPr>
        <w:t xml:space="preserve">Lai novērtētu nosacījumus, kas uzņēmējam jāizpilda saskaņā ar SMK DA 84. panta 1. punkta a) līdz d) apakšpunktu, 84. panta 2. punkta a) līdz d) apakšpunktu un 84. panta 3. punkta a) līdz j) apakšpunktu, </w:t>
      </w:r>
      <w:r w:rsidRPr="005A2D50">
        <w:rPr>
          <w:i/>
          <w:iCs/>
          <w:lang w:val="en-US"/>
        </w:rPr>
        <w:t xml:space="preserve">CA </w:t>
      </w:r>
      <w:r w:rsidRPr="005A2D50">
        <w:rPr>
          <w:lang w:val="en-US"/>
        </w:rPr>
        <w:t>jābalstās uz norādījumiem attiecībā uz atzītajiem uzņēmējiem</w:t>
      </w:r>
      <w:r w:rsidRPr="005A2D50">
        <w:rPr>
          <w:rStyle w:val="FootnoteReference"/>
          <w:lang w:val="en-US"/>
        </w:rPr>
        <w:footnoteReference w:id="18"/>
      </w:r>
      <w:r w:rsidRPr="005A2D50">
        <w:rPr>
          <w:lang w:val="en-US"/>
        </w:rPr>
        <w:t xml:space="preserve">, jo šie nosacījumi ir identiski </w:t>
      </w:r>
      <w:r w:rsidRPr="005A2D50">
        <w:rPr>
          <w:i/>
          <w:iCs/>
          <w:lang w:val="en-US"/>
        </w:rPr>
        <w:t xml:space="preserve">AEOC </w:t>
      </w:r>
      <w:r w:rsidRPr="005A2D50">
        <w:rPr>
          <w:lang w:val="en-US"/>
        </w:rPr>
        <w:t>kritēriju piemērošanas kārtībai, kā noteikts SMK ĪA 25. un 26. pantā. Saskaņā ar SMK 38. panta 5. punktu novērtējums, kas veikts, piešķirot atzītā uzņēmēja, kuram ir atļauja muitas vienkāršojumiem, statusu, nav jāveic atkārtoti. No šāda viedokļa raugoties, tiek uzskatīts, ka atzītais uzņēmējs, kuram ir atļauja muitas vienkāršojumiem (</w:t>
      </w:r>
      <w:r w:rsidRPr="005A2D50">
        <w:rPr>
          <w:i/>
          <w:iCs/>
          <w:lang w:val="en-US"/>
        </w:rPr>
        <w:t>AEOC</w:t>
      </w:r>
      <w:r w:rsidRPr="005A2D50">
        <w:rPr>
          <w:lang w:val="en-US"/>
        </w:rPr>
        <w:t>), kopumā atbilst nosacījumiem, kas izklāstīti SMK DA 84. panta 1. punkta a) līdz d) apakšpunktā, 84. panta 2. punkta a) līdz e) apakšpunktā un 84. panta 3. punkta a) līdz j) apakšpunktā.</w:t>
      </w:r>
    </w:p>
    <w:p w14:paraId="688B4653" w14:textId="77777777" w:rsidR="005A2D50" w:rsidRPr="005A2D50" w:rsidRDefault="005A2D50" w:rsidP="005A2D50">
      <w:pPr>
        <w:pStyle w:val="BodyText"/>
        <w:rPr>
          <w:lang w:val="en-US"/>
        </w:rPr>
      </w:pPr>
    </w:p>
    <w:p w14:paraId="4215CF55" w14:textId="77777777" w:rsidR="005A2D50" w:rsidRPr="005A2D50" w:rsidRDefault="005A2D50" w:rsidP="005A2D50">
      <w:pPr>
        <w:pStyle w:val="BodyText"/>
        <w:rPr>
          <w:b/>
          <w:bCs/>
          <w:lang w:val="en-US"/>
        </w:rPr>
      </w:pPr>
      <w:bookmarkStart w:id="152" w:name="V.2.6.2.1_The_assessment_of_the_‘suffici"/>
      <w:bookmarkEnd w:id="152"/>
      <w:r w:rsidRPr="005A2D50">
        <w:rPr>
          <w:b/>
          <w:bCs/>
          <w:lang w:val="en-US"/>
        </w:rPr>
        <w:t>V.2.6.2.1. Novērtējums par “pietiekami labu finansiālo stāvokli” (SMK DA 84. panta 1. punkta e) apakšpunkts, 84. panta 2. punkta f) apakšpunkts, 84. panta 3. punkta k) apakšpunkts, 84. panta 3.a punkts un 84. panta 3.b punkts)</w:t>
      </w:r>
    </w:p>
    <w:p w14:paraId="59BFC4B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CE9D22F" w14:textId="77777777" w:rsidR="005A2D50" w:rsidRPr="005A2D50" w:rsidRDefault="005A2D50" w:rsidP="005A2D50">
      <w:pPr>
        <w:pStyle w:val="BodyText"/>
        <w:rPr>
          <w:lang w:val="en-US"/>
        </w:rPr>
      </w:pPr>
      <w:r w:rsidRPr="005A2D50">
        <w:rPr>
          <w:lang w:val="en-US"/>
        </w:rPr>
        <w:t>Lai gan SMK DA 84. panta nosacījumu praktiskais novērtējums nav daudz mainījies salīdzinājumā ar iepriekš noteikto, muitas dienestiem ir jāpievērš uzmanība dažiem jauniem elementiem, kas izriet no šā panta grozītā teksta.</w:t>
      </w:r>
    </w:p>
    <w:p w14:paraId="21310FAC" w14:textId="77777777" w:rsidR="005A2D50" w:rsidRPr="005A2D50" w:rsidRDefault="005A2D50" w:rsidP="005A2D50">
      <w:pPr>
        <w:pStyle w:val="BodyText"/>
        <w:rPr>
          <w:lang w:val="en-US"/>
        </w:rPr>
      </w:pPr>
    </w:p>
    <w:p w14:paraId="7232EE9B"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Pietiekami laba finansiālā stāvokļa novērtējums vairs neattiecas tikai uz finanšu resursu novērtējumu.</w:t>
      </w:r>
    </w:p>
    <w:p w14:paraId="26F8A832"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Ja muitas dienestiem tam ir pamatojums, “pietiekami laba finansiālā stāvokļa” novērtējumā muitas dienesti var ņemt vērā iespējamo muitas parādu rašanās risku.</w:t>
      </w:r>
    </w:p>
    <w:p w14:paraId="2C59519E"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799CF0DD" w14:textId="77777777" w:rsidR="005A2D50" w:rsidRPr="005A2D50" w:rsidRDefault="005A2D50" w:rsidP="005A2D50">
      <w:pPr>
        <w:pStyle w:val="BodyText"/>
        <w:rPr>
          <w:b/>
          <w:bCs/>
          <w:lang w:val="en-US"/>
        </w:rPr>
      </w:pPr>
      <w:bookmarkStart w:id="153" w:name="A)_Practical_application_of_the_First_su"/>
      <w:bookmarkEnd w:id="153"/>
      <w:r w:rsidRPr="005A2D50">
        <w:rPr>
          <w:b/>
          <w:bCs/>
          <w:lang w:val="en-US"/>
        </w:rPr>
        <w:t>A) SMK DA 84. panta 3.a punkta pirmās daļas piemērošana praksē</w:t>
      </w:r>
    </w:p>
    <w:p w14:paraId="14D13FA8" w14:textId="77777777" w:rsidR="005A2D50" w:rsidRPr="005A2D50" w:rsidRDefault="005A2D50" w:rsidP="005A2D50">
      <w:pPr>
        <w:pStyle w:val="BodyText"/>
        <w:rPr>
          <w:lang w:val="en-US"/>
        </w:rPr>
      </w:pPr>
    </w:p>
    <w:p w14:paraId="3A83BCC4" w14:textId="77777777" w:rsidR="005A2D50" w:rsidRPr="005A2D50" w:rsidRDefault="005A2D50" w:rsidP="005A2D50">
      <w:pPr>
        <w:pStyle w:val="BodyText"/>
        <w:rPr>
          <w:lang w:val="en-US"/>
        </w:rPr>
      </w:pPr>
      <w:r w:rsidRPr="005A2D50">
        <w:rPr>
          <w:lang w:val="en-US"/>
        </w:rPr>
        <w:t xml:space="preserve">Jāuzsver, ka, ņemot vērā pašreizējo redakciju, </w:t>
      </w:r>
      <w:r w:rsidRPr="005A2D50">
        <w:rPr>
          <w:i/>
          <w:iCs/>
          <w:lang w:val="en-US"/>
        </w:rPr>
        <w:t xml:space="preserve">AEO </w:t>
      </w:r>
      <w:r w:rsidRPr="005A2D50">
        <w:rPr>
          <w:lang w:val="en-US"/>
        </w:rPr>
        <w:t xml:space="preserve">nav jāveic novērtējuma procedūru dublēšana. Saskaņā ar SMK 38. panta 5. punktu: “Muitas dienesti atkārtoti nepārbauda kritērijus, kas jau ir bijuši pārbaudīti, piešķirot atzīta uzņēmēja statusu.” Tomēr jāprecizē, ka attiecībā uz konkrētajiem vienkāršojumiem, kurus </w:t>
      </w:r>
      <w:r w:rsidRPr="005A2D50">
        <w:rPr>
          <w:i/>
          <w:iCs/>
          <w:lang w:val="en-US"/>
        </w:rPr>
        <w:t xml:space="preserve">AEOC </w:t>
      </w:r>
      <w:r w:rsidRPr="005A2D50">
        <w:rPr>
          <w:lang w:val="en-US"/>
        </w:rPr>
        <w:t>varētu vēlēties izmantot, ir jāsaņem kompetento muitas dienestu atļauja un jāizpilda īpašās prasības, kas saistītas ar attiecīgo vienkāršojumu veidu un ir izklāstītas tiesību aktos muitas jomā.</w:t>
      </w:r>
    </w:p>
    <w:p w14:paraId="6AED6F89" w14:textId="77777777" w:rsidR="005A2D50" w:rsidRPr="005A2D50" w:rsidRDefault="005A2D50" w:rsidP="005A2D50">
      <w:pPr>
        <w:pStyle w:val="BodyText"/>
        <w:rPr>
          <w:lang w:val="en-US"/>
        </w:rPr>
      </w:pPr>
      <w:r w:rsidRPr="005A2D50">
        <w:rPr>
          <w:lang w:val="en-US"/>
        </w:rPr>
        <w:t xml:space="preserve">Metodika finansiālā stāvokļa novērtēšanai, lai piešķirtu </w:t>
      </w:r>
      <w:r w:rsidRPr="005A2D50">
        <w:rPr>
          <w:i/>
          <w:iCs/>
          <w:lang w:val="en-US"/>
        </w:rPr>
        <w:t xml:space="preserve">AEOC </w:t>
      </w:r>
      <w:r w:rsidRPr="005A2D50">
        <w:rPr>
          <w:lang w:val="en-US"/>
        </w:rPr>
        <w:t>statusu, kā paredzēts SMK ĪA 26. pantā, kā modalitāte finansiālas maksātspējas kritērija piemērošanai – SMK 39. panta c) punkts –, jaunākajā SMK DA 84. panta grozījumā nav mainīta.</w:t>
      </w:r>
    </w:p>
    <w:p w14:paraId="31DCCDC9" w14:textId="77777777" w:rsidR="005A2D50" w:rsidRPr="005A2D50" w:rsidRDefault="005A2D50" w:rsidP="005A2D50">
      <w:pPr>
        <w:pStyle w:val="BodyText"/>
        <w:rPr>
          <w:lang w:val="en-US"/>
        </w:rPr>
      </w:pPr>
      <w:r w:rsidRPr="005A2D50">
        <w:rPr>
          <w:lang w:val="en-US"/>
        </w:rPr>
        <w:t xml:space="preserve">Lai pieņemtu lēmumu par galvojuma summas samazinājuma apmēru vai par atbrīvojumu no galvojuma, ja </w:t>
      </w:r>
      <w:r w:rsidRPr="005A2D50">
        <w:rPr>
          <w:i/>
          <w:iCs/>
          <w:lang w:val="en-US"/>
        </w:rPr>
        <w:t xml:space="preserve">AEOC </w:t>
      </w:r>
      <w:r w:rsidRPr="005A2D50">
        <w:rPr>
          <w:lang w:val="en-US"/>
        </w:rPr>
        <w:t xml:space="preserve">ir iesniedzis pieteikumu, muitas dienesti novērtē nosacījumu par “pietiekami labu finansiālo stāvokli”, ņemot vērā rezultātus, kas gūti, novērtējot pieteikumu </w:t>
      </w:r>
      <w:r w:rsidRPr="005A2D50">
        <w:rPr>
          <w:i/>
          <w:iCs/>
          <w:lang w:val="en-US"/>
        </w:rPr>
        <w:t xml:space="preserve">AEOC </w:t>
      </w:r>
      <w:r w:rsidRPr="005A2D50">
        <w:rPr>
          <w:lang w:val="en-US"/>
        </w:rPr>
        <w:t xml:space="preserve">statusam un pēc tam veicot īpašu šā statusa uzraudzību. Raugoties no šāda viedokļa, SMK DA 84. panta grozījums ne tikai atvieglo </w:t>
      </w:r>
      <w:r w:rsidRPr="005A2D50">
        <w:rPr>
          <w:i/>
          <w:iCs/>
          <w:lang w:val="en-US"/>
        </w:rPr>
        <w:t xml:space="preserve">AEOC </w:t>
      </w:r>
      <w:r w:rsidRPr="005A2D50">
        <w:rPr>
          <w:lang w:val="en-US"/>
        </w:rPr>
        <w:t>pieteikuma novērtēšanu, bet arī paskaidro, ka muitas dienestiem jākoncentrējas uz īpašiem elementiem/prasībām attiecībā uz pietiekami labu finansiālo stāvokli.</w:t>
      </w:r>
    </w:p>
    <w:p w14:paraId="7ECF6AF6" w14:textId="77777777" w:rsidR="005A2D50" w:rsidRPr="005A2D50" w:rsidRDefault="005A2D50" w:rsidP="005A2D50">
      <w:pPr>
        <w:pStyle w:val="BodyText"/>
        <w:rPr>
          <w:lang w:val="en-US"/>
        </w:rPr>
      </w:pPr>
      <w:r w:rsidRPr="005A2D50">
        <w:rPr>
          <w:lang w:val="en-US"/>
        </w:rPr>
        <w:t xml:space="preserve">Šajā sakarā, novērtējot finansiālo stāvokli, lai piešķirtu galvojuma samazinājumu vai atbrīvojumu no galvojuma saskaņā ar SMK DA 84. pantu, muitas dienestiem vispirms jāpārbauda, vai uzņēmējs ir </w:t>
      </w:r>
      <w:r w:rsidRPr="005A2D50">
        <w:rPr>
          <w:i/>
          <w:iCs/>
          <w:lang w:val="en-US"/>
        </w:rPr>
        <w:t>AEOC</w:t>
      </w:r>
      <w:r w:rsidRPr="005A2D50">
        <w:rPr>
          <w:lang w:val="en-US"/>
        </w:rPr>
        <w:t>. Var rasties turpmāk minētās situācijas.</w:t>
      </w:r>
    </w:p>
    <w:p w14:paraId="7647627D" w14:textId="77777777" w:rsidR="005A2D50" w:rsidRPr="005A2D50" w:rsidRDefault="005A2D50" w:rsidP="005A2D50">
      <w:pPr>
        <w:pStyle w:val="BodyText"/>
        <w:rPr>
          <w:lang w:val="en-US"/>
        </w:rPr>
      </w:pPr>
    </w:p>
    <w:p w14:paraId="2B9A50D2" w14:textId="77777777" w:rsidR="005A2D50" w:rsidRPr="005A2D50" w:rsidRDefault="005A2D50" w:rsidP="005A2D50">
      <w:pPr>
        <w:pStyle w:val="BodyText"/>
        <w:ind w:left="284"/>
        <w:rPr>
          <w:lang w:val="en-US"/>
        </w:rPr>
      </w:pPr>
      <w:r w:rsidRPr="005A2D50">
        <w:rPr>
          <w:lang w:val="en-US"/>
        </w:rPr>
        <w:t xml:space="preserve">1. Pieteikuma iesniedzējs nav </w:t>
      </w:r>
      <w:r w:rsidRPr="005A2D50">
        <w:rPr>
          <w:i/>
          <w:iCs/>
          <w:lang w:val="en-US"/>
        </w:rPr>
        <w:t xml:space="preserve">AEOC. </w:t>
      </w:r>
      <w:r w:rsidRPr="005A2D50">
        <w:rPr>
          <w:lang w:val="en-US"/>
        </w:rPr>
        <w:t xml:space="preserve">Šajā gadījumā muitas dienestiem jānovērtē visi SMK DA 84. panta nosacījumi, tostarp finansiālā maksātspēja saskaņā ar SMK DA 84. panta 1. punkta c)–e) apakšpunktu, 84. panta 2. punkta d)–f) apakšpunktu un 84. panta 3. punkta i)–k) apakšpunktu, SMK 39. panta c) punktu un SMK ĪA 26. panta 1. punkta a)–c) apakšpunktu. Attiecīgo </w:t>
      </w:r>
      <w:r w:rsidRPr="005A2D50">
        <w:rPr>
          <w:i/>
          <w:iCs/>
          <w:lang w:val="en-US"/>
        </w:rPr>
        <w:t xml:space="preserve">AEO </w:t>
      </w:r>
      <w:r w:rsidRPr="005A2D50">
        <w:rPr>
          <w:lang w:val="en-US"/>
        </w:rPr>
        <w:t>pašnovērtējuma anketu var izmantot, lai novērtētu kopējos nosacījumus, kas paredzēti SMK DA 84. pantā, un SMK 39. panta kritēriju novērtēšanas kārtību, kas noteikta SMK ĪA 23.–27. pantā.</w:t>
      </w:r>
    </w:p>
    <w:p w14:paraId="5A1B420F" w14:textId="77777777" w:rsidR="005A2D50" w:rsidRPr="005A2D50" w:rsidRDefault="005A2D50" w:rsidP="005A2D50">
      <w:pPr>
        <w:pStyle w:val="BodyText"/>
        <w:ind w:left="284"/>
        <w:rPr>
          <w:lang w:val="en-US"/>
        </w:rPr>
      </w:pPr>
      <w:r w:rsidRPr="005A2D50">
        <w:rPr>
          <w:lang w:val="en-US"/>
        </w:rPr>
        <w:t xml:space="preserve">2. Pieteikuma iesniedzējs ir iesniedzis pieteikumu </w:t>
      </w:r>
      <w:r w:rsidRPr="005A2D50">
        <w:rPr>
          <w:i/>
          <w:iCs/>
          <w:lang w:val="en-US"/>
        </w:rPr>
        <w:t xml:space="preserve">AEOC </w:t>
      </w:r>
      <w:r w:rsidRPr="005A2D50">
        <w:rPr>
          <w:lang w:val="en-US"/>
        </w:rPr>
        <w:t>statusa saņemšanai. Viens un tas pats muitas dienests ir kompetents piešķirt abas atļaujas. Abu atļauju kopīgos nosacījumus, kas izriet no SMK 39. panta kritērijiem, vērtēs tikai vienu reizi. Lai noteiktu piešķiramā galvojuma samazinājuma apmēru, muitas dienestiem attiecībā uz pietiekami laba finansiālā stāvokļa novērtējumu ir jāpiemēro nosacījumi, kas paredzēti SMK DA 84. panta 3.a un 3.b punktā.</w:t>
      </w:r>
    </w:p>
    <w:p w14:paraId="62C21503" w14:textId="77777777" w:rsidR="005A2D50" w:rsidRPr="005A2D50" w:rsidRDefault="005A2D50" w:rsidP="005A2D50">
      <w:pPr>
        <w:pStyle w:val="BodyText"/>
        <w:ind w:left="284"/>
        <w:rPr>
          <w:lang w:val="en-US"/>
        </w:rPr>
      </w:pPr>
      <w:r w:rsidRPr="005A2D50">
        <w:rPr>
          <w:lang w:val="en-US"/>
        </w:rPr>
        <w:t xml:space="preserve">3. Ja ir saņemts pieteikums no </w:t>
      </w:r>
      <w:r w:rsidRPr="005A2D50">
        <w:rPr>
          <w:i/>
          <w:iCs/>
          <w:lang w:val="en-US"/>
        </w:rPr>
        <w:t>AEOC</w:t>
      </w:r>
      <w:r w:rsidRPr="005A2D50">
        <w:rPr>
          <w:lang w:val="en-US"/>
        </w:rPr>
        <w:t>, muitai jānovērtē, vai nesen ir veikta to statusa uzraudzība un kādi rezultāti tika gūti.</w:t>
      </w:r>
    </w:p>
    <w:p w14:paraId="4AACEC94" w14:textId="77777777" w:rsidR="005A2D50" w:rsidRPr="005A2D50" w:rsidRDefault="005A2D50" w:rsidP="005A2D50">
      <w:pPr>
        <w:pStyle w:val="BodyText"/>
        <w:rPr>
          <w:lang w:val="en-US"/>
        </w:rPr>
      </w:pPr>
    </w:p>
    <w:p w14:paraId="66FCD775" w14:textId="77777777" w:rsidR="005A2D50" w:rsidRPr="005A2D50" w:rsidRDefault="005A2D50" w:rsidP="005A2D50">
      <w:pPr>
        <w:pStyle w:val="BodyText"/>
        <w:rPr>
          <w:lang w:val="en-US"/>
        </w:rPr>
      </w:pPr>
      <w:r w:rsidRPr="005A2D50">
        <w:rPr>
          <w:lang w:val="en-US"/>
        </w:rPr>
        <w:t xml:space="preserve">Muitas dienestam papildus jānovērtē pieteikuma iesniedzēja pietiekami labs finansiālais stāvoklis attiecībā uz viņa spēju samaksāt muitas parādus un, ja piemērojami, citus maksājumus, kas var rasties un ko nesedz galvojums, un jāpieņem lēmums par galvojuma samazinājuma apmēru, kā paredzēts SMK DA 84. panta 3.a punktā. Ja uzņēmējam ir </w:t>
      </w:r>
      <w:r w:rsidRPr="005A2D50">
        <w:rPr>
          <w:i/>
          <w:iCs/>
          <w:lang w:val="en-US"/>
        </w:rPr>
        <w:t xml:space="preserve">AEOC </w:t>
      </w:r>
      <w:r w:rsidRPr="005A2D50">
        <w:rPr>
          <w:lang w:val="en-US"/>
        </w:rPr>
        <w:t xml:space="preserve">statuss, muitas dienestam jānovērtē tikai tas, vai pieteikuma iesniedzēja finansiālais stāvoklis attaisno to, ka tiek piešķirta atļauja izmantot vispārējo galvojumu ar samazinātu summu vai atbrīvojumu no galvojuma saskaņā ar SMK DA 84. panta 3.b punktu. Šim nolūkam jāiesniedz visjaunākie finanšu pārskati/pārskati (tiem jābūt pieejamiem jau uzraudzības mērķiem, ja pieteikumu iesniedz </w:t>
      </w:r>
      <w:r w:rsidRPr="005A2D50">
        <w:rPr>
          <w:i/>
          <w:iCs/>
          <w:lang w:val="en-US"/>
        </w:rPr>
        <w:t>AEOC</w:t>
      </w:r>
      <w:r w:rsidRPr="005A2D50">
        <w:rPr>
          <w:lang w:val="en-US"/>
        </w:rPr>
        <w:t>). To salīdzina ar atsauces summas daļu, ko nesedz galvojums (atkarībā no pieprasītā samazinājuma/atbrīvojuma).</w:t>
      </w:r>
    </w:p>
    <w:p w14:paraId="0CE2A0B6" w14:textId="77777777" w:rsidR="005A2D50" w:rsidRPr="005A2D50" w:rsidRDefault="005A2D50" w:rsidP="005A2D50">
      <w:pPr>
        <w:pStyle w:val="BodyText"/>
        <w:rPr>
          <w:lang w:val="en-US"/>
        </w:rPr>
      </w:pPr>
      <w:r w:rsidRPr="005A2D50">
        <w:rPr>
          <w:lang w:val="en-US"/>
        </w:rPr>
        <w:t>Ja atbilstīgi, muitas dienesti var ņemt vērā šādus elementus</w:t>
      </w:r>
      <w:r w:rsidRPr="005A2D50">
        <w:rPr>
          <w:rStyle w:val="FootnoteReference"/>
          <w:lang w:val="en-US"/>
        </w:rPr>
        <w:footnoteReference w:id="19"/>
      </w:r>
      <w:r w:rsidRPr="005A2D50">
        <w:rPr>
          <w:lang w:val="en-US"/>
        </w:rPr>
        <w:t xml:space="preserve">, lai novērtētu pietiekami labu finansiālo stāvokli </w:t>
      </w:r>
      <w:r w:rsidRPr="005A2D50">
        <w:rPr>
          <w:i/>
          <w:iCs/>
          <w:lang w:val="en-US"/>
        </w:rPr>
        <w:t xml:space="preserve">CGU </w:t>
      </w:r>
      <w:r w:rsidRPr="005A2D50">
        <w:rPr>
          <w:lang w:val="en-US"/>
        </w:rPr>
        <w:t>atļaujas vajadzībām saskaņā ar SMK DA 84. pantu:</w:t>
      </w:r>
    </w:p>
    <w:p w14:paraId="6D3C2D99" w14:textId="77777777" w:rsidR="005A2D50" w:rsidRPr="005A2D50" w:rsidRDefault="005A2D50" w:rsidP="005A2D50">
      <w:pPr>
        <w:pStyle w:val="BodyText"/>
        <w:rPr>
          <w:lang w:val="en-US"/>
        </w:rPr>
      </w:pPr>
    </w:p>
    <w:p w14:paraId="38AE2B5D"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neto apgrozāmais kapitāls (kas ļauj finansēt īstermiņa vajadzības);</w:t>
      </w:r>
    </w:p>
    <w:p w14:paraId="0CC24E1A"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pieejamo resursu radīšana (spēja finansēt ilgtermiņa vajadzības);</w:t>
      </w:r>
    </w:p>
    <w:p w14:paraId="153B0195"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pašu kapitāls;</w:t>
      </w:r>
    </w:p>
    <w:p w14:paraId="13B86535"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aktīvu kopsumma;</w:t>
      </w:r>
    </w:p>
    <w:p w14:paraId="240F5EF3"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viegli konvertējami aktīvi;</w:t>
      </w:r>
    </w:p>
    <w:p w14:paraId="7CBA48B2"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pamatlīdzekļi;</w:t>
      </w:r>
    </w:p>
    <w:p w14:paraId="1183CC41"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uzņēmuma dinamiskais reitings;</w:t>
      </w:r>
    </w:p>
    <w:p w14:paraId="083F8932"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neto peļņa/zaudējumi;</w:t>
      </w:r>
    </w:p>
    <w:p w14:paraId="087F03C2"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kopējā bilance;</w:t>
      </w:r>
    </w:p>
    <w:p w14:paraId="0BBFCC9F"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īstermiņa saistības;</w:t>
      </w:r>
    </w:p>
    <w:p w14:paraId="5819AA81"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ieņēmumu un izdevumu attiecības analīze;</w:t>
      </w:r>
    </w:p>
    <w:p w14:paraId="6BAF0049"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maksājumu koeficients;</w:t>
      </w:r>
    </w:p>
    <w:p w14:paraId="33AAE02A"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likviditātes koeficients;</w:t>
      </w:r>
    </w:p>
    <w:p w14:paraId="3D66779C"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maksātspējas koeficients;</w:t>
      </w:r>
    </w:p>
    <w:p w14:paraId="1F077909"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saistību neizpildes varbūtība (uzņēmuma stabilitāte);</w:t>
      </w:r>
    </w:p>
    <w:p w14:paraId="7CBB0E2E"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pašu kapitāla koeficients;</w:t>
      </w:r>
    </w:p>
    <w:p w14:paraId="2F1BF898"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pašu kapitāla koeficienta atdeve un ienākuma no ieguldījumiem koeficients (spēja nodrošināt ar savām darbībām gūtā kapitāla un veikto ieguldījumu vērtību);</w:t>
      </w:r>
    </w:p>
    <w:p w14:paraId="5F1C98B0" w14:textId="77777777" w:rsidR="005A2D50" w:rsidRPr="005A2D50" w:rsidRDefault="005A2D50" w:rsidP="005A2D50">
      <w:pPr>
        <w:pStyle w:val="BodyText"/>
        <w:numPr>
          <w:ilvl w:val="0"/>
          <w:numId w:val="23"/>
        </w:numPr>
        <w:tabs>
          <w:tab w:val="left" w:pos="567"/>
        </w:tabs>
        <w:ind w:left="0" w:firstLine="0"/>
        <w:rPr>
          <w:lang w:val="en-US"/>
        </w:rPr>
      </w:pPr>
      <w:r w:rsidRPr="005A2D50">
        <w:rPr>
          <w:lang w:val="en-US"/>
        </w:rPr>
        <w:t>citi būtiski elementi.</w:t>
      </w:r>
    </w:p>
    <w:p w14:paraId="671A7DFD"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7E603BE2" w14:textId="77777777" w:rsidR="005A2D50" w:rsidRPr="005A2D50" w:rsidRDefault="005A2D50" w:rsidP="005A2D50">
      <w:pPr>
        <w:pStyle w:val="BodyText"/>
        <w:rPr>
          <w:lang w:val="en-US"/>
        </w:rPr>
      </w:pPr>
      <w:r w:rsidRPr="005A2D50">
        <w:rPr>
          <w:lang w:val="en-US"/>
        </w:rPr>
        <w:t>Informācijas avoti:</w:t>
      </w:r>
      <w:r w:rsidRPr="005A2D50">
        <w:rPr>
          <w:rStyle w:val="FootnoteReference"/>
          <w:lang w:val="en-US"/>
        </w:rPr>
        <w:footnoteReference w:id="20"/>
      </w:r>
    </w:p>
    <w:p w14:paraId="4CE6394C" w14:textId="77777777" w:rsidR="005A2D50" w:rsidRPr="005A2D50" w:rsidRDefault="005A2D50" w:rsidP="005A2D50">
      <w:pPr>
        <w:pStyle w:val="BodyText"/>
        <w:rPr>
          <w:lang w:val="en-US"/>
        </w:rPr>
      </w:pPr>
      <w:r w:rsidRPr="005A2D50">
        <w:rPr>
          <w:lang w:val="en-US"/>
        </w:rPr>
        <w:t>Izskatot pierādītas maksātspējas kritēriju, ir svarīgi visu informāciju, ja atbilstīgi, apsvērt vienkopus, lai gūtu pilnīgu priekšstatu. Rādītājus nedrīkst skatīt atsevišķi, un lēmumi jāpieņem, pamatojoties uz pieteikuma iesniedzēja kopējo stāvokli.</w:t>
      </w:r>
    </w:p>
    <w:p w14:paraId="3730FD8A" w14:textId="77777777" w:rsidR="005A2D50" w:rsidRPr="005A2D50" w:rsidRDefault="005A2D50" w:rsidP="005A2D50">
      <w:pPr>
        <w:pStyle w:val="BodyText"/>
        <w:rPr>
          <w:lang w:val="en-US"/>
        </w:rPr>
      </w:pPr>
      <w:r w:rsidRPr="005A2D50">
        <w:rPr>
          <w:lang w:val="en-US"/>
        </w:rPr>
        <w:t>Muitas dienesti šā kritērija novērtēšanā var izmantot dažādus informācijas avotus, proti:</w:t>
      </w:r>
    </w:p>
    <w:p w14:paraId="6D7B644E" w14:textId="77777777" w:rsidR="005A2D50" w:rsidRPr="005A2D50" w:rsidRDefault="005A2D50" w:rsidP="005A2D50">
      <w:pPr>
        <w:pStyle w:val="BodyText"/>
        <w:rPr>
          <w:lang w:val="en-US"/>
        </w:rPr>
      </w:pPr>
    </w:p>
    <w:p w14:paraId="31C407FC"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datus par muitas nodokļu un visu citu nodevu, nodokļu vai citu maksājumu samaksu iepriekšējo trīs gadu laikā, kas iekasēti par preču importēšanu vai eksportēšanu vai saistībā ar to;</w:t>
      </w:r>
    </w:p>
    <w:p w14:paraId="48732DEE"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pieteikuma iesniedzēja publicētos finanšu pārskatus un bilanci par iepriekšējiem trīs gadiem, lai analizētu pieteikuma iesniedzēja spēju nomaksāt savus likumīgos parādus;</w:t>
      </w:r>
    </w:p>
    <w:p w14:paraId="05B5E612"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pārskatu projektus vai vadības pārskatus, jo īpaši starpposma pārskatus un jaunākās naudas plūsmas, bilances un peļņas un zaudējumu prognozes, ko apstiprinājuši direktori / partneri / vienīgais īpašnieks, jo īpaši tad, ja jaunākie publicētie finanšu pārskati nesniedz nepieciešamos pierādījumus par pieteikuma iesniedzēja pašreizējo finansiālo stāvokli vai ja pieteikuma iesniedzēja uzņēmums ir nesen dibināts;</w:t>
      </w:r>
    </w:p>
    <w:p w14:paraId="2E47F584"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pieteikuma iesniedzēja darbības ekonomisko pamatojumu, ja pieteikuma iesniedzējs saņem finansējumu no finanšu iestādes aizdevuma veidā, un aizdevuma līgumu ar šo iestādi;</w:t>
      </w:r>
    </w:p>
    <w:p w14:paraId="19A28C8B"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kredītreitingu aģentūru un kredīta aizsardzības apvienību secinājumus vai jebkuru attiecīgu valsts iestāžu vērtējumus;</w:t>
      </w:r>
    </w:p>
    <w:p w14:paraId="0BF65DD5"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pieejamos revīzijas ziņojumus;</w:t>
      </w:r>
    </w:p>
    <w:p w14:paraId="057A63BD"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jebkuru pieejamu finanšu informāciju, piemēram, juridiskus reģistrus, tiešsaistes datubāzes, finanšu ziņas u. c.;</w:t>
      </w:r>
    </w:p>
    <w:p w14:paraId="4350F558" w14:textId="77777777" w:rsidR="005A2D50" w:rsidRPr="005A2D50" w:rsidRDefault="005A2D50" w:rsidP="005A2D50">
      <w:pPr>
        <w:pStyle w:val="BodyText"/>
        <w:numPr>
          <w:ilvl w:val="0"/>
          <w:numId w:val="19"/>
        </w:numPr>
        <w:tabs>
          <w:tab w:val="left" w:pos="851"/>
        </w:tabs>
        <w:ind w:left="284" w:firstLine="0"/>
        <w:rPr>
          <w:lang w:val="en-US"/>
        </w:rPr>
      </w:pPr>
      <w:r w:rsidRPr="005A2D50">
        <w:rPr>
          <w:lang w:val="en-US"/>
        </w:rPr>
        <w:t>citus pierādījumus, kurus pieteikuma iesniedzējs var sniegt, piemēram, mātesuzņēmuma (vai cita grupas uzņēmuma) izsniegtu galvojumu, kas apliecina, ka pieteikuma iesniedzējs ir maksātspējīgs.</w:t>
      </w:r>
    </w:p>
    <w:p w14:paraId="13E106D7" w14:textId="77777777" w:rsidR="005A2D50" w:rsidRPr="005A2D50" w:rsidRDefault="005A2D50" w:rsidP="005A2D50">
      <w:pPr>
        <w:pStyle w:val="BodyText"/>
        <w:rPr>
          <w:lang w:val="en-US"/>
        </w:rPr>
      </w:pPr>
    </w:p>
    <w:p w14:paraId="3AD01FBA" w14:textId="77777777" w:rsidR="005A2D50" w:rsidRPr="005A2D50" w:rsidRDefault="005A2D50" w:rsidP="005A2D50">
      <w:pPr>
        <w:pStyle w:val="BodyText"/>
        <w:rPr>
          <w:lang w:val="en-US"/>
        </w:rPr>
      </w:pPr>
      <w:r w:rsidRPr="005A2D50">
        <w:rPr>
          <w:lang w:val="en-US"/>
        </w:rPr>
        <w:t>Muitas dienesti var noskaidrot, vai pieteikuma iesniedzējs spēj nokārtot savus likumīgos parādus trešām personām, izskatot visu pieteikuma iesniedzēja finanšu pārskatu kopumu par iepriekšējiem trīs gadiem. Jāpārbauda arī jaunākie pārskatu projekti vai vadības pārskati laikposmā starp pēdējiem parakstītajiem finanšu pārskatiem un pašreizējo datumu, lai noskaidrotu, vai pieteikuma iesniedzēja finansiālajā stāvoklī ir notikušas kādas būtiskas izmaiņas, kas var ietekmēt tā pierādīto maksātspēju.</w:t>
      </w:r>
    </w:p>
    <w:p w14:paraId="5D5DF032" w14:textId="77777777" w:rsidR="005A2D50" w:rsidRPr="005A2D50" w:rsidRDefault="005A2D50" w:rsidP="005A2D50">
      <w:pPr>
        <w:pStyle w:val="BodyText"/>
        <w:rPr>
          <w:lang w:val="en-US"/>
        </w:rPr>
      </w:pPr>
      <w:r w:rsidRPr="005A2D50">
        <w:rPr>
          <w:lang w:val="en-US"/>
        </w:rPr>
        <w:t xml:space="preserve">Ja pastāv bažas, pieteikuma iesniedzējs var veikt vairākas darbības neto aktīvu pozīcijas uzlabošanai. Piemēram, tas var piesaistīt papildu kapitālu, emitējot akcijas. Starptautiskajiem uzņēmumiem negatīvi neto aktīvi bieži vien var rasties saistībā ar grupas iekšējiem darījumiem un saistībām. Šādos gadījumos bieži vien attiecībā uz saistībām var būt izdots mātesuzņēmuma (vai cita grupas uzņēmuma) izsniegts galvojums. Šajā sakarībā Vadlīnijās </w:t>
      </w:r>
      <w:r w:rsidRPr="005A2D50">
        <w:rPr>
          <w:i/>
          <w:iCs/>
          <w:lang w:val="en-US"/>
        </w:rPr>
        <w:t>AEO</w:t>
      </w:r>
      <w:r w:rsidRPr="005A2D50">
        <w:rPr>
          <w:vertAlign w:val="superscript"/>
          <w:lang w:val="en-US"/>
        </w:rPr>
        <w:footnoteReference w:id="21"/>
      </w:r>
      <w:r w:rsidRPr="005A2D50">
        <w:rPr>
          <w:vertAlign w:val="superscript"/>
          <w:lang w:val="en-US"/>
        </w:rPr>
        <w:t xml:space="preserve"> </w:t>
      </w:r>
      <w:r w:rsidRPr="005A2D50">
        <w:rPr>
          <w:lang w:val="en-US"/>
        </w:rPr>
        <w:t>ir noteikts:</w:t>
      </w:r>
    </w:p>
    <w:p w14:paraId="77D48EE5"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307AD423"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noProof/>
          <w:sz w:val="24"/>
          <w:lang w:val="en-US"/>
        </w:rPr>
        <w:t>“</w:t>
      </w:r>
      <w:r w:rsidRPr="005A2D50">
        <w:rPr>
          <w:rFonts w:ascii="Times New Roman" w:hAnsi="Times New Roman"/>
          <w:i/>
          <w:noProof/>
          <w:sz w:val="24"/>
          <w:lang w:val="en-US"/>
        </w:rPr>
        <w:t>2.III.4. Mātesuzņēmuma (vai citu grupas uzņēmumu) izsniegtas apstiprinājuma vēstules un galvojumi</w:t>
      </w:r>
    </w:p>
    <w:p w14:paraId="732920BF" w14:textId="77777777" w:rsidR="005A2D50" w:rsidRPr="005A2D50" w:rsidRDefault="005A2D50" w:rsidP="005A2D50">
      <w:pPr>
        <w:pStyle w:val="BodyText"/>
        <w:rPr>
          <w:i/>
          <w:lang w:val="en-US"/>
        </w:rPr>
      </w:pPr>
    </w:p>
    <w:p w14:paraId="0BDA3E05" w14:textId="77777777" w:rsidR="005A2D50" w:rsidRPr="005A2D50" w:rsidRDefault="005A2D50" w:rsidP="005A2D50">
      <w:pPr>
        <w:pStyle w:val="BodyText"/>
        <w:rPr>
          <w:lang w:val="en-US"/>
        </w:rPr>
      </w:pPr>
      <w:r w:rsidRPr="005A2D50">
        <w:rPr>
          <w:lang w:val="en-US"/>
        </w:rPr>
        <w:t>Apstiprinājuma vēstules ir dokumenti, kurus parasti izsniedz mātesuzņēmums (vai cits grupas uzņēmums) un kuri apstiprina, ka meitasuzņēmums ir vērsies pie tā ar lūgumu sniegt finansējumu. Apstiprinājuma vēstules sastopamas tad, kad meitasuzņēmumam ir negatīvi neto aktīvi, un šīs vēstules tiek izmantotas direktoru atzinuma pamatošanai un kā pierādījums auditoru atzinumā par to, ka uzņēmumam ir pietiekami finanšu līdzekļi, lai tas turpinātu darbību. Šādas vēstules var attiekties uz noteiktu laikposmu. Šīs vēstules rakstiski apliecina nodomu turpināt sniegt finanšu atbalstu pieteikuma iesniedzēja uzņēmumam, bet tās var nebūt juridiski saistošas.</w:t>
      </w:r>
    </w:p>
    <w:p w14:paraId="4E89F864" w14:textId="77777777" w:rsidR="005A2D50" w:rsidRPr="005A2D50" w:rsidRDefault="005A2D50" w:rsidP="005A2D50">
      <w:pPr>
        <w:pStyle w:val="BodyText"/>
        <w:rPr>
          <w:lang w:val="en-US"/>
        </w:rPr>
      </w:pPr>
      <w:r w:rsidRPr="005A2D50">
        <w:rPr>
          <w:lang w:val="en-US"/>
        </w:rPr>
        <w:t>Kad tiek vērtēta meitasuzņēmuma pierādītā maksātspēja, jāņem vērā tas, ka meitasuzņēmums var darboties, pamatojoties uz mātesuzņēmuma izsniegtu galvojumu, un muitas dienesti var izskatīt finanšu atbalstu sniedzošā mātesuzņēmuma pārskatus, lai pārliecinātos, ka tam ir iespējas šādi rīkoties. Jāatzīmē, ka apstiprinājuma vēstules bieži vien nav juridiski saistošas līgumiskas vienošanās, līdz ar to tās nav galvojums ar juridisku spēku.</w:t>
      </w:r>
    </w:p>
    <w:p w14:paraId="1E0B0579" w14:textId="77777777" w:rsidR="005A2D50" w:rsidRPr="005A2D50" w:rsidRDefault="005A2D50" w:rsidP="005A2D50">
      <w:pPr>
        <w:pStyle w:val="BodyText"/>
        <w:rPr>
          <w:lang w:val="en-US"/>
        </w:rPr>
      </w:pPr>
      <w:r w:rsidRPr="005A2D50">
        <w:rPr>
          <w:lang w:val="en-US"/>
        </w:rPr>
        <w:t>Ja pieteikuma iesniedzējs ir atkarīgs no mātesuzņēmuma (vai cita grupas uzņēmuma) finanšu atbalsta, lai spētu izpildīt pierādītas maksātspējas kritēriju, muitas dienestiem, ja atbilstīgi, jāpārliecinās par to, ka atbalsts tiek sniegts, pamatojoties uz juridiski saistošu līgumisku vienošanos. Ja galvojums ir nepieciešams kā mātesuzņēmuma vai cita grupas uzņēmuma atbalsta apliecinājums, tam jābūt juridiski saistošam atbilstīgi tās dalībvalsts tiesību aktiem, kurā tas tiek pieņemts, jo citādi to nevar ņemt vērā, kad tiek novērtēta atbilstība šim kritērijam.</w:t>
      </w:r>
    </w:p>
    <w:p w14:paraId="27DDB113" w14:textId="77777777" w:rsidR="005A2D50" w:rsidRPr="005A2D50" w:rsidRDefault="005A2D50" w:rsidP="005A2D50">
      <w:pPr>
        <w:pStyle w:val="BodyText"/>
        <w:rPr>
          <w:lang w:val="en-US"/>
        </w:rPr>
      </w:pPr>
      <w:r w:rsidRPr="005A2D50">
        <w:rPr>
          <w:lang w:val="en-US"/>
        </w:rPr>
        <w:t>Lai līgumiska vienošanās būtu juridiski saistoša, tai jāietver apņemšanās neatsaucami un bez nosacījumiem izpildīt meitasuzņēmuma maksājumu saistības. Pēc vienošanās parakstīšanas parakstītājam ir juridiska atbildība maksāt pieteikuma iesniedzēja nesamaksātos muitas parādus.”</w:t>
      </w:r>
    </w:p>
    <w:p w14:paraId="7EDEEFA1" w14:textId="77777777" w:rsidR="005A2D50" w:rsidRPr="005A2D50" w:rsidRDefault="005A2D50" w:rsidP="005A2D50">
      <w:pPr>
        <w:pStyle w:val="BodyText"/>
        <w:rPr>
          <w:lang w:val="en-US"/>
        </w:rPr>
      </w:pPr>
    </w:p>
    <w:p w14:paraId="499BE980" w14:textId="77777777" w:rsidR="005A2D50" w:rsidRPr="005A2D50" w:rsidRDefault="005A2D50" w:rsidP="005A2D50">
      <w:pPr>
        <w:pStyle w:val="BodyText"/>
        <w:rPr>
          <w:b/>
          <w:bCs/>
          <w:lang w:val="en-US"/>
        </w:rPr>
      </w:pPr>
      <w:bookmarkStart w:id="154" w:name="B)_Practical_application_of_the_Second_s"/>
      <w:bookmarkEnd w:id="154"/>
      <w:r w:rsidRPr="005A2D50">
        <w:rPr>
          <w:b/>
          <w:bCs/>
          <w:lang w:val="en-US"/>
        </w:rPr>
        <w:t>B) SMK DA 84. panta 3.a punkta otrās daļas piemērošana praksē</w:t>
      </w:r>
    </w:p>
    <w:p w14:paraId="7D59B0A2" w14:textId="77777777" w:rsidR="005A2D50" w:rsidRPr="005A2D50" w:rsidRDefault="005A2D50" w:rsidP="005A2D50">
      <w:pPr>
        <w:pStyle w:val="BodyText"/>
        <w:rPr>
          <w:lang w:val="en-US"/>
        </w:rPr>
      </w:pPr>
    </w:p>
    <w:p w14:paraId="74DA2E96" w14:textId="77777777" w:rsidR="005A2D50" w:rsidRPr="005A2D50" w:rsidRDefault="005A2D50" w:rsidP="005A2D50">
      <w:pPr>
        <w:pStyle w:val="BodyText"/>
        <w:rPr>
          <w:lang w:val="en-US"/>
        </w:rPr>
      </w:pPr>
      <w:r w:rsidRPr="005A2D50">
        <w:rPr>
          <w:lang w:val="en-US"/>
        </w:rPr>
        <w:t xml:space="preserve">Šajā sakarā muitas dienestiem jāpārbauda, vai uzņēmēja finansiālais stāvoklis ir pietiekami labs saistībā ar uzņēmēja spēju samaksāt, ja iespējamais muitas parāds pārsniedz sniegtā galvojuma/saistību summu, ņemot vērā muitas parādu rašanās risku, ja tam ir pamatojums. Šajā novērtējumā jāņem vērā visi apstākļi, kas saistīti ar attiecīgo situāciju, vienlaikus saglabājot elastību un atbilstību konkrētajai situācijai. Muitas dienesti novērtē pietiekami labu finansiālo stāvokli </w:t>
      </w:r>
      <w:r w:rsidRPr="005A2D50">
        <w:rPr>
          <w:i/>
          <w:iCs/>
          <w:lang w:val="en-US"/>
        </w:rPr>
        <w:t xml:space="preserve">CGU </w:t>
      </w:r>
      <w:r w:rsidRPr="005A2D50">
        <w:rPr>
          <w:lang w:val="en-US"/>
        </w:rPr>
        <w:t>atļaujas mērķiem, ņemot vērā iespējamos riskus, kas saistīti ar muitas parādu rašanos, piemēram, saimnieciskās darbības iezīmes, darījuma specifiskumu un tamlīdzīgi.</w:t>
      </w:r>
      <w:r w:rsidRPr="005A2D50">
        <w:rPr>
          <w:rStyle w:val="FootnoteReference"/>
          <w:lang w:val="en-US"/>
        </w:rPr>
        <w:footnoteReference w:id="22"/>
      </w:r>
    </w:p>
    <w:p w14:paraId="713A1485" w14:textId="77777777" w:rsidR="005A2D50" w:rsidRPr="005A2D50" w:rsidRDefault="005A2D50" w:rsidP="005A2D50">
      <w:pPr>
        <w:pStyle w:val="BodyText"/>
        <w:rPr>
          <w:lang w:val="en-US"/>
        </w:rPr>
      </w:pPr>
    </w:p>
    <w:p w14:paraId="5C321F09" w14:textId="77777777" w:rsidR="005A2D50" w:rsidRPr="005A2D50" w:rsidRDefault="005A2D50" w:rsidP="005A2D50">
      <w:pPr>
        <w:pStyle w:val="BodyText"/>
        <w:rPr>
          <w:lang w:val="en-US"/>
        </w:rPr>
      </w:pPr>
      <w:r w:rsidRPr="005A2D50">
        <w:rPr>
          <w:lang w:val="en-US"/>
        </w:rPr>
        <w:t>a) Riska elementa apraksts/nozīme</w:t>
      </w:r>
      <w:r w:rsidRPr="005A2D50">
        <w:rPr>
          <w:vertAlign w:val="superscript"/>
          <w:lang w:val="en-US"/>
        </w:rPr>
        <w:footnoteReference w:id="23"/>
      </w:r>
    </w:p>
    <w:p w14:paraId="09DD8BB1" w14:textId="77777777" w:rsidR="005A2D50" w:rsidRPr="005A2D50" w:rsidRDefault="005A2D50" w:rsidP="005A2D50">
      <w:pPr>
        <w:pStyle w:val="BodyText"/>
        <w:rPr>
          <w:lang w:val="en-US"/>
        </w:rPr>
      </w:pPr>
    </w:p>
    <w:p w14:paraId="1344BC9A" w14:textId="77777777" w:rsidR="005A2D50" w:rsidRPr="005A2D50" w:rsidRDefault="005A2D50" w:rsidP="005A2D50">
      <w:pPr>
        <w:pStyle w:val="BodyText"/>
        <w:rPr>
          <w:lang w:val="en-US"/>
        </w:rPr>
      </w:pPr>
      <w:r w:rsidRPr="005A2D50">
        <w:rPr>
          <w:lang w:val="en-US"/>
        </w:rPr>
        <w:t>Saskaņā ar SMK 5. panta 7. punktu ““risks” ir tāda gadījuma iespējamība un ietekme, kas notiek attiecībā uz to preču ievešanu, izvešanu, tranzītu, pārvietošanu vai galapatēriņu, kuras pārvieto starp Savienības muitas teritoriju un valstīm vai teritorijām ārpus šīs teritorijas, vai attiecībā uz ārpussavienības preču klātbūtni Savienības muitas teritorijā, un tas:</w:t>
      </w:r>
    </w:p>
    <w:p w14:paraId="4F04155E" w14:textId="77777777" w:rsidR="005A2D50" w:rsidRPr="005A2D50" w:rsidRDefault="005A2D50" w:rsidP="005A2D50">
      <w:pPr>
        <w:pStyle w:val="BodyText"/>
        <w:rPr>
          <w:lang w:val="en-US"/>
        </w:rPr>
      </w:pPr>
    </w:p>
    <w:p w14:paraId="6AB4A48B" w14:textId="77777777" w:rsidR="005A2D50" w:rsidRPr="005A2D50" w:rsidRDefault="005A2D50" w:rsidP="005A2D50">
      <w:pPr>
        <w:pStyle w:val="BodyText"/>
        <w:ind w:left="284"/>
        <w:rPr>
          <w:lang w:val="en-US"/>
        </w:rPr>
      </w:pPr>
      <w:r w:rsidRPr="005A2D50">
        <w:rPr>
          <w:lang w:val="en-US"/>
        </w:rPr>
        <w:t>a) liegtu pareizi piemērot Savienības vai valsts pasākumus;</w:t>
      </w:r>
    </w:p>
    <w:p w14:paraId="2F1949D4" w14:textId="77777777" w:rsidR="005A2D50" w:rsidRPr="005A2D50" w:rsidRDefault="005A2D50" w:rsidP="005A2D50">
      <w:pPr>
        <w:pStyle w:val="BodyText"/>
        <w:ind w:left="284"/>
        <w:rPr>
          <w:lang w:val="en-US"/>
        </w:rPr>
      </w:pPr>
      <w:r w:rsidRPr="005A2D50">
        <w:rPr>
          <w:lang w:val="en-US"/>
        </w:rPr>
        <w:t>b) apdraudētu Savienības un tās dalībvalstu finanšu intereses vai</w:t>
      </w:r>
    </w:p>
    <w:p w14:paraId="783221FA" w14:textId="77777777" w:rsidR="005A2D50" w:rsidRPr="005A2D50" w:rsidRDefault="005A2D50" w:rsidP="005A2D50">
      <w:pPr>
        <w:pStyle w:val="BodyText"/>
        <w:ind w:left="284"/>
        <w:rPr>
          <w:lang w:val="en-US"/>
        </w:rPr>
      </w:pPr>
      <w:r w:rsidRPr="005A2D50">
        <w:rPr>
          <w:lang w:val="en-US"/>
        </w:rPr>
        <w:t>c) apdraudētu Savienības un tās iedzīvotāju drošību un drošumu, cilvēku, dzīvnieku vai augu veselību, vidi vai patērētājus;”.</w:t>
      </w:r>
    </w:p>
    <w:p w14:paraId="364E7D77" w14:textId="77777777" w:rsidR="005A2D50" w:rsidRPr="005A2D50" w:rsidRDefault="005A2D50" w:rsidP="005A2D50">
      <w:pPr>
        <w:pStyle w:val="BodyText"/>
        <w:rPr>
          <w:lang w:val="en-US"/>
        </w:rPr>
      </w:pPr>
    </w:p>
    <w:p w14:paraId="7C300BA1" w14:textId="77777777" w:rsidR="005A2D50" w:rsidRPr="005A2D50" w:rsidRDefault="005A2D50" w:rsidP="005A2D50">
      <w:pPr>
        <w:pStyle w:val="BodyText"/>
        <w:rPr>
          <w:lang w:val="en-US"/>
        </w:rPr>
      </w:pPr>
      <w:r w:rsidRPr="005A2D50">
        <w:rPr>
          <w:lang w:val="en-US"/>
        </w:rPr>
        <w:t>Saskaņā ar šo definīciju ir jāņem vērā divi aspekti – iespējamība, ka notiek kāds notikums, un tā ietekme. Lai novērtētu attiecīgā riska nozīmīgumu, šīs abas dimensijas vienmēr jāņem vērā. Šos jēdzienus var vizualizēt, izmantojot tā dēvēto riska matricu, kas attēlota turpmāk.</w:t>
      </w:r>
    </w:p>
    <w:p w14:paraId="5A3B11AD"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7221329"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5D7EDEDF" wp14:editId="6738F7E3">
            <wp:extent cx="5762625" cy="3287395"/>
            <wp:effectExtent l="0" t="0" r="0" b="0"/>
            <wp:docPr id="10" name="Picture 10" descr="A picture containing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able&#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5762625" cy="3287395"/>
                    </a:xfrm>
                    <a:prstGeom prst="rect">
                      <a:avLst/>
                    </a:prstGeom>
                  </pic:spPr>
                </pic:pic>
              </a:graphicData>
            </a:graphic>
          </wp:inline>
        </w:drawing>
      </w:r>
    </w:p>
    <w:p w14:paraId="6145C24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C3B8C24" w14:textId="77777777" w:rsidR="005A2D50" w:rsidRPr="005A2D50" w:rsidRDefault="005A2D50" w:rsidP="005A2D50">
      <w:pPr>
        <w:pStyle w:val="BodyText"/>
        <w:rPr>
          <w:lang w:val="en-US"/>
        </w:rPr>
      </w:pPr>
      <w:r w:rsidRPr="005A2D50">
        <w:rPr>
          <w:lang w:val="en-US"/>
        </w:rPr>
        <w:t>Risku nav iespējams samazināt līdz nullei (pilnībā novērst), izņemot tad, kad process tiek pilnībā likvidēts.</w:t>
      </w:r>
    </w:p>
    <w:p w14:paraId="237C1334" w14:textId="77777777" w:rsidR="005A2D50" w:rsidRPr="005A2D50" w:rsidRDefault="005A2D50" w:rsidP="005A2D50">
      <w:pPr>
        <w:pStyle w:val="BodyText"/>
        <w:rPr>
          <w:lang w:val="en-US"/>
        </w:rPr>
      </w:pPr>
      <w:r w:rsidRPr="005A2D50">
        <w:rPr>
          <w:lang w:val="en-US"/>
        </w:rPr>
        <w:t>Šajā matricā parādīts, ka risks ar lielu ietekmi ir nepieņemams risks, ja vien tā īstenošanās iespējamība nav maza, savukārt risks ar vidēju ietekmi ir nepieņemams, ja tā īstenošanās iespējamība ir liela. Mērķis ir samazināt riska līmeni (ietekmi/iespējamību) līdz pieņemamam līmenim un uzraugot pārliecināties, vai šis līmenis nemainās.</w:t>
      </w:r>
    </w:p>
    <w:p w14:paraId="69F9685C" w14:textId="77777777" w:rsidR="005A2D50" w:rsidRPr="005A2D50" w:rsidRDefault="005A2D50" w:rsidP="005A2D50">
      <w:pPr>
        <w:pStyle w:val="BodyText"/>
        <w:rPr>
          <w:lang w:val="en-US"/>
        </w:rPr>
      </w:pPr>
      <w:r w:rsidRPr="005A2D50">
        <w:rPr>
          <w:lang w:val="en-US"/>
        </w:rPr>
        <w:t>Parasti jārīkojas šādi:</w:t>
      </w:r>
    </w:p>
    <w:p w14:paraId="202593A6" w14:textId="77777777" w:rsidR="005A2D50" w:rsidRPr="005A2D50" w:rsidRDefault="005A2D50" w:rsidP="005A2D50">
      <w:pPr>
        <w:pStyle w:val="BodyText"/>
        <w:rPr>
          <w:lang w:val="en-US"/>
        </w:rPr>
      </w:pPr>
    </w:p>
    <w:p w14:paraId="5C9E154E" w14:textId="77777777" w:rsidR="005A2D50" w:rsidRPr="005A2D50" w:rsidRDefault="005A2D50" w:rsidP="005A2D50">
      <w:pPr>
        <w:pStyle w:val="BodyText"/>
        <w:numPr>
          <w:ilvl w:val="0"/>
          <w:numId w:val="17"/>
        </w:numPr>
        <w:tabs>
          <w:tab w:val="left" w:pos="851"/>
        </w:tabs>
        <w:ind w:left="284" w:firstLine="0"/>
        <w:rPr>
          <w:lang w:val="en-US"/>
        </w:rPr>
      </w:pPr>
      <w:r w:rsidRPr="005A2D50">
        <w:rPr>
          <w:lang w:val="en-US"/>
        </w:rPr>
        <w:t>ja risks ir sarkanajā zonā, to uzskata par augstu un ir jāievieš pretpasākumi riska līmeņa samazināšanai;</w:t>
      </w:r>
    </w:p>
    <w:p w14:paraId="37A42E8C" w14:textId="77777777" w:rsidR="005A2D50" w:rsidRPr="005A2D50" w:rsidRDefault="005A2D50" w:rsidP="005A2D50">
      <w:pPr>
        <w:pStyle w:val="BodyText"/>
        <w:numPr>
          <w:ilvl w:val="0"/>
          <w:numId w:val="17"/>
        </w:numPr>
        <w:tabs>
          <w:tab w:val="left" w:pos="851"/>
        </w:tabs>
        <w:ind w:left="284" w:firstLine="0"/>
        <w:rPr>
          <w:lang w:val="en-US"/>
        </w:rPr>
      </w:pPr>
      <w:r w:rsidRPr="005A2D50">
        <w:rPr>
          <w:lang w:val="en-US"/>
        </w:rPr>
        <w:t>ja risks ir dzeltenajā zonā, var tikt ierosinātas koriģējošas darbības riska pārvietošanai uz zaļo zonu, mazinot vai nu riska ietekmi, vai arī tā īstenošanās iespējamību;</w:t>
      </w:r>
    </w:p>
    <w:p w14:paraId="309A8933" w14:textId="77777777" w:rsidR="005A2D50" w:rsidRPr="005A2D50" w:rsidRDefault="005A2D50" w:rsidP="005A2D50">
      <w:pPr>
        <w:pStyle w:val="BodyText"/>
        <w:numPr>
          <w:ilvl w:val="0"/>
          <w:numId w:val="17"/>
        </w:numPr>
        <w:tabs>
          <w:tab w:val="left" w:pos="851"/>
        </w:tabs>
        <w:ind w:left="284" w:firstLine="0"/>
        <w:rPr>
          <w:lang w:val="en-US"/>
        </w:rPr>
      </w:pPr>
      <w:r w:rsidRPr="005A2D50">
        <w:rPr>
          <w:lang w:val="en-US"/>
        </w:rPr>
        <w:t>ja risks ir zaļajā zonā, to var uzskatīt par pieņemamu, tomēr var apsvērt uzlabojumus.</w:t>
      </w:r>
    </w:p>
    <w:p w14:paraId="338E4949" w14:textId="77777777" w:rsidR="005A2D50" w:rsidRPr="005A2D50" w:rsidRDefault="005A2D50" w:rsidP="005A2D50">
      <w:pPr>
        <w:pStyle w:val="BodyText"/>
        <w:rPr>
          <w:lang w:val="en-US"/>
        </w:rPr>
      </w:pPr>
    </w:p>
    <w:p w14:paraId="749E549A" w14:textId="77777777" w:rsidR="005A2D50" w:rsidRPr="005A2D50" w:rsidRDefault="005A2D50" w:rsidP="005A2D50">
      <w:pPr>
        <w:pStyle w:val="BodyText"/>
        <w:rPr>
          <w:lang w:val="en-US"/>
        </w:rPr>
      </w:pPr>
      <w:r w:rsidRPr="005A2D50">
        <w:rPr>
          <w:lang w:val="en-US"/>
        </w:rPr>
        <w:t>Šīs abas dimensijas arī jāizmanto risku prioritātes noteikšanai un atbilstošo ietekmes mazināšanas pasākumu paredzēšanai.</w:t>
      </w:r>
    </w:p>
    <w:p w14:paraId="7920850A" w14:textId="77777777" w:rsidR="005A2D50" w:rsidRPr="005A2D50" w:rsidRDefault="005A2D50" w:rsidP="005A2D50">
      <w:pPr>
        <w:pStyle w:val="BodyText"/>
        <w:rPr>
          <w:lang w:val="en-US"/>
        </w:rPr>
      </w:pPr>
      <w:r w:rsidRPr="005A2D50">
        <w:rPr>
          <w:lang w:val="en-US"/>
        </w:rPr>
        <w:t>Muitas parādu rašanās iespējamība nav 100 %. Tie var rasties tikai pienākumu neizpildes dēļ, kā noteikts SMK 79. un 82. pantā. Saistībā ar SMK DA 84. pantu risks skatāms saistībā ar iespējamību, ka muitas parāds ir radies, un saistībā ar tā ietekmi attiecībā uz summas apmēru, kas faktiski radīsies pienākumu neizpildes dēļ.</w:t>
      </w:r>
    </w:p>
    <w:p w14:paraId="6F9CBC74" w14:textId="77777777" w:rsidR="005A2D50" w:rsidRPr="005A2D50" w:rsidRDefault="005A2D50" w:rsidP="005A2D50">
      <w:pPr>
        <w:pStyle w:val="BodyText"/>
        <w:rPr>
          <w:lang w:val="en-US"/>
        </w:rPr>
      </w:pPr>
      <w:r w:rsidRPr="005A2D50">
        <w:rPr>
          <w:lang w:val="en-US"/>
        </w:rPr>
        <w:t>Lai noteiktu, kādās situācijās varētu būt pamatoti ņemt vērā riska elementu, muitai jāizvērtē iespējamo muitas parādu rašanās varbūtība, aplūkojot ierakstus, kas pieejami par pēdējā (3 gadu) laikā veiktajām darbībām. Kad ir apzināta šo parādu rašanās iespējamā ietekme, tos salīdzina ar attiecīgajiem koeficientiem</w:t>
      </w:r>
      <w:r w:rsidRPr="005A2D50">
        <w:rPr>
          <w:rStyle w:val="FootnoteReference"/>
          <w:lang w:val="en-US"/>
        </w:rPr>
        <w:footnoteReference w:id="24"/>
      </w:r>
      <w:r w:rsidRPr="005A2D50">
        <w:rPr>
          <w:lang w:val="en-US"/>
        </w:rPr>
        <w:t>, kas var parādīt spēju stāties pretī šiem pienākumiem.</w:t>
      </w:r>
    </w:p>
    <w:p w14:paraId="6AF696A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0FEE096" w14:textId="77777777" w:rsidR="005A2D50" w:rsidRPr="005A2D50" w:rsidRDefault="005A2D50" w:rsidP="005A2D50">
      <w:pPr>
        <w:pStyle w:val="BodyText"/>
        <w:rPr>
          <w:lang w:val="en-US"/>
        </w:rPr>
      </w:pPr>
      <w:r w:rsidRPr="005A2D50">
        <w:rPr>
          <w:lang w:val="en-US"/>
        </w:rPr>
        <w:t>b) Riski, kas saistīti ar juridiskajā tekstā minētajiem elementiem</w:t>
      </w:r>
    </w:p>
    <w:p w14:paraId="1CFA9277" w14:textId="77777777" w:rsidR="005A2D50" w:rsidRPr="005A2D50" w:rsidRDefault="005A2D50" w:rsidP="005A2D50">
      <w:pPr>
        <w:pStyle w:val="BodyText"/>
        <w:rPr>
          <w:lang w:val="en-US"/>
        </w:rPr>
      </w:pPr>
    </w:p>
    <w:p w14:paraId="53D1AD01" w14:textId="77777777" w:rsidR="005A2D50" w:rsidRPr="005A2D50" w:rsidRDefault="005A2D50" w:rsidP="005A2D50">
      <w:pPr>
        <w:pStyle w:val="BodyText"/>
        <w:rPr>
          <w:lang w:val="en-US"/>
        </w:rPr>
      </w:pPr>
      <w:r w:rsidRPr="005A2D50">
        <w:rPr>
          <w:lang w:val="en-US"/>
        </w:rPr>
        <w:t>NB! Nav iespējams sagatavot pilnīgu sarakstu ar situācijām, kurās riska elements ir būtisks. Visi elementi vienmēr jāņem vērā savstarpējā saistībā.</w:t>
      </w:r>
    </w:p>
    <w:p w14:paraId="2DE6EE09" w14:textId="77777777" w:rsidR="005A2D50" w:rsidRPr="005A2D50" w:rsidRDefault="005A2D50" w:rsidP="005A2D50">
      <w:pPr>
        <w:pStyle w:val="BodyText"/>
        <w:rPr>
          <w:lang w:val="en-US"/>
        </w:rPr>
      </w:pPr>
      <w:r w:rsidRPr="005A2D50">
        <w:rPr>
          <w:lang w:val="en-US"/>
        </w:rPr>
        <w:t>Trīs riska elementi jau ir uzskaitīti SMK DA 84. panta 3.a punkta otrajā daļā, proti, darījumdarbības veids un apjoms, kā arī preču veids.</w:t>
      </w:r>
    </w:p>
    <w:p w14:paraId="0F468D9D" w14:textId="77777777" w:rsidR="005A2D50" w:rsidRPr="005A2D50" w:rsidRDefault="005A2D50" w:rsidP="005A2D50">
      <w:pPr>
        <w:pStyle w:val="BodyText"/>
        <w:rPr>
          <w:lang w:val="en-US"/>
        </w:rPr>
      </w:pPr>
    </w:p>
    <w:p w14:paraId="20B3784F" w14:textId="77777777" w:rsidR="005A2D50" w:rsidRPr="005A2D50" w:rsidRDefault="005A2D50" w:rsidP="005A2D50">
      <w:pPr>
        <w:pStyle w:val="BodyText"/>
        <w:numPr>
          <w:ilvl w:val="0"/>
          <w:numId w:val="16"/>
        </w:numPr>
        <w:tabs>
          <w:tab w:val="left" w:pos="851"/>
        </w:tabs>
        <w:ind w:left="284" w:firstLine="0"/>
        <w:rPr>
          <w:lang w:val="en-US"/>
        </w:rPr>
      </w:pPr>
      <w:r w:rsidRPr="005A2D50">
        <w:rPr>
          <w:lang w:val="en-US"/>
        </w:rPr>
        <w:t>Ar muitu saistītas darījumdarbības veids (tostarp deklarētāja saistība ar procedūras izmantotāju / preču turētāju un attiecīgās muitas procedūras) – risks ir mazāks, ja tiek nodrošinātas īpaši drošas noliktavas vai pagaidu uzglabāšanas vietas, preces tiek pārvadātas tranzītā pa dzelzceļu (nevis pa autoceļiem).</w:t>
      </w:r>
    </w:p>
    <w:p w14:paraId="201B31FD" w14:textId="77777777" w:rsidR="005A2D50" w:rsidRPr="005A2D50" w:rsidRDefault="005A2D50" w:rsidP="005A2D50">
      <w:pPr>
        <w:pStyle w:val="BodyText"/>
        <w:numPr>
          <w:ilvl w:val="0"/>
          <w:numId w:val="16"/>
        </w:numPr>
        <w:tabs>
          <w:tab w:val="left" w:pos="851"/>
        </w:tabs>
        <w:ind w:left="284" w:firstLine="0"/>
        <w:rPr>
          <w:lang w:val="en-US"/>
        </w:rPr>
      </w:pPr>
      <w:r w:rsidRPr="005A2D50">
        <w:rPr>
          <w:lang w:val="en-US"/>
        </w:rPr>
        <w:t>Ar muitu saistītās darījumdarbības apjoms – jo mazāks ar muitu saistītās darbības apjoms (attiecībā uz muitas parāda summu un muitas deklarāciju skaitu), jo mazāks muitas parāda rašanās risks. Tomēr, ja ir iesniegtas tikai dažas muitas deklarācijas, kas saistītas ar lielām muitas parāda summām, risks varētu būt ļoti augsts.</w:t>
      </w:r>
    </w:p>
    <w:p w14:paraId="4E596EBB" w14:textId="77777777" w:rsidR="005A2D50" w:rsidRPr="005A2D50" w:rsidRDefault="005A2D50" w:rsidP="005A2D50">
      <w:pPr>
        <w:pStyle w:val="BodyText"/>
        <w:numPr>
          <w:ilvl w:val="0"/>
          <w:numId w:val="16"/>
        </w:numPr>
        <w:tabs>
          <w:tab w:val="left" w:pos="851"/>
        </w:tabs>
        <w:ind w:left="284" w:firstLine="0"/>
        <w:rPr>
          <w:lang w:val="en-US"/>
        </w:rPr>
      </w:pPr>
      <w:r w:rsidRPr="005A2D50">
        <w:rPr>
          <w:lang w:val="en-US"/>
        </w:rPr>
        <w:t>Preču veids – risks ir zems, ja nafta tiek uzglabāta speciālos kuģos (noliktavās), kas ir īpaši aizsargāti. No otras puses, paaugstināta riska preces, benzīns, alkohols, preces tostarp ar augstu krāpšanas risku; 71-02. pielikumā uzskaitītās preces; lielāks risks ir attiecībā uz precēm, kuras visvairāk ietekmē neatbilstības (saules siltumenerģijas kolektori, velosipēdi, tekstilizstrādājumi, biodīzeļdegviela). Atsaucei varētu izmantot arī agrāko 44.c pielikumu.</w:t>
      </w:r>
    </w:p>
    <w:p w14:paraId="57F9E222" w14:textId="77777777" w:rsidR="005A2D50" w:rsidRPr="005A2D50" w:rsidRDefault="005A2D50" w:rsidP="005A2D50">
      <w:pPr>
        <w:pStyle w:val="BodyText"/>
        <w:rPr>
          <w:lang w:val="en-US"/>
        </w:rPr>
      </w:pPr>
    </w:p>
    <w:p w14:paraId="28652944" w14:textId="77777777" w:rsidR="005A2D50" w:rsidRPr="005A2D50" w:rsidRDefault="005A2D50" w:rsidP="005A2D50">
      <w:pPr>
        <w:pStyle w:val="BodyText"/>
        <w:rPr>
          <w:lang w:val="en-US"/>
        </w:rPr>
      </w:pPr>
      <w:r w:rsidRPr="005A2D50">
        <w:rPr>
          <w:lang w:val="en-US"/>
        </w:rPr>
        <w:t xml:space="preserve">Tomēr šie elementi un muitas parādu rašanās risks jāskata saistībā ar uzņēmuma iekšējiem procesiem un kontroles sistēmām. Novērtējot iepriekš minēto riska elementu, var ņemt vērā arī citus elementus, piemēram, faktus par iespējamā muitas parāda rašanos pagātnē (ja uzņēmējam ir zināma vēsture), to, vai uzņēmējs ir </w:t>
      </w:r>
      <w:r w:rsidRPr="005A2D50">
        <w:rPr>
          <w:i/>
          <w:iCs/>
          <w:lang w:val="en-US"/>
        </w:rPr>
        <w:t xml:space="preserve">AEOC </w:t>
      </w:r>
      <w:r w:rsidRPr="005A2D50">
        <w:rPr>
          <w:lang w:val="en-US"/>
        </w:rPr>
        <w:t>vai nav, vai to, vai uzņēmējs ir zaudējis galvojuma samazinājumu vai atbrīvojumu no galvojuma.</w:t>
      </w:r>
    </w:p>
    <w:p w14:paraId="4BECD34B" w14:textId="77777777" w:rsidR="005A2D50" w:rsidRPr="005A2D50" w:rsidRDefault="005A2D50" w:rsidP="005A2D50">
      <w:pPr>
        <w:pStyle w:val="BodyText"/>
        <w:rPr>
          <w:lang w:val="en-US"/>
        </w:rPr>
      </w:pPr>
    </w:p>
    <w:p w14:paraId="5772C9EC" w14:textId="77777777" w:rsidR="005A2D50" w:rsidRPr="005A2D50" w:rsidRDefault="005A2D50" w:rsidP="005A2D50">
      <w:pPr>
        <w:pStyle w:val="BodyText"/>
        <w:rPr>
          <w:lang w:val="en-US"/>
        </w:rPr>
      </w:pPr>
      <w:r w:rsidRPr="005A2D50">
        <w:rPr>
          <w:lang w:val="en-US"/>
        </w:rPr>
        <w:t>c) Kā nosaka galvojuma segto risku un galīgo summu, ja piemēro riska faktoru (skat. attiecīgos piemērus šajos norādījumos)?</w:t>
      </w:r>
    </w:p>
    <w:p w14:paraId="69B94F3A" w14:textId="77777777" w:rsidR="005A2D50" w:rsidRPr="005A2D50" w:rsidRDefault="005A2D50" w:rsidP="005A2D50">
      <w:pPr>
        <w:pStyle w:val="BodyText"/>
        <w:rPr>
          <w:lang w:val="en-US"/>
        </w:rPr>
      </w:pPr>
    </w:p>
    <w:p w14:paraId="052164E0" w14:textId="77777777" w:rsidR="005A2D50" w:rsidRPr="005A2D50" w:rsidRDefault="005A2D50" w:rsidP="005A2D50">
      <w:pPr>
        <w:pStyle w:val="BodyText"/>
        <w:rPr>
          <w:lang w:val="en-US"/>
        </w:rPr>
      </w:pPr>
      <w:r w:rsidRPr="005A2D50">
        <w:rPr>
          <w:lang w:val="en-US"/>
        </w:rPr>
        <w:t>Ieteicams novērtēt katru gadījumu atsevišķi, lai noteiktu iespējamā muitas parāda rašanās risku (izmantojot iepriekš minētos elementus). Tomēr dalībvalstīm pašām jāpieņem lēmums par metodiku SMK DA 84. panta 3.a punkta otrās daļas īstenošanai.</w:t>
      </w:r>
    </w:p>
    <w:p w14:paraId="6D27A211" w14:textId="77777777" w:rsidR="005A2D50" w:rsidRPr="005A2D50" w:rsidRDefault="005A2D50" w:rsidP="005A2D50">
      <w:pPr>
        <w:pStyle w:val="BodyText"/>
        <w:rPr>
          <w:lang w:val="en-US"/>
        </w:rPr>
      </w:pPr>
      <w:r w:rsidRPr="005A2D50">
        <w:rPr>
          <w:lang w:val="en-US"/>
        </w:rPr>
        <w:t>Būtībā:</w:t>
      </w:r>
    </w:p>
    <w:p w14:paraId="248144F6" w14:textId="77777777" w:rsidR="005A2D50" w:rsidRPr="005A2D50" w:rsidRDefault="005A2D50" w:rsidP="005A2D50">
      <w:pPr>
        <w:pStyle w:val="BodyText"/>
        <w:rPr>
          <w:lang w:val="en-US"/>
        </w:rPr>
      </w:pPr>
    </w:p>
    <w:p w14:paraId="0E3F62AB" w14:textId="77777777" w:rsidR="005A2D50" w:rsidRPr="005A2D50" w:rsidRDefault="005A2D50" w:rsidP="005A2D50">
      <w:pPr>
        <w:pStyle w:val="BodyText"/>
        <w:numPr>
          <w:ilvl w:val="0"/>
          <w:numId w:val="15"/>
        </w:numPr>
        <w:tabs>
          <w:tab w:val="left" w:pos="851"/>
        </w:tabs>
        <w:ind w:left="284" w:firstLine="0"/>
        <w:rPr>
          <w:lang w:val="en-US"/>
        </w:rPr>
      </w:pPr>
      <w:r w:rsidRPr="005A2D50">
        <w:rPr>
          <w:lang w:val="en-US"/>
        </w:rPr>
        <w:t>jo mazāks ir risks, jo lielāks ir piešķiramā galvojuma samazinājuma apmērs, tostarp atbrīvojums no galvojuma;</w:t>
      </w:r>
    </w:p>
    <w:p w14:paraId="30B8F0AC" w14:textId="77777777" w:rsidR="005A2D50" w:rsidRPr="005A2D50" w:rsidRDefault="005A2D50" w:rsidP="005A2D50">
      <w:pPr>
        <w:pStyle w:val="BodyText"/>
        <w:numPr>
          <w:ilvl w:val="0"/>
          <w:numId w:val="15"/>
        </w:numPr>
        <w:tabs>
          <w:tab w:val="left" w:pos="851"/>
        </w:tabs>
        <w:ind w:left="284" w:firstLine="0"/>
        <w:rPr>
          <w:lang w:val="en-US"/>
        </w:rPr>
      </w:pPr>
      <w:r w:rsidRPr="005A2D50">
        <w:rPr>
          <w:lang w:val="en-US"/>
        </w:rPr>
        <w:t>ja nav iespējams piešķirt atbrīvojumu, muitas dienesti var piešķirt zemāku galvojuma samazinājuma apmēru, ja to pieprasa pieteikuma iesniedzējs (galvojuma summu var samazināt līdz 50 % vai līdz 30 % no atsauces summas);</w:t>
      </w:r>
    </w:p>
    <w:p w14:paraId="41F5B2F4" w14:textId="77777777" w:rsidR="005A2D50" w:rsidRPr="005A2D50" w:rsidRDefault="005A2D50" w:rsidP="005A2D50">
      <w:pPr>
        <w:pStyle w:val="BodyText"/>
        <w:numPr>
          <w:ilvl w:val="0"/>
          <w:numId w:val="15"/>
        </w:numPr>
        <w:tabs>
          <w:tab w:val="left" w:pos="851"/>
        </w:tabs>
        <w:ind w:left="284" w:firstLine="0"/>
        <w:rPr>
          <w:lang w:val="en-US"/>
        </w:rPr>
      </w:pPr>
      <w:r w:rsidRPr="005A2D50">
        <w:rPr>
          <w:lang w:val="en-US"/>
        </w:rPr>
        <w:t>ja risks saglabājas augsts, muitai nav jāpiemēro riska elements, un, lai piešķirtu atbrīvojumu no galvojuma / samazinājumu, tai jānovērtē pietiekami labs finansiālais stāvoklis attiecībā pret noteikto atsauces summu (100 %).</w:t>
      </w:r>
    </w:p>
    <w:p w14:paraId="09DF0486" w14:textId="77777777" w:rsidR="005A2D50" w:rsidRPr="005A2D50" w:rsidRDefault="005A2D50" w:rsidP="005A2D50">
      <w:pPr>
        <w:pStyle w:val="BodyText"/>
        <w:rPr>
          <w:lang w:val="en-US"/>
        </w:rPr>
      </w:pPr>
    </w:p>
    <w:p w14:paraId="4BBD3FE7" w14:textId="77777777" w:rsidR="005A2D50" w:rsidRPr="005A2D50" w:rsidRDefault="005A2D50" w:rsidP="005A2D50">
      <w:pPr>
        <w:pStyle w:val="BodyText"/>
        <w:rPr>
          <w:lang w:val="en-US"/>
        </w:rPr>
      </w:pPr>
      <w:r w:rsidRPr="005A2D50">
        <w:rPr>
          <w:lang w:val="en-US"/>
        </w:rPr>
        <w:t xml:space="preserve">Jānosaka iespējamā muitas parāda rašanās iespējamība. Šim nolūkam muitas dienesti var ņemt vērā pieejamos statistikas datus / ierakstus, citu riska novērtēšanas darbību rezultātus, piemēram, iepriekšējās </w:t>
      </w:r>
      <w:r w:rsidRPr="005A2D50">
        <w:rPr>
          <w:i/>
          <w:iCs/>
          <w:lang w:val="en-US"/>
        </w:rPr>
        <w:t xml:space="preserve">AEO-S </w:t>
      </w:r>
      <w:r w:rsidRPr="005A2D50">
        <w:rPr>
          <w:lang w:val="en-US"/>
        </w:rPr>
        <w:t>pārbaudes, kontroles, apmeklējumus uz vietas un/vai revīzijas ziņojumus. Pēc tam muita nosaka muitas parādu un citu maksājumu summu, kas, visticamāk, varētu rasties, un salīdzina to ar finansiālo stāvokli, lai lemtu par samazinājuma apmēru.</w:t>
      </w:r>
    </w:p>
    <w:p w14:paraId="364955BD" w14:textId="77777777" w:rsidR="005A2D50" w:rsidRPr="005A2D50" w:rsidRDefault="005A2D50" w:rsidP="005A2D50">
      <w:pPr>
        <w:pStyle w:val="BodyText"/>
        <w:rPr>
          <w:lang w:val="en-US"/>
        </w:rPr>
      </w:pPr>
      <w:r w:rsidRPr="005A2D50">
        <w:rPr>
          <w:lang w:val="en-US"/>
        </w:rPr>
        <w:t xml:space="preserve">Pietiekami laba finansiālā stāvokļa novērtējums saskaņā ar SMK DA 84. pantu varētu būt neatņemama daļa no novērtējuma, kas veikts, lai piešķirtu </w:t>
      </w:r>
      <w:r w:rsidRPr="005A2D50">
        <w:rPr>
          <w:i/>
          <w:iCs/>
          <w:lang w:val="en-US"/>
        </w:rPr>
        <w:t xml:space="preserve">AEOC </w:t>
      </w:r>
      <w:r w:rsidRPr="005A2D50">
        <w:rPr>
          <w:lang w:val="en-US"/>
        </w:rPr>
        <w:t xml:space="preserve">statusu saskaņā ar SMK ĪA 26. panta 1. punkta c) apakšpunktu. Šajā gadījumā, izvērtējot pieteikumu izmantot vispārējo galvojumu ar samazinātu summu vai piešķirt šiem </w:t>
      </w:r>
      <w:r w:rsidRPr="005A2D50">
        <w:rPr>
          <w:i/>
          <w:iCs/>
          <w:lang w:val="en-US"/>
        </w:rPr>
        <w:t xml:space="preserve">AEOC </w:t>
      </w:r>
      <w:r w:rsidRPr="005A2D50">
        <w:rPr>
          <w:lang w:val="en-US"/>
        </w:rPr>
        <w:t xml:space="preserve">atbrīvojumu no galvojuma, </w:t>
      </w:r>
      <w:r w:rsidRPr="005A2D50">
        <w:rPr>
          <w:i/>
          <w:iCs/>
          <w:lang w:val="en-US"/>
        </w:rPr>
        <w:t xml:space="preserve">CA </w:t>
      </w:r>
      <w:r w:rsidRPr="005A2D50">
        <w:rPr>
          <w:lang w:val="en-US"/>
        </w:rPr>
        <w:t xml:space="preserve">jāpieņem lēmums tikai tad, ja pieteikuma iesniedzēja finansiālais stāvoklis attaisno galvojuma samazinājumu vai atbrīvojumu no galvojuma, tostarp ņemot vērā rezultātus, kas gūti, veicot uzraudzību un/vai atkārtotu novērtēšanu pēc </w:t>
      </w:r>
      <w:r w:rsidRPr="005A2D50">
        <w:rPr>
          <w:i/>
          <w:iCs/>
          <w:lang w:val="en-US"/>
        </w:rPr>
        <w:t xml:space="preserve">AEOC </w:t>
      </w:r>
      <w:r w:rsidRPr="005A2D50">
        <w:rPr>
          <w:lang w:val="en-US"/>
        </w:rPr>
        <w:t xml:space="preserve">atļaujas piešķiršanas. Ja nepieciešams, </w:t>
      </w:r>
      <w:r w:rsidRPr="005A2D50">
        <w:rPr>
          <w:i/>
          <w:iCs/>
          <w:lang w:val="en-US"/>
        </w:rPr>
        <w:t xml:space="preserve">CA </w:t>
      </w:r>
      <w:r w:rsidRPr="005A2D50">
        <w:rPr>
          <w:lang w:val="en-US"/>
        </w:rPr>
        <w:t xml:space="preserve">var pieprasīt papildu pārbaudi un papildu dokumentu iesniegšanu, lai atjauninātu </w:t>
      </w:r>
      <w:r w:rsidRPr="005A2D50">
        <w:rPr>
          <w:i/>
          <w:iCs/>
          <w:lang w:val="en-US"/>
        </w:rPr>
        <w:t xml:space="preserve">AEOC </w:t>
      </w:r>
      <w:r w:rsidRPr="005A2D50">
        <w:rPr>
          <w:lang w:val="en-US"/>
        </w:rPr>
        <w:t>finansiālā stāvokļa iepriekšējā novērtējuma rezultātus.</w:t>
      </w:r>
    </w:p>
    <w:p w14:paraId="366AFED0" w14:textId="77777777" w:rsidR="005A2D50" w:rsidRPr="005A2D50" w:rsidRDefault="005A2D50" w:rsidP="005A2D50">
      <w:pPr>
        <w:rPr>
          <w:noProof/>
          <w:lang w:val="en-US"/>
        </w:rPr>
      </w:pPr>
      <w:r w:rsidRPr="005A2D50">
        <w:rPr>
          <w:noProof/>
          <w:lang w:val="en-US"/>
        </w:rPr>
        <w:br w:type="page"/>
      </w:r>
    </w:p>
    <w:p w14:paraId="41BE5285" w14:textId="77777777" w:rsidR="005A2D50" w:rsidRPr="005A2D50" w:rsidRDefault="005A2D50" w:rsidP="005A2D50">
      <w:pPr>
        <w:jc w:val="both"/>
        <w:rPr>
          <w:rFonts w:ascii="Times New Roman" w:hAnsi="Times New Roman" w:cs="Times New Roman"/>
          <w:noProof/>
          <w:sz w:val="24"/>
          <w:szCs w:val="24"/>
          <w:lang w:val="en-US"/>
        </w:rPr>
      </w:pPr>
    </w:p>
    <w:p w14:paraId="3D7093CE" w14:textId="77777777" w:rsidR="005A2D50" w:rsidRPr="005A2D50" w:rsidRDefault="005A2D50" w:rsidP="005A2D50">
      <w:pPr>
        <w:pStyle w:val="Heading1"/>
        <w:rPr>
          <w:noProof/>
          <w:lang w:val="en-US"/>
        </w:rPr>
      </w:pPr>
      <w:bookmarkStart w:id="155" w:name="VI._Transitional_provisions_–_Articles_7"/>
      <w:bookmarkStart w:id="156" w:name="_bookmark41"/>
      <w:bookmarkStart w:id="157" w:name="_Toc104982799"/>
      <w:bookmarkEnd w:id="155"/>
      <w:bookmarkEnd w:id="156"/>
      <w:r w:rsidRPr="005A2D50">
        <w:rPr>
          <w:noProof/>
          <w:lang w:val="en-US"/>
        </w:rPr>
        <w:t>VI. PĀREJAS NOTEIKUMI – SMK TDA 7. UN 8. PANTS</w:t>
      </w:r>
      <w:bookmarkEnd w:id="157"/>
    </w:p>
    <w:p w14:paraId="22E3175C"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7D03EFDF" w14:textId="77777777" w:rsidR="005A2D50" w:rsidRPr="005A2D50" w:rsidRDefault="005A2D50" w:rsidP="005A2D50">
      <w:pPr>
        <w:pStyle w:val="BodyText"/>
        <w:rPr>
          <w:lang w:val="en-US"/>
        </w:rPr>
      </w:pPr>
      <w:r w:rsidRPr="005A2D50">
        <w:rPr>
          <w:lang w:val="en-US"/>
        </w:rPr>
        <w:t xml:space="preserve">Šie noteikumi ir piemērojami līdz </w:t>
      </w:r>
      <w:r w:rsidRPr="005A2D50">
        <w:rPr>
          <w:i/>
          <w:iCs/>
          <w:lang w:val="en-US"/>
        </w:rPr>
        <w:t xml:space="preserve">GUM </w:t>
      </w:r>
      <w:r w:rsidRPr="005A2D50">
        <w:rPr>
          <w:lang w:val="en-US"/>
        </w:rPr>
        <w:t>ieviešanai. Savienības tranzīts neietilpst šīs iedaļas darbības jomā, jo pašreizējā jaunā datorizētā tranzīta kontroles sistēma (</w:t>
      </w:r>
      <w:r w:rsidRPr="005A2D50">
        <w:rPr>
          <w:i/>
          <w:iCs/>
          <w:lang w:val="en-US"/>
        </w:rPr>
        <w:t>NCTS</w:t>
      </w:r>
      <w:r w:rsidRPr="005A2D50">
        <w:rPr>
          <w:lang w:val="en-US"/>
        </w:rPr>
        <w:t>) ietver modeli derīgu un efektīvu galvojumu pārvaldībai.</w:t>
      </w:r>
    </w:p>
    <w:p w14:paraId="1B163AD8" w14:textId="77777777" w:rsidR="005A2D50" w:rsidRPr="005A2D50" w:rsidRDefault="005A2D50" w:rsidP="005A2D50">
      <w:pPr>
        <w:pStyle w:val="BodyText"/>
        <w:rPr>
          <w:lang w:val="en-US"/>
        </w:rPr>
      </w:pPr>
    </w:p>
    <w:p w14:paraId="3EDC3B9F" w14:textId="77777777" w:rsidR="005A2D50" w:rsidRPr="005A2D50" w:rsidRDefault="005A2D50" w:rsidP="005A2D50">
      <w:pPr>
        <w:pStyle w:val="Heading1"/>
        <w:rPr>
          <w:noProof/>
          <w:lang w:val="en-US"/>
        </w:rPr>
      </w:pPr>
      <w:bookmarkStart w:id="158" w:name="VI.1._Storage_of_information"/>
      <w:bookmarkStart w:id="159" w:name="_bookmark42"/>
      <w:bookmarkStart w:id="160" w:name="_Toc104982800"/>
      <w:bookmarkEnd w:id="158"/>
      <w:bookmarkEnd w:id="159"/>
      <w:r w:rsidRPr="005A2D50">
        <w:rPr>
          <w:noProof/>
          <w:lang w:val="en-US"/>
        </w:rPr>
        <w:t>VI.1. Informācijas uzglabāšana</w:t>
      </w:r>
      <w:bookmarkEnd w:id="160"/>
    </w:p>
    <w:p w14:paraId="21E823B9"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1AF2554" w14:textId="77777777" w:rsidR="005A2D50" w:rsidRPr="005A2D50" w:rsidRDefault="005A2D50" w:rsidP="005A2D50">
      <w:pPr>
        <w:pStyle w:val="BodyText"/>
        <w:rPr>
          <w:lang w:val="en-US"/>
        </w:rPr>
      </w:pPr>
      <w:r w:rsidRPr="005A2D50">
        <w:rPr>
          <w:lang w:val="en-US"/>
        </w:rPr>
        <w:t xml:space="preserve">Līdz </w:t>
      </w:r>
      <w:r w:rsidRPr="005A2D50">
        <w:rPr>
          <w:i/>
          <w:iCs/>
          <w:lang w:val="en-US"/>
        </w:rPr>
        <w:t xml:space="preserve">GUM </w:t>
      </w:r>
      <w:r w:rsidRPr="005A2D50">
        <w:rPr>
          <w:lang w:val="en-US"/>
        </w:rPr>
        <w:t>ieviešanai dalībvalstis var izmantot spēkā esošās valsts sistēmas, lai reģistrētu un pārraudzītu savu atsauces summas daļu. Saskaņā ar SMK TDA 7. pantu pašreizējo praksi var turpināt arī kā papīra procedūru.</w:t>
      </w:r>
    </w:p>
    <w:p w14:paraId="1737FF67" w14:textId="77777777" w:rsidR="005A2D50" w:rsidRPr="005A2D50" w:rsidRDefault="005A2D50" w:rsidP="005A2D50">
      <w:pPr>
        <w:pStyle w:val="BodyText"/>
        <w:rPr>
          <w:lang w:val="en-US"/>
        </w:rPr>
      </w:pPr>
      <w:r w:rsidRPr="005A2D50">
        <w:rPr>
          <w:lang w:val="en-US"/>
        </w:rPr>
        <w:t xml:space="preserve">Kompetentajam </w:t>
      </w:r>
      <w:r w:rsidRPr="005A2D50">
        <w:rPr>
          <w:i/>
          <w:iCs/>
          <w:lang w:val="en-US"/>
        </w:rPr>
        <w:t xml:space="preserve">CA </w:t>
      </w:r>
      <w:r w:rsidRPr="005A2D50">
        <w:rPr>
          <w:lang w:val="en-US"/>
        </w:rPr>
        <w:t>vismaz 3 gadus pēc lēmuma spēkā esības termiņa beigām ir jāsaglabā visi dati un pamatojošā informācija, uz ko tas ir paļāvies, pieņemot lēmumu.</w:t>
      </w:r>
    </w:p>
    <w:p w14:paraId="5A4DDDDF" w14:textId="77777777" w:rsidR="005A2D50" w:rsidRPr="005A2D50" w:rsidRDefault="005A2D50" w:rsidP="005A2D50">
      <w:pPr>
        <w:pStyle w:val="BodyText"/>
        <w:rPr>
          <w:lang w:val="en-US"/>
        </w:rPr>
      </w:pPr>
      <w:bookmarkStart w:id="161" w:name="VI.2._Exchange_of_information"/>
      <w:bookmarkStart w:id="162" w:name="_bookmark43"/>
      <w:bookmarkEnd w:id="161"/>
      <w:bookmarkEnd w:id="162"/>
    </w:p>
    <w:p w14:paraId="78458A7A" w14:textId="77777777" w:rsidR="005A2D50" w:rsidRPr="005A2D50" w:rsidRDefault="005A2D50" w:rsidP="005A2D50">
      <w:pPr>
        <w:pStyle w:val="Heading1"/>
        <w:rPr>
          <w:noProof/>
          <w:lang w:val="en-US"/>
        </w:rPr>
      </w:pPr>
      <w:bookmarkStart w:id="163" w:name="_Toc104982801"/>
      <w:r w:rsidRPr="005A2D50">
        <w:rPr>
          <w:noProof/>
          <w:lang w:val="en-US"/>
        </w:rPr>
        <w:t>VI.2. Informācijas apmaiņa</w:t>
      </w:r>
      <w:bookmarkEnd w:id="163"/>
    </w:p>
    <w:p w14:paraId="1EDE5BB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3704208" w14:textId="77777777" w:rsidR="005A2D50" w:rsidRPr="005A2D50" w:rsidRDefault="005A2D50" w:rsidP="005A2D50">
      <w:pPr>
        <w:pStyle w:val="Heading2"/>
        <w:rPr>
          <w:noProof/>
          <w:lang w:val="en-US"/>
        </w:rPr>
      </w:pPr>
      <w:bookmarkStart w:id="164" w:name="VI.2.1_Means_of_exchange_—_Other_than_el"/>
      <w:bookmarkStart w:id="165" w:name="_bookmark44"/>
      <w:bookmarkStart w:id="166" w:name="_Toc104982802"/>
      <w:bookmarkEnd w:id="164"/>
      <w:bookmarkEnd w:id="165"/>
      <w:r w:rsidRPr="005A2D50">
        <w:rPr>
          <w:noProof/>
          <w:lang w:val="en-US"/>
        </w:rPr>
        <w:t>VI.2.1. Apmaiņas līdzekļi. Līdzekļi, kas nav elektroniskās datu apstrādes metodes</w:t>
      </w:r>
      <w:bookmarkEnd w:id="166"/>
    </w:p>
    <w:p w14:paraId="14A2179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97061F6" w14:textId="77777777" w:rsidR="005A2D50" w:rsidRPr="005A2D50" w:rsidRDefault="005A2D50" w:rsidP="005A2D50">
      <w:pPr>
        <w:pStyle w:val="BodyText"/>
        <w:rPr>
          <w:lang w:val="en-US"/>
        </w:rPr>
      </w:pPr>
      <w:r w:rsidRPr="005A2D50">
        <w:rPr>
          <w:lang w:val="en-US"/>
        </w:rPr>
        <w:t>Lai apmainītos ar informāciju par galvojumiem, kas ietekmē vairāk nekā vienu dalībvalsti, ir jāparedz pārejas pasākumi, ņemot vērā to, ka nav paredzēto elektronisko sistēmu, kas nodrošinātu šādu apmaiņu.</w:t>
      </w:r>
    </w:p>
    <w:p w14:paraId="576AED3D" w14:textId="77777777" w:rsidR="005A2D50" w:rsidRPr="005A2D50" w:rsidRDefault="005A2D50" w:rsidP="005A2D50">
      <w:pPr>
        <w:pStyle w:val="BodyText"/>
        <w:rPr>
          <w:lang w:val="en-US"/>
        </w:rPr>
      </w:pPr>
      <w:r w:rsidRPr="005A2D50">
        <w:rPr>
          <w:lang w:val="en-US"/>
        </w:rPr>
        <w:t xml:space="preserve">Kamēr </w:t>
      </w:r>
      <w:r w:rsidRPr="005A2D50">
        <w:rPr>
          <w:i/>
          <w:iCs/>
          <w:lang w:val="en-US"/>
        </w:rPr>
        <w:t xml:space="preserve">GUM </w:t>
      </w:r>
      <w:r w:rsidRPr="005A2D50">
        <w:rPr>
          <w:lang w:val="en-US"/>
        </w:rPr>
        <w:t>sistēma vēl nav ieviesta, dalībvalstis galvojumu pārvaldības un pārraudzības ietvaros ar galvojumiem saistītās informācijas apmaiņai izmantos elektronisko pastu (SMK TDA 8. pants; Komisijas 2015. gada 17. decembra Deleģētā regula (ES) 2016/341).</w:t>
      </w:r>
    </w:p>
    <w:p w14:paraId="3C1C12F4" w14:textId="77777777" w:rsidR="005A2D50" w:rsidRPr="005A2D50" w:rsidRDefault="005A2D50" w:rsidP="005A2D50">
      <w:pPr>
        <w:pStyle w:val="BodyText"/>
        <w:rPr>
          <w:lang w:val="en-US"/>
        </w:rPr>
      </w:pPr>
      <w:r w:rsidRPr="005A2D50">
        <w:rPr>
          <w:lang w:val="en-US"/>
        </w:rPr>
        <w:t>Lai ierobežotu šīs informācijas izpaušanu un izveidotu skaidrus kontaktpunktus dažādās dalībvalstīs, katrai dalībvalstij jāizraugās viens kontaktpunkts. Ideja ir tāda, ka katrai dalībvalstij būs viens unikāls kontaktpunkts, kas veic jebkādu informācijas apmaiņu starp dažādām dalībvalstīm, kurā uzņēmējs vēlēsies izmantot galvojumu. Dalībvalstīm ir jāinformē Komisija par kontaktpunktu, kas norīkots saskaņā ar SMK TD 3. panta 2. punktu. Dalībvalstu norīkoto kontaktpunktu atjauninātais saraksts ir pieejams Komisijas tīmekļa vietnē:</w:t>
      </w:r>
    </w:p>
    <w:p w14:paraId="1C0FF3A8" w14:textId="77777777" w:rsidR="005A2D50" w:rsidRPr="005A2D50" w:rsidRDefault="005A2D50" w:rsidP="005A2D50">
      <w:pPr>
        <w:jc w:val="both"/>
        <w:rPr>
          <w:rFonts w:ascii="Times New Roman" w:hAnsi="Times New Roman" w:cs="Times New Roman"/>
          <w:noProof/>
          <w:sz w:val="24"/>
          <w:szCs w:val="24"/>
          <w:u w:val="single" w:color="000000"/>
          <w:lang w:val="en-US"/>
        </w:rPr>
      </w:pPr>
    </w:p>
    <w:p w14:paraId="2B0345C8" w14:textId="77777777" w:rsidR="005A2D50" w:rsidRPr="005A2D50" w:rsidRDefault="005A2D50" w:rsidP="005A2D50">
      <w:pPr>
        <w:jc w:val="both"/>
        <w:rPr>
          <w:rFonts w:ascii="Times New Roman" w:hAnsi="Times New Roman"/>
          <w:noProof/>
          <w:sz w:val="24"/>
          <w:u w:val="single" w:color="000000"/>
          <w:lang w:val="en-US"/>
        </w:rPr>
      </w:pPr>
      <w:r w:rsidRPr="005A2D50">
        <w:rPr>
          <w:rFonts w:ascii="Times New Roman" w:hAnsi="Times New Roman"/>
          <w:noProof/>
          <w:sz w:val="24"/>
          <w:u w:val="single" w:color="000000"/>
          <w:lang w:val="en-US"/>
        </w:rPr>
        <w:t>https://ec.europa.eu/taxation_customs/sites/taxation/files/ms_contact_points_article_3_tda_update_27_03_18_en.pdf.</w:t>
      </w:r>
    </w:p>
    <w:p w14:paraId="3798C3A7" w14:textId="77777777" w:rsidR="005A2D50" w:rsidRPr="005A2D50" w:rsidRDefault="005A2D50" w:rsidP="005A2D50">
      <w:pPr>
        <w:pStyle w:val="BodyText"/>
        <w:rPr>
          <w:lang w:val="en-US"/>
        </w:rPr>
      </w:pPr>
    </w:p>
    <w:p w14:paraId="7A96A7C5" w14:textId="77777777" w:rsidR="005A2D50" w:rsidRPr="005A2D50" w:rsidRDefault="005A2D50" w:rsidP="005A2D50">
      <w:pPr>
        <w:pStyle w:val="BodyText"/>
        <w:rPr>
          <w:lang w:val="en-US"/>
        </w:rPr>
      </w:pPr>
      <w:r w:rsidRPr="005A2D50">
        <w:rPr>
          <w:lang w:val="en-US"/>
        </w:rPr>
        <w:t>Lai nodrošinātu darbības nepārtrauktību IT sistēmas trūkuma gadījumā, kompetentās iestādes var izsniegt procedūras izmantotājam apliecību (līdzīgu vispārējā galvojuma apliecībai TC 31, ko izmanto tranzītā – SMK ĪA 72-04. pielikums).</w:t>
      </w:r>
    </w:p>
    <w:p w14:paraId="00AF2310" w14:textId="77777777" w:rsidR="005A2D50" w:rsidRPr="005A2D50" w:rsidRDefault="005A2D50" w:rsidP="005A2D50">
      <w:pPr>
        <w:pStyle w:val="BodyText"/>
        <w:rPr>
          <w:lang w:val="en-US"/>
        </w:rPr>
      </w:pPr>
    </w:p>
    <w:p w14:paraId="59E0BEE7" w14:textId="77777777" w:rsidR="005A2D50" w:rsidRPr="005A2D50" w:rsidRDefault="005A2D50" w:rsidP="005A2D50">
      <w:pPr>
        <w:pStyle w:val="Heading2"/>
        <w:rPr>
          <w:noProof/>
          <w:lang w:val="en-US"/>
        </w:rPr>
      </w:pPr>
      <w:bookmarkStart w:id="167" w:name="VI.2.2._Data_to_be_exchanged"/>
      <w:bookmarkStart w:id="168" w:name="_bookmark45"/>
      <w:bookmarkStart w:id="169" w:name="_Toc104982803"/>
      <w:bookmarkEnd w:id="167"/>
      <w:bookmarkEnd w:id="168"/>
      <w:r w:rsidRPr="005A2D50">
        <w:rPr>
          <w:noProof/>
          <w:lang w:val="en-US"/>
        </w:rPr>
        <w:t>VI.2.2. Dati, ar kuriem jāapmainās</w:t>
      </w:r>
      <w:bookmarkEnd w:id="169"/>
    </w:p>
    <w:p w14:paraId="1E08969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A84CDCE" w14:textId="77777777" w:rsidR="005A2D50" w:rsidRPr="005A2D50" w:rsidRDefault="005A2D50" w:rsidP="005A2D50">
      <w:pPr>
        <w:pStyle w:val="BodyText"/>
        <w:rPr>
          <w:lang w:val="en-US"/>
        </w:rPr>
      </w:pPr>
      <w:r w:rsidRPr="005A2D50">
        <w:rPr>
          <w:lang w:val="en-US"/>
        </w:rPr>
        <w:t xml:space="preserve">Līdz </w:t>
      </w:r>
      <w:r w:rsidRPr="005A2D50">
        <w:rPr>
          <w:i/>
          <w:iCs/>
          <w:lang w:val="en-US"/>
        </w:rPr>
        <w:t xml:space="preserve">GUM </w:t>
      </w:r>
      <w:r w:rsidRPr="005A2D50">
        <w:rPr>
          <w:lang w:val="en-US"/>
        </w:rPr>
        <w:t xml:space="preserve">ieviešanas datumam personai, kurai prasīts sniegt galvojumu, savā </w:t>
      </w:r>
      <w:r w:rsidRPr="005A2D50">
        <w:rPr>
          <w:i/>
          <w:iCs/>
          <w:lang w:val="en-US"/>
        </w:rPr>
        <w:t xml:space="preserve">CGU </w:t>
      </w:r>
      <w:r w:rsidRPr="005A2D50">
        <w:rPr>
          <w:lang w:val="en-US"/>
        </w:rPr>
        <w:t>atļaujas pieteikumā jānorāda atsauces summas sadalījums starp dalībvalstīm, kurās tā veic darbības, kas saistītas ar dažādām precēm, izņemot attiecībā uz precēm, kurām piemēro Savienības tranzīta procedūru un uz kurām attiecas galvojums.</w:t>
      </w:r>
    </w:p>
    <w:p w14:paraId="63D83A37" w14:textId="77777777" w:rsidR="005A2D50" w:rsidRPr="005A2D50" w:rsidRDefault="005A2D50" w:rsidP="005A2D50">
      <w:pPr>
        <w:pStyle w:val="BodyText"/>
        <w:rPr>
          <w:lang w:val="en-US"/>
        </w:rPr>
      </w:pPr>
      <w:r w:rsidRPr="005A2D50">
        <w:rPr>
          <w:lang w:val="en-US"/>
        </w:rPr>
        <w:t>Ja atsauces summas daļām</w:t>
      </w:r>
      <w:r w:rsidRPr="005A2D50">
        <w:rPr>
          <w:vertAlign w:val="superscript"/>
          <w:lang w:val="en-US"/>
        </w:rPr>
        <w:footnoteReference w:id="25"/>
      </w:r>
      <w:r w:rsidRPr="005A2D50">
        <w:rPr>
          <w:vertAlign w:val="superscript"/>
          <w:lang w:val="en-US"/>
        </w:rPr>
        <w:t xml:space="preserve"> </w:t>
      </w:r>
      <w:r w:rsidRPr="005A2D50">
        <w:rPr>
          <w:lang w:val="en-US"/>
        </w:rPr>
        <w:t xml:space="preserve">jābūt derīgām, </w:t>
      </w:r>
      <w:r w:rsidRPr="005A2D50">
        <w:rPr>
          <w:i/>
          <w:iCs/>
          <w:lang w:val="en-US"/>
        </w:rPr>
        <w:t xml:space="preserve">CA </w:t>
      </w:r>
      <w:r w:rsidRPr="005A2D50">
        <w:rPr>
          <w:lang w:val="en-US"/>
        </w:rPr>
        <w:t>apmainās ar turpmāk minēto informāciju:</w:t>
      </w:r>
    </w:p>
    <w:p w14:paraId="793E3CC6" w14:textId="77777777" w:rsidR="005A2D50" w:rsidRPr="005A2D50" w:rsidRDefault="005A2D50" w:rsidP="005A2D50">
      <w:pPr>
        <w:pStyle w:val="BodyText"/>
        <w:rPr>
          <w:lang w:val="en-US"/>
        </w:rPr>
      </w:pPr>
    </w:p>
    <w:p w14:paraId="63AE6E3D" w14:textId="77777777" w:rsidR="005A2D50" w:rsidRPr="005A2D50" w:rsidRDefault="005A2D50" w:rsidP="005A2D50">
      <w:pPr>
        <w:pStyle w:val="BodyText"/>
        <w:numPr>
          <w:ilvl w:val="3"/>
          <w:numId w:val="14"/>
        </w:numPr>
        <w:tabs>
          <w:tab w:val="left" w:pos="851"/>
        </w:tabs>
        <w:ind w:left="284" w:firstLine="0"/>
        <w:rPr>
          <w:lang w:val="en-US"/>
        </w:rPr>
      </w:pPr>
      <w:r w:rsidRPr="005A2D50">
        <w:rPr>
          <w:lang w:val="en-US"/>
        </w:rPr>
        <w:t>pieteikuma dati – visi pieteikumā iekļautie datu elementi;</w:t>
      </w:r>
    </w:p>
    <w:p w14:paraId="35C8132C" w14:textId="77777777" w:rsidR="005A2D50" w:rsidRPr="005A2D50" w:rsidRDefault="005A2D50" w:rsidP="005A2D50">
      <w:pPr>
        <w:pStyle w:val="BodyText"/>
        <w:numPr>
          <w:ilvl w:val="3"/>
          <w:numId w:val="14"/>
        </w:numPr>
        <w:tabs>
          <w:tab w:val="left" w:pos="851"/>
        </w:tabs>
        <w:ind w:left="284" w:firstLine="0"/>
        <w:rPr>
          <w:lang w:val="en-US"/>
        </w:rPr>
      </w:pPr>
      <w:r w:rsidRPr="005A2D50">
        <w:rPr>
          <w:lang w:val="en-US"/>
        </w:rPr>
        <w:t>ierosinātais atsauces summas sadalījums, kam jābūt derīgam katrā dalībvalstī, kurā ir nepieciešama daļa no atsauces summas. Apspriedēs papildus jāskata arī jautājums par atsauces summas tālāku sadalījumu, ar ko nošķir muitas nodokļiem atbilstīgo atsauces summas daļu no citiem maksājumiem atbilstīgās daļas;</w:t>
      </w:r>
    </w:p>
    <w:p w14:paraId="57943FDF" w14:textId="77777777" w:rsidR="005A2D50" w:rsidRPr="005A2D50" w:rsidRDefault="005A2D50" w:rsidP="005A2D50">
      <w:pPr>
        <w:pStyle w:val="BodyText"/>
        <w:numPr>
          <w:ilvl w:val="1"/>
          <w:numId w:val="18"/>
        </w:numPr>
        <w:tabs>
          <w:tab w:val="left" w:pos="851"/>
        </w:tabs>
        <w:ind w:left="284" w:firstLine="0"/>
        <w:rPr>
          <w:lang w:val="en-US"/>
        </w:rPr>
      </w:pPr>
      <w:r w:rsidRPr="005A2D50">
        <w:rPr>
          <w:lang w:val="en-US"/>
        </w:rPr>
        <w:t xml:space="preserve">citu tādu </w:t>
      </w:r>
      <w:r w:rsidRPr="005A2D50">
        <w:rPr>
          <w:i/>
          <w:iCs/>
          <w:lang w:val="en-US"/>
        </w:rPr>
        <w:t xml:space="preserve">CGU </w:t>
      </w:r>
      <w:r w:rsidRPr="005A2D50">
        <w:rPr>
          <w:lang w:val="en-US"/>
        </w:rPr>
        <w:t xml:space="preserve">atļauju esība un derīgums, ko pieteikuma iesniedzējam piešķīris </w:t>
      </w:r>
      <w:r w:rsidRPr="005A2D50">
        <w:rPr>
          <w:i/>
          <w:iCs/>
          <w:lang w:val="en-US"/>
        </w:rPr>
        <w:t>CA</w:t>
      </w:r>
      <w:r w:rsidRPr="005A2D50">
        <w:rPr>
          <w:lang w:val="en-US"/>
        </w:rPr>
        <w:t>, ar ko notikusi apspriešanās, tostarp samazinājumi/atbrīvojumi, ja tādi ir</w:t>
      </w:r>
      <w:r w:rsidRPr="005A2D50">
        <w:rPr>
          <w:rStyle w:val="FootnoteReference"/>
          <w:lang w:val="en-US"/>
        </w:rPr>
        <w:footnoteReference w:id="26"/>
      </w:r>
      <w:r w:rsidRPr="005A2D50">
        <w:rPr>
          <w:lang w:val="en-US"/>
        </w:rPr>
        <w:t>;</w:t>
      </w:r>
    </w:p>
    <w:p w14:paraId="6D633363" w14:textId="77777777" w:rsidR="005A2D50" w:rsidRPr="005A2D50" w:rsidRDefault="005A2D50" w:rsidP="005A2D50">
      <w:pPr>
        <w:pStyle w:val="BodyText"/>
        <w:numPr>
          <w:ilvl w:val="1"/>
          <w:numId w:val="18"/>
        </w:numPr>
        <w:tabs>
          <w:tab w:val="left" w:pos="851"/>
        </w:tabs>
        <w:ind w:left="284" w:firstLine="0"/>
        <w:rPr>
          <w:lang w:val="en-US"/>
        </w:rPr>
      </w:pPr>
      <w:r w:rsidRPr="005A2D50">
        <w:rPr>
          <w:i/>
          <w:iCs/>
          <w:lang w:val="en-US"/>
        </w:rPr>
        <w:t xml:space="preserve">AEO </w:t>
      </w:r>
      <w:r w:rsidRPr="005A2D50">
        <w:rPr>
          <w:lang w:val="en-US"/>
        </w:rPr>
        <w:t>informācija – statusa piešķiršanas datums, statusa veids un, ja atbilstīgi, pēdējās izpildāmo nosacījumu uzraudzības/pārbaudes datums un rezultāti;</w:t>
      </w:r>
    </w:p>
    <w:p w14:paraId="11B753F4" w14:textId="77777777" w:rsidR="005A2D50" w:rsidRPr="005A2D50" w:rsidRDefault="005A2D50" w:rsidP="005A2D50">
      <w:pPr>
        <w:pStyle w:val="BodyText"/>
        <w:numPr>
          <w:ilvl w:val="1"/>
          <w:numId w:val="18"/>
        </w:numPr>
        <w:tabs>
          <w:tab w:val="left" w:pos="851"/>
        </w:tabs>
        <w:ind w:left="284" w:firstLine="0"/>
        <w:rPr>
          <w:lang w:val="en-US"/>
        </w:rPr>
      </w:pPr>
      <w:r w:rsidRPr="005A2D50">
        <w:rPr>
          <w:lang w:val="en-US"/>
        </w:rPr>
        <w:t>lēmuma par pieteikumu datums un atsauces numurs;</w:t>
      </w:r>
    </w:p>
    <w:p w14:paraId="411C7C33" w14:textId="77777777" w:rsidR="005A2D50" w:rsidRPr="005A2D50" w:rsidRDefault="005A2D50" w:rsidP="005A2D50">
      <w:pPr>
        <w:pStyle w:val="BodyText"/>
        <w:numPr>
          <w:ilvl w:val="1"/>
          <w:numId w:val="18"/>
        </w:numPr>
        <w:tabs>
          <w:tab w:val="left" w:pos="851"/>
        </w:tabs>
        <w:ind w:left="284" w:firstLine="0"/>
        <w:rPr>
          <w:lang w:val="en-US"/>
        </w:rPr>
      </w:pPr>
      <w:r w:rsidRPr="005A2D50">
        <w:rPr>
          <w:lang w:val="en-US"/>
        </w:rPr>
        <w:t>labvēlīgs lēmums – galvinieka saistību identifikācijas numurs, piešķirtā galvojuma atsauces numurs (</w:t>
      </w:r>
      <w:r w:rsidRPr="005A2D50">
        <w:rPr>
          <w:i/>
          <w:iCs/>
          <w:lang w:val="en-US"/>
        </w:rPr>
        <w:t>GRN</w:t>
      </w:r>
      <w:r w:rsidRPr="005A2D50">
        <w:rPr>
          <w:lang w:val="en-US"/>
        </w:rPr>
        <w:t>) un piekļuves kodi.</w:t>
      </w:r>
    </w:p>
    <w:p w14:paraId="7CD59215" w14:textId="77777777" w:rsidR="005A2D50" w:rsidRPr="005A2D50" w:rsidRDefault="005A2D50" w:rsidP="005A2D50">
      <w:pPr>
        <w:pStyle w:val="BodyText"/>
        <w:tabs>
          <w:tab w:val="left" w:pos="851"/>
        </w:tabs>
        <w:ind w:left="284"/>
        <w:rPr>
          <w:lang w:val="en-US"/>
        </w:rPr>
      </w:pPr>
      <w:r w:rsidRPr="005A2D50">
        <w:rPr>
          <w:lang w:val="en-US"/>
        </w:rPr>
        <w:t xml:space="preserve">Pārejas periodā katrai dalībvalstij ir atļauts piešķirt īpašus </w:t>
      </w:r>
      <w:r w:rsidRPr="005A2D50">
        <w:rPr>
          <w:i/>
          <w:iCs/>
          <w:lang w:val="en-US"/>
        </w:rPr>
        <w:t xml:space="preserve">GRN </w:t>
      </w:r>
      <w:r w:rsidRPr="005A2D50">
        <w:rPr>
          <w:lang w:val="en-US"/>
        </w:rPr>
        <w:t xml:space="preserve">savām atsauces summas daļām. Tā pamatā ir spēkā esošā prakse atsauces summas reģistrācijai un pārraudzībai. Tā </w:t>
      </w:r>
      <w:r w:rsidRPr="005A2D50">
        <w:rPr>
          <w:i/>
          <w:iCs/>
          <w:lang w:val="en-US"/>
        </w:rPr>
        <w:t xml:space="preserve">GRN </w:t>
      </w:r>
      <w:r w:rsidRPr="005A2D50">
        <w:rPr>
          <w:lang w:val="en-US"/>
        </w:rPr>
        <w:t>formātam, kas katrai dalībvalstij ir jāpiešķir savai atsauces summas daļai, kura pārraugāma saskaņā ar SMK ĪA 157. pantu, ir jāatbilst minimālajām prasībām, kas paredzētas SMK DA un SMK ĪA A pielikuma tiesību normās. Jebkurā gadījumā paziņojumā par galvojumu, kas izmantojams vairāk nekā vienā dalībvalstī, ir jāizmanto unikāla atsauce, t. i., galvinieka saistību identifikācijas numurs.</w:t>
      </w:r>
    </w:p>
    <w:p w14:paraId="28521C80" w14:textId="77777777" w:rsidR="005A2D50" w:rsidRPr="005A2D50" w:rsidRDefault="005A2D50" w:rsidP="005A2D50">
      <w:pPr>
        <w:pStyle w:val="BodyText"/>
        <w:tabs>
          <w:tab w:val="left" w:pos="851"/>
        </w:tabs>
        <w:ind w:left="284"/>
        <w:rPr>
          <w:lang w:val="en-US"/>
        </w:rPr>
      </w:pPr>
      <w:r w:rsidRPr="005A2D50">
        <w:rPr>
          <w:lang w:val="en-US"/>
        </w:rPr>
        <w:t xml:space="preserve">Ja dalībvalstīm galvojumu pārvaldībai nav IT lietotnes, var atļaut izmantot procedūru papīra formātā, kas var būt līdzīga darbības nepārtrauktības procedūrai, kura paredzēta tranzītiem. Šajā nolūkā dokumenti, ko </w:t>
      </w:r>
      <w:r w:rsidRPr="005A2D50">
        <w:rPr>
          <w:i/>
          <w:iCs/>
          <w:lang w:val="en-US"/>
        </w:rPr>
        <w:t xml:space="preserve">COG </w:t>
      </w:r>
      <w:r w:rsidRPr="005A2D50">
        <w:rPr>
          <w:lang w:val="en-US"/>
        </w:rPr>
        <w:t>izsniedz uzņēmējam, var būt SMK ĪA 72-04. pielikuma VI un VII nodaļā norādītajā formā. Tāpat ir jāapmainās ar konkrētiem datiem par iecelto aģentu vai pakalpojumu adresi dalībvalstī, kurā var izmantot galvojumu (jāiekļauj saistībās);</w:t>
      </w:r>
    </w:p>
    <w:p w14:paraId="711C317D" w14:textId="77777777" w:rsidR="005A2D50" w:rsidRPr="005A2D50" w:rsidRDefault="005A2D50" w:rsidP="005A2D50">
      <w:pPr>
        <w:pStyle w:val="BodyText"/>
        <w:numPr>
          <w:ilvl w:val="1"/>
          <w:numId w:val="18"/>
        </w:numPr>
        <w:tabs>
          <w:tab w:val="left" w:pos="851"/>
        </w:tabs>
        <w:ind w:left="284" w:firstLine="0"/>
        <w:rPr>
          <w:lang w:val="en-US"/>
        </w:rPr>
      </w:pPr>
      <w:r w:rsidRPr="005A2D50">
        <w:rPr>
          <w:lang w:val="en-US"/>
        </w:rPr>
        <w:t>nelabvēlīgs lēmums – informācija par vēstuli saistībā ar tiesībām tikt uzklausītam, pieteikuma iesniedzēja atbilde un to dalībvalstu nostāja, ar kurām notikusi apspriešanās. Nelabvēlīgais lēmums var būt daļējs, t. i., attiecībā uz atsauces summas daļu, par kuru nav panākta vienošanās.</w:t>
      </w:r>
    </w:p>
    <w:p w14:paraId="61A38431" w14:textId="77777777" w:rsidR="005A2D50" w:rsidRPr="005A2D50" w:rsidRDefault="005A2D50" w:rsidP="005A2D50">
      <w:pPr>
        <w:rPr>
          <w:noProof/>
          <w:lang w:val="en-US"/>
        </w:rPr>
      </w:pPr>
      <w:r w:rsidRPr="005A2D50">
        <w:rPr>
          <w:noProof/>
          <w:lang w:val="en-US"/>
        </w:rPr>
        <w:br w:type="page"/>
      </w:r>
    </w:p>
    <w:p w14:paraId="59132856"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EFF5198" w14:textId="77777777" w:rsidR="005A2D50" w:rsidRPr="005A2D50" w:rsidRDefault="005A2D50" w:rsidP="005A2D50">
      <w:pPr>
        <w:pStyle w:val="BodyText"/>
        <w:rPr>
          <w:lang w:val="en-US"/>
        </w:rPr>
      </w:pPr>
      <w:r w:rsidRPr="005A2D50">
        <w:rPr>
          <w:lang w:val="en-US"/>
        </w:rPr>
        <w:t xml:space="preserve">SMK DA/ĪA A un B pielikumā ir minēti tie datu elementi attiecībā uz galvojumiem, kuri jāuzglabā un ar kuriem lēmuma pieņemšanas un pārraudzības procesā ir jāapmainās </w:t>
      </w:r>
      <w:r w:rsidRPr="005A2D50">
        <w:rPr>
          <w:i/>
          <w:iCs/>
          <w:lang w:val="en-US"/>
        </w:rPr>
        <w:t xml:space="preserve">GUM </w:t>
      </w:r>
      <w:r w:rsidRPr="005A2D50">
        <w:rPr>
          <w:lang w:val="en-US"/>
        </w:rPr>
        <w:t>ar citām IT lietotnēm.</w:t>
      </w:r>
    </w:p>
    <w:p w14:paraId="33EA12B4" w14:textId="77777777" w:rsidR="005A2D50" w:rsidRPr="005A2D50" w:rsidRDefault="005A2D50" w:rsidP="005A2D50">
      <w:pPr>
        <w:pStyle w:val="BodyText"/>
        <w:rPr>
          <w:lang w:val="en-US"/>
        </w:rPr>
      </w:pPr>
    </w:p>
    <w:p w14:paraId="35DC5F1B" w14:textId="77777777" w:rsidR="005A2D50" w:rsidRPr="005A2D50" w:rsidRDefault="005A2D50" w:rsidP="005A2D50">
      <w:pPr>
        <w:pStyle w:val="BodyText"/>
        <w:rPr>
          <w:b/>
          <w:bCs/>
          <w:u w:color="000000"/>
          <w:lang w:val="en-US"/>
        </w:rPr>
      </w:pPr>
      <w:r w:rsidRPr="005A2D50">
        <w:rPr>
          <w:b/>
          <w:bCs/>
          <w:u w:color="000000"/>
          <w:lang w:val="en-US"/>
        </w:rPr>
        <w:t>SMK DA un SMK ĪA A pielikums, I sadaļa</w:t>
      </w:r>
    </w:p>
    <w:p w14:paraId="62394EDF" w14:textId="77777777" w:rsidR="005A2D50" w:rsidRPr="005A2D50" w:rsidRDefault="005A2D50" w:rsidP="005A2D50">
      <w:pPr>
        <w:jc w:val="both"/>
        <w:rPr>
          <w:rFonts w:ascii="Times New Roman" w:eastAsia="Times New Roman" w:hAnsi="Times New Roman" w:cs="Times New Roman"/>
          <w:b/>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1499"/>
        <w:gridCol w:w="7632"/>
      </w:tblGrid>
      <w:tr w:rsidR="005A2D50" w:rsidRPr="005A2D50" w14:paraId="35543117" w14:textId="77777777" w:rsidTr="00F14166">
        <w:trPr>
          <w:tblHeader/>
        </w:trPr>
        <w:tc>
          <w:tcPr>
            <w:tcW w:w="821" w:type="pct"/>
          </w:tcPr>
          <w:p w14:paraId="4B93A677"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Datu elementa nosaukums</w:t>
            </w:r>
          </w:p>
        </w:tc>
        <w:tc>
          <w:tcPr>
            <w:tcW w:w="4179" w:type="pct"/>
          </w:tcPr>
          <w:p w14:paraId="7A65FAD2" w14:textId="77777777" w:rsidR="005A2D50" w:rsidRPr="005A2D50" w:rsidRDefault="005A2D50" w:rsidP="00F14166">
            <w:pPr>
              <w:pStyle w:val="TableParagraph"/>
              <w:jc w:val="center"/>
              <w:rPr>
                <w:rFonts w:ascii="Times New Roman" w:hAnsi="Times New Roman"/>
                <w:b/>
                <w:noProof/>
                <w:sz w:val="24"/>
                <w:lang w:val="en-US"/>
              </w:rPr>
            </w:pPr>
            <w:r w:rsidRPr="005A2D50">
              <w:rPr>
                <w:rFonts w:ascii="Times New Roman" w:hAnsi="Times New Roman"/>
                <w:b/>
                <w:noProof/>
                <w:sz w:val="24"/>
                <w:lang w:val="en-US"/>
              </w:rPr>
              <w:t>Piezīmes</w:t>
            </w:r>
          </w:p>
        </w:tc>
      </w:tr>
      <w:tr w:rsidR="005A2D50" w:rsidRPr="005A2D50" w14:paraId="36C9B6D0" w14:textId="77777777" w:rsidTr="00F14166">
        <w:tc>
          <w:tcPr>
            <w:tcW w:w="821" w:type="pct"/>
          </w:tcPr>
          <w:p w14:paraId="79EC2149" w14:textId="77777777" w:rsidR="005A2D50" w:rsidRPr="005A2D50" w:rsidRDefault="005A2D50" w:rsidP="00F14166">
            <w:pPr>
              <w:pStyle w:val="TableParagraph"/>
              <w:rPr>
                <w:rFonts w:ascii="Times New Roman" w:hAnsi="Times New Roman"/>
                <w:noProof/>
                <w:sz w:val="24"/>
                <w:lang w:val="en-US"/>
              </w:rPr>
            </w:pPr>
            <w:r w:rsidRPr="005A2D50">
              <w:rPr>
                <w:rFonts w:ascii="Times New Roman" w:hAnsi="Times New Roman"/>
                <w:noProof/>
                <w:sz w:val="24"/>
                <w:lang w:val="en-US"/>
              </w:rPr>
              <w:t>D. e. 8/6 – Galvojums</w:t>
            </w:r>
          </w:p>
        </w:tc>
        <w:tc>
          <w:tcPr>
            <w:tcW w:w="4179" w:type="pct"/>
          </w:tcPr>
          <w:p w14:paraId="72C5D6D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elementu izmanto pieteikumos un atļaujās.</w:t>
            </w:r>
          </w:p>
          <w:p w14:paraId="2AD0EB7A" w14:textId="77777777" w:rsidR="005A2D50" w:rsidRPr="005A2D50" w:rsidRDefault="005A2D50" w:rsidP="00F14166">
            <w:pPr>
              <w:pStyle w:val="TableParagraph"/>
              <w:jc w:val="both"/>
              <w:rPr>
                <w:rFonts w:ascii="Times New Roman" w:hAnsi="Times New Roman" w:cs="Times New Roman"/>
                <w:noProof/>
                <w:sz w:val="24"/>
                <w:szCs w:val="24"/>
                <w:lang w:val="en-US"/>
              </w:rPr>
            </w:pPr>
          </w:p>
          <w:p w14:paraId="2BE65F4B" w14:textId="77777777" w:rsidR="005A2D50" w:rsidRPr="005A2D50" w:rsidRDefault="005A2D50" w:rsidP="00F14166">
            <w:pPr>
              <w:pStyle w:val="TableParagraph"/>
              <w:ind w:left="209"/>
              <w:jc w:val="both"/>
              <w:rPr>
                <w:rFonts w:ascii="Times New Roman" w:hAnsi="Times New Roman"/>
                <w:noProof/>
                <w:sz w:val="24"/>
                <w:lang w:val="en-US"/>
              </w:rPr>
            </w:pPr>
            <w:r w:rsidRPr="005A2D50">
              <w:rPr>
                <w:rFonts w:ascii="Times New Roman" w:hAnsi="Times New Roman"/>
                <w:noProof/>
                <w:sz w:val="24"/>
                <w:lang w:val="en-US"/>
              </w:rPr>
              <w:t>“Norādiet, vai attiecīgajai atļaujai ir nepieciešams galvojums. Ja atbilde ir “jā”, ierakstiet saistībā ar attiecīgo atļauju sniegtā galvojuma atsauces numuru.”</w:t>
            </w:r>
          </w:p>
          <w:p w14:paraId="3FE28E06" w14:textId="77777777" w:rsidR="005A2D50" w:rsidRPr="005A2D50" w:rsidRDefault="005A2D50" w:rsidP="00F14166">
            <w:pPr>
              <w:pStyle w:val="TableParagraph"/>
              <w:jc w:val="both"/>
              <w:rPr>
                <w:rFonts w:ascii="Times New Roman" w:hAnsi="Times New Roman" w:cs="Times New Roman"/>
                <w:noProof/>
                <w:sz w:val="24"/>
                <w:szCs w:val="24"/>
                <w:lang w:val="en-US"/>
              </w:rPr>
            </w:pPr>
          </w:p>
          <w:p w14:paraId="716F447C"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i/>
                <w:iCs/>
                <w:noProof/>
                <w:sz w:val="24"/>
                <w:lang w:val="en-US"/>
              </w:rPr>
              <w:t xml:space="preserve">GRN </w:t>
            </w:r>
            <w:r w:rsidRPr="005A2D50">
              <w:rPr>
                <w:rFonts w:ascii="Times New Roman" w:hAnsi="Times New Roman"/>
                <w:noProof/>
                <w:sz w:val="24"/>
                <w:lang w:val="en-US"/>
              </w:rPr>
              <w:t>ir nepieciešams visām atļaujām, kuru piešķiršanai ir prasīts sniegt vairāk nekā vienā dalībvalstī derīgu galvojumu, kā norādīts SMK DA A pielikumā.</w:t>
            </w:r>
          </w:p>
          <w:p w14:paraId="54A32DC0"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SMK ĪA A pielikumā paskaidrots, ka elementa kardinalitāte ir 1x, bet formāts ir GRN: an..24. Tātad katrā atļaujā var iekļaut tikai vienu </w:t>
            </w:r>
            <w:r w:rsidRPr="005A2D50">
              <w:rPr>
                <w:rFonts w:ascii="Times New Roman" w:hAnsi="Times New Roman"/>
                <w:i/>
                <w:iCs/>
                <w:noProof/>
                <w:sz w:val="24"/>
                <w:lang w:val="en-US"/>
              </w:rPr>
              <w:t>GRN</w:t>
            </w:r>
            <w:r w:rsidRPr="005A2D50">
              <w:rPr>
                <w:rFonts w:ascii="Times New Roman" w:hAnsi="Times New Roman"/>
                <w:noProof/>
                <w:sz w:val="24"/>
                <w:lang w:val="en-US"/>
              </w:rPr>
              <w:t xml:space="preserve">. Katrai atsauces summas daļai, kas pārraugāma saskaņā ar SMK ĪA 157. pantu, ir jāpiešķir tikai viens </w:t>
            </w:r>
            <w:r w:rsidRPr="005A2D50">
              <w:rPr>
                <w:rFonts w:ascii="Times New Roman" w:hAnsi="Times New Roman"/>
                <w:i/>
                <w:iCs/>
                <w:noProof/>
                <w:sz w:val="24"/>
                <w:lang w:val="en-US"/>
              </w:rPr>
              <w:t>GRN</w:t>
            </w:r>
            <w:r w:rsidRPr="005A2D50">
              <w:rPr>
                <w:rFonts w:ascii="Times New Roman" w:hAnsi="Times New Roman"/>
                <w:noProof/>
                <w:sz w:val="24"/>
                <w:lang w:val="en-US"/>
              </w:rPr>
              <w:t>.</w:t>
            </w:r>
          </w:p>
          <w:p w14:paraId="131EFD63"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Lai uzlabotu atsauces summas pārraudzības darbības, ieteicams piešķirt vienu īpašu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katrai atsauces summas daļai, kas atbilst katrai atļaujai, par kuru ir prasīts galvojums, ja atsauces summa ir sadalīta starp šīm muitas procedūrām.</w:t>
            </w:r>
          </w:p>
          <w:p w14:paraId="26EB8241"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Tomēr </w:t>
            </w:r>
            <w:r w:rsidRPr="005A2D50">
              <w:rPr>
                <w:rFonts w:ascii="Times New Roman" w:hAnsi="Times New Roman"/>
                <w:i/>
                <w:iCs/>
                <w:noProof/>
                <w:sz w:val="24"/>
                <w:lang w:val="en-US"/>
              </w:rPr>
              <w:t xml:space="preserve">CA </w:t>
            </w:r>
            <w:r w:rsidRPr="005A2D50">
              <w:rPr>
                <w:rFonts w:ascii="Times New Roman" w:hAnsi="Times New Roman"/>
                <w:noProof/>
                <w:sz w:val="24"/>
                <w:lang w:val="en-US"/>
              </w:rPr>
              <w:t xml:space="preserve">var nolemt noteikt vispārēju atsauces summu visām </w:t>
            </w:r>
            <w:r w:rsidRPr="005A2D50">
              <w:rPr>
                <w:rFonts w:ascii="Times New Roman" w:hAnsi="Times New Roman"/>
                <w:i/>
                <w:iCs/>
                <w:noProof/>
                <w:sz w:val="24"/>
                <w:lang w:val="en-US"/>
              </w:rPr>
              <w:t>SPE</w:t>
            </w:r>
            <w:r w:rsidRPr="005A2D50">
              <w:rPr>
                <w:rFonts w:ascii="Times New Roman" w:hAnsi="Times New Roman"/>
                <w:noProof/>
                <w:sz w:val="24"/>
                <w:lang w:val="en-US"/>
              </w:rPr>
              <w:t xml:space="preserve">, kas nav tranzīts, kura pārraugāma saskaņā ar SMK ĪA 157. panta 3. punktu. Šajā gadījumā viens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 xml:space="preserve">tiks piešķirts vispārējai atsauces summai, kas atbilst visām attiecīgajām </w:t>
            </w:r>
            <w:r w:rsidRPr="005A2D50">
              <w:rPr>
                <w:rFonts w:ascii="Times New Roman" w:hAnsi="Times New Roman"/>
                <w:i/>
                <w:iCs/>
                <w:noProof/>
                <w:sz w:val="24"/>
                <w:lang w:val="en-US"/>
              </w:rPr>
              <w:t>SPE</w:t>
            </w:r>
            <w:r w:rsidRPr="005A2D50">
              <w:rPr>
                <w:rFonts w:ascii="Times New Roman" w:hAnsi="Times New Roman"/>
                <w:noProof/>
                <w:sz w:val="24"/>
                <w:lang w:val="en-US"/>
              </w:rPr>
              <w:t xml:space="preserve">, kas nav tranzīts, kā paredzēts SMK ĪA 154. pantā (to var atkārtot attiecībā uz visām </w:t>
            </w:r>
            <w:r w:rsidRPr="005A2D50">
              <w:rPr>
                <w:rFonts w:ascii="Times New Roman" w:hAnsi="Times New Roman"/>
                <w:i/>
                <w:iCs/>
                <w:noProof/>
                <w:sz w:val="24"/>
                <w:lang w:val="en-US"/>
              </w:rPr>
              <w:t xml:space="preserve">SPE </w:t>
            </w:r>
            <w:r w:rsidRPr="005A2D50">
              <w:rPr>
                <w:rFonts w:ascii="Times New Roman" w:hAnsi="Times New Roman"/>
                <w:noProof/>
                <w:sz w:val="24"/>
                <w:lang w:val="en-US"/>
              </w:rPr>
              <w:t xml:space="preserve">un </w:t>
            </w:r>
            <w:r w:rsidRPr="005A2D50">
              <w:rPr>
                <w:rFonts w:ascii="Times New Roman" w:hAnsi="Times New Roman"/>
                <w:i/>
                <w:iCs/>
                <w:noProof/>
                <w:sz w:val="24"/>
                <w:lang w:val="en-US"/>
              </w:rPr>
              <w:t>TS</w:t>
            </w:r>
            <w:r w:rsidRPr="005A2D50">
              <w:rPr>
                <w:rFonts w:ascii="Times New Roman" w:hAnsi="Times New Roman"/>
                <w:noProof/>
                <w:sz w:val="24"/>
                <w:lang w:val="en-US"/>
              </w:rPr>
              <w:t>).</w:t>
            </w:r>
          </w:p>
          <w:p w14:paraId="33F0AF70"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Saskaņā ar SMK ĪA 154. pantu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 xml:space="preserve">atbilst katrai noteiktās atsauces summas daļai, nevis pašam galvojumam, bet to piešķir tikai tad, kad ir sniegts prasītais galvojums. Papildu galvojumu, ja to pieprasa tādam pašam mērķim, reģistrēs ar to pašu </w:t>
            </w:r>
            <w:r w:rsidRPr="005A2D50">
              <w:rPr>
                <w:rFonts w:ascii="Times New Roman" w:hAnsi="Times New Roman"/>
                <w:i/>
                <w:iCs/>
                <w:noProof/>
                <w:sz w:val="24"/>
                <w:lang w:val="en-US"/>
              </w:rPr>
              <w:t>GRN</w:t>
            </w:r>
            <w:r w:rsidRPr="005A2D50">
              <w:rPr>
                <w:rFonts w:ascii="Times New Roman" w:hAnsi="Times New Roman"/>
                <w:noProof/>
                <w:sz w:val="24"/>
                <w:lang w:val="en-US"/>
              </w:rPr>
              <w:t>.</w:t>
            </w:r>
          </w:p>
          <w:p w14:paraId="33871B87"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i/>
                <w:iCs/>
                <w:noProof/>
                <w:sz w:val="24"/>
                <w:lang w:val="en-US"/>
              </w:rPr>
              <w:t xml:space="preserve">GRN </w:t>
            </w:r>
            <w:r w:rsidRPr="005A2D50">
              <w:rPr>
                <w:rFonts w:ascii="Times New Roman" w:hAnsi="Times New Roman"/>
                <w:noProof/>
                <w:sz w:val="24"/>
                <w:lang w:val="en-US"/>
              </w:rPr>
              <w:t xml:space="preserve">ir obligāti jāizmanto galvojumiem, kas ir derīgi vairāk nekā vienā dalībvalstī. Pārejas periodā līdz </w:t>
            </w:r>
            <w:r w:rsidRPr="005A2D50">
              <w:rPr>
                <w:rFonts w:ascii="Times New Roman" w:hAnsi="Times New Roman"/>
                <w:i/>
                <w:iCs/>
                <w:noProof/>
                <w:sz w:val="24"/>
                <w:lang w:val="en-US"/>
              </w:rPr>
              <w:t xml:space="preserve">GUM </w:t>
            </w:r>
            <w:r w:rsidRPr="005A2D50">
              <w:rPr>
                <w:rFonts w:ascii="Times New Roman" w:hAnsi="Times New Roman"/>
                <w:noProof/>
                <w:sz w:val="24"/>
                <w:lang w:val="en-US"/>
              </w:rPr>
              <w:t xml:space="preserve">ieviešanai un tikai tad, ja galvojumi ir derīgi tikai vienā dalībvalstī, dalībvalstis varētu izmantot citas galvojumu norādes, kas pieejamas valsts līmenī. Jāpiebilst, ka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 xml:space="preserve">nav obligāts </w:t>
            </w:r>
            <w:r w:rsidRPr="005A2D50">
              <w:rPr>
                <w:rFonts w:ascii="Times New Roman" w:hAnsi="Times New Roman"/>
                <w:i/>
                <w:iCs/>
                <w:noProof/>
                <w:sz w:val="24"/>
                <w:lang w:val="en-US"/>
              </w:rPr>
              <w:t xml:space="preserve">CGU </w:t>
            </w:r>
            <w:r w:rsidRPr="005A2D50">
              <w:rPr>
                <w:rFonts w:ascii="Times New Roman" w:hAnsi="Times New Roman"/>
                <w:noProof/>
                <w:sz w:val="24"/>
                <w:lang w:val="en-US"/>
              </w:rPr>
              <w:t xml:space="preserve">atļaujas datu elements (A pielikuma VI nodaļa), bet tas ir obligāts citas atļaujas elements, attiecībā uz kuru ir prasīts sniegt galvojumu. Ja šīs atļaujas ir iekļautas Muitas lēmumu sistēmā, citu valsts līmenī pieejamo galvojumu norādi nevar izmantot, bet tā vietā ir jānodrošina </w:t>
            </w:r>
            <w:r w:rsidRPr="005A2D50">
              <w:rPr>
                <w:rFonts w:ascii="Times New Roman" w:hAnsi="Times New Roman"/>
                <w:i/>
                <w:iCs/>
                <w:noProof/>
                <w:sz w:val="24"/>
                <w:lang w:val="en-US"/>
              </w:rPr>
              <w:t>GRN</w:t>
            </w:r>
            <w:r w:rsidRPr="005A2D50">
              <w:rPr>
                <w:rFonts w:ascii="Times New Roman" w:hAnsi="Times New Roman"/>
                <w:noProof/>
                <w:sz w:val="24"/>
                <w:lang w:val="en-US"/>
              </w:rPr>
              <w:t>.</w:t>
            </w:r>
          </w:p>
          <w:p w14:paraId="6137DA9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i/>
                <w:iCs/>
                <w:noProof/>
                <w:sz w:val="24"/>
                <w:lang w:val="en-US"/>
              </w:rPr>
              <w:t xml:space="preserve">GRN </w:t>
            </w:r>
            <w:r w:rsidRPr="005A2D50">
              <w:rPr>
                <w:rFonts w:ascii="Times New Roman" w:hAnsi="Times New Roman"/>
                <w:noProof/>
                <w:sz w:val="24"/>
                <w:lang w:val="en-US"/>
              </w:rPr>
              <w:t>formātam ir jāatbilst noteikumiem, kas noteikti attiecībā uz d. e. 8/6, kas norādīts A pielikuma I nodaļā.</w:t>
            </w:r>
          </w:p>
        </w:tc>
      </w:tr>
      <w:tr w:rsidR="005A2D50" w:rsidRPr="005A2D50" w14:paraId="409E9DD1" w14:textId="77777777" w:rsidTr="00F14166">
        <w:tc>
          <w:tcPr>
            <w:tcW w:w="821" w:type="pct"/>
          </w:tcPr>
          <w:p w14:paraId="737708E0" w14:textId="77777777" w:rsidR="005A2D50" w:rsidRPr="005A2D50" w:rsidRDefault="005A2D50" w:rsidP="00F14166">
            <w:pPr>
              <w:pStyle w:val="TableParagraph"/>
              <w:rPr>
                <w:rFonts w:ascii="Times New Roman" w:hAnsi="Times New Roman"/>
                <w:noProof/>
                <w:sz w:val="24"/>
                <w:lang w:val="en-US"/>
              </w:rPr>
            </w:pPr>
            <w:r w:rsidRPr="005A2D50">
              <w:rPr>
                <w:rFonts w:ascii="Times New Roman" w:hAnsi="Times New Roman"/>
                <w:noProof/>
                <w:sz w:val="24"/>
                <w:lang w:val="en-US"/>
              </w:rPr>
              <w:t>D. e. 8/7 – Galvojuma summa</w:t>
            </w:r>
          </w:p>
        </w:tc>
        <w:tc>
          <w:tcPr>
            <w:tcW w:w="4179" w:type="pct"/>
          </w:tcPr>
          <w:p w14:paraId="389C65D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elementu izmanto pieteikumos un atļaujās.</w:t>
            </w:r>
          </w:p>
          <w:p w14:paraId="62FCF673" w14:textId="77777777" w:rsidR="005A2D50" w:rsidRPr="005A2D50" w:rsidRDefault="005A2D50" w:rsidP="00F14166">
            <w:pPr>
              <w:pStyle w:val="TableParagraph"/>
              <w:jc w:val="both"/>
              <w:rPr>
                <w:rFonts w:ascii="Times New Roman" w:hAnsi="Times New Roman" w:cs="Times New Roman"/>
                <w:noProof/>
                <w:sz w:val="24"/>
                <w:szCs w:val="24"/>
                <w:lang w:val="en-US"/>
              </w:rPr>
            </w:pPr>
          </w:p>
          <w:p w14:paraId="1D877CD6" w14:textId="77777777" w:rsidR="005A2D50" w:rsidRPr="005A2D50" w:rsidRDefault="005A2D50" w:rsidP="00F14166">
            <w:pPr>
              <w:pStyle w:val="TableParagraph"/>
              <w:ind w:left="351"/>
              <w:jc w:val="both"/>
              <w:rPr>
                <w:rFonts w:ascii="Times New Roman" w:hAnsi="Times New Roman"/>
                <w:noProof/>
                <w:sz w:val="24"/>
                <w:lang w:val="en-US"/>
              </w:rPr>
            </w:pPr>
            <w:r w:rsidRPr="005A2D50">
              <w:rPr>
                <w:rFonts w:ascii="Times New Roman" w:hAnsi="Times New Roman"/>
                <w:noProof/>
                <w:sz w:val="24"/>
                <w:lang w:val="en-US"/>
              </w:rPr>
              <w:t>“Norādiet vienreizējā galvojuma summu vai attiecībā uz vispārējo galvojumu – summu, kas vienāda ar to daļu no atsauces summas, kura iedalīta konkrētajai pagaidu uzglabāšanas vietas vai īpašas procedūras piemērošanas atļaujai.”</w:t>
            </w:r>
          </w:p>
          <w:p w14:paraId="71CCD629" w14:textId="77777777" w:rsidR="005A2D50" w:rsidRPr="005A2D50" w:rsidRDefault="005A2D50" w:rsidP="00F14166">
            <w:pPr>
              <w:pStyle w:val="TableParagraph"/>
              <w:jc w:val="both"/>
              <w:rPr>
                <w:rFonts w:ascii="Times New Roman" w:hAnsi="Times New Roman" w:cs="Times New Roman"/>
                <w:noProof/>
                <w:sz w:val="24"/>
                <w:szCs w:val="24"/>
                <w:lang w:val="en-US"/>
              </w:rPr>
            </w:pPr>
          </w:p>
          <w:p w14:paraId="5A40DA7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 xml:space="preserve">Saistībā ar vispārējā galvojuma sniegšanu, lai saņemtu atļauju īpašai procedūrai, kas nav tranzīts vai </w:t>
            </w:r>
            <w:r w:rsidRPr="005A2D50">
              <w:rPr>
                <w:rFonts w:ascii="Times New Roman" w:hAnsi="Times New Roman"/>
                <w:i/>
                <w:iCs/>
                <w:noProof/>
                <w:sz w:val="24"/>
                <w:lang w:val="en-US"/>
              </w:rPr>
              <w:t>TS</w:t>
            </w:r>
            <w:r w:rsidRPr="005A2D50">
              <w:rPr>
                <w:rFonts w:ascii="Times New Roman" w:hAnsi="Times New Roman"/>
                <w:noProof/>
                <w:sz w:val="24"/>
                <w:lang w:val="en-US"/>
              </w:rPr>
              <w:t>, uzņēmējiem savā pieteikumā ir pienākums nodrošināt atsauces summu, kas noteikta saskaņā ar SMK 90. pantu (datu elements 8/7 A pielikumā).</w:t>
            </w:r>
          </w:p>
          <w:p w14:paraId="050A76A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Muitas dienestiem jānovērtē, vai attiecīgā summa ir pietiekama, un jānosaka šai atļaujai nepieciešamā galvojuma faktiskā summa, ņemot vērā iespējamos samazinājumus/atbrīvojumus.</w:t>
            </w:r>
          </w:p>
          <w:p w14:paraId="7D75BF13"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Saskaņā ar A pielikumu datu elementa 8/7 – “galvojuma summa” – statuss ir “A” (obligāts pieteikumā un lēmumā par </w:t>
            </w:r>
            <w:r w:rsidRPr="005A2D50">
              <w:rPr>
                <w:rFonts w:ascii="Times New Roman" w:hAnsi="Times New Roman"/>
                <w:i/>
                <w:iCs/>
                <w:noProof/>
                <w:sz w:val="24"/>
                <w:lang w:val="en-US"/>
              </w:rPr>
              <w:t xml:space="preserve">SPE </w:t>
            </w:r>
            <w:r w:rsidRPr="005A2D50">
              <w:rPr>
                <w:rFonts w:ascii="Times New Roman" w:hAnsi="Times New Roman"/>
                <w:noProof/>
                <w:sz w:val="24"/>
                <w:lang w:val="en-US"/>
              </w:rPr>
              <w:t xml:space="preserve">vai </w:t>
            </w:r>
            <w:r w:rsidRPr="005A2D50">
              <w:rPr>
                <w:rFonts w:ascii="Times New Roman" w:hAnsi="Times New Roman"/>
                <w:i/>
                <w:iCs/>
                <w:noProof/>
                <w:sz w:val="24"/>
                <w:lang w:val="en-US"/>
              </w:rPr>
              <w:t xml:space="preserve">TS </w:t>
            </w:r>
            <w:r w:rsidRPr="005A2D50">
              <w:rPr>
                <w:rFonts w:ascii="Times New Roman" w:hAnsi="Times New Roman"/>
                <w:noProof/>
                <w:sz w:val="24"/>
                <w:lang w:val="en-US"/>
              </w:rPr>
              <w:t>atļauju piešķiršanu) un tā kardinalitāte ir “1”.</w:t>
            </w:r>
          </w:p>
          <w:p w14:paraId="29302BC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 xml:space="preserve">Tajā norādīta vienreizējā galvojuma summa vai tā atsauces summas daļa, ko uzņēmējs uzskata par pietiekamu, lai vienmēr segtu iespējamos muitas parādus (skat. SMK 90. pantu), kas atbilst katrai atļaujai attiecībā uz muitas procedūru, kas nav tranzīts, vai attiecībā uz </w:t>
            </w:r>
            <w:r w:rsidRPr="005A2D50">
              <w:rPr>
                <w:rFonts w:ascii="Times New Roman" w:hAnsi="Times New Roman"/>
                <w:i/>
                <w:iCs/>
                <w:noProof/>
                <w:sz w:val="24"/>
                <w:lang w:val="en-US"/>
              </w:rPr>
              <w:t>TS</w:t>
            </w:r>
            <w:r w:rsidRPr="005A2D50">
              <w:rPr>
                <w:rFonts w:ascii="Times New Roman" w:hAnsi="Times New Roman"/>
                <w:noProof/>
                <w:sz w:val="24"/>
                <w:lang w:val="en-US"/>
              </w:rPr>
              <w:t>, un tā ir jānorāda jau pieteikumā. Pašreizējā situācijā atsauces summa ir sadalīta pa procedūrām un iesaistītajām dalībvalstīm saskaņā ar Regulas 341/2016 (SMK TDA) 8. pantu.</w:t>
            </w:r>
          </w:p>
          <w:p w14:paraId="380C05C0"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Pamata galvojumu var sniegt un pieņemt vēlāk, bet pirms tiek piešķirta </w:t>
            </w:r>
            <w:r w:rsidRPr="005A2D50">
              <w:rPr>
                <w:rFonts w:ascii="Times New Roman" w:hAnsi="Times New Roman"/>
                <w:i/>
                <w:iCs/>
                <w:noProof/>
                <w:sz w:val="24"/>
                <w:lang w:val="en-US"/>
              </w:rPr>
              <w:t xml:space="preserve">SPE </w:t>
            </w:r>
            <w:r w:rsidRPr="005A2D50">
              <w:rPr>
                <w:rFonts w:ascii="Times New Roman" w:hAnsi="Times New Roman"/>
                <w:noProof/>
                <w:sz w:val="24"/>
                <w:lang w:val="en-US"/>
              </w:rPr>
              <w:t xml:space="preserve">vai </w:t>
            </w:r>
            <w:r w:rsidRPr="005A2D50">
              <w:rPr>
                <w:rFonts w:ascii="Times New Roman" w:hAnsi="Times New Roman"/>
                <w:i/>
                <w:iCs/>
                <w:noProof/>
                <w:sz w:val="24"/>
                <w:lang w:val="en-US"/>
              </w:rPr>
              <w:t xml:space="preserve">TS </w:t>
            </w:r>
            <w:r w:rsidRPr="005A2D50">
              <w:rPr>
                <w:rFonts w:ascii="Times New Roman" w:hAnsi="Times New Roman"/>
                <w:noProof/>
                <w:sz w:val="24"/>
                <w:lang w:val="en-US"/>
              </w:rPr>
              <w:t xml:space="preserve">atļauja. Attiecībā uz vispārējo galvojumu tā summai jāsakrīt ar nepieciešamajām atsauces summas daļām un iespējamiem galvojuma samazinājumiem, ko apstiprinājis muitas dienests un kas norādīti </w:t>
            </w:r>
            <w:r w:rsidRPr="005A2D50">
              <w:rPr>
                <w:rFonts w:ascii="Times New Roman" w:hAnsi="Times New Roman"/>
                <w:i/>
                <w:iCs/>
                <w:noProof/>
                <w:sz w:val="24"/>
                <w:lang w:val="en-US"/>
              </w:rPr>
              <w:t xml:space="preserve">CGU </w:t>
            </w:r>
            <w:r w:rsidRPr="005A2D50">
              <w:rPr>
                <w:rFonts w:ascii="Times New Roman" w:hAnsi="Times New Roman"/>
                <w:noProof/>
                <w:sz w:val="24"/>
                <w:lang w:val="en-US"/>
              </w:rPr>
              <w:t xml:space="preserve">atļaujā. Visas šīs summas būs jānorāda arī </w:t>
            </w:r>
            <w:r w:rsidRPr="005A2D50">
              <w:rPr>
                <w:rFonts w:ascii="Times New Roman" w:hAnsi="Times New Roman"/>
                <w:i/>
                <w:iCs/>
                <w:noProof/>
                <w:sz w:val="24"/>
                <w:lang w:val="en-US"/>
              </w:rPr>
              <w:t>GUM</w:t>
            </w:r>
            <w:r w:rsidRPr="005A2D50">
              <w:rPr>
                <w:rFonts w:ascii="Times New Roman" w:hAnsi="Times New Roman"/>
                <w:noProof/>
                <w:sz w:val="24"/>
                <w:lang w:val="en-US"/>
              </w:rPr>
              <w:t>.</w:t>
            </w:r>
          </w:p>
          <w:p w14:paraId="404560C8"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Vispārējā galvojuma atļaujā ir norādīta informācija tikai par kopējo summu un par to, kā tika noteikta atsauces summa (brīvā teksta ierāmējums) – datu elements VI/5 (“atsauces summa”). Šī summa atbilst vismaz to summu kopsummai, kas ir specifiskas katrai atļaujai, kura piešķirama vienam un tam pašam uzņēmējam un attiecībā uz kuru šis galvojums ir prasīts, un kas acīmredzami atšķiras no datu elementa 8/7, kas sniedzams attiecībā uz katru </w:t>
            </w:r>
            <w:r w:rsidRPr="005A2D50">
              <w:rPr>
                <w:rFonts w:ascii="Times New Roman" w:hAnsi="Times New Roman"/>
                <w:i/>
                <w:iCs/>
                <w:noProof/>
                <w:sz w:val="24"/>
                <w:lang w:val="en-US"/>
              </w:rPr>
              <w:t xml:space="preserve">SPE </w:t>
            </w:r>
            <w:r w:rsidRPr="005A2D50">
              <w:rPr>
                <w:rFonts w:ascii="Times New Roman" w:hAnsi="Times New Roman"/>
                <w:noProof/>
                <w:sz w:val="24"/>
                <w:lang w:val="en-US"/>
              </w:rPr>
              <w:t xml:space="preserve">vai </w:t>
            </w:r>
            <w:r w:rsidRPr="005A2D50">
              <w:rPr>
                <w:rFonts w:ascii="Times New Roman" w:hAnsi="Times New Roman"/>
                <w:i/>
                <w:iCs/>
                <w:noProof/>
                <w:sz w:val="24"/>
                <w:lang w:val="en-US"/>
              </w:rPr>
              <w:t xml:space="preserve">TS </w:t>
            </w:r>
            <w:r w:rsidRPr="005A2D50">
              <w:rPr>
                <w:rFonts w:ascii="Times New Roman" w:hAnsi="Times New Roman"/>
                <w:noProof/>
                <w:sz w:val="24"/>
                <w:lang w:val="en-US"/>
              </w:rPr>
              <w:t xml:space="preserve">atļauju. Līdz tiek mainīta </w:t>
            </w:r>
            <w:r w:rsidRPr="005A2D50">
              <w:rPr>
                <w:rFonts w:ascii="Times New Roman" w:hAnsi="Times New Roman"/>
                <w:i/>
                <w:iCs/>
                <w:noProof/>
                <w:sz w:val="24"/>
                <w:lang w:val="en-US"/>
              </w:rPr>
              <w:t xml:space="preserve">CGU </w:t>
            </w:r>
            <w:r w:rsidRPr="005A2D50">
              <w:rPr>
                <w:rFonts w:ascii="Times New Roman" w:hAnsi="Times New Roman"/>
                <w:noProof/>
                <w:sz w:val="24"/>
                <w:lang w:val="en-US"/>
              </w:rPr>
              <w:t>atļauja, lai noteiktu arī atsauces summas katrai procedūrai un katrai dalībvalstij, atsauces summu daļas katrai procedūrai un katrai dalībvalstij var norādīt atsevišķā dokumentā, kas pievienots pieteikumam un lēmumam.</w:t>
            </w:r>
          </w:p>
        </w:tc>
      </w:tr>
    </w:tbl>
    <w:p w14:paraId="20192781"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00D4BC5" w14:textId="77777777" w:rsidR="005A2D50" w:rsidRPr="005A2D50" w:rsidRDefault="005A2D50" w:rsidP="005A2D50">
      <w:pPr>
        <w:jc w:val="both"/>
        <w:rPr>
          <w:rFonts w:ascii="Times New Roman" w:hAnsi="Times New Roman"/>
          <w:b/>
          <w:noProof/>
          <w:sz w:val="24"/>
          <w:u w:val="single" w:color="000000"/>
          <w:lang w:val="en-US"/>
        </w:rPr>
      </w:pPr>
      <w:r w:rsidRPr="005A2D50">
        <w:rPr>
          <w:rFonts w:ascii="Times New Roman" w:hAnsi="Times New Roman"/>
          <w:b/>
          <w:noProof/>
          <w:sz w:val="24"/>
          <w:u w:val="single" w:color="000000"/>
          <w:lang w:val="en-US"/>
        </w:rPr>
        <w:t>SMK DA un SMK ĪA B pielikums, I sadaļa</w:t>
      </w:r>
    </w:p>
    <w:p w14:paraId="1920781F" w14:textId="77777777" w:rsidR="005A2D50" w:rsidRPr="005A2D50" w:rsidRDefault="005A2D50" w:rsidP="005A2D50">
      <w:pPr>
        <w:jc w:val="both"/>
        <w:rPr>
          <w:rFonts w:ascii="Times New Roman" w:eastAsia="Times New Roman" w:hAnsi="Times New Roman" w:cs="Times New Roman"/>
          <w:b/>
          <w:bCs/>
          <w:noProof/>
          <w:sz w:val="24"/>
          <w:szCs w:val="24"/>
          <w:lang w:val="en-U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1E0" w:firstRow="1" w:lastRow="1" w:firstColumn="1" w:lastColumn="1" w:noHBand="0" w:noVBand="0"/>
      </w:tblPr>
      <w:tblGrid>
        <w:gridCol w:w="2265"/>
        <w:gridCol w:w="6636"/>
        <w:gridCol w:w="230"/>
      </w:tblGrid>
      <w:tr w:rsidR="005A2D50" w:rsidRPr="005A2D50" w14:paraId="2C015C73" w14:textId="77777777" w:rsidTr="00F14166">
        <w:trPr>
          <w:tblHeader/>
        </w:trPr>
        <w:tc>
          <w:tcPr>
            <w:tcW w:w="1240" w:type="pct"/>
          </w:tcPr>
          <w:p w14:paraId="0DACEF8B"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Datu elementa nosaukums</w:t>
            </w:r>
          </w:p>
        </w:tc>
        <w:tc>
          <w:tcPr>
            <w:tcW w:w="3760" w:type="pct"/>
            <w:gridSpan w:val="2"/>
            <w:tcBorders>
              <w:bottom w:val="single" w:sz="4" w:space="0" w:color="auto"/>
            </w:tcBorders>
          </w:tcPr>
          <w:p w14:paraId="3E6E640F" w14:textId="77777777" w:rsidR="005A2D50" w:rsidRPr="005A2D50" w:rsidRDefault="005A2D50" w:rsidP="00F14166">
            <w:pPr>
              <w:pStyle w:val="TableParagraph"/>
              <w:jc w:val="center"/>
              <w:rPr>
                <w:rFonts w:ascii="Times New Roman" w:hAnsi="Times New Roman"/>
                <w:b/>
                <w:noProof/>
                <w:sz w:val="24"/>
                <w:lang w:val="en-US"/>
              </w:rPr>
            </w:pPr>
            <w:r w:rsidRPr="005A2D50">
              <w:rPr>
                <w:rFonts w:ascii="Times New Roman" w:hAnsi="Times New Roman"/>
                <w:b/>
                <w:noProof/>
                <w:sz w:val="24"/>
                <w:lang w:val="en-US"/>
              </w:rPr>
              <w:t>Piezīmes</w:t>
            </w:r>
          </w:p>
        </w:tc>
      </w:tr>
      <w:tr w:rsidR="005A2D50" w:rsidRPr="005A2D50" w14:paraId="0B1B3CE9" w14:textId="77777777" w:rsidTr="00F14166">
        <w:tc>
          <w:tcPr>
            <w:tcW w:w="1240" w:type="pct"/>
            <w:tcBorders>
              <w:right w:val="single" w:sz="4" w:space="0" w:color="auto"/>
            </w:tcBorders>
          </w:tcPr>
          <w:p w14:paraId="4B44769A" w14:textId="77777777" w:rsidR="005A2D50" w:rsidRPr="005A2D50" w:rsidRDefault="005A2D50" w:rsidP="00F14166">
            <w:pPr>
              <w:pStyle w:val="TableParagraph"/>
              <w:rPr>
                <w:rFonts w:ascii="Times New Roman" w:hAnsi="Times New Roman"/>
                <w:noProof/>
                <w:sz w:val="24"/>
                <w:lang w:val="en-US"/>
              </w:rPr>
            </w:pPr>
            <w:r w:rsidRPr="005A2D50">
              <w:rPr>
                <w:rFonts w:ascii="Times New Roman" w:hAnsi="Times New Roman"/>
                <w:noProof/>
                <w:sz w:val="24"/>
                <w:lang w:val="en-US"/>
              </w:rPr>
              <w:t>DE 99 02 000 000 – Galvojuma veids</w:t>
            </w:r>
          </w:p>
        </w:tc>
        <w:tc>
          <w:tcPr>
            <w:tcW w:w="3634" w:type="pct"/>
            <w:tcBorders>
              <w:top w:val="single" w:sz="4" w:space="0" w:color="auto"/>
              <w:left w:val="single" w:sz="4" w:space="0" w:color="auto"/>
              <w:bottom w:val="single" w:sz="4" w:space="0" w:color="auto"/>
              <w:right w:val="nil"/>
            </w:tcBorders>
          </w:tcPr>
          <w:p w14:paraId="1C86CF1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elements ir nepieciešams muitas deklarācijām.</w:t>
            </w:r>
          </w:p>
          <w:p w14:paraId="7AC329FF" w14:textId="77777777" w:rsidR="005A2D50" w:rsidRPr="005A2D50" w:rsidRDefault="005A2D50" w:rsidP="00F14166">
            <w:pPr>
              <w:pStyle w:val="TableParagraph"/>
              <w:ind w:left="351"/>
              <w:jc w:val="both"/>
              <w:rPr>
                <w:rFonts w:ascii="Times New Roman" w:hAnsi="Times New Roman"/>
                <w:noProof/>
                <w:sz w:val="24"/>
                <w:lang w:val="en-US"/>
              </w:rPr>
            </w:pPr>
            <w:r w:rsidRPr="005A2D50">
              <w:rPr>
                <w:rFonts w:ascii="Times New Roman" w:hAnsi="Times New Roman"/>
                <w:noProof/>
                <w:sz w:val="24"/>
                <w:lang w:val="en-US"/>
              </w:rPr>
              <w:t>“Izmantojot attiecīgos Savienības kodus, norādiet operācijai izmantotā galvojuma veidu.”</w:t>
            </w:r>
          </w:p>
          <w:p w14:paraId="2C2F25E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Tā formāts ir viena burtciparu rakstzīme.</w:t>
            </w:r>
          </w:p>
          <w:p w14:paraId="27CD0786"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7FA670E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kodi</w:t>
            </w:r>
          </w:p>
          <w:p w14:paraId="2F4623DD" w14:textId="77777777" w:rsidR="005A2D50" w:rsidRPr="005A2D50" w:rsidRDefault="005A2D50" w:rsidP="00F14166">
            <w:pPr>
              <w:pStyle w:val="TableParagraph"/>
              <w:tabs>
                <w:tab w:val="left" w:pos="7450"/>
              </w:tabs>
              <w:jc w:val="both"/>
              <w:rPr>
                <w:rFonts w:ascii="Times New Roman" w:hAnsi="Times New Roman"/>
                <w:noProof/>
                <w:sz w:val="24"/>
                <w:lang w:val="en-US"/>
              </w:rPr>
            </w:pPr>
            <w:r w:rsidRPr="005A2D50">
              <w:rPr>
                <w:rFonts w:ascii="Times New Roman" w:hAnsi="Times New Roman"/>
                <w:noProof/>
                <w:sz w:val="24"/>
                <w:lang w:val="en-US"/>
              </w:rPr>
              <w:t>Attiecībā uz atbrīvojumu no galvojuma (Kodeksa 95. panta 2. punkts)</w:t>
            </w:r>
          </w:p>
          <w:p w14:paraId="30DA95F3" w14:textId="77777777" w:rsidR="005A2D50" w:rsidRPr="005A2D50" w:rsidRDefault="005A2D50" w:rsidP="00F14166">
            <w:pPr>
              <w:pStyle w:val="TableParagraph"/>
              <w:tabs>
                <w:tab w:val="left" w:pos="7425"/>
              </w:tabs>
              <w:jc w:val="both"/>
              <w:rPr>
                <w:rFonts w:ascii="Times New Roman" w:hAnsi="Times New Roman"/>
                <w:noProof/>
                <w:sz w:val="24"/>
                <w:lang w:val="en-US"/>
              </w:rPr>
            </w:pPr>
            <w:r w:rsidRPr="005A2D50">
              <w:rPr>
                <w:rFonts w:ascii="Times New Roman" w:hAnsi="Times New Roman"/>
                <w:noProof/>
                <w:sz w:val="24"/>
                <w:lang w:val="en-US"/>
              </w:rPr>
              <w:t>Attiecībā uz vispārējo galvojumu (Kodeksa 89. panta 5. punkts)</w:t>
            </w:r>
          </w:p>
          <w:p w14:paraId="4CB75BC0" w14:textId="77777777" w:rsidR="005A2D50" w:rsidRPr="005A2D50" w:rsidRDefault="005A2D50" w:rsidP="00F14166">
            <w:pPr>
              <w:pStyle w:val="TableParagraph"/>
              <w:tabs>
                <w:tab w:val="left" w:pos="7443"/>
              </w:tabs>
              <w:jc w:val="both"/>
              <w:rPr>
                <w:rFonts w:ascii="Times New Roman" w:hAnsi="Times New Roman"/>
                <w:noProof/>
                <w:sz w:val="24"/>
                <w:lang w:val="en-US"/>
              </w:rPr>
            </w:pPr>
            <w:r w:rsidRPr="005A2D50">
              <w:rPr>
                <w:rFonts w:ascii="Times New Roman" w:hAnsi="Times New Roman"/>
                <w:noProof/>
                <w:sz w:val="24"/>
                <w:lang w:val="en-US"/>
              </w:rPr>
              <w:t>Attiecībā uz vienreizējo galvojumu galvinieka saistību veidā (Kodeksa 92. panta 1. punkta b) apakšpunkts)</w:t>
            </w:r>
          </w:p>
          <w:p w14:paraId="3147B1BD" w14:textId="77777777" w:rsidR="005A2D50" w:rsidRPr="005A2D50" w:rsidRDefault="005A2D50" w:rsidP="00F14166">
            <w:pPr>
              <w:pStyle w:val="TableParagraph"/>
              <w:tabs>
                <w:tab w:val="left" w:pos="7452"/>
              </w:tabs>
              <w:jc w:val="both"/>
              <w:rPr>
                <w:rFonts w:ascii="Times New Roman" w:hAnsi="Times New Roman"/>
                <w:noProof/>
                <w:sz w:val="24"/>
                <w:lang w:val="en-US"/>
              </w:rPr>
            </w:pPr>
            <w:r w:rsidRPr="005A2D50">
              <w:rPr>
                <w:rFonts w:ascii="Times New Roman" w:hAnsi="Times New Roman"/>
                <w:noProof/>
                <w:sz w:val="24"/>
                <w:lang w:val="en-US"/>
              </w:rPr>
              <w:t xml:space="preserve">Attiecībā uz vienreizējo galvojumu skaidras naudas vai cita maksāšanas līdzekļa veidā, ko muitas dienesti atzīst par līdzvērtīgu skaidras naudas iemaksai, kas veikta </w:t>
            </w:r>
            <w:r w:rsidRPr="005A2D50">
              <w:rPr>
                <w:rFonts w:ascii="Times New Roman" w:hAnsi="Times New Roman"/>
                <w:i/>
                <w:iCs/>
                <w:noProof/>
                <w:sz w:val="24"/>
                <w:lang w:val="en-US"/>
              </w:rPr>
              <w:t xml:space="preserve">euro </w:t>
            </w:r>
            <w:r w:rsidRPr="005A2D50">
              <w:rPr>
                <w:rFonts w:ascii="Times New Roman" w:hAnsi="Times New Roman"/>
                <w:noProof/>
                <w:sz w:val="24"/>
                <w:lang w:val="en-US"/>
              </w:rPr>
              <w:t>vai tās dalībvalsts valūtā, kurā tiek pieprasīts galvojums (Kodeksa 92. panta 1. punkta a) apakšpunkts)</w:t>
            </w:r>
          </w:p>
          <w:p w14:paraId="267A6319" w14:textId="77777777" w:rsidR="005A2D50" w:rsidRPr="005A2D50" w:rsidRDefault="005A2D50" w:rsidP="00F14166">
            <w:pPr>
              <w:pStyle w:val="TableParagraph"/>
              <w:tabs>
                <w:tab w:val="left" w:pos="7452"/>
              </w:tabs>
              <w:jc w:val="both"/>
              <w:rPr>
                <w:rFonts w:ascii="Times New Roman" w:hAnsi="Times New Roman"/>
                <w:noProof/>
                <w:sz w:val="24"/>
                <w:lang w:val="en-US"/>
              </w:rPr>
            </w:pPr>
            <w:r w:rsidRPr="005A2D50">
              <w:rPr>
                <w:rFonts w:ascii="Times New Roman" w:hAnsi="Times New Roman"/>
                <w:noProof/>
                <w:sz w:val="24"/>
                <w:lang w:val="en-US"/>
              </w:rPr>
              <w:t>Attiecībā uz vienreizējo galvojumu ar kvītīm (Kodeksa 92. panta 1. punkta b) apakšpunkts un 160. pants)</w:t>
            </w:r>
          </w:p>
          <w:p w14:paraId="40387BD7" w14:textId="77777777" w:rsidR="005A2D50" w:rsidRPr="005A2D50" w:rsidRDefault="005A2D50" w:rsidP="00F14166">
            <w:pPr>
              <w:pStyle w:val="TableParagraph"/>
              <w:tabs>
                <w:tab w:val="left" w:pos="7452"/>
              </w:tabs>
              <w:jc w:val="both"/>
              <w:rPr>
                <w:rFonts w:ascii="Times New Roman" w:hAnsi="Times New Roman"/>
                <w:noProof/>
                <w:sz w:val="24"/>
                <w:lang w:val="en-US"/>
              </w:rPr>
            </w:pPr>
            <w:r w:rsidRPr="005A2D50">
              <w:rPr>
                <w:rFonts w:ascii="Times New Roman" w:hAnsi="Times New Roman"/>
                <w:noProof/>
                <w:sz w:val="24"/>
                <w:lang w:val="en-US"/>
              </w:rPr>
              <w:t>Attiecībā uz atbrīvojumu no galvojuma, ja nodrošināmā ievedmuitas vai izvedmuitas nodokļa summa nepārsniedz statistikas vērtības slieksni deklarācijām, kas noteikts saskaņā ar Eiropas Parlamenta un Padomes Regulas (EK) Nr. 471/2009 (*) 3. panta 4. punktu (Kodeksa 89. panta 9. punkts)</w:t>
            </w:r>
          </w:p>
          <w:p w14:paraId="51F3C511" w14:textId="77777777" w:rsidR="005A2D50" w:rsidRPr="005A2D50" w:rsidRDefault="005A2D50" w:rsidP="00F14166">
            <w:pPr>
              <w:pStyle w:val="TableParagraph"/>
              <w:tabs>
                <w:tab w:val="left" w:pos="7402"/>
              </w:tabs>
              <w:jc w:val="both"/>
              <w:rPr>
                <w:rFonts w:ascii="Times New Roman" w:hAnsi="Times New Roman"/>
                <w:noProof/>
                <w:sz w:val="24"/>
                <w:lang w:val="en-US"/>
              </w:rPr>
            </w:pPr>
            <w:r w:rsidRPr="005A2D50">
              <w:rPr>
                <w:rFonts w:ascii="Times New Roman" w:hAnsi="Times New Roman"/>
                <w:noProof/>
                <w:sz w:val="24"/>
                <w:lang w:val="en-US"/>
              </w:rPr>
              <w:t>Attiecībā uz individuālo galvojumu citā veidā, kas sniedz līdzvērtīgu garantiju, ka muitas parādam un citiem maksājumiem atbilstīgā ievedmuitas vai izvedmuitas nodokļa summa tiks samaksāta (Kodeksa 92. panta 1. punkta c) apakšpunkts)</w:t>
            </w:r>
          </w:p>
          <w:p w14:paraId="0FDBEE7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Attiecībā uz galvojumu, ko neprasa noteiktām valsts iestādēm (Kodeksa 89. panta 7. punkts)</w:t>
            </w:r>
          </w:p>
          <w:p w14:paraId="035874DF"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Attiecībā uz galvojumu, ko sniedz par precēm, kuras nosūtītas saskaņā ar </w:t>
            </w:r>
            <w:r w:rsidRPr="005A2D50">
              <w:rPr>
                <w:rFonts w:ascii="Times New Roman" w:hAnsi="Times New Roman"/>
                <w:i/>
                <w:iCs/>
                <w:noProof/>
                <w:sz w:val="24"/>
                <w:lang w:val="en-US"/>
              </w:rPr>
              <w:t xml:space="preserve">TIR </w:t>
            </w:r>
            <w:r w:rsidRPr="005A2D50">
              <w:rPr>
                <w:rFonts w:ascii="Times New Roman" w:hAnsi="Times New Roman"/>
                <w:noProof/>
                <w:sz w:val="24"/>
                <w:lang w:val="en-US"/>
              </w:rPr>
              <w:t>procedūru</w:t>
            </w:r>
          </w:p>
          <w:p w14:paraId="73884B7A" w14:textId="77777777" w:rsidR="005A2D50" w:rsidRPr="005A2D50" w:rsidRDefault="005A2D50" w:rsidP="00F14166">
            <w:pPr>
              <w:pStyle w:val="TableParagraph"/>
              <w:tabs>
                <w:tab w:val="left" w:pos="7409"/>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kuras pārvadā pa Reinu, Reinas ūdensceļiem, Donavu vai Donavas ūdensceļiem (Kodeksa 89. panta 8. punkta a) apakšpunkts)</w:t>
            </w:r>
          </w:p>
          <w:p w14:paraId="4EC47790" w14:textId="77777777" w:rsidR="005A2D50" w:rsidRPr="005A2D50" w:rsidRDefault="005A2D50" w:rsidP="00F14166">
            <w:pPr>
              <w:pStyle w:val="TableParagraph"/>
              <w:tabs>
                <w:tab w:val="left" w:pos="7406"/>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kuras tiek pārvietotas ar stacionārām transporta iekārtām (Kodeksa 89. panta 8. punkta b) apakšpunkts)</w:t>
            </w:r>
          </w:p>
          <w:p w14:paraId="622BAD0C"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kurām piemēro pagaidu ievešanas procedūru saskaņā ar Deleģētās regulas (ES) 2015/2446 81. panta a) apakšpunktu (Kodeksa 89. panta 8. punkta c) apakšpunkts)</w:t>
            </w:r>
          </w:p>
          <w:p w14:paraId="409A881D"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kurām piemēro pagaidu ievešanas procedūru saskaņā ar Deleģētās regulas (ES) 2015/2446 81. panta b) apakšpunktu (Kodeksa 89. panta 8. punkta c) apakšpunkts)</w:t>
            </w:r>
          </w:p>
          <w:p w14:paraId="0364A9D0" w14:textId="77777777" w:rsidR="005A2D50" w:rsidRPr="005A2D50" w:rsidRDefault="005A2D50" w:rsidP="00F14166">
            <w:pPr>
              <w:pStyle w:val="TableParagraph"/>
              <w:tabs>
                <w:tab w:val="left" w:pos="7402"/>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kurām piemēro pagaidu ievešanas procedūru saskaņā ar Deleģētās regulas (ES) 2015/2446 81. panta c) apakšpunktu (Kodeksa 89. panta 8. punkta c) apakšpunkts)</w:t>
            </w:r>
          </w:p>
          <w:p w14:paraId="47D34BE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kurām piemēro pagaidu ievešanas procedūru saskaņā ar Deleģētās regulas (ES) 2015/2446 81. panta d) apakšpunktu (Kodeksa 89. panta 8. punkta c) apakšpunkts)</w:t>
            </w:r>
          </w:p>
          <w:p w14:paraId="1013D7BB" w14:textId="77777777" w:rsidR="005A2D50" w:rsidRPr="005A2D50" w:rsidRDefault="005A2D50" w:rsidP="00F14166">
            <w:pPr>
              <w:pStyle w:val="TableParagraph"/>
              <w:tabs>
                <w:tab w:val="left" w:pos="6362"/>
              </w:tabs>
              <w:jc w:val="both"/>
              <w:rPr>
                <w:rFonts w:ascii="Times New Roman" w:hAnsi="Times New Roman"/>
                <w:noProof/>
                <w:sz w:val="24"/>
                <w:lang w:val="en-US"/>
              </w:rPr>
            </w:pPr>
            <w:r w:rsidRPr="005A2D50">
              <w:rPr>
                <w:rFonts w:ascii="Times New Roman" w:hAnsi="Times New Roman"/>
                <w:noProof/>
                <w:sz w:val="24"/>
                <w:lang w:val="en-US"/>
              </w:rPr>
              <w:t>Attiecībā uz galvojumu, ko neprasa par precēm, kurām piemēro Savienības tranzīta procedūru saskaņā ar Kodeksa 89. panta 8. punkta d) apakšpunktu</w:t>
            </w:r>
          </w:p>
          <w:p w14:paraId="6447C93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 Eiropas Parlamenta un Padomes 2009. gada 6. maija Regula (EK) Nr. 471/2009 par Kopienas statistiku attiecībā uz ārējo tirdzniecību ar ārpuskopienas valstīm un par Padomes Regulas (EK) Nr. 1172/95 atcelšanu (OV L 152, 16.06.2009., 23. lpp.).</w:t>
            </w:r>
          </w:p>
          <w:p w14:paraId="31004516"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7267369B" w14:textId="77777777" w:rsidR="005A2D50" w:rsidRPr="005A2D50" w:rsidRDefault="005A2D50" w:rsidP="00F14166">
            <w:pPr>
              <w:pStyle w:val="TableParagraph"/>
              <w:jc w:val="both"/>
              <w:rPr>
                <w:rFonts w:ascii="Times New Roman" w:hAnsi="Times New Roman"/>
                <w:i/>
                <w:noProof/>
                <w:sz w:val="24"/>
                <w:lang w:val="en-US"/>
              </w:rPr>
            </w:pPr>
            <w:r w:rsidRPr="005A2D50">
              <w:rPr>
                <w:rFonts w:ascii="Times New Roman" w:hAnsi="Times New Roman"/>
                <w:i/>
                <w:noProof/>
                <w:sz w:val="24"/>
                <w:lang w:val="en-US"/>
              </w:rPr>
              <w:t>Koda “0” nozīme (atbrīvojums no galvojuma) šajā kontekstā – lai gan tas ir tikai vēl viens vispārējā galvojuma “apmērs” (kods “1”) un pat ja visi pārējie apmēri (30 %, 50 % un 100 %) nav atšķirami, šo kodu izmanto, lai atbilstoši pārraudzītu galvojumus, kas ir derīgi vairāk nekā vienā.</w:t>
            </w:r>
          </w:p>
          <w:p w14:paraId="7CA6BB6F" w14:textId="77777777" w:rsidR="005A2D50" w:rsidRPr="005A2D50" w:rsidRDefault="005A2D50" w:rsidP="00F14166">
            <w:pPr>
              <w:pStyle w:val="TableParagraph"/>
              <w:jc w:val="both"/>
              <w:rPr>
                <w:rFonts w:ascii="Times New Roman" w:hAnsi="Times New Roman"/>
                <w:i/>
                <w:noProof/>
                <w:sz w:val="24"/>
                <w:lang w:val="en-US"/>
              </w:rPr>
            </w:pPr>
            <w:r w:rsidRPr="005A2D50">
              <w:rPr>
                <w:rFonts w:ascii="Times New Roman" w:hAnsi="Times New Roman"/>
                <w:i/>
                <w:noProof/>
                <w:sz w:val="24"/>
                <w:lang w:val="en-US"/>
              </w:rPr>
              <w:t>Tas liecina, ka tad, ja galvojumam jābūt derīgam vairāk nekā vienā dalībvalstī, nav nepieciešams identificēt korespondentbanku citās dalībvalstīs (atbrīvojuma gadījumā galvinieka adrese netiek norādīta). Tomēr atsauces summa, kas noteikta šiem vispārējiem galvojumiem, ir jāpārrauga muitas dienestam saskaņā ar SMK ĪA 157. pantu.</w:t>
            </w:r>
          </w:p>
        </w:tc>
        <w:tc>
          <w:tcPr>
            <w:tcW w:w="126" w:type="pct"/>
            <w:tcBorders>
              <w:top w:val="single" w:sz="4" w:space="0" w:color="auto"/>
              <w:left w:val="nil"/>
              <w:bottom w:val="single" w:sz="4" w:space="0" w:color="auto"/>
              <w:right w:val="single" w:sz="4" w:space="0" w:color="auto"/>
            </w:tcBorders>
          </w:tcPr>
          <w:p w14:paraId="23719D84"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58B4A519"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252E8940"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5541593"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5CC5A29"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BAB7B63"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4CA94A0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0</w:t>
            </w:r>
          </w:p>
          <w:p w14:paraId="158A9A5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w:t>
            </w:r>
          </w:p>
          <w:p w14:paraId="014F7EE8"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61C43D7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2</w:t>
            </w:r>
          </w:p>
          <w:p w14:paraId="40768DAB"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1F25A819"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2AE8BCC"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7D35B3D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3</w:t>
            </w:r>
          </w:p>
          <w:p w14:paraId="10427D02"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61C27E0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w:t>
            </w:r>
          </w:p>
          <w:p w14:paraId="7D69DD9B"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6167884E"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5BE5020F"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7B8CDE9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w:t>
            </w:r>
          </w:p>
          <w:p w14:paraId="66449C06"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7122898A"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55035A8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I</w:t>
            </w:r>
          </w:p>
          <w:p w14:paraId="7CB506B8"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47CFAF96"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58FF95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B</w:t>
            </w:r>
          </w:p>
          <w:p w14:paraId="7F5C5A82"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15093560"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1D515900"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R</w:t>
            </w:r>
          </w:p>
          <w:p w14:paraId="54D02685"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5062AE22"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C</w:t>
            </w:r>
          </w:p>
          <w:p w14:paraId="74BF24D1"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63F4574A"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2FC5AB58"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D</w:t>
            </w:r>
          </w:p>
          <w:p w14:paraId="4D4B134E"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543063FD"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5F78B3C7"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E</w:t>
            </w:r>
          </w:p>
          <w:p w14:paraId="3495D573"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732A75CA"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3EF5BE7E"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F</w:t>
            </w:r>
          </w:p>
          <w:p w14:paraId="7499C834"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4AA26A53"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53D5E0AC"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G</w:t>
            </w:r>
          </w:p>
          <w:p w14:paraId="4F18FD40"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p w14:paraId="0CB86721" w14:textId="77777777" w:rsidR="005A2D50" w:rsidRPr="005A2D50" w:rsidRDefault="005A2D50" w:rsidP="00F14166">
            <w:pPr>
              <w:pStyle w:val="TableParagraph"/>
              <w:tabs>
                <w:tab w:val="left" w:pos="7342"/>
              </w:tabs>
              <w:jc w:val="both"/>
              <w:rPr>
                <w:rFonts w:ascii="Times New Roman" w:hAnsi="Times New Roman"/>
                <w:noProof/>
                <w:sz w:val="24"/>
                <w:lang w:val="en-US"/>
              </w:rPr>
            </w:pPr>
            <w:r w:rsidRPr="005A2D50">
              <w:rPr>
                <w:rFonts w:ascii="Times New Roman" w:hAnsi="Times New Roman"/>
                <w:noProof/>
                <w:sz w:val="24"/>
                <w:lang w:val="en-US"/>
              </w:rPr>
              <w:t>H</w:t>
            </w:r>
          </w:p>
          <w:p w14:paraId="19591F87" w14:textId="77777777" w:rsidR="005A2D50" w:rsidRPr="005A2D50" w:rsidRDefault="005A2D50" w:rsidP="00F14166">
            <w:pPr>
              <w:pStyle w:val="TableParagraph"/>
              <w:tabs>
                <w:tab w:val="left" w:pos="7342"/>
              </w:tabs>
              <w:jc w:val="both"/>
              <w:rPr>
                <w:rFonts w:ascii="Times New Roman" w:eastAsia="Times New Roman" w:hAnsi="Times New Roman" w:cs="Times New Roman"/>
                <w:noProof/>
                <w:sz w:val="24"/>
                <w:szCs w:val="24"/>
                <w:lang w:val="en-US"/>
              </w:rPr>
            </w:pPr>
          </w:p>
        </w:tc>
      </w:tr>
      <w:tr w:rsidR="005A2D50" w:rsidRPr="005A2D50" w14:paraId="4DDBFDC9" w14:textId="77777777" w:rsidTr="00F14166">
        <w:tc>
          <w:tcPr>
            <w:tcW w:w="1240" w:type="pct"/>
          </w:tcPr>
          <w:p w14:paraId="2EFC795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DE 99 03 000 000 –</w:t>
            </w:r>
          </w:p>
          <w:p w14:paraId="26C77EAF"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4E53BA0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atsauce</w:t>
            </w:r>
          </w:p>
        </w:tc>
        <w:tc>
          <w:tcPr>
            <w:tcW w:w="3760" w:type="pct"/>
            <w:gridSpan w:val="2"/>
            <w:tcBorders>
              <w:top w:val="single" w:sz="4" w:space="0" w:color="auto"/>
            </w:tcBorders>
          </w:tcPr>
          <w:p w14:paraId="7D141F5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elements ir nepieciešams muitas deklarācijām.</w:t>
            </w:r>
          </w:p>
          <w:p w14:paraId="080432EB" w14:textId="77777777" w:rsidR="005A2D50" w:rsidRPr="005A2D50" w:rsidRDefault="005A2D50" w:rsidP="00F14166">
            <w:pPr>
              <w:pStyle w:val="TableParagraph"/>
              <w:jc w:val="both"/>
              <w:rPr>
                <w:rFonts w:ascii="Times New Roman" w:hAnsi="Times New Roman" w:cs="Times New Roman"/>
                <w:noProof/>
                <w:sz w:val="24"/>
                <w:szCs w:val="24"/>
                <w:lang w:val="en-US"/>
              </w:rPr>
            </w:pPr>
          </w:p>
          <w:p w14:paraId="242205DD" w14:textId="77777777" w:rsidR="005A2D50" w:rsidRPr="005A2D50" w:rsidRDefault="005A2D50" w:rsidP="00F14166">
            <w:pPr>
              <w:pStyle w:val="TableParagraph"/>
              <w:ind w:left="261"/>
              <w:jc w:val="both"/>
              <w:rPr>
                <w:rFonts w:ascii="Times New Roman" w:hAnsi="Times New Roman"/>
                <w:noProof/>
                <w:sz w:val="24"/>
                <w:lang w:val="en-US"/>
              </w:rPr>
            </w:pPr>
            <w:r w:rsidRPr="005A2D50">
              <w:rPr>
                <w:rFonts w:ascii="Times New Roman" w:hAnsi="Times New Roman"/>
                <w:noProof/>
                <w:sz w:val="24"/>
                <w:lang w:val="en-US"/>
              </w:rPr>
              <w:t>“Norādiet operācijai izmantotā galvojuma atsauces numuru un, ja atbilstīgi, pieejas kodu un galvojuma muitas iestādi.”</w:t>
            </w:r>
          </w:p>
          <w:p w14:paraId="4847B45E"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1DF662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Datu elements ir obligāts, un tas norāda uz operācijai izmantotā galvojuma atsauces numuru un, ja atbilstīgi, pieejas kodu un galvojuma muitas iestādi. SMK ĪA skaidrots, ka šā d. e. kardinalitāte ir “99x”, un tajā jāsniedz šāda informācija:</w:t>
            </w:r>
          </w:p>
          <w:p w14:paraId="725D8348"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p>
          <w:p w14:paraId="08826111" w14:textId="77777777" w:rsidR="005A2D50" w:rsidRPr="005A2D50" w:rsidRDefault="005A2D50" w:rsidP="00F14166">
            <w:pPr>
              <w:pStyle w:val="ListParagraph"/>
              <w:numPr>
                <w:ilvl w:val="0"/>
                <w:numId w:val="13"/>
              </w:numPr>
              <w:tabs>
                <w:tab w:val="left" w:pos="686"/>
              </w:tabs>
              <w:ind w:left="119" w:firstLine="0"/>
              <w:jc w:val="both"/>
              <w:rPr>
                <w:rFonts w:ascii="Times New Roman" w:hAnsi="Times New Roman" w:cs="Times New Roman"/>
                <w:noProof/>
                <w:sz w:val="24"/>
                <w:szCs w:val="24"/>
                <w:lang w:val="en-US"/>
              </w:rPr>
            </w:pPr>
            <w:r w:rsidRPr="005A2D50">
              <w:rPr>
                <w:rFonts w:ascii="Times New Roman" w:hAnsi="Times New Roman"/>
                <w:i/>
                <w:iCs/>
                <w:noProof/>
                <w:sz w:val="24"/>
                <w:lang w:val="en-US"/>
              </w:rPr>
              <w:t xml:space="preserve">GRN </w:t>
            </w:r>
            <w:r w:rsidRPr="005A2D50">
              <w:rPr>
                <w:rFonts w:ascii="Times New Roman" w:hAnsi="Times New Roman"/>
                <w:noProof/>
                <w:sz w:val="24"/>
                <w:lang w:val="en-US"/>
              </w:rPr>
              <w:t>vai citas atsauces uz galvojumu un pieejas kods;</w:t>
            </w:r>
          </w:p>
          <w:p w14:paraId="0CD26F9E" w14:textId="77777777" w:rsidR="005A2D50" w:rsidRPr="005A2D50" w:rsidRDefault="005A2D50" w:rsidP="00F14166">
            <w:pPr>
              <w:pStyle w:val="ListParagraph"/>
              <w:numPr>
                <w:ilvl w:val="0"/>
                <w:numId w:val="13"/>
              </w:numPr>
              <w:tabs>
                <w:tab w:val="left" w:pos="686"/>
              </w:tabs>
              <w:ind w:left="119" w:firstLine="0"/>
              <w:jc w:val="both"/>
              <w:rPr>
                <w:rFonts w:ascii="Times New Roman" w:hAnsi="Times New Roman"/>
                <w:noProof/>
                <w:sz w:val="24"/>
                <w:lang w:val="en-US"/>
              </w:rPr>
            </w:pPr>
            <w:r w:rsidRPr="005A2D50">
              <w:rPr>
                <w:rFonts w:ascii="Times New Roman" w:hAnsi="Times New Roman"/>
                <w:noProof/>
                <w:sz w:val="24"/>
                <w:lang w:val="en-US"/>
              </w:rPr>
              <w:t>valūtas kods un ievedmuitas un izvedmuitas nodokļa summa un tad, ja piemēro Kodeksa 89. panta 2. punkta pirmo daļu, pārējie maksājumi;</w:t>
            </w:r>
          </w:p>
          <w:p w14:paraId="0010BAD9" w14:textId="77777777" w:rsidR="005A2D50" w:rsidRPr="005A2D50" w:rsidRDefault="005A2D50" w:rsidP="00F14166">
            <w:pPr>
              <w:pStyle w:val="ListParagraph"/>
              <w:numPr>
                <w:ilvl w:val="0"/>
                <w:numId w:val="13"/>
              </w:numPr>
              <w:tabs>
                <w:tab w:val="left" w:pos="686"/>
              </w:tabs>
              <w:ind w:left="119" w:firstLine="0"/>
              <w:jc w:val="both"/>
              <w:rPr>
                <w:rFonts w:ascii="Times New Roman" w:hAnsi="Times New Roman"/>
                <w:i/>
                <w:iCs/>
                <w:noProof/>
                <w:sz w:val="24"/>
                <w:lang w:val="en-US"/>
              </w:rPr>
            </w:pPr>
            <w:r w:rsidRPr="005A2D50">
              <w:rPr>
                <w:rFonts w:ascii="Times New Roman" w:hAnsi="Times New Roman"/>
                <w:i/>
                <w:iCs/>
                <w:noProof/>
                <w:sz w:val="24"/>
                <w:lang w:val="en-US"/>
              </w:rPr>
              <w:t>COG.</w:t>
            </w:r>
          </w:p>
          <w:p w14:paraId="1CDCBE06" w14:textId="77777777" w:rsidR="005A2D50" w:rsidRPr="005A2D50" w:rsidRDefault="005A2D50" w:rsidP="00F14166">
            <w:pPr>
              <w:pStyle w:val="ListParagraph"/>
              <w:tabs>
                <w:tab w:val="left" w:pos="463"/>
              </w:tabs>
              <w:jc w:val="both"/>
              <w:rPr>
                <w:rFonts w:ascii="Times New Roman" w:hAnsi="Times New Roman" w:cs="Times New Roman"/>
                <w:noProof/>
                <w:sz w:val="24"/>
                <w:szCs w:val="24"/>
                <w:lang w:val="en-US"/>
              </w:rPr>
            </w:pPr>
          </w:p>
          <w:p w14:paraId="5B729F9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i/>
                <w:iCs/>
                <w:noProof/>
                <w:sz w:val="24"/>
                <w:lang w:val="en-US"/>
              </w:rPr>
              <w:t xml:space="preserve">GRN </w:t>
            </w:r>
            <w:r w:rsidRPr="005A2D50">
              <w:rPr>
                <w:rFonts w:ascii="Times New Roman" w:hAnsi="Times New Roman"/>
                <w:noProof/>
                <w:sz w:val="24"/>
                <w:lang w:val="en-US"/>
              </w:rPr>
              <w:t>ir nepieciešams galvojumiem, kas ir derīgi vairāk nekā vienā dalībvalstī (SMK ĪA 154. pants).</w:t>
            </w:r>
          </w:p>
          <w:p w14:paraId="5760EF78" w14:textId="77777777" w:rsidR="005A2D50" w:rsidRPr="005A2D50" w:rsidRDefault="005A2D50" w:rsidP="00F14166">
            <w:pPr>
              <w:pStyle w:val="TableParagraph"/>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Ja galvojums ir derīgs tikai vienā dalībvalstī, “citas atsauces uz galvojumu” var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vietā izmantot deklarācijā iekļautajam datu elementam 99 03 000 000, kā norādīts šā datu elementa aprakstā, kas sniegts SMK ĪA B pielikumā, atkarībā no attiecīgās dalībvalsts galvojumu pārvaldības sistēmas specifikācijām.</w:t>
            </w:r>
          </w:p>
          <w:p w14:paraId="3CCFAE5A" w14:textId="77777777" w:rsidR="005A2D50" w:rsidRPr="005A2D50" w:rsidRDefault="005A2D50" w:rsidP="00F14166">
            <w:pPr>
              <w:pStyle w:val="TableParagraph"/>
              <w:jc w:val="both"/>
              <w:rPr>
                <w:rFonts w:ascii="Times New Roman" w:hAnsi="Times New Roman" w:cs="Times New Roman"/>
                <w:noProof/>
                <w:sz w:val="24"/>
                <w:szCs w:val="24"/>
                <w:lang w:val="en-US"/>
              </w:rPr>
            </w:pPr>
            <w:r w:rsidRPr="005A2D50">
              <w:rPr>
                <w:rFonts w:ascii="Times New Roman" w:hAnsi="Times New Roman"/>
                <w:noProof/>
                <w:sz w:val="24"/>
                <w:lang w:val="en-US"/>
              </w:rPr>
              <w:t xml:space="preserve">Galvojuma esību un derīgumu </w:t>
            </w:r>
            <w:r w:rsidRPr="005A2D50">
              <w:rPr>
                <w:rFonts w:ascii="Times New Roman" w:hAnsi="Times New Roman"/>
                <w:i/>
                <w:iCs/>
                <w:noProof/>
                <w:sz w:val="24"/>
                <w:lang w:val="en-US"/>
              </w:rPr>
              <w:t xml:space="preserve">CA </w:t>
            </w:r>
            <w:r w:rsidRPr="005A2D50">
              <w:rPr>
                <w:rFonts w:ascii="Times New Roman" w:hAnsi="Times New Roman"/>
                <w:noProof/>
                <w:sz w:val="24"/>
                <w:lang w:val="en-US"/>
              </w:rPr>
              <w:t xml:space="preserve">pārbauda katru reizi, kad uzņēmējs sniedz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 xml:space="preserve">vai citu atsauci uz galvojumu (D. e. 99 03 000 000 B pielikumā), izmantojot muitas deklarāciju (SMK ĪA 154. panta 3. punkts). Attiecībā uz īpašo procedūru (kas nav tranzīts) atsauces summas daļas pārraudzību nodrošina ar regulāru un atbilstošu revīziju. Tātad </w:t>
            </w:r>
            <w:r w:rsidRPr="005A2D50">
              <w:rPr>
                <w:rFonts w:ascii="Times New Roman" w:hAnsi="Times New Roman"/>
                <w:i/>
                <w:iCs/>
                <w:noProof/>
                <w:sz w:val="24"/>
                <w:lang w:val="en-US"/>
              </w:rPr>
              <w:t xml:space="preserve">CA </w:t>
            </w:r>
            <w:r w:rsidRPr="005A2D50">
              <w:rPr>
                <w:rFonts w:ascii="Times New Roman" w:hAnsi="Times New Roman"/>
                <w:noProof/>
                <w:sz w:val="24"/>
                <w:lang w:val="en-US"/>
              </w:rPr>
              <w:t xml:space="preserve">ir tikai jāpārbauda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vai citas atsauces uz galvojumu esība un derīgums.</w:t>
            </w:r>
          </w:p>
          <w:p w14:paraId="066091C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 xml:space="preserve">Attiecībā uz atbrīvojumu no galvojuma saskaņā ar SMK 89. panta 7. un 8. punktu muitas dienesti var sniegt īpašu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(vai citu īpašu atsauci), lai muitas deklarācijā izpildītu šā datu elementa obligāto prasību (t. i., norāde uz kodu 8 vai “C” līdz “G” un “R” attiecībā uz d. e. 99 02 000 000 B pielikumā). SMK ĪA A un B pielikumos noteiktais šā datu elementa formāts ir saistošs. To varētu piemērot arī gadījumos, kad “erga omnes” nodokļa likme ir nulle un prasītā galvojuma atsauces summa ir nulle.</w:t>
            </w:r>
          </w:p>
          <w:p w14:paraId="41C56C6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Pretēji minētajam, ja atbrīvojums no galvojuma tiek piešķirts saskaņā ar SMK 95. panta 2. punktu</w:t>
            </w:r>
            <w:r w:rsidRPr="005A2D50">
              <w:rPr>
                <w:rFonts w:ascii="Times New Roman" w:eastAsia="Times New Roman" w:hAnsi="Times New Roman" w:cs="Times New Roman"/>
                <w:noProof/>
                <w:sz w:val="24"/>
                <w:szCs w:val="24"/>
                <w:vertAlign w:val="superscript"/>
                <w:lang w:val="en-US"/>
              </w:rPr>
              <w:footnoteReference w:id="27"/>
            </w:r>
            <w:r w:rsidRPr="005A2D50">
              <w:rPr>
                <w:rFonts w:ascii="Times New Roman" w:eastAsia="Times New Roman" w:hAnsi="Times New Roman" w:cs="Times New Roman"/>
                <w:noProof/>
                <w:sz w:val="24"/>
                <w:szCs w:val="24"/>
                <w:vertAlign w:val="superscript"/>
                <w:lang w:val="en-US"/>
              </w:rPr>
              <w:t xml:space="preserve"> </w:t>
            </w:r>
            <w:r w:rsidRPr="005A2D50">
              <w:rPr>
                <w:rFonts w:ascii="Times New Roman" w:hAnsi="Times New Roman"/>
                <w:noProof/>
                <w:sz w:val="24"/>
                <w:lang w:val="en-US"/>
              </w:rPr>
              <w:t xml:space="preserve">(atsauces summa &gt; 0), muitas iestādei ir jāizsniedz un jāpaziņo regulārs </w:t>
            </w:r>
            <w:r w:rsidRPr="005A2D50">
              <w:rPr>
                <w:rFonts w:ascii="Times New Roman" w:hAnsi="Times New Roman"/>
                <w:i/>
                <w:iCs/>
                <w:noProof/>
                <w:sz w:val="24"/>
                <w:lang w:val="en-US"/>
              </w:rPr>
              <w:t xml:space="preserve">GRN </w:t>
            </w:r>
            <w:r w:rsidRPr="005A2D50">
              <w:rPr>
                <w:rFonts w:ascii="Times New Roman" w:hAnsi="Times New Roman"/>
                <w:noProof/>
                <w:sz w:val="24"/>
                <w:lang w:val="en-US"/>
              </w:rPr>
              <w:t>numurs (vai cita atsauce), jo atsauces summa ir jāpārrauga (tā ir noteikta, un to nedrīkst pārsniegt). Tas attiecas arī uz galvojuma tipa kodu “5”</w:t>
            </w:r>
            <w:r w:rsidRPr="005A2D50">
              <w:rPr>
                <w:rStyle w:val="FootnoteReference"/>
                <w:rFonts w:ascii="Times New Roman" w:eastAsia="Times New Roman" w:hAnsi="Times New Roman" w:cs="Times New Roman"/>
                <w:noProof/>
                <w:sz w:val="24"/>
                <w:szCs w:val="24"/>
                <w:lang w:val="en-US"/>
              </w:rPr>
              <w:footnoteReference w:id="28"/>
            </w:r>
            <w:r w:rsidRPr="005A2D50">
              <w:rPr>
                <w:rFonts w:ascii="Times New Roman" w:hAnsi="Times New Roman"/>
                <w:noProof/>
                <w:sz w:val="24"/>
                <w:lang w:val="en-US"/>
              </w:rPr>
              <w:t xml:space="preserve"> (d. e. 99 02 000 000 B pielikumā).</w:t>
            </w:r>
          </w:p>
        </w:tc>
      </w:tr>
    </w:tbl>
    <w:p w14:paraId="0BA3F079"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B4D0D60" w14:textId="77777777" w:rsidR="005A2D50" w:rsidRPr="005A2D50" w:rsidRDefault="005A2D50" w:rsidP="005A2D50">
      <w:pPr>
        <w:jc w:val="both"/>
        <w:rPr>
          <w:rFonts w:ascii="Times New Roman" w:hAnsi="Times New Roman"/>
          <w:i/>
          <w:noProof/>
          <w:sz w:val="24"/>
          <w:u w:val="single" w:color="000000"/>
          <w:lang w:val="en-US"/>
        </w:rPr>
      </w:pPr>
      <w:r w:rsidRPr="005A2D50">
        <w:rPr>
          <w:rFonts w:ascii="Times New Roman" w:hAnsi="Times New Roman"/>
          <w:i/>
          <w:noProof/>
          <w:sz w:val="24"/>
          <w:u w:val="single" w:color="000000"/>
          <w:lang w:val="en-US"/>
        </w:rPr>
        <w:t>Pienākums datu elementus 99 02 000 000 un 99 03 000 000 (Galvojuma veids un Galvojuma atsauce) uzrādīt deleģētā akta B pielikumā deklarācijas galvenē procedūrām H1, H3, H4, H6 (attiecīgi laišana brīvā apgrozībā un galapatēriņam, pagaidu ievešana, ievešana pārstrādei, pasta satiksme laišanai brīvā apgrozībā).</w:t>
      </w:r>
    </w:p>
    <w:p w14:paraId="4606F74A"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i/>
          <w:noProof/>
          <w:sz w:val="24"/>
          <w:lang w:val="en-US"/>
        </w:rPr>
        <w:t xml:space="preserve">Tas norādīts SMK DA B pielikumā, piemērojot iepriekš minētās procedūras, datu elementu </w:t>
      </w:r>
      <w:r w:rsidRPr="005A2D50">
        <w:rPr>
          <w:rFonts w:ascii="Times New Roman" w:hAnsi="Times New Roman"/>
          <w:i/>
          <w:noProof/>
          <w:sz w:val="24"/>
          <w:u w:val="single"/>
          <w:lang w:val="en-US"/>
        </w:rPr>
        <w:t xml:space="preserve">99 02 000 000 </w:t>
      </w:r>
      <w:r w:rsidRPr="005A2D50">
        <w:rPr>
          <w:rFonts w:ascii="Times New Roman" w:hAnsi="Times New Roman"/>
          <w:i/>
          <w:noProof/>
          <w:sz w:val="24"/>
          <w:lang w:val="en-US"/>
        </w:rPr>
        <w:t>un 99 03 000 000 atzīmēšana ar burtu “A” norāda, ka deklarācijā, kas iesniegta saistībā ar šīm muitas procedūrām, šie datu elementi ir obligāti.</w:t>
      </w:r>
    </w:p>
    <w:p w14:paraId="14499C71"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Tomēr saskaņā ar B pielikuma 3. ievadpiezīmi ““A”, “B” vai “C” simboli, kas uzskaitīti 2. nodaļas 3. iedaļā, neietekmē to, ka konkrētus datus vāc tikai pamatotos apstākļos”. Piemēram, papildvienības (statuss “A”) tiek vāktas tikai tad, ja to prasa TARIC. Ja galvojumu neprasa saskaņā ar SMK 89. panta 7. punktu un 89. panta 8. punktu, GRN nav jānorāda obligāti – galvojuma veids 8 vai “C” līdz “G” un “R” (d. e. 8/2).</w:t>
      </w:r>
    </w:p>
    <w:p w14:paraId="67034442"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Kā norādīts turpmāk, dažos gadījumos datu elementi 99 02 000 000 un 99 03 000 000 deklarācijās ar H1, H3, H4 un H6 profilu varētu būt lieki (no datu pārbaudes viedokļa). Šo datu iesniegšana un pārbaude varētu radīt slogu gan deklarētājam, gan muitai.</w:t>
      </w:r>
    </w:p>
    <w:p w14:paraId="035E947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Piemēram, ja CA pieņem deklarāciju īpašām procedūrām, deklarēšanas sistēma pārbauda muitas lēmumu pārvaldības sistēmas (CDMS) atļaujas esību un derīgumu. Šajā nolūkā deklarācijā ir norādīts obligātais d. e. 12 12 080 000 (atļaujas turētājs). Turklāt SPE atļauja nevar būt derīga, ja nav sniegts prasītais pamata galvojums. Atļaujas derīgums nozīmē arī to, ka šīs procedūras galvojums ir derīgs. Vēl ir jānovērtē, vai šo datu elementu neesība deklarācijā negatīvi neietekmē atsauces summas pārraudzību. Tomēr šos d. e. ieteicams iekļaut deklarācijā vismaz šādam mērķim.</w:t>
      </w:r>
    </w:p>
    <w:p w14:paraId="5E7134D9"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Datu elements 99 02 000 000 un 99 03 000 000 ir noteikti jānorāda H1, H3 un H4 profilu deklarācijās, ja saskaņā ar SMK DA 163. pantu muitas deklarāciju uzskata par atļaujas pieteikumu ar nosacījumu, ka to papildina ar papildu datu elementiem, kā noteikts A pielikumā.</w:t>
      </w:r>
    </w:p>
    <w:p w14:paraId="38055075"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Tomēr 163. panta 2. punkta d) apakšpunktā noteikts: “Muitas deklarāciju neuzskata par pieteikumu atļaujas saņemšanai šādā gadījumā: d) attiecībā uz pieteikumiem tādu atļauju saņemšanai, kuras skar vairāk nekā vienu dalībvalsti, izņemot pagaidu ievešanas atļaujas.” Ņemot vērā šo punktu, var teikt, ka datu elements 99 02 000 000 un 99 03 000 000 B pielikumā var būt nepieciešams un obligāts tikai tad, ja tiek iesniegta deklarācija pagaidu ievešanai vai ja šī operācija ietver vairāk nekā vienu dalībvalsti.</w:t>
      </w:r>
    </w:p>
    <w:p w14:paraId="3EEC7A5C"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Tomēr saskaņā ar SMK ĪA 154. panta 3. punktu katru reizi, kad GRN iesniedz deklarētājs, CA ir pienākums muitošanas posmā pārbaudīt galvojuma esību un derīgumu.</w:t>
      </w:r>
    </w:p>
    <w:p w14:paraId="111EFDCE"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Dalībvalstis, kurā galvojums ir derīgs, var pieņemt lēmumu atteikties no prasības muitas deklarācijā norādīt šos datu elementus, bet tikai tad, ja galvojums ir derīgs vienā dalībvalstī. Jebkurā gadījumā CA veic galvojuma pārraudzību.</w:t>
      </w:r>
    </w:p>
    <w:p w14:paraId="6CFB8E44" w14:textId="77777777" w:rsidR="005A2D50" w:rsidRPr="005A2D50" w:rsidRDefault="005A2D50" w:rsidP="005A2D50">
      <w:pPr>
        <w:pStyle w:val="BodyText"/>
        <w:rPr>
          <w:lang w:val="en-US"/>
        </w:rPr>
      </w:pPr>
      <w:r w:rsidRPr="005A2D50">
        <w:rPr>
          <w:lang w:val="en-US"/>
        </w:rPr>
        <w:t xml:space="preserve">D. e. 8/6, 8/7 (A pielikums) un 99 02 000 000, 99 03 000 000 (B pielikums) dara pieejamus tikai tad, ja prasīto galvojumu sniedz un muita to pieņem. Šī informācija ir jāuzglabā un ar to jāapmainās </w:t>
      </w:r>
      <w:r w:rsidRPr="005A2D50">
        <w:rPr>
          <w:i/>
          <w:iCs/>
          <w:lang w:val="en-US"/>
        </w:rPr>
        <w:t xml:space="preserve">GUM </w:t>
      </w:r>
      <w:r w:rsidRPr="005A2D50">
        <w:rPr>
          <w:lang w:val="en-US"/>
        </w:rPr>
        <w:t>ar citām attiecīgajām IT lietotnēm (</w:t>
      </w:r>
      <w:r w:rsidRPr="005A2D50">
        <w:rPr>
          <w:i/>
          <w:iCs/>
          <w:lang w:val="en-US"/>
        </w:rPr>
        <w:t xml:space="preserve">CDS </w:t>
      </w:r>
      <w:r w:rsidRPr="005A2D50">
        <w:rPr>
          <w:lang w:val="en-US"/>
        </w:rPr>
        <w:t xml:space="preserve">atļaujām, kam nepieciešams galvojums, un Muitas deklarāciju sistēmām). Līdz </w:t>
      </w:r>
      <w:r w:rsidRPr="005A2D50">
        <w:rPr>
          <w:i/>
          <w:iCs/>
          <w:lang w:val="en-US"/>
        </w:rPr>
        <w:t xml:space="preserve">GUM </w:t>
      </w:r>
      <w:r w:rsidRPr="005A2D50">
        <w:rPr>
          <w:lang w:val="en-US"/>
        </w:rPr>
        <w:t xml:space="preserve">ieviešanai muitas dienesti var izmantot brīvo tekstlodziņu (lauku) d. e. VI/5 (“atsauces summa”), kas iekļauts SMK DA A pielikuma VI sadaļā, lai norādītu, kā tika noteikta atsauces summa, atsauces summas dažādās daļas un atbilstīgie </w:t>
      </w:r>
      <w:r w:rsidRPr="005A2D50">
        <w:rPr>
          <w:i/>
          <w:iCs/>
          <w:lang w:val="en-US"/>
        </w:rPr>
        <w:t>GRN</w:t>
      </w:r>
      <w:r w:rsidRPr="005A2D50">
        <w:rPr>
          <w:lang w:val="en-US"/>
        </w:rPr>
        <w:t>.</w:t>
      </w:r>
    </w:p>
    <w:p w14:paraId="098DBD05" w14:textId="77777777" w:rsidR="005A2D50" w:rsidRPr="005A2D50" w:rsidRDefault="005A2D50" w:rsidP="005A2D50">
      <w:pPr>
        <w:pStyle w:val="BodyText"/>
        <w:rPr>
          <w:lang w:val="en-US"/>
        </w:rPr>
      </w:pPr>
      <w:r w:rsidRPr="005A2D50">
        <w:rPr>
          <w:lang w:val="en-US"/>
        </w:rPr>
        <w:t xml:space="preserve">Ja dalībvalstīm nav IT lietotnes galvojumu pārvaldībai, var atļaut izmantot procedūru papīra formātā. Tas var būt līdzīgi kā darbības nepārtrauktības procedūrai, ko galvojumu pārvaldībai izmanto tranzīta gadījumos. Šajā nolūkā dokumenti, ko </w:t>
      </w:r>
      <w:r w:rsidRPr="005A2D50">
        <w:rPr>
          <w:i/>
          <w:iCs/>
          <w:lang w:val="en-US"/>
        </w:rPr>
        <w:t xml:space="preserve">CA </w:t>
      </w:r>
      <w:r w:rsidRPr="005A2D50">
        <w:rPr>
          <w:lang w:val="en-US"/>
        </w:rPr>
        <w:t>izsniedz uzņēmējam, var būt SMK ĪA 72-04. pielikuma VI un VII nodaļā norādītajā formā.</w:t>
      </w:r>
    </w:p>
    <w:p w14:paraId="1D99151A" w14:textId="77777777" w:rsidR="005A2D50" w:rsidRPr="005A2D50" w:rsidRDefault="005A2D50" w:rsidP="005A2D50">
      <w:pPr>
        <w:pStyle w:val="BodyText"/>
        <w:rPr>
          <w:lang w:val="en-US"/>
        </w:rPr>
      </w:pPr>
    </w:p>
    <w:p w14:paraId="14CB4756" w14:textId="77777777" w:rsidR="005A2D50" w:rsidRPr="005A2D50" w:rsidRDefault="005A2D50" w:rsidP="005A2D50">
      <w:pPr>
        <w:pStyle w:val="Heading1"/>
        <w:rPr>
          <w:noProof/>
          <w:lang w:val="en-US"/>
        </w:rPr>
      </w:pPr>
      <w:bookmarkStart w:id="170" w:name="VI.3._Consultation_procedure"/>
      <w:bookmarkStart w:id="171" w:name="_bookmark46"/>
      <w:bookmarkStart w:id="172" w:name="_Toc104982804"/>
      <w:bookmarkEnd w:id="170"/>
      <w:bookmarkEnd w:id="171"/>
      <w:r w:rsidRPr="005A2D50">
        <w:rPr>
          <w:noProof/>
          <w:lang w:val="en-US"/>
        </w:rPr>
        <w:t>VI.3. Apspriešanās procedūra</w:t>
      </w:r>
      <w:bookmarkEnd w:id="172"/>
    </w:p>
    <w:p w14:paraId="557C6D4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1784D9A" w14:textId="77777777" w:rsidR="005A2D50" w:rsidRPr="005A2D50" w:rsidRDefault="005A2D50" w:rsidP="005A2D50">
      <w:pPr>
        <w:pStyle w:val="BodyText"/>
        <w:rPr>
          <w:lang w:val="en-US"/>
        </w:rPr>
      </w:pPr>
      <w:r w:rsidRPr="005A2D50">
        <w:rPr>
          <w:lang w:val="en-US"/>
        </w:rPr>
        <w:t xml:space="preserve">Informācija, ar kuru dalībvalstis apmainās apspriedēs par </w:t>
      </w:r>
      <w:r w:rsidRPr="005A2D50">
        <w:rPr>
          <w:i/>
          <w:iCs/>
          <w:lang w:val="en-US"/>
        </w:rPr>
        <w:t xml:space="preserve">CGU </w:t>
      </w:r>
      <w:r w:rsidRPr="005A2D50">
        <w:rPr>
          <w:lang w:val="en-US"/>
        </w:rPr>
        <w:t xml:space="preserve">atļaujas piešķiršanu, ir daļa no lēmumu pieņemšanas procesa. Pašlaik </w:t>
      </w:r>
      <w:r w:rsidRPr="005A2D50">
        <w:rPr>
          <w:i/>
          <w:iCs/>
          <w:lang w:val="en-US"/>
        </w:rPr>
        <w:t xml:space="preserve">CDS </w:t>
      </w:r>
      <w:r w:rsidRPr="005A2D50">
        <w:rPr>
          <w:lang w:val="en-US"/>
        </w:rPr>
        <w:t xml:space="preserve">nodrošina informācijas apmaiņu un glabāšanu attiecībā uz apspriedēm, kurām jānotiek saskaņā ar Īstenošanas regulas (ES) 2015/2447 14. pantu, tostarp apspriedēm par </w:t>
      </w:r>
      <w:r w:rsidRPr="005A2D50">
        <w:rPr>
          <w:i/>
          <w:iCs/>
          <w:lang w:val="en-US"/>
        </w:rPr>
        <w:t xml:space="preserve">CGU </w:t>
      </w:r>
      <w:r w:rsidRPr="005A2D50">
        <w:rPr>
          <w:lang w:val="en-US"/>
        </w:rPr>
        <w:t>atļaujas piešķiršanu.</w:t>
      </w:r>
    </w:p>
    <w:p w14:paraId="1F45D182" w14:textId="77777777" w:rsidR="005A2D50" w:rsidRPr="005A2D50" w:rsidRDefault="005A2D50" w:rsidP="005A2D50">
      <w:pPr>
        <w:pStyle w:val="BodyText"/>
        <w:rPr>
          <w:lang w:val="en-US"/>
        </w:rPr>
      </w:pPr>
      <w:r w:rsidRPr="005A2D50">
        <w:rPr>
          <w:lang w:val="en-US"/>
        </w:rPr>
        <w:t xml:space="preserve">Uzņēmējam savā pieteikumā </w:t>
      </w:r>
      <w:r w:rsidRPr="005A2D50">
        <w:rPr>
          <w:i/>
          <w:iCs/>
          <w:lang w:val="en-US"/>
        </w:rPr>
        <w:t xml:space="preserve">CGU </w:t>
      </w:r>
      <w:r w:rsidRPr="005A2D50">
        <w:rPr>
          <w:lang w:val="en-US"/>
        </w:rPr>
        <w:t>atļaujas saņemšanai jānorāda, kurās dalībvalstīs un kādā procedūrā plānots izmantot galvojumu, kā arī jānorāda atsauces summa, kas nosakāma saskaņā ar SMK ĪA 155. pantu, lai būtu derīga katrā dalībvalstī.</w:t>
      </w:r>
    </w:p>
    <w:p w14:paraId="5483236B" w14:textId="77777777" w:rsidR="005A2D50" w:rsidRPr="005A2D50" w:rsidRDefault="005A2D50" w:rsidP="005A2D50">
      <w:pPr>
        <w:pStyle w:val="BodyText"/>
        <w:rPr>
          <w:lang w:val="en-US"/>
        </w:rPr>
      </w:pPr>
      <w:r w:rsidRPr="005A2D50">
        <w:rPr>
          <w:lang w:val="en-US"/>
        </w:rPr>
        <w:t xml:space="preserve">Pamatojoties uz šo informāciju, kompetentā iestāde sāk apspriešanās procedūru ar attiecīgo dalībvalstu kontaktpunktiem, lai vienotos par savstarpēji saskaņotu un, ja atbilstīgi, pieņemamu atsauces summas sadalījumu. Saraksts ar muitas dienestu kontaktpunktiem, kas ir atbildīgi par Komisijas 2015. gada 17. decembra Deleģētās regulas (ES) 2016/341 3. panta 2. punktā minēto informācijas apmaiņu, ir pieejams </w:t>
      </w:r>
      <w:r w:rsidRPr="005A2D50">
        <w:rPr>
          <w:i/>
          <w:iCs/>
          <w:lang w:val="en-US"/>
        </w:rPr>
        <w:t xml:space="preserve">EUROPA </w:t>
      </w:r>
      <w:r w:rsidRPr="005A2D50">
        <w:rPr>
          <w:lang w:val="en-US"/>
        </w:rPr>
        <w:t>tīmekļa vietnē.</w:t>
      </w:r>
      <w:r w:rsidRPr="005A2D50">
        <w:rPr>
          <w:rStyle w:val="FootnoteReference"/>
          <w:lang w:val="en-US"/>
        </w:rPr>
        <w:footnoteReference w:id="29"/>
      </w:r>
    </w:p>
    <w:p w14:paraId="45F2ACBE" w14:textId="77777777" w:rsidR="005A2D50" w:rsidRPr="005A2D50" w:rsidRDefault="005A2D50" w:rsidP="005A2D50">
      <w:pPr>
        <w:pStyle w:val="BodyText"/>
        <w:rPr>
          <w:lang w:val="en-US"/>
        </w:rPr>
      </w:pPr>
      <w:r w:rsidRPr="005A2D50">
        <w:rPr>
          <w:lang w:val="en-US"/>
        </w:rPr>
        <w:t>Praksē var rasties turpmāk minētās situācijas.</w:t>
      </w:r>
    </w:p>
    <w:p w14:paraId="09D9CBF2" w14:textId="77777777" w:rsidR="005A2D50" w:rsidRPr="005A2D50" w:rsidRDefault="005A2D50" w:rsidP="005A2D50">
      <w:pPr>
        <w:pStyle w:val="BodyText"/>
        <w:rPr>
          <w:lang w:val="en-US"/>
        </w:rPr>
      </w:pPr>
    </w:p>
    <w:p w14:paraId="0371AB01" w14:textId="77777777" w:rsidR="005A2D50" w:rsidRPr="005A2D50" w:rsidRDefault="005A2D50" w:rsidP="005A2D50">
      <w:pPr>
        <w:pStyle w:val="BodyText"/>
        <w:ind w:left="284"/>
        <w:rPr>
          <w:lang w:val="en-US"/>
        </w:rPr>
      </w:pPr>
      <w:r w:rsidRPr="005A2D50">
        <w:rPr>
          <w:lang w:val="en-US"/>
        </w:rPr>
        <w:t xml:space="preserve">a) Ja vienas </w:t>
      </w:r>
      <w:r w:rsidRPr="005A2D50">
        <w:rPr>
          <w:i/>
          <w:iCs/>
          <w:lang w:val="en-US"/>
        </w:rPr>
        <w:t xml:space="preserve">CGU </w:t>
      </w:r>
      <w:r w:rsidRPr="005A2D50">
        <w:rPr>
          <w:lang w:val="en-US"/>
        </w:rPr>
        <w:t>atļaujas ietvaros divas dažādas dalībvalstis izdos divas dažādas atļaujas īpašām procedūrām, pieteikuma iesniedzējam jānorāda atsauces summa katrai atļaujai veikt īpašu procedūru (uz abām atļaujām attiecas viens vispārējais galvojums). Šajā gadījumā saskaņā ar SMK TDA 8. pantu iesaistītajām dalībvalstīm savstarpēji jāapspriežas par atsauces summas sadali.</w:t>
      </w:r>
    </w:p>
    <w:p w14:paraId="3AB9FFA8" w14:textId="77777777" w:rsidR="005A2D50" w:rsidRPr="005A2D50" w:rsidRDefault="005A2D50" w:rsidP="005A2D50">
      <w:pPr>
        <w:pStyle w:val="BodyText"/>
        <w:ind w:left="284"/>
        <w:rPr>
          <w:lang w:val="en-US"/>
        </w:rPr>
      </w:pPr>
      <w:r w:rsidRPr="005A2D50">
        <w:rPr>
          <w:lang w:val="en-US"/>
        </w:rPr>
        <w:t>b) Ja vairākās dalībvalstīs, kurās vispārējais galvojums ir derīgs, ir jāuzsāk vairākas operācijas, kas saistītas ar dažādām precēm, bet uz kurām attiecas viena atļauja veikt īpašās procedūras, iesaistītajām dalībvalstīm jāsāk apspriešanās par atsauces summas sadali.</w:t>
      </w:r>
    </w:p>
    <w:p w14:paraId="0C91B603" w14:textId="77777777" w:rsidR="005A2D50" w:rsidRPr="005A2D50" w:rsidRDefault="005A2D50" w:rsidP="005A2D50">
      <w:pPr>
        <w:pStyle w:val="BodyText"/>
        <w:ind w:left="284"/>
        <w:rPr>
          <w:lang w:val="en-US"/>
        </w:rPr>
      </w:pPr>
      <w:r w:rsidRPr="005A2D50">
        <w:rPr>
          <w:lang w:val="en-US"/>
        </w:rPr>
        <w:t>c) Atsauces summa starp dalībvalstīm nav jāsadala, ja operācijas, uz kurām attiecas viens vispārējs galvojums, ko var izmantot vairāk nekā vienā dalībvalstī, ir jāsāk tikai vienā no attiecīgajām dalībvalstīm un preces, kurām piemēro procedūru, pārvieto uz citu dalībvalsti vai vairāk nekā vienu citu dalībvalsti, neatkarīgi no tā, vai procedūra tiek pabeigta pirmajā vai citā dalībvalstī pēc preču pārvietošanas. Tomēr šo dalībvalstu apspriešanās var notikt saistībā ar citiem vispārējā galvojuma atļaujas noteikumiem (nosacījumiem, kas jāievēro) (piemēram, citu maksājumu summa, lai pārbaudītu SMK 95. panta nosacījumus/kritērijus).</w:t>
      </w:r>
    </w:p>
    <w:p w14:paraId="4D004CBB"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F8C9241" w14:textId="77777777" w:rsidR="005A2D50" w:rsidRPr="005A2D50" w:rsidRDefault="005A2D50" w:rsidP="005A2D50">
      <w:pPr>
        <w:pStyle w:val="BodyText"/>
        <w:rPr>
          <w:lang w:val="en-US"/>
        </w:rPr>
      </w:pPr>
      <w:r w:rsidRPr="005A2D50">
        <w:rPr>
          <w:lang w:val="en-US"/>
        </w:rPr>
        <w:t xml:space="preserve">Vispārīgi noteikumi (SMK 22. panta 3. punkts, SMK ĪA 14. pants) par termiņiem attiecas uz apspriešanos starp </w:t>
      </w:r>
      <w:r w:rsidRPr="005A2D50">
        <w:rPr>
          <w:i/>
          <w:iCs/>
          <w:lang w:val="en-US"/>
        </w:rPr>
        <w:t>CA.</w:t>
      </w:r>
      <w:r w:rsidRPr="005A2D50">
        <w:rPr>
          <w:rStyle w:val="FootnoteReference"/>
          <w:lang w:val="en-US"/>
        </w:rPr>
        <w:footnoteReference w:id="30"/>
      </w:r>
    </w:p>
    <w:p w14:paraId="6ED385CD" w14:textId="77777777" w:rsidR="005A2D50" w:rsidRPr="005A2D50" w:rsidRDefault="005A2D50" w:rsidP="005A2D50">
      <w:pPr>
        <w:pStyle w:val="BodyText"/>
        <w:rPr>
          <w:lang w:val="en-US"/>
        </w:rPr>
      </w:pPr>
      <w:r w:rsidRPr="005A2D50">
        <w:rPr>
          <w:lang w:val="en-US"/>
        </w:rPr>
        <w:t>Kā norādīts SMK 22. panta 3. punktā, lēmumu pieņem 120 dienu laikā no pieteikuma pieņemšanas dienas. Pieprasījums apspriesties ir jānosūta tūlīt pēc pieteikuma pieņemšanas. Dalībvalstij, ar kuru notikusi apspriešanās, savs atzinums jāsniedz norādītajā laikā (</w:t>
      </w:r>
      <w:r w:rsidRPr="005A2D50">
        <w:rPr>
          <w:i/>
          <w:iCs/>
          <w:lang w:val="en-US"/>
        </w:rPr>
        <w:t xml:space="preserve">CDS </w:t>
      </w:r>
      <w:r w:rsidRPr="005A2D50">
        <w:rPr>
          <w:lang w:val="en-US"/>
        </w:rPr>
        <w:t>paredz ne vairāk kā 45 dienas). Noteiktos apstākļos kompetentā iestāde var šo termiņu pagarināt. Saskaņā ar SMK ĪA 14. panta 3. punktu, ja dalībvalsts, ar kuru notikusi apspriešanās, neatbild noteiktajā termiņā, “nosacījumus un kritērijus, par kuriem notika apspriešanās, uzskata par izpildītiem” (uzskata, ka pozitīvu atbildi sniedz dalībvalstis, kuras uzņemsies finansiālu atbildību par labvēlīgo lēmumu attiecībā uz to daļu, par kuru tika uzsākta apspriešanās).</w:t>
      </w:r>
    </w:p>
    <w:p w14:paraId="43C10089" w14:textId="77777777" w:rsidR="005A2D50" w:rsidRPr="005A2D50" w:rsidRDefault="005A2D50" w:rsidP="005A2D50">
      <w:pPr>
        <w:pStyle w:val="BodyText"/>
        <w:rPr>
          <w:lang w:val="en-US"/>
        </w:rPr>
      </w:pPr>
      <w:r w:rsidRPr="005A2D50">
        <w:rPr>
          <w:lang w:val="en-US"/>
        </w:rPr>
        <w:t>Ja muitas parāds ir radies dalībvalstī, kas nav tā dalībvalsts, kurā ir iesniegts galvojums, muitas parāda un citu maksājumu, ja piemērojami, piedziņai piemēro SMK ĪA 165. pantu (“savstarpējā palīdzība”).</w:t>
      </w:r>
    </w:p>
    <w:p w14:paraId="5E3E535F" w14:textId="77777777" w:rsidR="005A2D50" w:rsidRPr="005A2D50" w:rsidRDefault="005A2D50" w:rsidP="005A2D50">
      <w:pPr>
        <w:pStyle w:val="BodyText"/>
        <w:rPr>
          <w:lang w:val="en-US"/>
        </w:rPr>
      </w:pPr>
      <w:r w:rsidRPr="005A2D50">
        <w:rPr>
          <w:lang w:val="en-US"/>
        </w:rPr>
        <w:t>Apspriešanās par galvinieka/uzņēmuma apstiprināšanu nav nepieciešama pat tad, ja galvojums ir derīgs vairāk nekā vienā dalībvalstī.</w:t>
      </w:r>
    </w:p>
    <w:p w14:paraId="181147EB" w14:textId="77777777" w:rsidR="005A2D50" w:rsidRPr="005A2D50" w:rsidRDefault="005A2D50" w:rsidP="005A2D50">
      <w:pPr>
        <w:pStyle w:val="BodyText"/>
        <w:rPr>
          <w:lang w:val="en-US"/>
        </w:rPr>
      </w:pPr>
    </w:p>
    <w:p w14:paraId="6A00C521" w14:textId="77777777" w:rsidR="005A2D50" w:rsidRPr="005A2D50" w:rsidRDefault="005A2D50" w:rsidP="005A2D50">
      <w:pPr>
        <w:pStyle w:val="Heading2"/>
        <w:rPr>
          <w:noProof/>
          <w:lang w:val="en-US"/>
        </w:rPr>
      </w:pPr>
      <w:bookmarkStart w:id="173" w:name="VI.3.1._Acceptance_of_the_splitting_of_t"/>
      <w:bookmarkStart w:id="174" w:name="_bookmark47"/>
      <w:bookmarkStart w:id="175" w:name="_Toc104982805"/>
      <w:bookmarkEnd w:id="173"/>
      <w:bookmarkEnd w:id="174"/>
      <w:r w:rsidRPr="005A2D50">
        <w:rPr>
          <w:noProof/>
          <w:lang w:val="en-US"/>
        </w:rPr>
        <w:t>VI.3.1. Atsauces summas sadalījuma akceptēšana</w:t>
      </w:r>
      <w:bookmarkEnd w:id="175"/>
    </w:p>
    <w:p w14:paraId="3A977D1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0A7EAF2" w14:textId="77777777" w:rsidR="005A2D50" w:rsidRPr="005A2D50" w:rsidRDefault="005A2D50" w:rsidP="005A2D50">
      <w:pPr>
        <w:pStyle w:val="BodyText"/>
        <w:rPr>
          <w:lang w:val="en-US"/>
        </w:rPr>
      </w:pPr>
      <w:r w:rsidRPr="005A2D50">
        <w:rPr>
          <w:lang w:val="en-US"/>
        </w:rPr>
        <w:t xml:space="preserve">Lai nodrošinātu netraucētu muitas procesu citās dalībvalstīs, ir ieteicams informēt attiecīgos kontaktpunktus par apspriešanos saistībā ar </w:t>
      </w:r>
      <w:r w:rsidRPr="005A2D50">
        <w:rPr>
          <w:i/>
          <w:iCs/>
          <w:lang w:val="en-US"/>
        </w:rPr>
        <w:t xml:space="preserve">CGU </w:t>
      </w:r>
      <w:r w:rsidRPr="005A2D50">
        <w:rPr>
          <w:lang w:val="en-US"/>
        </w:rPr>
        <w:t>atļaujas projektu un par atsauces summas sadalījuma akceptēšanu.</w:t>
      </w:r>
    </w:p>
    <w:p w14:paraId="24ED3A34" w14:textId="77777777" w:rsidR="005A2D50" w:rsidRPr="005A2D50" w:rsidRDefault="005A2D50" w:rsidP="005A2D50">
      <w:pPr>
        <w:pStyle w:val="BodyText"/>
        <w:rPr>
          <w:lang w:val="en-US"/>
        </w:rPr>
      </w:pPr>
    </w:p>
    <w:p w14:paraId="3BDEB322" w14:textId="77777777" w:rsidR="005A2D50" w:rsidRPr="005A2D50" w:rsidRDefault="005A2D50" w:rsidP="005A2D50">
      <w:pPr>
        <w:pStyle w:val="Heading2"/>
        <w:rPr>
          <w:noProof/>
          <w:lang w:val="en-US"/>
        </w:rPr>
      </w:pPr>
      <w:bookmarkStart w:id="176" w:name="VI.3.2._Rejection_of_the_proposed_split_"/>
      <w:bookmarkStart w:id="177" w:name="_bookmark48"/>
      <w:bookmarkStart w:id="178" w:name="_Toc104982806"/>
      <w:bookmarkEnd w:id="176"/>
      <w:bookmarkEnd w:id="177"/>
      <w:r w:rsidRPr="005A2D50">
        <w:rPr>
          <w:noProof/>
          <w:lang w:val="en-US"/>
        </w:rPr>
        <w:t>VI.3.2. Atsauces summas piedāvātā sadalījuma noraidīšana</w:t>
      </w:r>
      <w:bookmarkEnd w:id="178"/>
    </w:p>
    <w:p w14:paraId="698AFBD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3EB39F3" w14:textId="77777777" w:rsidR="005A2D50" w:rsidRPr="005A2D50" w:rsidRDefault="005A2D50" w:rsidP="005A2D50">
      <w:pPr>
        <w:pStyle w:val="BodyText"/>
        <w:rPr>
          <w:lang w:val="en-US"/>
        </w:rPr>
      </w:pPr>
      <w:r w:rsidRPr="005A2D50">
        <w:rPr>
          <w:lang w:val="en-US"/>
        </w:rPr>
        <w:t xml:space="preserve">Ja dalībvalsts, ar kuru notikusi apspriešanās, nepiekrīt piedāvātajai atsauces summas daļai, tai nekavējoties jāinformē dalībvalsts, kura ir saņēmusi pieteikumu </w:t>
      </w:r>
      <w:r w:rsidRPr="005A2D50">
        <w:rPr>
          <w:i/>
          <w:iCs/>
          <w:lang w:val="en-US"/>
        </w:rPr>
        <w:t xml:space="preserve">CGU </w:t>
      </w:r>
      <w:r w:rsidRPr="005A2D50">
        <w:rPr>
          <w:lang w:val="en-US"/>
        </w:rPr>
        <w:t>atļaujas saņemšanai, norādot pamatojumu, kāpēc tā ierosina noraidīt piedāvāto atsauces summas sadalījumu.</w:t>
      </w:r>
    </w:p>
    <w:p w14:paraId="421ADB85" w14:textId="77777777" w:rsidR="005A2D50" w:rsidRPr="005A2D50" w:rsidRDefault="005A2D50" w:rsidP="005A2D50">
      <w:pPr>
        <w:pStyle w:val="BodyText"/>
        <w:rPr>
          <w:lang w:val="en-US"/>
        </w:rPr>
      </w:pPr>
      <w:r w:rsidRPr="005A2D50">
        <w:rPr>
          <w:lang w:val="en-US"/>
        </w:rPr>
        <w:t>Pirms tāda lēmuma pieņemšanas, kas nelabvēlīgi ietekmētu pieteikuma iesniedzēju, tās dalībvalsts muitas dienesti, kurā iesniegts pieteikums, pieteikuma iesniedzējam dara zināmu pamatojumu, kādēļ tie ir paredzējuši pieņemt šo lēmumu, un dod pieteikuma iesniedzējam iespēju izteikt savu viedokli noteiktā laikposmā no dienas, kurā viņš saņēmis minēto paziņojumu vai kad uzskata, ka viņš to ir saņēmis (SMK 22. panta 6. punkts un SMK ĪA 8. un 9. pants).</w:t>
      </w:r>
    </w:p>
    <w:p w14:paraId="1B6458A8" w14:textId="77777777" w:rsidR="005A2D50" w:rsidRPr="005A2D50" w:rsidRDefault="005A2D50" w:rsidP="005A2D50">
      <w:pPr>
        <w:pStyle w:val="BodyText"/>
        <w:rPr>
          <w:lang w:val="en-US"/>
        </w:rPr>
      </w:pPr>
      <w:r w:rsidRPr="005A2D50">
        <w:rPr>
          <w:lang w:val="en-US"/>
        </w:rPr>
        <w:t>Pirms lēmuma pieņemšanas starp dalībvalstīm jāuzsāk vēl viena apspriešanās. Pēc minētā laikposma beigām pieteikuma iesniedzējam atbilstošā veidā paziņo par šo lēmumu.</w:t>
      </w:r>
    </w:p>
    <w:p w14:paraId="73A9E89D" w14:textId="77777777" w:rsidR="005A2D50" w:rsidRPr="005A2D50" w:rsidRDefault="005A2D50" w:rsidP="005A2D50">
      <w:pPr>
        <w:pStyle w:val="BodyText"/>
        <w:rPr>
          <w:lang w:val="en-US"/>
        </w:rPr>
      </w:pPr>
      <w:r w:rsidRPr="005A2D50">
        <w:rPr>
          <w:lang w:val="en-US"/>
        </w:rPr>
        <w:t>Var pieņemt arī lēmumu, kas izslēdz to atsauces summas daļu, par kuru nav panākta vienošanās. Negatīvais atzinums, ko sniegusi dalībvalsts, ar kuru notikusi apspriešanās, ir saistošs dalībvalstij, kura pieņem lēmumu, tādā nozīmē, ka šai dalībvalstij lēmumā jāiekļauj negatīvais atzinums.</w:t>
      </w:r>
    </w:p>
    <w:p w14:paraId="584DC918" w14:textId="77777777" w:rsidR="005A2D50" w:rsidRPr="005A2D50" w:rsidRDefault="005A2D50" w:rsidP="005A2D50">
      <w:pPr>
        <w:pStyle w:val="BodyText"/>
        <w:rPr>
          <w:lang w:val="en-US"/>
        </w:rPr>
      </w:pPr>
      <w:r w:rsidRPr="005A2D50">
        <w:rPr>
          <w:lang w:val="en-US"/>
        </w:rPr>
        <w:t>SMK 44. pantā noteikts šādi: “Ikvienai personai, kuru tieši un individuāli skar muitas dienestu lēmums, kas saistīts ar tiesību aktu muitas jomā piemērošanu, ir tiesības šo lēmumu pārsūdzēt. Pārsūdzības tiesības ir arī ikvienai personai, kura ir pieprasījusi muitas dienestu lēmumu un pēc minētā pieteikuma iesniegšanas nav to saņēmusi 22. panta 3. punktā noteiktajā termiņā.”</w:t>
      </w:r>
    </w:p>
    <w:p w14:paraId="3B287383" w14:textId="77777777" w:rsidR="005A2D50" w:rsidRPr="005A2D50" w:rsidRDefault="005A2D50" w:rsidP="005A2D50">
      <w:pPr>
        <w:pStyle w:val="BodyText"/>
        <w:rPr>
          <w:lang w:val="en-US"/>
        </w:rPr>
      </w:pPr>
    </w:p>
    <w:p w14:paraId="19E4419B" w14:textId="77777777" w:rsidR="005A2D50" w:rsidRPr="005A2D50" w:rsidRDefault="005A2D50" w:rsidP="005A2D50">
      <w:pPr>
        <w:pStyle w:val="Heading1"/>
        <w:rPr>
          <w:noProof/>
          <w:lang w:val="en-US"/>
        </w:rPr>
      </w:pPr>
      <w:bookmarkStart w:id="179" w:name="VI.4._Monitoring_of_the_reference_amount"/>
      <w:bookmarkStart w:id="180" w:name="_bookmark49"/>
      <w:bookmarkStart w:id="181" w:name="_Toc104982807"/>
      <w:bookmarkEnd w:id="179"/>
      <w:bookmarkEnd w:id="180"/>
      <w:r w:rsidRPr="005A2D50">
        <w:rPr>
          <w:noProof/>
          <w:lang w:val="en-US"/>
        </w:rPr>
        <w:t>VI.4. Atsauces summas pārraudzība pārejas posmā</w:t>
      </w:r>
      <w:bookmarkEnd w:id="181"/>
    </w:p>
    <w:p w14:paraId="64B5A90E"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8235E72" w14:textId="77777777" w:rsidR="005A2D50" w:rsidRPr="005A2D50" w:rsidRDefault="005A2D50" w:rsidP="005A2D50">
      <w:pPr>
        <w:pStyle w:val="BodyText"/>
        <w:rPr>
          <w:lang w:val="en-US"/>
        </w:rPr>
      </w:pPr>
      <w:r w:rsidRPr="005A2D50">
        <w:rPr>
          <w:lang w:val="en-US"/>
        </w:rPr>
        <w:t>Saskaņā ar SMK 89. panta 6. punktu muitas dienestiem ir pienākums uzraudzīt galvojumu. Tas jādara arī pārejas posmā.</w:t>
      </w:r>
    </w:p>
    <w:p w14:paraId="6FEB0584" w14:textId="77777777" w:rsidR="005A2D50" w:rsidRPr="005A2D50" w:rsidRDefault="005A2D50" w:rsidP="005A2D50">
      <w:pPr>
        <w:pStyle w:val="BodyText"/>
        <w:rPr>
          <w:lang w:val="en-US"/>
        </w:rPr>
      </w:pPr>
      <w:r w:rsidRPr="005A2D50">
        <w:rPr>
          <w:lang w:val="en-US"/>
        </w:rPr>
        <w:t xml:space="preserve">Līdz </w:t>
      </w:r>
      <w:r w:rsidRPr="005A2D50">
        <w:rPr>
          <w:i/>
          <w:iCs/>
          <w:lang w:val="en-US"/>
        </w:rPr>
        <w:t xml:space="preserve">GUM </w:t>
      </w:r>
      <w:r w:rsidRPr="005A2D50">
        <w:rPr>
          <w:lang w:val="en-US"/>
        </w:rPr>
        <w:t xml:space="preserve">ieviešanas dienai SMK TDA 8. pants paredz alternatīvu risinājumu, lai </w:t>
      </w:r>
      <w:r w:rsidRPr="005A2D50">
        <w:rPr>
          <w:i/>
          <w:iCs/>
          <w:lang w:val="en-US"/>
        </w:rPr>
        <w:t xml:space="preserve">CA </w:t>
      </w:r>
      <w:r w:rsidRPr="005A2D50">
        <w:rPr>
          <w:lang w:val="en-US"/>
        </w:rPr>
        <w:t>varētu ievērot SMK 89. panta 6. punktā noteikto pienākumu uzraudzīt galvojumus.</w:t>
      </w:r>
    </w:p>
    <w:p w14:paraId="263F8B72" w14:textId="77777777" w:rsidR="005A2D50" w:rsidRPr="005A2D50" w:rsidRDefault="005A2D50" w:rsidP="005A2D50">
      <w:pPr>
        <w:pStyle w:val="BodyText"/>
        <w:rPr>
          <w:lang w:val="en-US"/>
        </w:rPr>
      </w:pPr>
      <w:r w:rsidRPr="005A2D50">
        <w:rPr>
          <w:lang w:val="en-US"/>
        </w:rPr>
        <w:t>Dalībvalstis pārrauga savu atsauces summas daļu saskaņā ar SMK ĪA 157. pantu. Katra dalībvalsts var izmantot savus praksē pastāvošos / valsts pasākumus, lai izpildītu pienākumu pārraudzīt atsauces summu.</w:t>
      </w:r>
    </w:p>
    <w:p w14:paraId="6ED55CDE" w14:textId="77777777" w:rsidR="005A2D50" w:rsidRPr="005A2D50" w:rsidRDefault="005A2D50" w:rsidP="005A2D50">
      <w:pPr>
        <w:pStyle w:val="BodyText"/>
        <w:rPr>
          <w:lang w:val="en-US"/>
        </w:rPr>
      </w:pPr>
      <w:r w:rsidRPr="005A2D50">
        <w:rPr>
          <w:lang w:val="en-US"/>
        </w:rPr>
        <w:t xml:space="preserve">Turklāt personai, kurai prasīts sniegt galvojumu, jānodrošina, ka atsauces summa ir pietiekama, lai segtu ievedmuitas vai izvedmuitas nodokli un citus maksājumus, kas maksājami saistībā ar preču importu vai eksportu, ja uz tām attiecas galvojums. Ja pastāv pazīmes, kas liecina, ka atsauces summa vairs nav pietiekama, lai segtu visas operācijas, personai par to nekavējoties jāinformē </w:t>
      </w:r>
      <w:r w:rsidRPr="005A2D50">
        <w:rPr>
          <w:i/>
          <w:iCs/>
          <w:lang w:val="en-US"/>
        </w:rPr>
        <w:t>COG</w:t>
      </w:r>
      <w:r w:rsidRPr="005A2D50">
        <w:rPr>
          <w:lang w:val="en-US"/>
        </w:rPr>
        <w:t>.</w:t>
      </w:r>
    </w:p>
    <w:p w14:paraId="0A58A34B" w14:textId="77777777" w:rsidR="005A2D50" w:rsidRPr="005A2D50" w:rsidRDefault="005A2D50" w:rsidP="005A2D50">
      <w:pPr>
        <w:rPr>
          <w:rFonts w:ascii="Times New Roman" w:hAnsi="Times New Roman" w:cs="Times New Roman"/>
          <w:noProof/>
          <w:sz w:val="24"/>
          <w:szCs w:val="24"/>
          <w:lang w:val="en-US"/>
        </w:rPr>
      </w:pPr>
      <w:r w:rsidRPr="005A2D50">
        <w:rPr>
          <w:rFonts w:ascii="Times New Roman" w:hAnsi="Times New Roman" w:cs="Times New Roman"/>
          <w:noProof/>
          <w:sz w:val="24"/>
          <w:szCs w:val="24"/>
          <w:lang w:val="en-US"/>
        </w:rPr>
        <w:br w:type="page"/>
      </w:r>
    </w:p>
    <w:p w14:paraId="057D246E" w14:textId="77777777" w:rsidR="005A2D50" w:rsidRPr="005A2D50" w:rsidRDefault="005A2D50" w:rsidP="005A2D50">
      <w:pPr>
        <w:jc w:val="both"/>
        <w:rPr>
          <w:rFonts w:ascii="Times New Roman" w:hAnsi="Times New Roman" w:cs="Times New Roman"/>
          <w:noProof/>
          <w:sz w:val="24"/>
          <w:szCs w:val="24"/>
          <w:lang w:val="en-US"/>
        </w:rPr>
      </w:pPr>
    </w:p>
    <w:p w14:paraId="2CEB3B92" w14:textId="77777777" w:rsidR="005A2D50" w:rsidRPr="005A2D50" w:rsidRDefault="005A2D50" w:rsidP="005A2D50">
      <w:pPr>
        <w:pStyle w:val="Heading1"/>
        <w:rPr>
          <w:noProof/>
          <w:lang w:val="en-US"/>
        </w:rPr>
      </w:pPr>
      <w:bookmarkStart w:id="182" w:name="VII._ANNEXES"/>
      <w:bookmarkStart w:id="183" w:name="_bookmark50"/>
      <w:bookmarkStart w:id="184" w:name="_Toc104982808"/>
      <w:bookmarkEnd w:id="182"/>
      <w:bookmarkEnd w:id="183"/>
      <w:r w:rsidRPr="005A2D50">
        <w:rPr>
          <w:noProof/>
          <w:lang w:val="en-US"/>
        </w:rPr>
        <w:t>VII. PIELIKUMI</w:t>
      </w:r>
      <w:bookmarkEnd w:id="184"/>
    </w:p>
    <w:p w14:paraId="57591EF0" w14:textId="77777777" w:rsidR="005A2D50" w:rsidRPr="005A2D50" w:rsidRDefault="005A2D50" w:rsidP="005A2D50">
      <w:pPr>
        <w:jc w:val="both"/>
        <w:rPr>
          <w:rFonts w:ascii="Times New Roman" w:hAnsi="Times New Roman" w:cs="Times New Roman"/>
          <w:b/>
          <w:noProof/>
          <w:sz w:val="24"/>
          <w:szCs w:val="24"/>
          <w:lang w:val="en-US"/>
        </w:rPr>
      </w:pPr>
      <w:bookmarkStart w:id="185" w:name="Annex_1_Specific_data_requirements__for_"/>
      <w:bookmarkStart w:id="186" w:name="_bookmark51"/>
      <w:bookmarkEnd w:id="185"/>
      <w:bookmarkEnd w:id="186"/>
    </w:p>
    <w:p w14:paraId="1104C14B" w14:textId="77777777" w:rsidR="005A2D50" w:rsidRPr="005A2D50" w:rsidRDefault="005A2D50" w:rsidP="005A2D50">
      <w:pPr>
        <w:pStyle w:val="Heading1"/>
        <w:rPr>
          <w:rFonts w:eastAsia="Times New Roman" w:cs="Times New Roman"/>
          <w:noProof/>
          <w:szCs w:val="24"/>
          <w:lang w:val="en-US"/>
        </w:rPr>
      </w:pPr>
      <w:bookmarkStart w:id="187" w:name="_Toc104982809"/>
      <w:r w:rsidRPr="005A2D50">
        <w:rPr>
          <w:noProof/>
          <w:lang w:val="en-US"/>
        </w:rPr>
        <w:t xml:space="preserve">1. pielikums. </w:t>
      </w:r>
      <w:r w:rsidRPr="005A2D50">
        <w:rPr>
          <w:noProof/>
          <w:u w:val="single" w:color="000000"/>
          <w:lang w:val="en-US"/>
        </w:rPr>
        <w:t>Īpašas datu prasības</w:t>
      </w:r>
      <w:r w:rsidRPr="005A2D50">
        <w:rPr>
          <w:rFonts w:cs="Times New Roman"/>
          <w:noProof/>
          <w:szCs w:val="24"/>
          <w:u w:val="single" w:color="000000"/>
          <w:vertAlign w:val="superscript"/>
          <w:lang w:val="en-US"/>
        </w:rPr>
        <w:footnoteReference w:id="31"/>
      </w:r>
      <w:r w:rsidRPr="005A2D50">
        <w:rPr>
          <w:rFonts w:cs="Times New Roman"/>
          <w:noProof/>
          <w:szCs w:val="24"/>
          <w:u w:val="single" w:color="000000"/>
          <w:vertAlign w:val="superscript"/>
          <w:lang w:val="en-US"/>
        </w:rPr>
        <w:t xml:space="preserve"> </w:t>
      </w:r>
      <w:r w:rsidRPr="005A2D50">
        <w:rPr>
          <w:noProof/>
          <w:lang w:val="en-US"/>
        </w:rPr>
        <w:t xml:space="preserve">attiecībā uz pieteikumu un </w:t>
      </w:r>
      <w:r w:rsidRPr="005A2D50">
        <w:rPr>
          <w:i/>
          <w:iCs/>
          <w:noProof/>
          <w:lang w:val="en-US"/>
        </w:rPr>
        <w:t xml:space="preserve">CGU </w:t>
      </w:r>
      <w:r w:rsidRPr="005A2D50">
        <w:rPr>
          <w:noProof/>
          <w:lang w:val="en-US"/>
        </w:rPr>
        <w:t>atļauju, tostarp iespējams samazinājums vai atbrīvojums (SMK DA A pielikums, VI sadaļa)</w:t>
      </w:r>
      <w:bookmarkEnd w:id="187"/>
    </w:p>
    <w:p w14:paraId="7E78277E" w14:textId="77777777" w:rsidR="005A2D50" w:rsidRPr="005A2D50" w:rsidRDefault="005A2D50" w:rsidP="005A2D50">
      <w:pPr>
        <w:jc w:val="both"/>
        <w:rPr>
          <w:rFonts w:ascii="Times New Roman" w:eastAsia="Times New Roman" w:hAnsi="Times New Roman" w:cs="Times New Roman"/>
          <w:b/>
          <w:bCs/>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337"/>
        <w:gridCol w:w="6446"/>
        <w:gridCol w:w="1585"/>
        <w:gridCol w:w="763"/>
      </w:tblGrid>
      <w:tr w:rsidR="005A2D50" w:rsidRPr="005A2D50" w14:paraId="39550D80" w14:textId="77777777" w:rsidTr="00F14166">
        <w:tc>
          <w:tcPr>
            <w:tcW w:w="184" w:type="pct"/>
            <w:tcBorders>
              <w:top w:val="single" w:sz="5" w:space="0" w:color="000000"/>
              <w:left w:val="single" w:sz="5" w:space="0" w:color="000000"/>
              <w:bottom w:val="single" w:sz="5" w:space="0" w:color="000000"/>
              <w:right w:val="single" w:sz="5" w:space="0" w:color="000000"/>
            </w:tcBorders>
          </w:tcPr>
          <w:p w14:paraId="6290176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Nē</w:t>
            </w:r>
          </w:p>
        </w:tc>
        <w:tc>
          <w:tcPr>
            <w:tcW w:w="3530" w:type="pct"/>
            <w:tcBorders>
              <w:top w:val="single" w:sz="5" w:space="0" w:color="000000"/>
              <w:left w:val="single" w:sz="5" w:space="0" w:color="000000"/>
              <w:bottom w:val="single" w:sz="5" w:space="0" w:color="000000"/>
              <w:right w:val="single" w:sz="5" w:space="0" w:color="000000"/>
            </w:tcBorders>
          </w:tcPr>
          <w:p w14:paraId="4CDE32A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Nepieciešami datu elementi</w:t>
            </w:r>
          </w:p>
        </w:tc>
        <w:tc>
          <w:tcPr>
            <w:tcW w:w="868" w:type="pct"/>
            <w:tcBorders>
              <w:top w:val="single" w:sz="5" w:space="0" w:color="000000"/>
              <w:left w:val="single" w:sz="5" w:space="0" w:color="000000"/>
              <w:bottom w:val="single" w:sz="5" w:space="0" w:color="000000"/>
              <w:right w:val="single" w:sz="5" w:space="0" w:color="000000"/>
            </w:tcBorders>
          </w:tcPr>
          <w:p w14:paraId="034A8DB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Pieteikums</w:t>
            </w:r>
          </w:p>
        </w:tc>
        <w:tc>
          <w:tcPr>
            <w:tcW w:w="418" w:type="pct"/>
            <w:tcBorders>
              <w:top w:val="single" w:sz="5" w:space="0" w:color="000000"/>
              <w:left w:val="single" w:sz="5" w:space="0" w:color="000000"/>
              <w:bottom w:val="single" w:sz="5" w:space="0" w:color="000000"/>
              <w:right w:val="single" w:sz="5" w:space="0" w:color="000000"/>
            </w:tcBorders>
          </w:tcPr>
          <w:p w14:paraId="5E2B2C7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Atļauja</w:t>
            </w:r>
          </w:p>
        </w:tc>
      </w:tr>
      <w:tr w:rsidR="005A2D50" w:rsidRPr="005A2D50" w14:paraId="53B51475" w14:textId="77777777" w:rsidTr="00F14166">
        <w:tc>
          <w:tcPr>
            <w:tcW w:w="184" w:type="pct"/>
            <w:tcBorders>
              <w:top w:val="single" w:sz="5" w:space="0" w:color="000000"/>
              <w:left w:val="single" w:sz="5" w:space="0" w:color="000000"/>
              <w:bottom w:val="single" w:sz="5" w:space="0" w:color="000000"/>
              <w:right w:val="single" w:sz="5" w:space="0" w:color="000000"/>
            </w:tcBorders>
          </w:tcPr>
          <w:p w14:paraId="0EF3AA3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w:t>
            </w:r>
          </w:p>
        </w:tc>
        <w:tc>
          <w:tcPr>
            <w:tcW w:w="3530" w:type="pct"/>
            <w:tcBorders>
              <w:top w:val="single" w:sz="5" w:space="0" w:color="000000"/>
              <w:left w:val="single" w:sz="5" w:space="0" w:color="000000"/>
              <w:bottom w:val="single" w:sz="5" w:space="0" w:color="000000"/>
              <w:right w:val="single" w:sz="5" w:space="0" w:color="000000"/>
            </w:tcBorders>
          </w:tcPr>
          <w:p w14:paraId="34D4C03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VI/1. Nodokļa un citu maksājumu summa</w:t>
            </w:r>
          </w:p>
          <w:p w14:paraId="60DFC4F7"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Attiecībā uz pēdējo 12 mēnešu periodu norādiet augstāko nodokļa un citu maksājumu summu, kas piemērojama par katru atsevišķu sūtījumu. Ja šāda informācija nav pieejama, attiecībā uz turpmāko 12 mēnešu periodu norādiet iespējamo augstāko nodokļa un citu maksājumu summu, kas piemērojama katram atsevišķam sūtījumam.</w:t>
            </w:r>
          </w:p>
        </w:tc>
        <w:tc>
          <w:tcPr>
            <w:tcW w:w="868" w:type="pct"/>
            <w:tcBorders>
              <w:top w:val="single" w:sz="5" w:space="0" w:color="000000"/>
              <w:left w:val="single" w:sz="5" w:space="0" w:color="000000"/>
              <w:bottom w:val="single" w:sz="5" w:space="0" w:color="000000"/>
              <w:right w:val="single" w:sz="5" w:space="0" w:color="000000"/>
            </w:tcBorders>
          </w:tcPr>
          <w:p w14:paraId="03942BA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c>
          <w:tcPr>
            <w:tcW w:w="418" w:type="pct"/>
            <w:tcBorders>
              <w:top w:val="single" w:sz="5" w:space="0" w:color="000000"/>
              <w:left w:val="single" w:sz="5" w:space="0" w:color="000000"/>
              <w:bottom w:val="single" w:sz="5" w:space="0" w:color="000000"/>
              <w:right w:val="single" w:sz="5" w:space="0" w:color="000000"/>
            </w:tcBorders>
          </w:tcPr>
          <w:p w14:paraId="665B32B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Nē</w:t>
            </w:r>
          </w:p>
        </w:tc>
      </w:tr>
      <w:tr w:rsidR="005A2D50" w:rsidRPr="005A2D50" w14:paraId="050762E5" w14:textId="77777777" w:rsidTr="00F14166">
        <w:tc>
          <w:tcPr>
            <w:tcW w:w="184" w:type="pct"/>
            <w:tcBorders>
              <w:top w:val="single" w:sz="5" w:space="0" w:color="000000"/>
              <w:left w:val="single" w:sz="5" w:space="0" w:color="000000"/>
              <w:bottom w:val="single" w:sz="5" w:space="0" w:color="000000"/>
              <w:right w:val="single" w:sz="5" w:space="0" w:color="000000"/>
            </w:tcBorders>
          </w:tcPr>
          <w:p w14:paraId="64DEAA0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2.</w:t>
            </w:r>
          </w:p>
        </w:tc>
        <w:tc>
          <w:tcPr>
            <w:tcW w:w="3530" w:type="pct"/>
            <w:tcBorders>
              <w:top w:val="single" w:sz="5" w:space="0" w:color="000000"/>
              <w:left w:val="single" w:sz="5" w:space="0" w:color="000000"/>
              <w:bottom w:val="single" w:sz="5" w:space="0" w:color="000000"/>
              <w:right w:val="single" w:sz="5" w:space="0" w:color="000000"/>
            </w:tcBorders>
          </w:tcPr>
          <w:p w14:paraId="4D2D294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VI/2. Vidējais laikposms starp procedūras piemērošanas precēm uzsākšanu un procedūras slēgšanu</w:t>
            </w:r>
          </w:p>
          <w:p w14:paraId="5896649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Norādiet vidējo laikposmu starp procedūras piemērošanas precēm uzsākšanu un procedūras slēgšanu attiecībā uz pēdējo 12 mēnešu laikposmu. Šo informāciju norāda tikai tad, ja vispārējo galvojumu paredzēts izmantot, lai precēm piemērotu īpašu procedūru.</w:t>
            </w:r>
          </w:p>
        </w:tc>
        <w:tc>
          <w:tcPr>
            <w:tcW w:w="868" w:type="pct"/>
            <w:tcBorders>
              <w:top w:val="single" w:sz="5" w:space="0" w:color="000000"/>
              <w:left w:val="single" w:sz="5" w:space="0" w:color="000000"/>
              <w:bottom w:val="single" w:sz="5" w:space="0" w:color="000000"/>
              <w:right w:val="single" w:sz="5" w:space="0" w:color="000000"/>
            </w:tcBorders>
          </w:tcPr>
          <w:p w14:paraId="1C9E954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c>
          <w:tcPr>
            <w:tcW w:w="418" w:type="pct"/>
            <w:tcBorders>
              <w:top w:val="single" w:sz="5" w:space="0" w:color="000000"/>
              <w:left w:val="single" w:sz="5" w:space="0" w:color="000000"/>
              <w:bottom w:val="single" w:sz="5" w:space="0" w:color="000000"/>
              <w:right w:val="single" w:sz="5" w:space="0" w:color="000000"/>
            </w:tcBorders>
          </w:tcPr>
          <w:p w14:paraId="0AD0BDA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Nē</w:t>
            </w:r>
          </w:p>
        </w:tc>
      </w:tr>
      <w:tr w:rsidR="005A2D50" w:rsidRPr="005A2D50" w14:paraId="2F34B6C4" w14:textId="77777777" w:rsidTr="00F14166">
        <w:tc>
          <w:tcPr>
            <w:tcW w:w="184" w:type="pct"/>
            <w:tcBorders>
              <w:top w:val="single" w:sz="5" w:space="0" w:color="000000"/>
              <w:left w:val="single" w:sz="5" w:space="0" w:color="000000"/>
              <w:bottom w:val="single" w:sz="5" w:space="0" w:color="000000"/>
              <w:right w:val="single" w:sz="5" w:space="0" w:color="000000"/>
            </w:tcBorders>
          </w:tcPr>
          <w:p w14:paraId="07698E6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3.</w:t>
            </w:r>
          </w:p>
        </w:tc>
        <w:tc>
          <w:tcPr>
            <w:tcW w:w="3530" w:type="pct"/>
            <w:tcBorders>
              <w:top w:val="single" w:sz="5" w:space="0" w:color="000000"/>
              <w:left w:val="single" w:sz="5" w:space="0" w:color="000000"/>
              <w:bottom w:val="single" w:sz="5" w:space="0" w:color="000000"/>
              <w:right w:val="single" w:sz="5" w:space="0" w:color="000000"/>
            </w:tcBorders>
          </w:tcPr>
          <w:p w14:paraId="778913D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VI/3. Galvojuma apmērs (SMK ĪA 158. pants)</w:t>
            </w:r>
          </w:p>
          <w:p w14:paraId="60CB9DD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Norādiet, vai galvojuma, kam jāsedz esošie muitas parādi, un, ja atbilstīgi, citu maksājumu apmērs ir 100 % vai 30 % no atsauces summas attiecīgās daļas un/vai galvojuma, kam jāsedz iespējamie muitas parādi, un, ja atbilstīgi, citu maksājumu apmērs ir 100 %, 50 %, 30 % vai 0 % no atsauces summas attiecīgās daļas. Atļaujas sniedzējs muitas dienests var, ja atbilstīgi, sniegt piezīmes.</w:t>
            </w:r>
          </w:p>
        </w:tc>
        <w:tc>
          <w:tcPr>
            <w:tcW w:w="868" w:type="pct"/>
            <w:tcBorders>
              <w:top w:val="single" w:sz="5" w:space="0" w:color="000000"/>
              <w:left w:val="single" w:sz="5" w:space="0" w:color="000000"/>
              <w:bottom w:val="single" w:sz="5" w:space="0" w:color="000000"/>
              <w:right w:val="single" w:sz="5" w:space="0" w:color="000000"/>
            </w:tcBorders>
          </w:tcPr>
          <w:p w14:paraId="7E73F0F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c>
          <w:tcPr>
            <w:tcW w:w="418" w:type="pct"/>
            <w:tcBorders>
              <w:top w:val="single" w:sz="5" w:space="0" w:color="000000"/>
              <w:left w:val="single" w:sz="5" w:space="0" w:color="000000"/>
              <w:bottom w:val="single" w:sz="5" w:space="0" w:color="000000"/>
              <w:right w:val="single" w:sz="5" w:space="0" w:color="000000"/>
            </w:tcBorders>
          </w:tcPr>
          <w:p w14:paraId="40EF163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r>
      <w:tr w:rsidR="005A2D50" w:rsidRPr="005A2D50" w14:paraId="7434017A" w14:textId="77777777" w:rsidTr="00F14166">
        <w:tc>
          <w:tcPr>
            <w:tcW w:w="184" w:type="pct"/>
            <w:tcBorders>
              <w:top w:val="single" w:sz="5" w:space="0" w:color="000000"/>
              <w:left w:val="single" w:sz="5" w:space="0" w:color="000000"/>
              <w:bottom w:val="single" w:sz="5" w:space="0" w:color="000000"/>
              <w:right w:val="single" w:sz="5" w:space="0" w:color="000000"/>
            </w:tcBorders>
          </w:tcPr>
          <w:p w14:paraId="1454552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w:t>
            </w:r>
          </w:p>
        </w:tc>
        <w:tc>
          <w:tcPr>
            <w:tcW w:w="3530" w:type="pct"/>
            <w:tcBorders>
              <w:top w:val="single" w:sz="5" w:space="0" w:color="000000"/>
              <w:left w:val="single" w:sz="5" w:space="0" w:color="000000"/>
              <w:bottom w:val="single" w:sz="5" w:space="0" w:color="000000"/>
              <w:right w:val="single" w:sz="5" w:space="0" w:color="000000"/>
            </w:tcBorders>
          </w:tcPr>
          <w:p w14:paraId="025435E8"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VI/4. Galvojuma veids (SMK 92. panta 1. punkts) Norādiet, kāds būs galvojuma veids.</w:t>
            </w:r>
          </w:p>
          <w:p w14:paraId="73A4AC3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Ja galvojums ir sniegts kā saistības,</w:t>
            </w:r>
          </w:p>
          <w:p w14:paraId="0F70B1C0"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norādiet galvinieka pilnu vārdu, uzvārdu / nosaukumu un adresi.</w:t>
            </w:r>
          </w:p>
          <w:p w14:paraId="715FDA7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Ja galvojums ir derīgs vairāk nekā vienā dalībvalstī, norādiet galvinieka pārstāvju citās dalībvalstīs pilnus vārdus, uzvārdus / nosaukumus un adreses.</w:t>
            </w:r>
          </w:p>
        </w:tc>
        <w:tc>
          <w:tcPr>
            <w:tcW w:w="868" w:type="pct"/>
            <w:tcBorders>
              <w:top w:val="single" w:sz="5" w:space="0" w:color="000000"/>
              <w:left w:val="single" w:sz="5" w:space="0" w:color="000000"/>
              <w:bottom w:val="single" w:sz="5" w:space="0" w:color="000000"/>
              <w:right w:val="single" w:sz="5" w:space="0" w:color="000000"/>
            </w:tcBorders>
          </w:tcPr>
          <w:p w14:paraId="054C8DD4" w14:textId="77777777" w:rsidR="005A2D50" w:rsidRPr="005A2D50" w:rsidRDefault="005A2D50" w:rsidP="00F14166">
            <w:pPr>
              <w:pStyle w:val="TableParagraph"/>
              <w:tabs>
                <w:tab w:val="left" w:pos="1167"/>
              </w:tabs>
              <w:jc w:val="both"/>
              <w:rPr>
                <w:rFonts w:ascii="Times New Roman" w:hAnsi="Times New Roman"/>
                <w:noProof/>
                <w:sz w:val="24"/>
                <w:lang w:val="en-US"/>
              </w:rPr>
            </w:pPr>
            <w:r w:rsidRPr="005A2D50">
              <w:rPr>
                <w:rFonts w:ascii="Times New Roman" w:hAnsi="Times New Roman"/>
                <w:noProof/>
                <w:sz w:val="24"/>
                <w:lang w:val="en-US"/>
              </w:rPr>
              <w:t>Jā – pieteikuma iesniedzējs var izvēlēties</w:t>
            </w:r>
          </w:p>
        </w:tc>
        <w:tc>
          <w:tcPr>
            <w:tcW w:w="418" w:type="pct"/>
            <w:tcBorders>
              <w:top w:val="single" w:sz="5" w:space="0" w:color="000000"/>
              <w:left w:val="single" w:sz="5" w:space="0" w:color="000000"/>
              <w:bottom w:val="single" w:sz="5" w:space="0" w:color="000000"/>
              <w:right w:val="single" w:sz="5" w:space="0" w:color="000000"/>
            </w:tcBorders>
          </w:tcPr>
          <w:p w14:paraId="64E9B0E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Nē</w:t>
            </w:r>
          </w:p>
        </w:tc>
      </w:tr>
      <w:tr w:rsidR="005A2D50" w:rsidRPr="005A2D50" w14:paraId="5A050EBA" w14:textId="77777777" w:rsidTr="00F14166">
        <w:tc>
          <w:tcPr>
            <w:tcW w:w="184" w:type="pct"/>
            <w:tcBorders>
              <w:top w:val="single" w:sz="5" w:space="0" w:color="000000"/>
              <w:left w:val="single" w:sz="5" w:space="0" w:color="000000"/>
              <w:bottom w:val="single" w:sz="5" w:space="0" w:color="000000"/>
              <w:right w:val="single" w:sz="5" w:space="0" w:color="000000"/>
            </w:tcBorders>
          </w:tcPr>
          <w:p w14:paraId="0A299FA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w:t>
            </w:r>
          </w:p>
        </w:tc>
        <w:tc>
          <w:tcPr>
            <w:tcW w:w="3530" w:type="pct"/>
            <w:tcBorders>
              <w:top w:val="single" w:sz="5" w:space="0" w:color="000000"/>
              <w:left w:val="single" w:sz="5" w:space="0" w:color="000000"/>
              <w:bottom w:val="single" w:sz="5" w:space="0" w:color="000000"/>
              <w:right w:val="single" w:sz="5" w:space="0" w:color="000000"/>
            </w:tcBorders>
          </w:tcPr>
          <w:p w14:paraId="79DFA18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VI.5. Atsauces summa (SMK ĪA 155. pants)</w:t>
            </w:r>
          </w:p>
          <w:p w14:paraId="13440D7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Sniedziet informāciju par atsauces summu, kas aptver visas pieteikuma iesniedzēja darbības, deklarācijas vai procedūras, atbilstīgi SMK 89. panta 5. punktam. Ja lēmuma pieņēmēja muitas dienesta noteiktā atsauces summa atšķiras no tās, kas norādīta pieteikumā, pamatojiet atšķirības iemeslus.</w:t>
            </w:r>
          </w:p>
        </w:tc>
        <w:tc>
          <w:tcPr>
            <w:tcW w:w="868" w:type="pct"/>
            <w:tcBorders>
              <w:top w:val="single" w:sz="5" w:space="0" w:color="000000"/>
              <w:left w:val="single" w:sz="5" w:space="0" w:color="000000"/>
              <w:bottom w:val="single" w:sz="5" w:space="0" w:color="000000"/>
              <w:right w:val="single" w:sz="5" w:space="0" w:color="000000"/>
            </w:tcBorders>
          </w:tcPr>
          <w:p w14:paraId="34C6214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c>
          <w:tcPr>
            <w:tcW w:w="418" w:type="pct"/>
            <w:tcBorders>
              <w:top w:val="single" w:sz="5" w:space="0" w:color="000000"/>
              <w:left w:val="single" w:sz="5" w:space="0" w:color="000000"/>
              <w:bottom w:val="single" w:sz="5" w:space="0" w:color="000000"/>
              <w:right w:val="single" w:sz="5" w:space="0" w:color="000000"/>
            </w:tcBorders>
          </w:tcPr>
          <w:p w14:paraId="2FF80C8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r>
      <w:tr w:rsidR="005A2D50" w:rsidRPr="005A2D50" w14:paraId="73014CAD" w14:textId="77777777" w:rsidTr="00F14166">
        <w:tc>
          <w:tcPr>
            <w:tcW w:w="184" w:type="pct"/>
            <w:tcBorders>
              <w:top w:val="single" w:sz="5" w:space="0" w:color="000000"/>
              <w:left w:val="single" w:sz="5" w:space="0" w:color="000000"/>
              <w:bottom w:val="single" w:sz="5" w:space="0" w:color="000000"/>
              <w:right w:val="single" w:sz="5" w:space="0" w:color="000000"/>
            </w:tcBorders>
          </w:tcPr>
          <w:p w14:paraId="0F12C93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6.</w:t>
            </w:r>
          </w:p>
        </w:tc>
        <w:tc>
          <w:tcPr>
            <w:tcW w:w="3530" w:type="pct"/>
            <w:tcBorders>
              <w:top w:val="single" w:sz="5" w:space="0" w:color="000000"/>
              <w:left w:val="single" w:sz="5" w:space="0" w:color="000000"/>
              <w:bottom w:val="single" w:sz="5" w:space="0" w:color="000000"/>
              <w:right w:val="single" w:sz="5" w:space="0" w:color="000000"/>
            </w:tcBorders>
          </w:tcPr>
          <w:p w14:paraId="5EBD2B8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VI.6. Maksājuma termiņš (SMK 110. pants)</w:t>
            </w:r>
          </w:p>
          <w:p w14:paraId="1A3C966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Ja vispārējais galvojums ir sniegts, lai segtu ievedmuitas vai izvedmuitas nodokli, kas jāmaksā, ja preces laiž brīvā apgrozībā vai nodod galapatēriņam, norādiet, vai galvojums segs:</w:t>
            </w:r>
          </w:p>
          <w:p w14:paraId="21624FD3"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parasto laikposmu pirms maksājuma, t. i., maksimāli 10 dienas pēc paziņošanas personai, kam radies muitas parāds, saskaņā ar SMK 108. pantu.</w:t>
            </w:r>
          </w:p>
        </w:tc>
        <w:tc>
          <w:tcPr>
            <w:tcW w:w="868" w:type="pct"/>
            <w:tcBorders>
              <w:top w:val="single" w:sz="5" w:space="0" w:color="000000"/>
              <w:left w:val="single" w:sz="5" w:space="0" w:color="000000"/>
              <w:bottom w:val="single" w:sz="5" w:space="0" w:color="000000"/>
              <w:right w:val="single" w:sz="5" w:space="0" w:color="000000"/>
            </w:tcBorders>
          </w:tcPr>
          <w:p w14:paraId="539D0EC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c>
          <w:tcPr>
            <w:tcW w:w="418" w:type="pct"/>
            <w:tcBorders>
              <w:top w:val="single" w:sz="5" w:space="0" w:color="000000"/>
              <w:left w:val="single" w:sz="5" w:space="0" w:color="000000"/>
              <w:bottom w:val="single" w:sz="5" w:space="0" w:color="000000"/>
              <w:right w:val="single" w:sz="5" w:space="0" w:color="000000"/>
            </w:tcBorders>
          </w:tcPr>
          <w:p w14:paraId="4B4D63F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Jā</w:t>
            </w:r>
          </w:p>
        </w:tc>
      </w:tr>
    </w:tbl>
    <w:p w14:paraId="13E78768"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4424C51" w14:textId="77777777" w:rsidR="005A2D50" w:rsidRPr="005A2D50" w:rsidRDefault="005A2D50" w:rsidP="005A2D50">
      <w:pPr>
        <w:pStyle w:val="Heading1"/>
        <w:rPr>
          <w:noProof/>
          <w:lang w:val="en-US"/>
        </w:rPr>
      </w:pPr>
      <w:bookmarkStart w:id="188" w:name="Annex_A,_Title_I_UCC_DA_—_Guarantee_refe"/>
      <w:bookmarkStart w:id="189" w:name="_bookmark52"/>
      <w:bookmarkStart w:id="190" w:name="_Toc104982810"/>
      <w:bookmarkEnd w:id="188"/>
      <w:bookmarkEnd w:id="189"/>
      <w:r w:rsidRPr="005A2D50">
        <w:rPr>
          <w:noProof/>
          <w:lang w:val="en-US"/>
        </w:rPr>
        <w:t>SMK DA A pielikums, I sadaļa. Galvojuma atsauces (datu elementi), kas jānorāda citiem pieteikumiem un atļaujām</w:t>
      </w:r>
      <w:bookmarkEnd w:id="190"/>
    </w:p>
    <w:p w14:paraId="6E76875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54339648" w14:textId="77777777" w:rsidR="005A2D50" w:rsidRPr="005A2D50" w:rsidRDefault="005A2D50" w:rsidP="005A2D50">
      <w:pPr>
        <w:pStyle w:val="BodyText"/>
        <w:rPr>
          <w:lang w:val="en-US"/>
        </w:rPr>
      </w:pPr>
      <w:r w:rsidRPr="005A2D50">
        <w:rPr>
          <w:lang w:val="en-US"/>
        </w:rPr>
        <w:t>1. Saistībā ar attiecīgo atļauju sniegtā galvojuma atsauces numurs.</w:t>
      </w:r>
    </w:p>
    <w:p w14:paraId="5A193B78" w14:textId="77777777" w:rsidR="005A2D50" w:rsidRPr="005A2D50" w:rsidRDefault="005A2D50" w:rsidP="005A2D50">
      <w:pPr>
        <w:pStyle w:val="BodyText"/>
        <w:rPr>
          <w:lang w:val="en-US"/>
        </w:rPr>
      </w:pPr>
      <w:r w:rsidRPr="005A2D50">
        <w:rPr>
          <w:lang w:val="en-US"/>
        </w:rPr>
        <w:t>2. Galvojuma summa (vienreizējā galvojuma summa vai – attiecībā uz vispārējo galvojumu – summa, kas vienāda ar to daļu no atsauces summas, kura iedalīta konkrētajai pagaidu uzglabāšanas vietas vai īpašas procedūras piemērošanas atļaujai).</w:t>
      </w:r>
    </w:p>
    <w:p w14:paraId="150B5957" w14:textId="77777777" w:rsidR="005A2D50" w:rsidRPr="005A2D50" w:rsidRDefault="005A2D50" w:rsidP="005A2D50">
      <w:pPr>
        <w:pStyle w:val="BodyText"/>
        <w:rPr>
          <w:lang w:val="en-US"/>
        </w:rPr>
      </w:pPr>
    </w:p>
    <w:p w14:paraId="6F6F23E9" w14:textId="77777777" w:rsidR="005A2D50" w:rsidRPr="005A2D50" w:rsidRDefault="005A2D50" w:rsidP="005A2D50">
      <w:pPr>
        <w:pStyle w:val="BodyText"/>
        <w:rPr>
          <w:lang w:val="en-US"/>
        </w:rPr>
      </w:pPr>
      <w:r w:rsidRPr="005A2D50">
        <w:rPr>
          <w:lang w:val="en-US"/>
        </w:rPr>
        <w:t>Pieteikumi un atļaujas, kuros jānorāda datu elementi attiecībā uz galvojumiem</w:t>
      </w:r>
    </w:p>
    <w:p w14:paraId="15C1A286" w14:textId="77777777" w:rsidR="005A2D50" w:rsidRPr="005A2D50" w:rsidRDefault="005A2D50" w:rsidP="005A2D50">
      <w:pPr>
        <w:pStyle w:val="BodyText"/>
        <w:rPr>
          <w:lang w:val="en-US"/>
        </w:rPr>
      </w:pPr>
    </w:p>
    <w:p w14:paraId="4084B257"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atlikt maksājamā nodokļa samaksu, ja vien atļauja netiek piešķirta attiecībā uz vienu darbību (SMK 110. pants/VII sadaļa).</w:t>
      </w:r>
    </w:p>
    <w:p w14:paraId="3DBA8E45"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pagaidu uzglabāšanas vietu darbībai (SMK 148. pants/IX sadaļa).</w:t>
      </w:r>
    </w:p>
    <w:p w14:paraId="38F0BEAA"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izmantot ievešanas pārstrādei procedūru (SMK 211. panta 1. punkta a) apakšpunkts/XVII sadaļa).</w:t>
      </w:r>
    </w:p>
    <w:p w14:paraId="06CF522F"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izmantot izvešanas pārstrādei procedūru (SMK 211. panta 1. punkta a) apakšpunkts/XVIII sadaļa).</w:t>
      </w:r>
    </w:p>
    <w:p w14:paraId="5A90810E"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izmantot galapatēriņa procedūru (SMK 211. panta 1. punkta a) apakšpunkts).</w:t>
      </w:r>
    </w:p>
    <w:p w14:paraId="74B3E7D3"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izmantot pagaidu ievešanas procedūru (SMK 211. panta 1. punkta a) apakšpunkts).</w:t>
      </w:r>
    </w:p>
    <w:p w14:paraId="34D17F84" w14:textId="77777777" w:rsidR="005A2D50" w:rsidRPr="005A2D50" w:rsidRDefault="005A2D50" w:rsidP="005A2D50">
      <w:pPr>
        <w:pStyle w:val="BodyText"/>
        <w:numPr>
          <w:ilvl w:val="0"/>
          <w:numId w:val="8"/>
        </w:numPr>
        <w:tabs>
          <w:tab w:val="left" w:pos="851"/>
        </w:tabs>
        <w:ind w:left="284" w:firstLine="0"/>
        <w:rPr>
          <w:lang w:val="en-US"/>
        </w:rPr>
      </w:pPr>
      <w:r w:rsidRPr="005A2D50">
        <w:rPr>
          <w:lang w:val="en-US"/>
        </w:rPr>
        <w:t>Pieteikums un atļauja uzglabāšanas vietu darbībai preču uzglabāšanai muitas noliktavā (SMK 211. panta 1. punkta b) apakšpunkts).</w:t>
      </w:r>
      <w:r w:rsidRPr="005A2D50">
        <w:rPr>
          <w:lang w:val="en-US"/>
        </w:rPr>
        <w:br w:type="page"/>
      </w:r>
    </w:p>
    <w:p w14:paraId="6415BA27" w14:textId="77777777" w:rsidR="005A2D50" w:rsidRPr="005A2D50" w:rsidRDefault="005A2D50" w:rsidP="005A2D50">
      <w:pPr>
        <w:jc w:val="both"/>
        <w:rPr>
          <w:rFonts w:ascii="Times New Roman" w:hAnsi="Times New Roman" w:cs="Times New Roman"/>
          <w:noProof/>
          <w:sz w:val="24"/>
          <w:szCs w:val="24"/>
          <w:lang w:val="en-US"/>
        </w:rPr>
      </w:pPr>
    </w:p>
    <w:p w14:paraId="309343C9" w14:textId="77777777" w:rsidR="005A2D50" w:rsidRPr="005A2D50" w:rsidRDefault="005A2D50" w:rsidP="005A2D50">
      <w:pPr>
        <w:pStyle w:val="Heading1"/>
        <w:rPr>
          <w:noProof/>
          <w:lang w:val="en-US"/>
        </w:rPr>
      </w:pPr>
      <w:bookmarkStart w:id="191" w:name="Annex_2_Examples"/>
      <w:bookmarkStart w:id="192" w:name="_bookmark53"/>
      <w:bookmarkStart w:id="193" w:name="_Toc104982811"/>
      <w:bookmarkEnd w:id="191"/>
      <w:bookmarkEnd w:id="192"/>
      <w:r w:rsidRPr="005A2D50">
        <w:rPr>
          <w:noProof/>
          <w:lang w:val="en-US"/>
        </w:rPr>
        <w:t xml:space="preserve">2. pielikums. </w:t>
      </w:r>
      <w:bookmarkEnd w:id="193"/>
      <w:r w:rsidRPr="005A2D50">
        <w:rPr>
          <w:noProof/>
          <w:lang w:val="en-US"/>
        </w:rPr>
        <w:t>Piemēri</w:t>
      </w:r>
    </w:p>
    <w:p w14:paraId="1C9C32CA" w14:textId="77777777" w:rsidR="005A2D50" w:rsidRPr="005A2D50" w:rsidRDefault="005A2D50" w:rsidP="005A2D50">
      <w:pPr>
        <w:pStyle w:val="BodyText"/>
        <w:rPr>
          <w:lang w:val="en-US"/>
        </w:rPr>
      </w:pPr>
    </w:p>
    <w:p w14:paraId="2F552EC6" w14:textId="77777777" w:rsidR="005A2D50" w:rsidRPr="005A2D50" w:rsidRDefault="005A2D50" w:rsidP="005A2D50">
      <w:pPr>
        <w:pStyle w:val="Heading2"/>
        <w:rPr>
          <w:noProof/>
          <w:lang w:val="en-US"/>
        </w:rPr>
      </w:pPr>
      <w:bookmarkStart w:id="194" w:name="A2.1_Calculation_of_the_amount_of_the_co"/>
      <w:bookmarkStart w:id="195" w:name="_bookmark54"/>
      <w:bookmarkStart w:id="196" w:name="_Toc104982812"/>
      <w:bookmarkEnd w:id="194"/>
      <w:bookmarkEnd w:id="195"/>
      <w:r w:rsidRPr="005A2D50">
        <w:rPr>
          <w:noProof/>
          <w:lang w:val="en-US"/>
        </w:rPr>
        <w:t>A2.1. Summas aprēķins vispārējam galvojumam ar iespējamu samazinājumu/atbrīvojumu</w:t>
      </w:r>
      <w:bookmarkEnd w:id="196"/>
    </w:p>
    <w:p w14:paraId="71F02F07"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6491C3A" w14:textId="77777777" w:rsidR="005A2D50" w:rsidRPr="005A2D50" w:rsidRDefault="005A2D50" w:rsidP="005A2D50">
      <w:pPr>
        <w:pStyle w:val="BodyText"/>
        <w:rPr>
          <w:lang w:val="en-US"/>
        </w:rPr>
      </w:pPr>
      <w:r w:rsidRPr="005A2D50">
        <w:rPr>
          <w:lang w:val="en-US"/>
        </w:rPr>
        <w:t xml:space="preserve">Atsauces summa kopā ir </w:t>
      </w:r>
      <w:r w:rsidRPr="005A2D50">
        <w:rPr>
          <w:b/>
          <w:lang w:val="en-US"/>
        </w:rPr>
        <w:t>1 000 000 EUR</w:t>
      </w:r>
      <w:r w:rsidRPr="005A2D50">
        <w:rPr>
          <w:lang w:val="en-US"/>
        </w:rPr>
        <w:t>, ko sadala šādi: muitas procedūra (A) 200 000 EUR; (B) 200 000 EUR; (C) 200 000 EUR; (D) 200 000 EUR un (E) 200 000 EUR.</w:t>
      </w:r>
    </w:p>
    <w:p w14:paraId="5DCC9A23" w14:textId="77777777" w:rsidR="005A2D50" w:rsidRPr="005A2D50" w:rsidRDefault="005A2D50" w:rsidP="005A2D50">
      <w:pPr>
        <w:pStyle w:val="BodyText"/>
        <w:rPr>
          <w:u w:color="000000"/>
          <w:lang w:val="en-US"/>
        </w:rPr>
      </w:pPr>
    </w:p>
    <w:p w14:paraId="0D420BFB" w14:textId="77777777" w:rsidR="005A2D50" w:rsidRPr="005A2D50" w:rsidRDefault="005A2D50" w:rsidP="005A2D50">
      <w:pPr>
        <w:pStyle w:val="BodyText"/>
        <w:rPr>
          <w:u w:val="single" w:color="000000"/>
          <w:lang w:val="en-US"/>
        </w:rPr>
      </w:pPr>
      <w:r w:rsidRPr="005A2D50">
        <w:rPr>
          <w:u w:val="single" w:color="000000"/>
          <w:lang w:val="en-US"/>
        </w:rPr>
        <w:t xml:space="preserve">i) Uzņēmēji, kas nav </w:t>
      </w:r>
      <w:r w:rsidRPr="005A2D50">
        <w:rPr>
          <w:i/>
          <w:iCs/>
          <w:u w:val="single" w:color="000000"/>
          <w:lang w:val="en-US"/>
        </w:rPr>
        <w:t>AEOC</w:t>
      </w:r>
    </w:p>
    <w:p w14:paraId="39D258CD"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55A5884A"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0F8AA85E" wp14:editId="5569DD03">
            <wp:extent cx="5762625" cy="2817495"/>
            <wp:effectExtent l="0" t="0" r="0" b="0"/>
            <wp:docPr id="11" name="Picture 1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Diagram&#10;&#10;Description automatically generated"/>
                    <pic:cNvPicPr/>
                  </pic:nvPicPr>
                  <pic:blipFill>
                    <a:blip r:embed="rId17">
                      <a:extLst>
                        <a:ext uri="{28A0092B-C50C-407E-A947-70E740481C1C}">
                          <a14:useLocalDpi xmlns:a14="http://schemas.microsoft.com/office/drawing/2010/main" val="0"/>
                        </a:ext>
                      </a:extLst>
                    </a:blip>
                    <a:stretch>
                      <a:fillRect/>
                    </a:stretch>
                  </pic:blipFill>
                  <pic:spPr>
                    <a:xfrm>
                      <a:off x="0" y="0"/>
                      <a:ext cx="5762625" cy="2817495"/>
                    </a:xfrm>
                    <a:prstGeom prst="rect">
                      <a:avLst/>
                    </a:prstGeom>
                  </pic:spPr>
                </pic:pic>
              </a:graphicData>
            </a:graphic>
          </wp:inline>
        </w:drawing>
      </w:r>
    </w:p>
    <w:p w14:paraId="4A6A543A"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C2E0AA3"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Uzņēmējam prasītā galvojuma faktiskā summa var sasniegt </w:t>
      </w:r>
      <w:r w:rsidRPr="005A2D50">
        <w:rPr>
          <w:rFonts w:ascii="Times New Roman" w:hAnsi="Times New Roman"/>
          <w:b/>
          <w:bCs/>
          <w:noProof/>
          <w:sz w:val="24"/>
          <w:lang w:val="en-US"/>
        </w:rPr>
        <w:t>700 000 EUR, ja tiek piešķirts samazinājums līdz 50 % no iespējamajam muitas parādam noteiktās atsauces summas.</w:t>
      </w:r>
    </w:p>
    <w:p w14:paraId="3D5AF9B0"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629B31F"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noProof/>
          <w:sz w:val="24"/>
          <w:u w:val="single"/>
          <w:lang w:val="en-US"/>
        </w:rPr>
        <w:t>ii) </w:t>
      </w:r>
      <w:r w:rsidRPr="005A2D50">
        <w:rPr>
          <w:rFonts w:ascii="Times New Roman" w:hAnsi="Times New Roman"/>
          <w:i/>
          <w:iCs/>
          <w:noProof/>
          <w:sz w:val="24"/>
          <w:u w:val="single"/>
          <w:lang w:val="en-US"/>
        </w:rPr>
        <w:t>AEOC</w:t>
      </w:r>
    </w:p>
    <w:p w14:paraId="68C99276"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804AFC8" w14:textId="77777777" w:rsidR="005A2D50" w:rsidRPr="005A2D50" w:rsidRDefault="005A2D50" w:rsidP="005A2D50">
      <w:pPr>
        <w:jc w:val="center"/>
        <w:rPr>
          <w:rFonts w:ascii="Times New Roman" w:eastAsia="Times New Roman" w:hAnsi="Times New Roman" w:cs="Times New Roman"/>
          <w:noProof/>
          <w:sz w:val="24"/>
          <w:szCs w:val="24"/>
          <w:lang w:val="en-US"/>
        </w:rPr>
      </w:pPr>
      <w:r w:rsidRPr="005A2D50">
        <w:rPr>
          <w:rFonts w:ascii="Times New Roman" w:eastAsia="Times New Roman" w:hAnsi="Times New Roman" w:cs="Times New Roman"/>
          <w:noProof/>
          <w:sz w:val="24"/>
          <w:szCs w:val="24"/>
          <w:lang w:val="en-US"/>
        </w:rPr>
        <w:drawing>
          <wp:inline distT="0" distB="0" distL="0" distR="0" wp14:anchorId="5950A523" wp14:editId="05DC22E2">
            <wp:extent cx="4740051" cy="2309060"/>
            <wp:effectExtent l="0" t="0" r="0" b="0"/>
            <wp:docPr id="12" name="Picture 1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Diagram&#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4740051" cy="2309060"/>
                    </a:xfrm>
                    <a:prstGeom prst="rect">
                      <a:avLst/>
                    </a:prstGeom>
                  </pic:spPr>
                </pic:pic>
              </a:graphicData>
            </a:graphic>
          </wp:inline>
        </w:drawing>
      </w:r>
    </w:p>
    <w:p w14:paraId="06D84940" w14:textId="77777777" w:rsidR="005A2D50" w:rsidRPr="005A2D50" w:rsidRDefault="005A2D50" w:rsidP="005A2D50">
      <w:pPr>
        <w:jc w:val="both"/>
        <w:rPr>
          <w:rFonts w:ascii="Times New Roman" w:hAnsi="Times New Roman" w:cs="Times New Roman"/>
          <w:noProof/>
          <w:sz w:val="24"/>
          <w:szCs w:val="24"/>
          <w:lang w:val="en-US"/>
        </w:rPr>
      </w:pPr>
    </w:p>
    <w:p w14:paraId="327EDB91"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Uzņēmējam prasītā galvojuma faktiskā summa var sasniegt </w:t>
      </w:r>
      <w:r w:rsidRPr="005A2D50">
        <w:rPr>
          <w:rFonts w:ascii="Times New Roman" w:hAnsi="Times New Roman"/>
          <w:b/>
          <w:bCs/>
          <w:noProof/>
          <w:sz w:val="24"/>
          <w:lang w:val="en-US"/>
        </w:rPr>
        <w:t>120 000 EUR, ja tiek piešķirts atbrīvojums no galvojuma līdz iespējamajam muitas parādam noteiktās atsauces summas.</w:t>
      </w:r>
    </w:p>
    <w:p w14:paraId="47BA0FCF"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47FD52A3" w14:textId="77777777" w:rsidR="005A2D50" w:rsidRPr="005A2D50" w:rsidRDefault="005A2D50" w:rsidP="005A2D50">
      <w:pPr>
        <w:pStyle w:val="Heading2"/>
        <w:rPr>
          <w:noProof/>
          <w:lang w:val="en-US"/>
        </w:rPr>
      </w:pPr>
      <w:bookmarkStart w:id="197" w:name="A2.2_Geographical_validity_of_the_guaran"/>
      <w:bookmarkStart w:id="198" w:name="_bookmark55"/>
      <w:bookmarkStart w:id="199" w:name="_Toc104982813"/>
      <w:bookmarkEnd w:id="197"/>
      <w:bookmarkEnd w:id="198"/>
      <w:r w:rsidRPr="005A2D50">
        <w:rPr>
          <w:noProof/>
          <w:lang w:val="en-US"/>
        </w:rPr>
        <w:t>A2.2. Galvojuma derīguma ģeogrāfiskais areāls, ja tiek piemērotas īpašas procedūras, kas attiecas uz vairāk nekā vienu dalībvalsti</w:t>
      </w:r>
      <w:bookmarkEnd w:id="199"/>
    </w:p>
    <w:p w14:paraId="5C581A4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AF4A7DA" w14:textId="77777777" w:rsidR="005A2D50" w:rsidRPr="005A2D50" w:rsidRDefault="005A2D50" w:rsidP="005A2D50">
      <w:pPr>
        <w:jc w:val="both"/>
        <w:rPr>
          <w:rFonts w:ascii="Times New Roman" w:eastAsia="Times New Roman" w:hAnsi="Times New Roman" w:cs="Times New Roman"/>
          <w:noProof/>
          <w:sz w:val="24"/>
          <w:szCs w:val="24"/>
          <w:lang w:val="en-US"/>
        </w:rPr>
      </w:pPr>
      <w:r w:rsidRPr="005A2D50">
        <w:rPr>
          <w:rFonts w:ascii="Times New Roman" w:hAnsi="Times New Roman"/>
          <w:noProof/>
          <w:sz w:val="24"/>
          <w:lang w:val="en-US"/>
        </w:rPr>
        <w:t xml:space="preserve">Šis piemērs attiecas uz IP, bet tas </w:t>
      </w:r>
      <w:r w:rsidRPr="005A2D50">
        <w:rPr>
          <w:rFonts w:ascii="Times New Roman" w:hAnsi="Times New Roman"/>
          <w:i/>
          <w:iCs/>
          <w:noProof/>
          <w:sz w:val="24"/>
          <w:lang w:val="en-US"/>
        </w:rPr>
        <w:t>mutatis mutandis attiecas uz visām īpašajām procedūrām, kuras skar vairāk nekā vienu dalībvalsti</w:t>
      </w:r>
      <w:r w:rsidRPr="005A2D50">
        <w:rPr>
          <w:rFonts w:ascii="Times New Roman" w:hAnsi="Times New Roman"/>
          <w:noProof/>
          <w:sz w:val="24"/>
          <w:lang w:val="en-US"/>
        </w:rPr>
        <w:t>.</w:t>
      </w:r>
    </w:p>
    <w:p w14:paraId="56D8276B" w14:textId="77777777" w:rsidR="005A2D50" w:rsidRPr="005A2D50" w:rsidRDefault="005A2D50" w:rsidP="005A2D50">
      <w:pPr>
        <w:pStyle w:val="BodyText"/>
        <w:rPr>
          <w:lang w:val="en-US"/>
        </w:rPr>
      </w:pPr>
      <w:r w:rsidRPr="005A2D50">
        <w:rPr>
          <w:lang w:val="en-US"/>
        </w:rPr>
        <w:t>Atļaujā veikt IP var noteikt, ka preces, kurām piemēro IP procedūru A dalībvalstī, var apstrādāt dalībvalstī B un dalībvalstī C.</w:t>
      </w:r>
    </w:p>
    <w:p w14:paraId="3D6D09D0" w14:textId="77777777" w:rsidR="005A2D50" w:rsidRPr="005A2D50" w:rsidRDefault="005A2D50" w:rsidP="005A2D50">
      <w:pPr>
        <w:pStyle w:val="BodyText"/>
        <w:rPr>
          <w:lang w:val="en-US"/>
        </w:rPr>
      </w:pPr>
      <w:r w:rsidRPr="005A2D50">
        <w:rPr>
          <w:lang w:val="en-US"/>
        </w:rPr>
        <w:t>Pastāv iespēja, ka precēm nelikumīgi netiks piemērota procedūra nevienā no trim dalībvalstīm (A, B un C), radot parādu jebkurā no šīm dalībvalstīm. Tāpēc galvojumam ir jābūt derīgam visās trīs dalībvalstīs.</w:t>
      </w:r>
    </w:p>
    <w:p w14:paraId="1B1E5784" w14:textId="77777777" w:rsidR="005A2D50" w:rsidRPr="005A2D50" w:rsidRDefault="005A2D50" w:rsidP="005A2D50">
      <w:pPr>
        <w:pStyle w:val="BodyText"/>
        <w:rPr>
          <w:lang w:val="en-US"/>
        </w:rPr>
      </w:pPr>
      <w:r w:rsidRPr="005A2D50">
        <w:rPr>
          <w:lang w:val="en-US"/>
        </w:rPr>
        <w:t>Tomēr, piemērojot minēto īpašo procedūru, preces var šķērsot arī citu dalībvalstu teritoriju (X un Y), ne tikai A, B un C, piemēram, preces var pārvietot no dalībvalsts A uz dalībvalsti B, tāpēc pastāv iespēja, ka parāds rodas arī šajās citās dalībvalstīs X un Y, tātad galvojumam ir jābūt derīgam arī šajās dalībvalstīs.</w:t>
      </w:r>
    </w:p>
    <w:p w14:paraId="76102C74" w14:textId="77777777" w:rsidR="005A2D50" w:rsidRPr="005A2D50" w:rsidRDefault="005A2D50" w:rsidP="005A2D50">
      <w:pPr>
        <w:pStyle w:val="BodyText"/>
        <w:rPr>
          <w:lang w:val="en-US"/>
        </w:rPr>
      </w:pPr>
      <w:r w:rsidRPr="005A2D50">
        <w:rPr>
          <w:lang w:val="en-US"/>
        </w:rPr>
        <w:t>Tā kā īpašu procedūru atļaujā nevar norādīt teritoriju, caur kurām dalībvalstīm var pārvietot preces, katrā ES dalībvalstī precēm varētu nepiemērot attiecīgo īpašo procedūru, kas būtu nelikumīgi. Tāpēc galvojumam ir jābūt derīgam visā ES.</w:t>
      </w:r>
    </w:p>
    <w:p w14:paraId="6586659C" w14:textId="77777777" w:rsidR="005A2D50" w:rsidRPr="005A2D50" w:rsidRDefault="005A2D50" w:rsidP="005A2D50">
      <w:pPr>
        <w:pStyle w:val="BodyText"/>
        <w:rPr>
          <w:lang w:val="en-US"/>
        </w:rPr>
      </w:pPr>
    </w:p>
    <w:p w14:paraId="6FF4FB18" w14:textId="77777777" w:rsidR="005A2D50" w:rsidRPr="005A2D50" w:rsidRDefault="005A2D50" w:rsidP="005A2D50">
      <w:pPr>
        <w:pStyle w:val="Heading2"/>
        <w:rPr>
          <w:noProof/>
          <w:lang w:val="en-US"/>
        </w:rPr>
      </w:pPr>
      <w:bookmarkStart w:id="200" w:name="A2.3_Deferred_payment_in_a_multi-Member_"/>
      <w:bookmarkStart w:id="201" w:name="_bookmark56"/>
      <w:bookmarkStart w:id="202" w:name="_Toc104982814"/>
      <w:bookmarkEnd w:id="200"/>
      <w:bookmarkEnd w:id="201"/>
      <w:r w:rsidRPr="005A2D50">
        <w:rPr>
          <w:noProof/>
          <w:lang w:val="en-US"/>
        </w:rPr>
        <w:t>A2.3. Atliktais maksājums vairāku dalībvalstu galvojuma gadījumā</w:t>
      </w:r>
      <w:bookmarkEnd w:id="202"/>
    </w:p>
    <w:p w14:paraId="2451B75D"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DF43722" w14:textId="77777777" w:rsidR="005A2D50" w:rsidRPr="005A2D50" w:rsidRDefault="005A2D50" w:rsidP="005A2D50">
      <w:pPr>
        <w:pStyle w:val="BodyText"/>
        <w:rPr>
          <w:b/>
          <w:bCs/>
          <w:lang w:val="en-US"/>
        </w:rPr>
      </w:pPr>
      <w:bookmarkStart w:id="203" w:name="Situation_1"/>
      <w:bookmarkEnd w:id="203"/>
      <w:r w:rsidRPr="005A2D50">
        <w:rPr>
          <w:b/>
          <w:bCs/>
          <w:lang w:val="en-US"/>
        </w:rPr>
        <w:t>1. situācija</w:t>
      </w:r>
    </w:p>
    <w:p w14:paraId="4CF41713" w14:textId="77777777" w:rsidR="005A2D50" w:rsidRPr="005A2D50" w:rsidRDefault="005A2D50" w:rsidP="005A2D50">
      <w:pPr>
        <w:jc w:val="both"/>
        <w:rPr>
          <w:rFonts w:ascii="Times New Roman" w:eastAsia="Times New Roman" w:hAnsi="Times New Roman" w:cs="Times New Roman"/>
          <w:b/>
          <w:bCs/>
          <w:i/>
          <w:noProof/>
          <w:sz w:val="24"/>
          <w:szCs w:val="24"/>
          <w:lang w:val="en-US"/>
        </w:rPr>
      </w:pPr>
    </w:p>
    <w:p w14:paraId="4B261A54" w14:textId="77777777" w:rsidR="005A2D50" w:rsidRPr="005A2D50" w:rsidRDefault="005A2D50" w:rsidP="005A2D50">
      <w:pPr>
        <w:pStyle w:val="BodyText"/>
        <w:rPr>
          <w:lang w:val="en-US"/>
        </w:rPr>
      </w:pPr>
      <w:r w:rsidRPr="005A2D50">
        <w:rPr>
          <w:lang w:val="en-US"/>
        </w:rPr>
        <w:t xml:space="preserve">Uzņēmējs ir reģistrēts un veic ar muitu saistīto uzskaiti, un tam ir piešķirts </w:t>
      </w:r>
      <w:r w:rsidRPr="005A2D50">
        <w:rPr>
          <w:i/>
          <w:iCs/>
          <w:lang w:val="en-US"/>
        </w:rPr>
        <w:t xml:space="preserve">AEOC </w:t>
      </w:r>
      <w:r w:rsidRPr="005A2D50">
        <w:rPr>
          <w:lang w:val="en-US"/>
        </w:rPr>
        <w:t>statuss uzņēmējā dalībvalstī (dalībvalstī Nr. 1). Uzņēmējs iesniedz pieteikumu atļaujai atlikt maksājumu citā dalībvalstī (dalībvalstī Nr. 2) attiecībā uz precēm, kas laižamas brīvā apgrozībā dalībvalstī Nr. 2. Uzņēmējs neveic ar muitu saistīto uzskaiti dalībvalstī Nr. 2.</w:t>
      </w:r>
    </w:p>
    <w:p w14:paraId="0FCCEDF9" w14:textId="77777777" w:rsidR="005A2D50" w:rsidRPr="005A2D50" w:rsidRDefault="005A2D50" w:rsidP="005A2D50">
      <w:pPr>
        <w:pStyle w:val="BodyText"/>
        <w:rPr>
          <w:lang w:val="en-US"/>
        </w:rPr>
      </w:pPr>
      <w:r w:rsidRPr="005A2D50">
        <w:rPr>
          <w:lang w:val="en-US"/>
        </w:rPr>
        <w:t>Muitas dienests, kas ir kompetents dot atļauju atlikt maksājumu</w:t>
      </w:r>
    </w:p>
    <w:p w14:paraId="43D21AAF" w14:textId="77777777" w:rsidR="005A2D50" w:rsidRPr="005A2D50" w:rsidRDefault="005A2D50" w:rsidP="005A2D50">
      <w:pPr>
        <w:pStyle w:val="BodyText"/>
        <w:rPr>
          <w:lang w:val="en-US"/>
        </w:rPr>
      </w:pPr>
      <w:r w:rsidRPr="005A2D50">
        <w:rPr>
          <w:lang w:val="en-US"/>
        </w:rPr>
        <w:t>Dalībvalsts Nr. 2 piešķirs atlikto maksājumu saskaņā ar SMK 110. panta b) punktu, jo preces importē dalībvalstī Nr. 2 un atliktā maksājuma uzraudzība ir iespējama, izmantojot uzņēmēja iesniegto informāciju. Šajā konkrētajā situācijā turpmāka piekļuve uzņēmēja uzskaitei nav nepieciešama, lai piešķirtu un uzraudzītu atliktā maksājuma atļauju. Ja maksājums tiek atlikts, atļaujas pareizas izmantošanas uzraudzībai nepieciešamā informācija ir muitas un citu nodokļu summa. Šo informāciju norāda muitas deklarācijā un atbilstošajā muitas nodokļu novērtējumā. Tā kā iepriekš minētā informācija atsauces summas uzraudzībai ir iekļauta muitas IT sistēmās/reģistros, šajā gadījumā nav nepieciešama padziļināta piekļuve pieteikuma iesniedzēja uzskaitei.</w:t>
      </w:r>
    </w:p>
    <w:p w14:paraId="6E569260" w14:textId="77777777" w:rsidR="005A2D50" w:rsidRPr="005A2D50" w:rsidRDefault="005A2D50" w:rsidP="005A2D50">
      <w:pPr>
        <w:pStyle w:val="BodyText"/>
        <w:rPr>
          <w:lang w:val="en-US"/>
        </w:rPr>
      </w:pPr>
      <w:r w:rsidRPr="005A2D50">
        <w:rPr>
          <w:lang w:val="en-US"/>
        </w:rPr>
        <w:t xml:space="preserve">Muitas dienests, kas ir kompetents piešķirt </w:t>
      </w:r>
      <w:r w:rsidRPr="005A2D50">
        <w:rPr>
          <w:i/>
          <w:iCs/>
          <w:lang w:val="en-US"/>
        </w:rPr>
        <w:t xml:space="preserve">CGU </w:t>
      </w:r>
      <w:r w:rsidRPr="005A2D50">
        <w:rPr>
          <w:lang w:val="en-US"/>
        </w:rPr>
        <w:t>atļauju</w:t>
      </w:r>
    </w:p>
    <w:p w14:paraId="0A3A4ECF" w14:textId="77777777" w:rsidR="005A2D50" w:rsidRPr="005A2D50" w:rsidRDefault="005A2D50" w:rsidP="005A2D50">
      <w:pPr>
        <w:pStyle w:val="BodyText"/>
        <w:rPr>
          <w:lang w:val="en-US"/>
        </w:rPr>
      </w:pPr>
      <w:r w:rsidRPr="005A2D50">
        <w:rPr>
          <w:lang w:val="en-US"/>
        </w:rPr>
        <w:t>Saskaņā ar ĪA 345. pantu, lai saņemtu atļauju atlikt maksājumu, ir jāsaņem atbilstoša atļauja izmantot vispārējo galvojumu (</w:t>
      </w:r>
      <w:r w:rsidRPr="005A2D50">
        <w:rPr>
          <w:i/>
          <w:iCs/>
          <w:lang w:val="en-US"/>
        </w:rPr>
        <w:t xml:space="preserve">CGU </w:t>
      </w:r>
      <w:r w:rsidRPr="005A2D50">
        <w:rPr>
          <w:lang w:val="en-US"/>
        </w:rPr>
        <w:t xml:space="preserve">atļauja). Tā kā uzņēmējam tika piešķirts </w:t>
      </w:r>
      <w:r w:rsidRPr="005A2D50">
        <w:rPr>
          <w:i/>
          <w:iCs/>
          <w:lang w:val="en-US"/>
        </w:rPr>
        <w:t xml:space="preserve">AEOC </w:t>
      </w:r>
      <w:r w:rsidRPr="005A2D50">
        <w:rPr>
          <w:lang w:val="en-US"/>
        </w:rPr>
        <w:t xml:space="preserve">statuss dalībvalstī Nr. 1, tad šī dalībvalsts ir atbildīga par to, lai piešķirtu attiecīgo </w:t>
      </w:r>
      <w:r w:rsidRPr="005A2D50">
        <w:rPr>
          <w:i/>
          <w:iCs/>
          <w:lang w:val="en-US"/>
        </w:rPr>
        <w:t xml:space="preserve">CGU </w:t>
      </w:r>
      <w:r w:rsidRPr="005A2D50">
        <w:rPr>
          <w:lang w:val="en-US"/>
        </w:rPr>
        <w:t>atļauju. Šeit nedrīkst aizmirst, ka dalībvalsts Nr. 1 jau novērtēja SMK 39. panta a) un d) punkta kritērijus. Šajā gadījumā atbilstoši ĪA 14. pantam dalībvalsts Nr. 1 muitai ir jāapspriežas ar dalībvalsti Nr. 2 par atsauces summu. Dalībvalsts Nr. 2 ir atbildīga par atsauces summas pārraudzību.</w:t>
      </w:r>
    </w:p>
    <w:p w14:paraId="79EE1E42" w14:textId="77777777" w:rsidR="005A2D50" w:rsidRPr="005A2D50" w:rsidRDefault="005A2D50" w:rsidP="005A2D50">
      <w:pPr>
        <w:pStyle w:val="BodyText"/>
        <w:rPr>
          <w:lang w:val="en-US"/>
        </w:rPr>
      </w:pPr>
      <w:r w:rsidRPr="005A2D50">
        <w:rPr>
          <w:lang w:val="en-US"/>
        </w:rPr>
        <w:t xml:space="preserve">Jānovērš iespēja, ka dalībvalsts Nr. 2 izskata kritērijus, kurus dalībvalsts Nr. 1 saistībā ar </w:t>
      </w:r>
      <w:r w:rsidRPr="005A2D50">
        <w:rPr>
          <w:i/>
          <w:iCs/>
          <w:lang w:val="en-US"/>
        </w:rPr>
        <w:t xml:space="preserve">AEOC </w:t>
      </w:r>
      <w:r w:rsidRPr="005A2D50">
        <w:rPr>
          <w:lang w:val="en-US"/>
        </w:rPr>
        <w:t xml:space="preserve">jau ir novērtējusi un uzrauga. Muitas dienestam, kas ir kompetents attiecībā uz </w:t>
      </w:r>
      <w:r w:rsidRPr="005A2D50">
        <w:rPr>
          <w:i/>
          <w:iCs/>
          <w:lang w:val="en-US"/>
        </w:rPr>
        <w:t>AEOC</w:t>
      </w:r>
      <w:r w:rsidRPr="005A2D50">
        <w:rPr>
          <w:lang w:val="en-US"/>
        </w:rPr>
        <w:t>, jābūt iespējai ņemt vērā arī uzņēmēja darbības citās dalībvalstīs.</w:t>
      </w:r>
    </w:p>
    <w:p w14:paraId="3F0BB99F" w14:textId="77777777" w:rsidR="005A2D50" w:rsidRPr="005A2D50" w:rsidRDefault="005A2D50" w:rsidP="005A2D50">
      <w:pPr>
        <w:jc w:val="both"/>
        <w:rPr>
          <w:rFonts w:ascii="Times New Roman" w:hAnsi="Times New Roman" w:cs="Times New Roman"/>
          <w:noProof/>
          <w:sz w:val="24"/>
          <w:szCs w:val="24"/>
          <w:lang w:val="en-US"/>
        </w:rPr>
      </w:pPr>
    </w:p>
    <w:p w14:paraId="3FDCD51D" w14:textId="77777777" w:rsidR="005A2D50" w:rsidRPr="005A2D50" w:rsidRDefault="005A2D50" w:rsidP="005A2D50">
      <w:pPr>
        <w:pStyle w:val="BodyText"/>
        <w:keepNext/>
        <w:keepLines/>
        <w:rPr>
          <w:b/>
          <w:bCs/>
          <w:lang w:val="en-US"/>
        </w:rPr>
      </w:pPr>
      <w:bookmarkStart w:id="204" w:name="Situation_2"/>
      <w:bookmarkEnd w:id="204"/>
      <w:r w:rsidRPr="005A2D50">
        <w:rPr>
          <w:b/>
          <w:bCs/>
          <w:lang w:val="en-US"/>
        </w:rPr>
        <w:t>2. situācija</w:t>
      </w:r>
    </w:p>
    <w:p w14:paraId="15E896E6" w14:textId="77777777" w:rsidR="005A2D50" w:rsidRPr="005A2D50" w:rsidRDefault="005A2D50" w:rsidP="005A2D50">
      <w:pPr>
        <w:keepNext/>
        <w:keepLines/>
        <w:jc w:val="both"/>
        <w:rPr>
          <w:rFonts w:ascii="Times New Roman" w:eastAsia="Times New Roman" w:hAnsi="Times New Roman" w:cs="Times New Roman"/>
          <w:b/>
          <w:bCs/>
          <w:i/>
          <w:noProof/>
          <w:sz w:val="24"/>
          <w:szCs w:val="24"/>
          <w:lang w:val="en-US"/>
        </w:rPr>
      </w:pPr>
    </w:p>
    <w:p w14:paraId="16F1B579" w14:textId="77777777" w:rsidR="005A2D50" w:rsidRPr="005A2D50" w:rsidRDefault="005A2D50" w:rsidP="005A2D50">
      <w:pPr>
        <w:pStyle w:val="BodyText"/>
        <w:keepNext/>
        <w:keepLines/>
        <w:rPr>
          <w:lang w:val="en-US"/>
        </w:rPr>
      </w:pPr>
      <w:r w:rsidRPr="005A2D50">
        <w:rPr>
          <w:lang w:val="en-US"/>
        </w:rPr>
        <w:t>Uzņēmējs atrodas un veic ar muitu saistīto uzskaiti dalībvalstī Nr. 1. Uzņēmējam nav atļaujas veikt darbību dalībvalstī Nr. 1. Uzņēmējs iesniedz pieteikumu atļaujai atlikt maksājumu dalībvalstī Nr. 2 attiecībā uz precēm, kas laistas brīvā apgrozībā dalībvalstī Nr. 2. Uzņēmējs neveic ar muitu saistīto uzskaiti dalībvalstī Nr. 2.</w:t>
      </w:r>
    </w:p>
    <w:p w14:paraId="51CB941C" w14:textId="77777777" w:rsidR="005A2D50" w:rsidRPr="005A2D50" w:rsidRDefault="005A2D50" w:rsidP="005A2D50">
      <w:pPr>
        <w:pStyle w:val="BodyText"/>
        <w:rPr>
          <w:lang w:val="en-US"/>
        </w:rPr>
      </w:pPr>
      <w:r w:rsidRPr="005A2D50">
        <w:rPr>
          <w:lang w:val="en-US"/>
        </w:rPr>
        <w:t>Muitas dienests, kas ir kompetents dot atļauju atlikt maksājumu</w:t>
      </w:r>
    </w:p>
    <w:p w14:paraId="09FDD602" w14:textId="77777777" w:rsidR="005A2D50" w:rsidRPr="005A2D50" w:rsidRDefault="005A2D50" w:rsidP="005A2D50">
      <w:pPr>
        <w:pStyle w:val="BodyText"/>
        <w:rPr>
          <w:lang w:val="en-US"/>
        </w:rPr>
      </w:pPr>
      <w:r w:rsidRPr="005A2D50">
        <w:rPr>
          <w:lang w:val="en-US"/>
        </w:rPr>
        <w:t>Dalībvalsts Nr. 2 piešķirs atlikto maksājumu saskaņā ar SMK 110. panta b) punktu, jo preces importē caur dalībvalsti Nr. 2 un atliktā maksājuma uzraudzība ir iespējama, izmantojot uzņēmēja iesniegto informāciju (kā 1. piemērā).</w:t>
      </w:r>
    </w:p>
    <w:p w14:paraId="6A07CA6A" w14:textId="77777777" w:rsidR="005A2D50" w:rsidRPr="005A2D50" w:rsidRDefault="005A2D50" w:rsidP="005A2D50">
      <w:pPr>
        <w:pStyle w:val="BodyText"/>
        <w:rPr>
          <w:lang w:val="en-US"/>
        </w:rPr>
      </w:pPr>
      <w:r w:rsidRPr="005A2D50">
        <w:rPr>
          <w:lang w:val="en-US"/>
        </w:rPr>
        <w:t xml:space="preserve">Muitas dienests, kas ir kompetents piešķirt </w:t>
      </w:r>
      <w:r w:rsidRPr="005A2D50">
        <w:rPr>
          <w:i/>
          <w:iCs/>
          <w:lang w:val="en-US"/>
        </w:rPr>
        <w:t xml:space="preserve">CGU </w:t>
      </w:r>
      <w:r w:rsidRPr="005A2D50">
        <w:rPr>
          <w:lang w:val="en-US"/>
        </w:rPr>
        <w:t>atļauju</w:t>
      </w:r>
    </w:p>
    <w:p w14:paraId="47ED2D7B" w14:textId="77777777" w:rsidR="005A2D50" w:rsidRPr="005A2D50" w:rsidRDefault="005A2D50" w:rsidP="005A2D50">
      <w:pPr>
        <w:pStyle w:val="BodyText"/>
        <w:rPr>
          <w:lang w:val="en-US"/>
        </w:rPr>
      </w:pPr>
      <w:r w:rsidRPr="005A2D50">
        <w:rPr>
          <w:lang w:val="en-US"/>
        </w:rPr>
        <w:t xml:space="preserve">Tā kā attiecīgā informācija atsauces summas pārraudzībai ir pieejama dalībvalstī Nr. 2 (izmantojot muitas IT sistēmu), saskaņā ar SMK 22. panta 1. punktu arī dalībvalsts Nr. 2 būtu kompetenta piešķirt </w:t>
      </w:r>
      <w:r w:rsidRPr="005A2D50">
        <w:rPr>
          <w:i/>
          <w:iCs/>
          <w:lang w:val="en-US"/>
        </w:rPr>
        <w:t xml:space="preserve">CGU </w:t>
      </w:r>
      <w:r w:rsidRPr="005A2D50">
        <w:rPr>
          <w:lang w:val="en-US"/>
        </w:rPr>
        <w:t xml:space="preserve">atļauju. Ja tiek piešķirta </w:t>
      </w:r>
      <w:r w:rsidRPr="005A2D50">
        <w:rPr>
          <w:i/>
          <w:iCs/>
          <w:lang w:val="en-US"/>
        </w:rPr>
        <w:t xml:space="preserve">CGU </w:t>
      </w:r>
      <w:r w:rsidRPr="005A2D50">
        <w:rPr>
          <w:lang w:val="en-US"/>
        </w:rPr>
        <w:t>atļauja attiecībā uz atlikto maksājumu, ir jāievēro SMK 95. panta 1. punkta a), b) un c) apakšpunkts un ir jākonsultējas ar dalībvalsti Nr. 1 atbilstoši SMK ĪA 14. pantam. Šajā situācijā pietiek, ja ir nodrošināta piekļuve uzņēmēja uzskaitei. Atsauces summu noteiks un pārraudzīs dalībvalsts Nr. 2 muita; apspriešanās par atsauces summu nav nepieciešama, jo muitas deklarācijas tiks iesniegtas un preces tiks importētas dalībvalstī Nr. 2.</w:t>
      </w:r>
    </w:p>
    <w:p w14:paraId="70F6B3E1" w14:textId="77777777" w:rsidR="005A2D50" w:rsidRPr="005A2D50" w:rsidRDefault="005A2D50" w:rsidP="005A2D50">
      <w:pPr>
        <w:pStyle w:val="BodyText"/>
        <w:rPr>
          <w:lang w:val="en-US"/>
        </w:rPr>
      </w:pPr>
    </w:p>
    <w:p w14:paraId="435FA3AB" w14:textId="77777777" w:rsidR="005A2D50" w:rsidRPr="005A2D50" w:rsidRDefault="005A2D50" w:rsidP="005A2D50">
      <w:pPr>
        <w:pStyle w:val="Heading2"/>
        <w:rPr>
          <w:rFonts w:cs="Times New Roman"/>
          <w:noProof/>
          <w:lang w:val="en-US"/>
        </w:rPr>
      </w:pPr>
      <w:bookmarkStart w:id="205" w:name="A2.4_Proposal_for_the_GRN_structure"/>
      <w:bookmarkStart w:id="206" w:name="_bookmark57"/>
      <w:bookmarkStart w:id="207" w:name="_Toc104982815"/>
      <w:bookmarkEnd w:id="205"/>
      <w:bookmarkEnd w:id="206"/>
      <w:r w:rsidRPr="005A2D50">
        <w:rPr>
          <w:noProof/>
          <w:lang w:val="en-US"/>
        </w:rPr>
        <w:t xml:space="preserve">A2.4. </w:t>
      </w:r>
      <w:r w:rsidRPr="005A2D50">
        <w:rPr>
          <w:i/>
          <w:iCs/>
          <w:noProof/>
          <w:lang w:val="en-US"/>
        </w:rPr>
        <w:t xml:space="preserve">GRN </w:t>
      </w:r>
      <w:r w:rsidRPr="005A2D50">
        <w:rPr>
          <w:noProof/>
          <w:lang w:val="en-US"/>
        </w:rPr>
        <w:t>formāta piedāvājums</w:t>
      </w:r>
      <w:bookmarkEnd w:id="207"/>
    </w:p>
    <w:p w14:paraId="4716A45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AACB4C4" w14:textId="77777777" w:rsidR="005A2D50" w:rsidRPr="005A2D50" w:rsidRDefault="005A2D50" w:rsidP="005A2D50">
      <w:pPr>
        <w:pStyle w:val="BodyText"/>
        <w:rPr>
          <w:lang w:val="en-US"/>
        </w:rPr>
      </w:pPr>
      <w:r w:rsidRPr="005A2D50">
        <w:rPr>
          <w:i/>
          <w:iCs/>
          <w:lang w:val="en-US"/>
        </w:rPr>
        <w:t xml:space="preserve">GRN </w:t>
      </w:r>
      <w:r w:rsidRPr="005A2D50">
        <w:rPr>
          <w:lang w:val="en-US"/>
        </w:rPr>
        <w:t xml:space="preserve">formāts varētu būt tāds pats, par kādu ir panākta vienošanās attiecībā uz tranzītu. Dalībvalstis jau izmanto šo formātu, jo </w:t>
      </w:r>
      <w:r w:rsidRPr="005A2D50">
        <w:rPr>
          <w:i/>
          <w:iCs/>
          <w:lang w:val="en-US"/>
        </w:rPr>
        <w:t xml:space="preserve">GRN </w:t>
      </w:r>
      <w:r w:rsidRPr="005A2D50">
        <w:rPr>
          <w:lang w:val="en-US"/>
        </w:rPr>
        <w:t>izmanto tranzītam. Tajā ir viegli identificēt dalībvalsti, kurā galvojums ir iesniegts un reģistrēts. Katram galvojumam ir unikāls galvojuma atsauces numurs (</w:t>
      </w:r>
      <w:r w:rsidRPr="005A2D50">
        <w:rPr>
          <w:i/>
          <w:iCs/>
          <w:lang w:val="en-US"/>
        </w:rPr>
        <w:t>GRN</w:t>
      </w:r>
      <w:r w:rsidRPr="005A2D50">
        <w:rPr>
          <w:lang w:val="en-US"/>
        </w:rPr>
        <w:t>), ko izmanto apstiprināšanai galvojumu pārvaldības apakšsistēmā. Galvojuma muitas iestāde piešķir “galvojuma atsauces numuru” (</w:t>
      </w:r>
      <w:r w:rsidRPr="005A2D50">
        <w:rPr>
          <w:i/>
          <w:iCs/>
          <w:lang w:val="en-US"/>
        </w:rPr>
        <w:t>GRN</w:t>
      </w:r>
      <w:r w:rsidRPr="005A2D50">
        <w:rPr>
          <w:lang w:val="en-US"/>
        </w:rPr>
        <w:t xml:space="preserve">), lai identificētu katru atsevišķu galvojumu. </w:t>
      </w:r>
      <w:r w:rsidRPr="005A2D50">
        <w:rPr>
          <w:i/>
          <w:iCs/>
          <w:lang w:val="en-US"/>
        </w:rPr>
        <w:t xml:space="preserve">GRN </w:t>
      </w:r>
      <w:r w:rsidRPr="005A2D50">
        <w:rPr>
          <w:lang w:val="en-US"/>
        </w:rPr>
        <w:t>satur 17–24 rakstzīmes (alfabēta burti jānorāda ar drukātiem burtiem), un to veido tā, kā parādīts turpmāk.</w:t>
      </w:r>
    </w:p>
    <w:p w14:paraId="5E9F9E64" w14:textId="77777777" w:rsidR="005A2D50" w:rsidRPr="005A2D50" w:rsidRDefault="005A2D50" w:rsidP="005A2D50">
      <w:pPr>
        <w:jc w:val="both"/>
        <w:rPr>
          <w:rFonts w:ascii="Times New Roman" w:eastAsia="Times New Roman" w:hAnsi="Times New Roman" w:cs="Times New Roman"/>
          <w:noProof/>
          <w:sz w:val="24"/>
          <w:szCs w:val="24"/>
          <w:lang w:val="en-US"/>
        </w:rPr>
      </w:pPr>
    </w:p>
    <w:tbl>
      <w:tblPr>
        <w:tblW w:w="5000" w:type="pct"/>
        <w:tblCellMar>
          <w:top w:w="28" w:type="dxa"/>
          <w:left w:w="28" w:type="dxa"/>
          <w:bottom w:w="28" w:type="dxa"/>
          <w:right w:w="28" w:type="dxa"/>
        </w:tblCellMar>
        <w:tblLook w:val="01E0" w:firstRow="1" w:lastRow="1" w:firstColumn="1" w:lastColumn="1" w:noHBand="0" w:noVBand="0"/>
      </w:tblPr>
      <w:tblGrid>
        <w:gridCol w:w="697"/>
        <w:gridCol w:w="5500"/>
        <w:gridCol w:w="1344"/>
        <w:gridCol w:w="1590"/>
      </w:tblGrid>
      <w:tr w:rsidR="005A2D50" w:rsidRPr="005A2D50" w14:paraId="4E1F2081" w14:textId="77777777" w:rsidTr="00F14166">
        <w:tc>
          <w:tcPr>
            <w:tcW w:w="382" w:type="pct"/>
            <w:tcBorders>
              <w:top w:val="single" w:sz="5" w:space="0" w:color="000000"/>
              <w:left w:val="single" w:sz="5" w:space="0" w:color="000000"/>
              <w:bottom w:val="single" w:sz="5" w:space="0" w:color="000000"/>
              <w:right w:val="single" w:sz="5" w:space="0" w:color="000000"/>
            </w:tcBorders>
          </w:tcPr>
          <w:p w14:paraId="2C8C3E57"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Lauks</w:t>
            </w:r>
          </w:p>
        </w:tc>
        <w:tc>
          <w:tcPr>
            <w:tcW w:w="3012" w:type="pct"/>
            <w:tcBorders>
              <w:top w:val="single" w:sz="5" w:space="0" w:color="000000"/>
              <w:left w:val="single" w:sz="5" w:space="0" w:color="000000"/>
              <w:bottom w:val="single" w:sz="5" w:space="0" w:color="000000"/>
              <w:right w:val="single" w:sz="5" w:space="0" w:color="000000"/>
            </w:tcBorders>
          </w:tcPr>
          <w:p w14:paraId="1B406B8C"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Saturs</w:t>
            </w:r>
          </w:p>
        </w:tc>
        <w:tc>
          <w:tcPr>
            <w:tcW w:w="736" w:type="pct"/>
            <w:tcBorders>
              <w:top w:val="single" w:sz="5" w:space="0" w:color="000000"/>
              <w:left w:val="single" w:sz="5" w:space="0" w:color="000000"/>
              <w:bottom w:val="single" w:sz="5" w:space="0" w:color="000000"/>
              <w:right w:val="single" w:sz="5" w:space="0" w:color="000000"/>
            </w:tcBorders>
          </w:tcPr>
          <w:p w14:paraId="116A8878"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Lauka veids</w:t>
            </w:r>
          </w:p>
        </w:tc>
        <w:tc>
          <w:tcPr>
            <w:tcW w:w="871" w:type="pct"/>
            <w:tcBorders>
              <w:top w:val="single" w:sz="5" w:space="0" w:color="000000"/>
              <w:left w:val="single" w:sz="5" w:space="0" w:color="000000"/>
              <w:bottom w:val="single" w:sz="5" w:space="0" w:color="000000"/>
              <w:right w:val="single" w:sz="5" w:space="0" w:color="000000"/>
            </w:tcBorders>
          </w:tcPr>
          <w:p w14:paraId="3F021652" w14:textId="77777777" w:rsidR="005A2D50" w:rsidRPr="005A2D50" w:rsidRDefault="005A2D50" w:rsidP="00F14166">
            <w:pPr>
              <w:pStyle w:val="TableParagraph"/>
              <w:jc w:val="both"/>
              <w:rPr>
                <w:rFonts w:ascii="Times New Roman" w:hAnsi="Times New Roman"/>
                <w:b/>
                <w:noProof/>
                <w:sz w:val="24"/>
                <w:lang w:val="en-US"/>
              </w:rPr>
            </w:pPr>
            <w:r w:rsidRPr="005A2D50">
              <w:rPr>
                <w:rFonts w:ascii="Times New Roman" w:hAnsi="Times New Roman"/>
                <w:b/>
                <w:noProof/>
                <w:sz w:val="24"/>
                <w:lang w:val="en-US"/>
              </w:rPr>
              <w:t>Piemēri</w:t>
            </w:r>
          </w:p>
        </w:tc>
      </w:tr>
      <w:tr w:rsidR="005A2D50" w:rsidRPr="005A2D50" w14:paraId="0B534755" w14:textId="77777777" w:rsidTr="00F14166">
        <w:tc>
          <w:tcPr>
            <w:tcW w:w="382" w:type="pct"/>
            <w:tcBorders>
              <w:top w:val="single" w:sz="5" w:space="0" w:color="000000"/>
              <w:left w:val="single" w:sz="5" w:space="0" w:color="000000"/>
              <w:bottom w:val="single" w:sz="5" w:space="0" w:color="000000"/>
              <w:right w:val="single" w:sz="5" w:space="0" w:color="000000"/>
            </w:tcBorders>
          </w:tcPr>
          <w:p w14:paraId="1B2ED11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w:t>
            </w:r>
          </w:p>
        </w:tc>
        <w:tc>
          <w:tcPr>
            <w:tcW w:w="3012" w:type="pct"/>
            <w:tcBorders>
              <w:top w:val="single" w:sz="5" w:space="0" w:color="000000"/>
              <w:left w:val="single" w:sz="5" w:space="0" w:color="000000"/>
              <w:bottom w:val="single" w:sz="5" w:space="0" w:color="000000"/>
              <w:right w:val="single" w:sz="5" w:space="0" w:color="000000"/>
            </w:tcBorders>
          </w:tcPr>
          <w:p w14:paraId="6E189CE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Pēdējie divi tā gada cipari, kurā galvojums tika pieņemts (GG)</w:t>
            </w:r>
          </w:p>
        </w:tc>
        <w:tc>
          <w:tcPr>
            <w:tcW w:w="736" w:type="pct"/>
            <w:tcBorders>
              <w:top w:val="single" w:sz="5" w:space="0" w:color="000000"/>
              <w:left w:val="single" w:sz="5" w:space="0" w:color="000000"/>
              <w:bottom w:val="single" w:sz="5" w:space="0" w:color="000000"/>
              <w:right w:val="single" w:sz="5" w:space="0" w:color="000000"/>
            </w:tcBorders>
          </w:tcPr>
          <w:p w14:paraId="4148F8B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2 cipari</w:t>
            </w:r>
          </w:p>
        </w:tc>
        <w:tc>
          <w:tcPr>
            <w:tcW w:w="871" w:type="pct"/>
            <w:tcBorders>
              <w:top w:val="single" w:sz="5" w:space="0" w:color="000000"/>
              <w:left w:val="single" w:sz="5" w:space="0" w:color="000000"/>
              <w:bottom w:val="single" w:sz="5" w:space="0" w:color="000000"/>
              <w:right w:val="single" w:sz="5" w:space="0" w:color="000000"/>
            </w:tcBorders>
          </w:tcPr>
          <w:p w14:paraId="2779EBAE"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18</w:t>
            </w:r>
          </w:p>
        </w:tc>
      </w:tr>
      <w:tr w:rsidR="005A2D50" w:rsidRPr="005A2D50" w14:paraId="31FE71EF" w14:textId="77777777" w:rsidTr="00F14166">
        <w:tc>
          <w:tcPr>
            <w:tcW w:w="382" w:type="pct"/>
            <w:tcBorders>
              <w:top w:val="single" w:sz="5" w:space="0" w:color="000000"/>
              <w:left w:val="single" w:sz="5" w:space="0" w:color="000000"/>
              <w:bottom w:val="single" w:sz="5" w:space="0" w:color="000000"/>
              <w:right w:val="single" w:sz="5" w:space="0" w:color="000000"/>
            </w:tcBorders>
          </w:tcPr>
          <w:p w14:paraId="14E4488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2.</w:t>
            </w:r>
          </w:p>
        </w:tc>
        <w:tc>
          <w:tcPr>
            <w:tcW w:w="3012" w:type="pct"/>
            <w:tcBorders>
              <w:top w:val="single" w:sz="5" w:space="0" w:color="000000"/>
              <w:left w:val="single" w:sz="5" w:space="0" w:color="000000"/>
              <w:bottom w:val="single" w:sz="5" w:space="0" w:color="000000"/>
              <w:right w:val="single" w:sz="5" w:space="0" w:color="000000"/>
            </w:tcBorders>
          </w:tcPr>
          <w:p w14:paraId="14BFCCF9"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Tās valsts identifikators, kurā galvojums tika iesniegts (ISO valsts kods (Alpha 2 sistēmā))</w:t>
            </w:r>
          </w:p>
        </w:tc>
        <w:tc>
          <w:tcPr>
            <w:tcW w:w="736" w:type="pct"/>
            <w:tcBorders>
              <w:top w:val="single" w:sz="5" w:space="0" w:color="000000"/>
              <w:left w:val="single" w:sz="5" w:space="0" w:color="000000"/>
              <w:bottom w:val="single" w:sz="5" w:space="0" w:color="000000"/>
              <w:right w:val="single" w:sz="5" w:space="0" w:color="000000"/>
            </w:tcBorders>
          </w:tcPr>
          <w:p w14:paraId="1D27231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2 burti</w:t>
            </w:r>
          </w:p>
        </w:tc>
        <w:tc>
          <w:tcPr>
            <w:tcW w:w="871" w:type="pct"/>
            <w:tcBorders>
              <w:top w:val="single" w:sz="5" w:space="0" w:color="000000"/>
              <w:left w:val="single" w:sz="5" w:space="0" w:color="000000"/>
              <w:bottom w:val="single" w:sz="5" w:space="0" w:color="000000"/>
              <w:right w:val="single" w:sz="5" w:space="0" w:color="000000"/>
            </w:tcBorders>
          </w:tcPr>
          <w:p w14:paraId="0179A01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SI</w:t>
            </w:r>
          </w:p>
        </w:tc>
      </w:tr>
      <w:tr w:rsidR="005A2D50" w:rsidRPr="005A2D50" w14:paraId="1A5502F2" w14:textId="77777777" w:rsidTr="00F14166">
        <w:tc>
          <w:tcPr>
            <w:tcW w:w="382" w:type="pct"/>
            <w:tcBorders>
              <w:top w:val="single" w:sz="5" w:space="0" w:color="000000"/>
              <w:left w:val="single" w:sz="5" w:space="0" w:color="000000"/>
              <w:bottom w:val="single" w:sz="5" w:space="0" w:color="000000"/>
              <w:right w:val="single" w:sz="5" w:space="0" w:color="000000"/>
            </w:tcBorders>
          </w:tcPr>
          <w:p w14:paraId="0965BBC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3.</w:t>
            </w:r>
          </w:p>
        </w:tc>
        <w:tc>
          <w:tcPr>
            <w:tcW w:w="3012" w:type="pct"/>
            <w:tcBorders>
              <w:top w:val="single" w:sz="5" w:space="0" w:color="000000"/>
              <w:left w:val="single" w:sz="5" w:space="0" w:color="000000"/>
              <w:bottom w:val="single" w:sz="5" w:space="0" w:color="000000"/>
              <w:right w:val="single" w:sz="5" w:space="0" w:color="000000"/>
            </w:tcBorders>
          </w:tcPr>
          <w:p w14:paraId="1EE1EAD2"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Unikālais identifikators garantijas muitas iestādes dotajai pieņemšanai pēc gada un valsts</w:t>
            </w:r>
          </w:p>
        </w:tc>
        <w:tc>
          <w:tcPr>
            <w:tcW w:w="736" w:type="pct"/>
            <w:tcBorders>
              <w:top w:val="single" w:sz="5" w:space="0" w:color="000000"/>
              <w:left w:val="single" w:sz="5" w:space="0" w:color="000000"/>
              <w:bottom w:val="single" w:sz="5" w:space="0" w:color="000000"/>
              <w:right w:val="single" w:sz="5" w:space="0" w:color="000000"/>
            </w:tcBorders>
          </w:tcPr>
          <w:p w14:paraId="5BFA3F7C"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12 burti vai cipari</w:t>
            </w:r>
          </w:p>
        </w:tc>
        <w:tc>
          <w:tcPr>
            <w:tcW w:w="871" w:type="pct"/>
            <w:tcBorders>
              <w:top w:val="single" w:sz="5" w:space="0" w:color="000000"/>
              <w:left w:val="single" w:sz="5" w:space="0" w:color="000000"/>
              <w:bottom w:val="single" w:sz="5" w:space="0" w:color="000000"/>
              <w:right w:val="single" w:sz="5" w:space="0" w:color="000000"/>
            </w:tcBorders>
          </w:tcPr>
          <w:p w14:paraId="2A625B4B"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1234AB788966</w:t>
            </w:r>
          </w:p>
        </w:tc>
      </w:tr>
      <w:tr w:rsidR="005A2D50" w:rsidRPr="005A2D50" w14:paraId="1BC3CC41" w14:textId="77777777" w:rsidTr="00F14166">
        <w:tc>
          <w:tcPr>
            <w:tcW w:w="382" w:type="pct"/>
            <w:tcBorders>
              <w:top w:val="single" w:sz="5" w:space="0" w:color="000000"/>
              <w:left w:val="single" w:sz="5" w:space="0" w:color="000000"/>
              <w:bottom w:val="single" w:sz="5" w:space="0" w:color="000000"/>
              <w:right w:val="single" w:sz="5" w:space="0" w:color="000000"/>
            </w:tcBorders>
          </w:tcPr>
          <w:p w14:paraId="4A5EC851"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4.</w:t>
            </w:r>
          </w:p>
        </w:tc>
        <w:tc>
          <w:tcPr>
            <w:tcW w:w="3012" w:type="pct"/>
            <w:tcBorders>
              <w:top w:val="single" w:sz="5" w:space="0" w:color="000000"/>
              <w:left w:val="single" w:sz="5" w:space="0" w:color="000000"/>
              <w:bottom w:val="single" w:sz="5" w:space="0" w:color="000000"/>
              <w:right w:val="single" w:sz="5" w:space="0" w:color="000000"/>
            </w:tcBorders>
          </w:tcPr>
          <w:p w14:paraId="3137B36D"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Kontrolcipars</w:t>
            </w:r>
          </w:p>
        </w:tc>
        <w:tc>
          <w:tcPr>
            <w:tcW w:w="736" w:type="pct"/>
            <w:tcBorders>
              <w:top w:val="single" w:sz="5" w:space="0" w:color="000000"/>
              <w:left w:val="single" w:sz="5" w:space="0" w:color="000000"/>
              <w:bottom w:val="single" w:sz="5" w:space="0" w:color="000000"/>
              <w:right w:val="single" w:sz="5" w:space="0" w:color="000000"/>
            </w:tcBorders>
          </w:tcPr>
          <w:p w14:paraId="40EB3AEF"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1 burts vai cipars</w:t>
            </w:r>
          </w:p>
        </w:tc>
        <w:tc>
          <w:tcPr>
            <w:tcW w:w="871" w:type="pct"/>
            <w:tcBorders>
              <w:top w:val="single" w:sz="5" w:space="0" w:color="000000"/>
              <w:left w:val="single" w:sz="5" w:space="0" w:color="000000"/>
              <w:bottom w:val="single" w:sz="5" w:space="0" w:color="000000"/>
              <w:right w:val="single" w:sz="5" w:space="0" w:color="000000"/>
            </w:tcBorders>
          </w:tcPr>
          <w:p w14:paraId="1B40B09A"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8</w:t>
            </w:r>
          </w:p>
        </w:tc>
      </w:tr>
      <w:tr w:rsidR="005A2D50" w:rsidRPr="005A2D50" w14:paraId="02B4BBFC" w14:textId="77777777" w:rsidTr="00F14166">
        <w:tc>
          <w:tcPr>
            <w:tcW w:w="382" w:type="pct"/>
            <w:tcBorders>
              <w:top w:val="single" w:sz="5" w:space="0" w:color="000000"/>
              <w:left w:val="single" w:sz="5" w:space="0" w:color="000000"/>
              <w:bottom w:val="single" w:sz="5" w:space="0" w:color="000000"/>
              <w:right w:val="single" w:sz="5" w:space="0" w:color="000000"/>
            </w:tcBorders>
          </w:tcPr>
          <w:p w14:paraId="417F97F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5.</w:t>
            </w:r>
          </w:p>
        </w:tc>
        <w:tc>
          <w:tcPr>
            <w:tcW w:w="3012" w:type="pct"/>
            <w:tcBorders>
              <w:top w:val="single" w:sz="5" w:space="0" w:color="000000"/>
              <w:left w:val="single" w:sz="5" w:space="0" w:color="000000"/>
              <w:bottom w:val="single" w:sz="5" w:space="0" w:color="000000"/>
              <w:right w:val="single" w:sz="5" w:space="0" w:color="000000"/>
            </w:tcBorders>
          </w:tcPr>
          <w:p w14:paraId="56F54A46"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Galvojuma veida identifikators (SMK 92. pants / DA 83. pants)</w:t>
            </w:r>
          </w:p>
        </w:tc>
        <w:tc>
          <w:tcPr>
            <w:tcW w:w="736" w:type="pct"/>
            <w:tcBorders>
              <w:top w:val="single" w:sz="5" w:space="0" w:color="000000"/>
              <w:left w:val="single" w:sz="5" w:space="0" w:color="000000"/>
              <w:bottom w:val="single" w:sz="5" w:space="0" w:color="000000"/>
              <w:right w:val="single" w:sz="5" w:space="0" w:color="000000"/>
            </w:tcBorders>
          </w:tcPr>
          <w:p w14:paraId="1B2F4915"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7 burti vai cipari</w:t>
            </w:r>
          </w:p>
        </w:tc>
        <w:tc>
          <w:tcPr>
            <w:tcW w:w="871" w:type="pct"/>
            <w:tcBorders>
              <w:top w:val="single" w:sz="5" w:space="0" w:color="000000"/>
              <w:left w:val="single" w:sz="5" w:space="0" w:color="000000"/>
              <w:bottom w:val="single" w:sz="5" w:space="0" w:color="000000"/>
              <w:right w:val="single" w:sz="5" w:space="0" w:color="000000"/>
            </w:tcBorders>
          </w:tcPr>
          <w:p w14:paraId="00136274" w14:textId="77777777" w:rsidR="005A2D50" w:rsidRPr="005A2D50" w:rsidRDefault="005A2D50" w:rsidP="00F14166">
            <w:pPr>
              <w:pStyle w:val="TableParagraph"/>
              <w:jc w:val="both"/>
              <w:rPr>
                <w:rFonts w:ascii="Times New Roman" w:hAnsi="Times New Roman"/>
                <w:noProof/>
                <w:sz w:val="24"/>
                <w:lang w:val="en-US"/>
              </w:rPr>
            </w:pPr>
            <w:r w:rsidRPr="005A2D50">
              <w:rPr>
                <w:rFonts w:ascii="Times New Roman" w:hAnsi="Times New Roman"/>
                <w:noProof/>
                <w:sz w:val="24"/>
                <w:lang w:val="en-US"/>
              </w:rPr>
              <w:t>Annnnnn</w:t>
            </w:r>
          </w:p>
        </w:tc>
      </w:tr>
    </w:tbl>
    <w:p w14:paraId="6A9C5CBB" w14:textId="77777777" w:rsidR="005A2D50" w:rsidRPr="005A2D50" w:rsidRDefault="005A2D50" w:rsidP="005A2D50">
      <w:pPr>
        <w:pStyle w:val="BodyText"/>
        <w:rPr>
          <w:u w:val="single" w:color="000000"/>
          <w:lang w:val="en-US"/>
        </w:rPr>
      </w:pPr>
    </w:p>
    <w:p w14:paraId="0B9E638C" w14:textId="77777777" w:rsidR="005A2D50" w:rsidRPr="005A2D50" w:rsidRDefault="005A2D50" w:rsidP="005A2D50">
      <w:pPr>
        <w:pStyle w:val="BodyText"/>
        <w:rPr>
          <w:lang w:val="en-US"/>
        </w:rPr>
      </w:pPr>
      <w:r w:rsidRPr="005A2D50">
        <w:rPr>
          <w:u w:val="single" w:color="000000"/>
          <w:lang w:val="en-US"/>
        </w:rPr>
        <w:t xml:space="preserve">1. un 2. lauks, </w:t>
      </w:r>
      <w:r w:rsidRPr="005A2D50">
        <w:rPr>
          <w:lang w:val="en-US"/>
        </w:rPr>
        <w:t>kā skaidrots iepriekš tekstā.</w:t>
      </w:r>
    </w:p>
    <w:p w14:paraId="565DAB8E" w14:textId="77777777" w:rsidR="005A2D50" w:rsidRPr="005A2D50" w:rsidRDefault="005A2D50" w:rsidP="005A2D50">
      <w:pPr>
        <w:pStyle w:val="BodyText"/>
        <w:rPr>
          <w:lang w:val="en-US"/>
        </w:rPr>
      </w:pPr>
      <w:r w:rsidRPr="005A2D50">
        <w:rPr>
          <w:u w:val="single"/>
          <w:lang w:val="en-US"/>
        </w:rPr>
        <w:t xml:space="preserve">3. laukā </w:t>
      </w:r>
      <w:r w:rsidRPr="005A2D50">
        <w:rPr>
          <w:lang w:val="en-US"/>
        </w:rPr>
        <w:t>jānorāda unikāls identifikators atbilstoši gadam un valstij, kurā sniegtais (piešķirtais) galvojums pieņemts galvojuma muitas iestādē. Pirmās sešas zīmes tiktu izmantotas, lai identificētu galvojuma muitas iestādes valsts numuru.</w:t>
      </w:r>
    </w:p>
    <w:p w14:paraId="628B3B2E" w14:textId="77777777" w:rsidR="005A2D50" w:rsidRPr="005A2D50" w:rsidRDefault="005A2D50" w:rsidP="005A2D50">
      <w:pPr>
        <w:pStyle w:val="BodyText"/>
        <w:rPr>
          <w:lang w:val="en-US"/>
        </w:rPr>
      </w:pPr>
      <w:r w:rsidRPr="005A2D50">
        <w:rPr>
          <w:u w:val="single"/>
          <w:lang w:val="en-US"/>
        </w:rPr>
        <w:t xml:space="preserve">4. laukā </w:t>
      </w:r>
      <w:r w:rsidRPr="005A2D50">
        <w:rPr>
          <w:lang w:val="en-US"/>
        </w:rPr>
        <w:t xml:space="preserve">jānorāda vērtība, kas ir </w:t>
      </w:r>
      <w:r w:rsidRPr="005A2D50">
        <w:rPr>
          <w:i/>
          <w:iCs/>
          <w:lang w:val="en-US"/>
        </w:rPr>
        <w:t xml:space="preserve">GRN </w:t>
      </w:r>
      <w:r w:rsidRPr="005A2D50">
        <w:rPr>
          <w:lang w:val="en-US"/>
        </w:rPr>
        <w:t xml:space="preserve">1.–3. lauka kontrolcipars. Šis lauks ļauj noteikt kļūdu, uztverot pirmos četrus </w:t>
      </w:r>
      <w:r w:rsidRPr="005A2D50">
        <w:rPr>
          <w:i/>
          <w:iCs/>
          <w:lang w:val="en-US"/>
        </w:rPr>
        <w:t xml:space="preserve">GRN </w:t>
      </w:r>
      <w:r w:rsidRPr="005A2D50">
        <w:rPr>
          <w:lang w:val="en-US"/>
        </w:rPr>
        <w:t>laukus.</w:t>
      </w:r>
    </w:p>
    <w:p w14:paraId="126A3053" w14:textId="77777777" w:rsidR="005A2D50" w:rsidRPr="005A2D50" w:rsidRDefault="005A2D50" w:rsidP="005A2D50">
      <w:pPr>
        <w:pStyle w:val="BodyText"/>
        <w:rPr>
          <w:lang w:val="en-US"/>
        </w:rPr>
      </w:pPr>
      <w:r w:rsidRPr="005A2D50">
        <w:rPr>
          <w:u w:val="single"/>
          <w:lang w:val="en-US"/>
        </w:rPr>
        <w:t xml:space="preserve">5. lauks – PĒC IZVĒLES (dalībvalstīm nav obligāts); jāizmanto, </w:t>
      </w:r>
      <w:r w:rsidRPr="005A2D50">
        <w:rPr>
          <w:lang w:val="en-US"/>
        </w:rPr>
        <w:t>lai identificētu izmantotā galvojuma veidu saskaņā ar SMK 92. pantu / DA 83. pantu.</w:t>
      </w:r>
    </w:p>
    <w:p w14:paraId="0ECCA71D" w14:textId="77777777" w:rsidR="005A2D50" w:rsidRPr="005A2D50" w:rsidRDefault="005A2D50" w:rsidP="005A2D50">
      <w:pPr>
        <w:pStyle w:val="BodyText"/>
        <w:rPr>
          <w:lang w:val="en-US"/>
        </w:rPr>
      </w:pPr>
      <w:bookmarkStart w:id="208" w:name="A2.5_Examples_concerning_the_consultatio"/>
      <w:bookmarkStart w:id="209" w:name="_bookmark58"/>
      <w:bookmarkEnd w:id="208"/>
      <w:bookmarkEnd w:id="209"/>
    </w:p>
    <w:p w14:paraId="5C33B789" w14:textId="77777777" w:rsidR="005A2D50" w:rsidRPr="005A2D50" w:rsidRDefault="005A2D50" w:rsidP="005A2D50">
      <w:pPr>
        <w:pStyle w:val="Heading2"/>
        <w:rPr>
          <w:noProof/>
          <w:lang w:val="en-US"/>
        </w:rPr>
      </w:pPr>
      <w:bookmarkStart w:id="210" w:name="_Toc104982816"/>
      <w:r w:rsidRPr="005A2D50">
        <w:rPr>
          <w:noProof/>
          <w:lang w:val="en-US"/>
        </w:rPr>
        <w:t>A2.5. Piemēri par apspriešanās procedūru</w:t>
      </w:r>
      <w:bookmarkEnd w:id="210"/>
    </w:p>
    <w:p w14:paraId="4714DEDB"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6B65A78" w14:textId="77777777" w:rsidR="005A2D50" w:rsidRPr="005A2D50" w:rsidRDefault="005A2D50" w:rsidP="005A2D50">
      <w:pPr>
        <w:pStyle w:val="BodyText"/>
        <w:rPr>
          <w:b/>
          <w:bCs/>
          <w:lang w:val="en-US"/>
        </w:rPr>
      </w:pPr>
      <w:bookmarkStart w:id="211" w:name="i)_Proposal_for_a_scheme_for_the_managem"/>
      <w:bookmarkEnd w:id="211"/>
      <w:r w:rsidRPr="005A2D50">
        <w:rPr>
          <w:b/>
          <w:bCs/>
          <w:lang w:val="en-US"/>
        </w:rPr>
        <w:t>i) Priekšlikums shēmai, ko izmantot, lai pārvaldītu atļaujas izmantot vispārējo galvojumu citā dalībvalstī</w:t>
      </w:r>
    </w:p>
    <w:p w14:paraId="1CB95815" w14:textId="77777777" w:rsidR="005A2D50" w:rsidRPr="005A2D50" w:rsidRDefault="005A2D50" w:rsidP="005A2D50">
      <w:pPr>
        <w:jc w:val="both"/>
        <w:rPr>
          <w:rFonts w:ascii="Times New Roman" w:eastAsia="Times New Roman" w:hAnsi="Times New Roman" w:cs="Times New Roman"/>
          <w:b/>
          <w:bCs/>
          <w:i/>
          <w:noProof/>
          <w:sz w:val="24"/>
          <w:szCs w:val="24"/>
          <w:lang w:val="en-US"/>
        </w:rPr>
      </w:pPr>
    </w:p>
    <w:p w14:paraId="0D74D0BC" w14:textId="77777777" w:rsidR="005A2D50" w:rsidRPr="005A2D50" w:rsidRDefault="005A2D50" w:rsidP="005A2D50">
      <w:pPr>
        <w:pStyle w:val="BodyText"/>
        <w:rPr>
          <w:lang w:val="en-US"/>
        </w:rPr>
      </w:pPr>
      <w:r w:rsidRPr="005A2D50">
        <w:rPr>
          <w:lang w:val="en-US"/>
        </w:rPr>
        <w:t>Nosacījumi</w:t>
      </w:r>
    </w:p>
    <w:p w14:paraId="55786B20"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7B298A0"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Galvenā uzskaite muitas vajadzībām tiek veikta dalībvalstī Nr. 1.</w:t>
      </w:r>
    </w:p>
    <w:p w14:paraId="6995D81D"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Atļauja izmantot vispārējo galvojumu ir derīga dalībvalstī Nr. 2.</w:t>
      </w:r>
    </w:p>
    <w:p w14:paraId="3490ADE6"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D6C1078" w14:textId="77777777" w:rsidR="005A2D50" w:rsidRPr="005A2D50" w:rsidRDefault="005A2D50" w:rsidP="005A2D50">
      <w:pPr>
        <w:pStyle w:val="BodyText"/>
        <w:rPr>
          <w:lang w:val="en-US"/>
        </w:rPr>
      </w:pPr>
      <w:r w:rsidRPr="005A2D50">
        <w:rPr>
          <w:lang w:val="en-US"/>
        </w:rPr>
        <w:t>Pieteikuma iesniegšana un pārbaude</w:t>
      </w:r>
    </w:p>
    <w:p w14:paraId="25C0A31D"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6A3E4901" w14:textId="77777777" w:rsidR="005A2D50" w:rsidRPr="005A2D50" w:rsidRDefault="005A2D50" w:rsidP="005A2D50">
      <w:pPr>
        <w:pStyle w:val="BodyText"/>
        <w:rPr>
          <w:lang w:val="en-US"/>
        </w:rPr>
      </w:pPr>
      <w:r w:rsidRPr="005A2D50">
        <w:rPr>
          <w:lang w:val="en-US"/>
        </w:rPr>
        <w:t>Pieteikumu iesniedz dalībvalstī Nr. 1.</w:t>
      </w:r>
    </w:p>
    <w:p w14:paraId="7283916A" w14:textId="77777777" w:rsidR="005A2D50" w:rsidRPr="005A2D50" w:rsidRDefault="005A2D50" w:rsidP="005A2D50">
      <w:pPr>
        <w:pStyle w:val="BodyText"/>
        <w:rPr>
          <w:lang w:val="en-US"/>
        </w:rPr>
      </w:pPr>
      <w:r w:rsidRPr="005A2D50">
        <w:rPr>
          <w:lang w:val="en-US"/>
        </w:rPr>
        <w:t>Pirms lēmuma pieņemšanas dalībvalsts Nr. 1 apspriežas ar dalībvalsti Nr. 2:</w:t>
      </w:r>
    </w:p>
    <w:p w14:paraId="3C6E787C" w14:textId="77777777" w:rsidR="005A2D50" w:rsidRPr="005A2D50" w:rsidRDefault="005A2D50" w:rsidP="005A2D50">
      <w:pPr>
        <w:pStyle w:val="BodyText"/>
        <w:rPr>
          <w:lang w:val="en-US"/>
        </w:rPr>
      </w:pPr>
    </w:p>
    <w:p w14:paraId="7510F2F4"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informē par saņemto pieprasījumu,</w:t>
      </w:r>
    </w:p>
    <w:p w14:paraId="2645668A"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pieteikuma iesniedzēja piedāvātā atsauces summa,</w:t>
      </w:r>
    </w:p>
    <w:p w14:paraId="4F7B8530"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pieteikuma iesniedzēja norādītais darbību vidējais ilgums.</w:t>
      </w:r>
    </w:p>
    <w:p w14:paraId="50B16019"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3FC07ADF" w14:textId="77777777" w:rsidR="005A2D50" w:rsidRPr="005A2D50" w:rsidRDefault="005A2D50" w:rsidP="005A2D50">
      <w:pPr>
        <w:pStyle w:val="BodyText"/>
        <w:rPr>
          <w:lang w:val="en-US"/>
        </w:rPr>
      </w:pPr>
      <w:r w:rsidRPr="005A2D50">
        <w:rPr>
          <w:lang w:val="en-US"/>
        </w:rPr>
        <w:t>Dalībvalsts Nr. 2:</w:t>
      </w:r>
    </w:p>
    <w:p w14:paraId="5636840B"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4747B55"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aprēķina atsauces summu,</w:t>
      </w:r>
    </w:p>
    <w:p w14:paraId="03AC1D7C"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informē dalībvalsti Nr. 1:</w:t>
      </w:r>
    </w:p>
    <w:p w14:paraId="7CF3DAF6" w14:textId="77777777" w:rsidR="005A2D50" w:rsidRPr="005A2D50" w:rsidRDefault="005A2D50" w:rsidP="005A2D50">
      <w:pPr>
        <w:pStyle w:val="BodyText"/>
        <w:numPr>
          <w:ilvl w:val="2"/>
          <w:numId w:val="7"/>
        </w:numPr>
        <w:tabs>
          <w:tab w:val="left" w:pos="1134"/>
        </w:tabs>
        <w:ind w:left="567" w:firstLine="0"/>
        <w:rPr>
          <w:lang w:val="en-US"/>
        </w:rPr>
      </w:pPr>
      <w:r w:rsidRPr="005A2D50">
        <w:rPr>
          <w:lang w:val="en-US"/>
        </w:rPr>
        <w:t>par uzticamības nosacījumu izpildi un</w:t>
      </w:r>
    </w:p>
    <w:p w14:paraId="3224030F" w14:textId="77777777" w:rsidR="005A2D50" w:rsidRPr="005A2D50" w:rsidRDefault="005A2D50" w:rsidP="005A2D50">
      <w:pPr>
        <w:pStyle w:val="BodyText"/>
        <w:numPr>
          <w:ilvl w:val="2"/>
          <w:numId w:val="7"/>
        </w:numPr>
        <w:tabs>
          <w:tab w:val="left" w:pos="1134"/>
        </w:tabs>
        <w:ind w:left="567" w:firstLine="0"/>
        <w:rPr>
          <w:lang w:val="en-US"/>
        </w:rPr>
      </w:pPr>
      <w:r w:rsidRPr="005A2D50">
        <w:rPr>
          <w:lang w:val="en-US"/>
        </w:rPr>
        <w:t>par noteikto atsauces summu.</w:t>
      </w:r>
    </w:p>
    <w:p w14:paraId="2A961B4F"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5BA27CC4" w14:textId="77777777" w:rsidR="005A2D50" w:rsidRPr="005A2D50" w:rsidRDefault="005A2D50" w:rsidP="005A2D50">
      <w:pPr>
        <w:pStyle w:val="BodyText"/>
        <w:rPr>
          <w:lang w:val="en-US"/>
        </w:rPr>
      </w:pPr>
      <w:r w:rsidRPr="005A2D50">
        <w:rPr>
          <w:lang w:val="en-US"/>
        </w:rPr>
        <w:t>Lēmuma pieņemšana un īstenošana</w:t>
      </w:r>
    </w:p>
    <w:p w14:paraId="03994798"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2A5C4446" w14:textId="77777777" w:rsidR="005A2D50" w:rsidRPr="005A2D50" w:rsidRDefault="005A2D50" w:rsidP="005A2D50">
      <w:pPr>
        <w:pStyle w:val="BodyText"/>
        <w:rPr>
          <w:lang w:val="en-US"/>
        </w:rPr>
      </w:pPr>
      <w:r w:rsidRPr="005A2D50">
        <w:rPr>
          <w:lang w:val="en-US"/>
        </w:rPr>
        <w:t>Dalībvalsts Nr. 1:</w:t>
      </w:r>
    </w:p>
    <w:p w14:paraId="30B3F1CB"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024FD3B7"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pieņem galvojumu un izsniedz atļauju,</w:t>
      </w:r>
    </w:p>
    <w:p w14:paraId="4B79B439"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informē dalībvalsti Nr. 2 par izsniegto atļauju.</w:t>
      </w:r>
    </w:p>
    <w:p w14:paraId="1703D703" w14:textId="77777777" w:rsidR="005A2D50" w:rsidRPr="005A2D50" w:rsidRDefault="005A2D50" w:rsidP="005A2D50">
      <w:pPr>
        <w:pStyle w:val="BodyText"/>
        <w:ind w:left="-133"/>
        <w:rPr>
          <w:lang w:val="en-US"/>
        </w:rPr>
      </w:pPr>
    </w:p>
    <w:p w14:paraId="095C5294" w14:textId="77777777" w:rsidR="005A2D50" w:rsidRPr="005A2D50" w:rsidRDefault="005A2D50" w:rsidP="005A2D50">
      <w:pPr>
        <w:pStyle w:val="BodyText"/>
        <w:rPr>
          <w:lang w:val="en-US"/>
        </w:rPr>
      </w:pPr>
      <w:r w:rsidRPr="005A2D50">
        <w:rPr>
          <w:lang w:val="en-US"/>
        </w:rPr>
        <w:t>Dalībvalsts Nr. 2:</w:t>
      </w:r>
    </w:p>
    <w:p w14:paraId="35D8ABFE" w14:textId="77777777" w:rsidR="005A2D50" w:rsidRPr="005A2D50" w:rsidRDefault="005A2D50" w:rsidP="005A2D50">
      <w:pPr>
        <w:pStyle w:val="BodyText"/>
        <w:ind w:left="-133"/>
        <w:rPr>
          <w:lang w:val="en-US"/>
        </w:rPr>
      </w:pPr>
    </w:p>
    <w:p w14:paraId="544AF9E7"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valsts galvojumu pārvaldības sistēmā ievada datus par atļauju.</w:t>
      </w:r>
    </w:p>
    <w:p w14:paraId="5B61E975" w14:textId="77777777" w:rsidR="005A2D50" w:rsidRPr="005A2D50" w:rsidRDefault="005A2D50" w:rsidP="005A2D50">
      <w:pPr>
        <w:pStyle w:val="BodyText"/>
        <w:tabs>
          <w:tab w:val="left" w:pos="851"/>
        </w:tabs>
        <w:rPr>
          <w:lang w:val="en-US"/>
        </w:rPr>
      </w:pPr>
    </w:p>
    <w:p w14:paraId="564625D6" w14:textId="77777777" w:rsidR="005A2D50" w:rsidRPr="005A2D50" w:rsidRDefault="005A2D50" w:rsidP="005A2D50">
      <w:pPr>
        <w:pStyle w:val="BodyText"/>
        <w:tabs>
          <w:tab w:val="left" w:pos="851"/>
        </w:tabs>
        <w:rPr>
          <w:lang w:val="en-US"/>
        </w:rPr>
      </w:pPr>
      <w:r w:rsidRPr="005A2D50">
        <w:rPr>
          <w:lang w:val="en-US"/>
        </w:rPr>
        <w:t>Dalībvalsts Nr. 1:</w:t>
      </w:r>
    </w:p>
    <w:p w14:paraId="5C267801" w14:textId="77777777" w:rsidR="005A2D50" w:rsidRPr="005A2D50" w:rsidRDefault="005A2D50" w:rsidP="005A2D50">
      <w:pPr>
        <w:pStyle w:val="BodyText"/>
        <w:tabs>
          <w:tab w:val="left" w:pos="851"/>
        </w:tabs>
        <w:rPr>
          <w:lang w:val="en-US"/>
        </w:rPr>
      </w:pPr>
    </w:p>
    <w:p w14:paraId="4AD6A278"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uzrauga nosacījumus atļaujas izsniegšanai,</w:t>
      </w:r>
    </w:p>
    <w:p w14:paraId="2723A2D9"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informē dalībvalsti Nr. 2 par lēmumiem saistībā ar galvojuma pārvaldību.</w:t>
      </w:r>
    </w:p>
    <w:p w14:paraId="1D2B1CBA" w14:textId="77777777" w:rsidR="005A2D50" w:rsidRPr="005A2D50" w:rsidRDefault="005A2D50" w:rsidP="005A2D50">
      <w:pPr>
        <w:pStyle w:val="BodyText"/>
        <w:tabs>
          <w:tab w:val="left" w:pos="851"/>
        </w:tabs>
        <w:rPr>
          <w:lang w:val="en-US"/>
        </w:rPr>
      </w:pPr>
    </w:p>
    <w:p w14:paraId="19F9C066" w14:textId="77777777" w:rsidR="005A2D50" w:rsidRPr="005A2D50" w:rsidRDefault="005A2D50" w:rsidP="005A2D50">
      <w:pPr>
        <w:pStyle w:val="BodyText"/>
        <w:tabs>
          <w:tab w:val="left" w:pos="851"/>
        </w:tabs>
        <w:rPr>
          <w:lang w:val="en-US"/>
        </w:rPr>
      </w:pPr>
      <w:r w:rsidRPr="005A2D50">
        <w:rPr>
          <w:lang w:val="en-US"/>
        </w:rPr>
        <w:t>Dalībvalsts Nr. 2:</w:t>
      </w:r>
    </w:p>
    <w:p w14:paraId="1D56BEB5" w14:textId="77777777" w:rsidR="005A2D50" w:rsidRPr="005A2D50" w:rsidRDefault="005A2D50" w:rsidP="005A2D50">
      <w:pPr>
        <w:pStyle w:val="BodyText"/>
        <w:tabs>
          <w:tab w:val="left" w:pos="851"/>
        </w:tabs>
        <w:rPr>
          <w:lang w:val="en-US"/>
        </w:rPr>
      </w:pPr>
    </w:p>
    <w:p w14:paraId="23DEDB54"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uzrauga nosacījumus atļaujas izsniegšanai,</w:t>
      </w:r>
    </w:p>
    <w:p w14:paraId="3790FA7C"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veic atsauces summas pārraudzību,</w:t>
      </w:r>
    </w:p>
    <w:p w14:paraId="4FE64023" w14:textId="77777777" w:rsidR="005A2D50" w:rsidRPr="005A2D50" w:rsidRDefault="005A2D50" w:rsidP="005A2D50">
      <w:pPr>
        <w:pStyle w:val="BodyText"/>
        <w:numPr>
          <w:ilvl w:val="1"/>
          <w:numId w:val="7"/>
        </w:numPr>
        <w:tabs>
          <w:tab w:val="left" w:pos="851"/>
        </w:tabs>
        <w:ind w:left="284" w:firstLine="0"/>
        <w:rPr>
          <w:lang w:val="en-US"/>
        </w:rPr>
      </w:pPr>
      <w:r w:rsidRPr="005A2D50">
        <w:rPr>
          <w:lang w:val="en-US"/>
        </w:rPr>
        <w:t>informē dalībvalsti Nr. 1 par faktoriem, kas ietekmē atļaujas derīgumu vai saturu (piemēram, atsauces summa).</w:t>
      </w:r>
    </w:p>
    <w:p w14:paraId="4F37576E" w14:textId="77777777" w:rsidR="005A2D50" w:rsidRPr="005A2D50" w:rsidRDefault="005A2D50" w:rsidP="005A2D50">
      <w:pPr>
        <w:pStyle w:val="BodyText"/>
        <w:ind w:left="-133"/>
        <w:rPr>
          <w:lang w:val="en-US"/>
        </w:rPr>
      </w:pPr>
    </w:p>
    <w:p w14:paraId="1921F333" w14:textId="77777777" w:rsidR="005A2D50" w:rsidRPr="005A2D50" w:rsidRDefault="005A2D50" w:rsidP="005A2D50">
      <w:pPr>
        <w:pStyle w:val="BodyText"/>
        <w:rPr>
          <w:b/>
          <w:bCs/>
          <w:lang w:val="en-US"/>
        </w:rPr>
      </w:pPr>
      <w:bookmarkStart w:id="212" w:name="ii)_Procedure_proposal_for_granting_a_CG"/>
      <w:bookmarkEnd w:id="212"/>
      <w:r w:rsidRPr="005A2D50">
        <w:rPr>
          <w:b/>
          <w:bCs/>
          <w:lang w:val="en-US"/>
        </w:rPr>
        <w:t>ii) Procedūras priekšlikums CGU atļaujas piešķiršanai, ja iesaistītas vairākas dalībvalstis</w:t>
      </w:r>
    </w:p>
    <w:p w14:paraId="467BB602" w14:textId="77777777" w:rsidR="005A2D50" w:rsidRPr="005A2D50" w:rsidRDefault="005A2D50" w:rsidP="005A2D50">
      <w:pPr>
        <w:jc w:val="both"/>
        <w:rPr>
          <w:rFonts w:ascii="Times New Roman" w:eastAsia="Times New Roman" w:hAnsi="Times New Roman" w:cs="Times New Roman"/>
          <w:b/>
          <w:bCs/>
          <w:i/>
          <w:noProof/>
          <w:sz w:val="24"/>
          <w:szCs w:val="24"/>
          <w:lang w:val="en-US"/>
        </w:rPr>
      </w:pPr>
    </w:p>
    <w:p w14:paraId="13023356" w14:textId="77777777" w:rsidR="005A2D50" w:rsidRPr="005A2D50" w:rsidRDefault="005A2D50" w:rsidP="005A2D50">
      <w:pPr>
        <w:pStyle w:val="BodyText"/>
        <w:rPr>
          <w:lang w:val="en-US"/>
        </w:rPr>
      </w:pPr>
      <w:r w:rsidRPr="005A2D50">
        <w:rPr>
          <w:lang w:val="en-US"/>
        </w:rPr>
        <w:t>Pieteikums izmantot vispārējo galvojumu ir saņemts A dalībvalstī. Pieteikums attiecas uz dalībvalstīm A, B un C.</w:t>
      </w:r>
    </w:p>
    <w:p w14:paraId="56781E17" w14:textId="77777777" w:rsidR="005A2D50" w:rsidRPr="005A2D50" w:rsidRDefault="005A2D50" w:rsidP="005A2D50">
      <w:pPr>
        <w:pStyle w:val="BodyText"/>
        <w:rPr>
          <w:lang w:val="en-US"/>
        </w:rPr>
      </w:pPr>
    </w:p>
    <w:p w14:paraId="59274CDE" w14:textId="77777777" w:rsidR="005A2D50" w:rsidRPr="005A2D50" w:rsidRDefault="005A2D50" w:rsidP="005A2D50">
      <w:pPr>
        <w:pStyle w:val="BodyText"/>
        <w:rPr>
          <w:b/>
          <w:bCs/>
          <w:lang w:val="en-US"/>
        </w:rPr>
      </w:pPr>
      <w:r w:rsidRPr="005A2D50">
        <w:rPr>
          <w:b/>
          <w:bCs/>
          <w:lang w:val="en-US"/>
        </w:rPr>
        <w:t>1. Apspriešanās procedūra pirms atļaujas piešķiršanas.</w:t>
      </w:r>
    </w:p>
    <w:p w14:paraId="53BCCBCC" w14:textId="77777777" w:rsidR="005A2D50" w:rsidRPr="005A2D50" w:rsidRDefault="005A2D50" w:rsidP="005A2D50">
      <w:pPr>
        <w:pStyle w:val="BodyText"/>
        <w:ind w:left="284"/>
        <w:rPr>
          <w:lang w:val="en-US"/>
        </w:rPr>
      </w:pPr>
    </w:p>
    <w:p w14:paraId="0CE32136" w14:textId="77777777" w:rsidR="005A2D50" w:rsidRPr="005A2D50" w:rsidRDefault="005A2D50" w:rsidP="005A2D50">
      <w:pPr>
        <w:pStyle w:val="BodyText"/>
        <w:ind w:left="284"/>
        <w:rPr>
          <w:lang w:val="en-US"/>
        </w:rPr>
      </w:pPr>
      <w:r w:rsidRPr="005A2D50">
        <w:rPr>
          <w:lang w:val="en-US"/>
        </w:rPr>
        <w:t>Pastāv divas iespējas, ko ietekmē pienākums sadalīt atsauces summu:</w:t>
      </w:r>
    </w:p>
    <w:p w14:paraId="007DCEC4" w14:textId="77777777" w:rsidR="005A2D50" w:rsidRPr="005A2D50" w:rsidRDefault="005A2D50" w:rsidP="005A2D50">
      <w:pPr>
        <w:pStyle w:val="BodyText"/>
        <w:ind w:left="284"/>
        <w:rPr>
          <w:lang w:val="en-US"/>
        </w:rPr>
      </w:pPr>
    </w:p>
    <w:p w14:paraId="7571E6E1"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 xml:space="preserve">ja atsauces summa nav jādala starp dalībvalstīm A, B un C, apspriešanās procedūra var nebūt vajadzīga. Atļauja sniegt vispārējo galvojumu būs daļa no </w:t>
      </w:r>
      <w:r w:rsidRPr="005A2D50">
        <w:rPr>
          <w:i/>
          <w:iCs/>
          <w:lang w:val="en-US"/>
        </w:rPr>
        <w:t>CDS</w:t>
      </w:r>
      <w:r w:rsidRPr="005A2D50">
        <w:rPr>
          <w:lang w:val="en-US"/>
        </w:rPr>
        <w:t>, un tā ir redzama visām attiecīgajām dalībvalstīm (kurās galvojumam ir jābūt derīgam);</w:t>
      </w:r>
    </w:p>
    <w:p w14:paraId="2DB32FFD"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 xml:space="preserve">ja atsauces summa ir jādala starp dalībvalstīm A, B un C, apspriešanās procedūra jāsāk, izmantojot </w:t>
      </w:r>
      <w:r w:rsidRPr="005A2D50">
        <w:rPr>
          <w:i/>
          <w:iCs/>
          <w:lang w:val="en-US"/>
        </w:rPr>
        <w:t>CDS</w:t>
      </w:r>
      <w:r w:rsidRPr="005A2D50">
        <w:rPr>
          <w:lang w:val="en-US"/>
        </w:rPr>
        <w:t>;</w:t>
      </w:r>
    </w:p>
    <w:p w14:paraId="4E44D1A7"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piedāvājums apspriešanās ilgumam – 45 dienas (</w:t>
      </w:r>
      <w:r w:rsidRPr="005A2D50">
        <w:rPr>
          <w:i/>
          <w:iCs/>
          <w:lang w:val="en-US"/>
        </w:rPr>
        <w:t xml:space="preserve">PG </w:t>
      </w:r>
      <w:r w:rsidRPr="005A2D50">
        <w:rPr>
          <w:lang w:val="en-US"/>
        </w:rPr>
        <w:t xml:space="preserve">par </w:t>
      </w:r>
      <w:r w:rsidRPr="005A2D50">
        <w:rPr>
          <w:i/>
          <w:iCs/>
          <w:lang w:val="en-US"/>
        </w:rPr>
        <w:t>CDS</w:t>
      </w:r>
      <w:r w:rsidRPr="005A2D50">
        <w:rPr>
          <w:lang w:val="en-US"/>
        </w:rPr>
        <w:t>).</w:t>
      </w:r>
    </w:p>
    <w:p w14:paraId="412BDE37" w14:textId="77777777" w:rsidR="005A2D50" w:rsidRPr="005A2D50" w:rsidRDefault="005A2D50" w:rsidP="005A2D50">
      <w:pPr>
        <w:pStyle w:val="BodyText"/>
        <w:rPr>
          <w:b/>
          <w:bCs/>
          <w:lang w:val="en-US"/>
        </w:rPr>
      </w:pPr>
    </w:p>
    <w:p w14:paraId="4AF8C90F" w14:textId="77777777" w:rsidR="005A2D50" w:rsidRPr="005A2D50" w:rsidRDefault="005A2D50" w:rsidP="005A2D50">
      <w:pPr>
        <w:pStyle w:val="BodyText"/>
        <w:rPr>
          <w:b/>
          <w:bCs/>
          <w:lang w:val="en-US"/>
        </w:rPr>
      </w:pPr>
      <w:r w:rsidRPr="005A2D50">
        <w:rPr>
          <w:b/>
          <w:bCs/>
          <w:lang w:val="en-US"/>
        </w:rPr>
        <w:t>2. Kad atļauja ir piešķirta</w:t>
      </w:r>
    </w:p>
    <w:p w14:paraId="45461F90" w14:textId="77777777" w:rsidR="005A2D50" w:rsidRPr="005A2D50" w:rsidRDefault="005A2D50" w:rsidP="005A2D50">
      <w:pPr>
        <w:pStyle w:val="BodyText"/>
        <w:ind w:left="284"/>
        <w:rPr>
          <w:lang w:val="en-US"/>
        </w:rPr>
      </w:pPr>
    </w:p>
    <w:p w14:paraId="2E35AC5C" w14:textId="77777777" w:rsidR="005A2D50" w:rsidRPr="005A2D50" w:rsidRDefault="005A2D50" w:rsidP="005A2D50">
      <w:pPr>
        <w:pStyle w:val="BodyText"/>
        <w:ind w:left="284"/>
        <w:rPr>
          <w:lang w:val="en-US"/>
        </w:rPr>
      </w:pPr>
      <w:r w:rsidRPr="005A2D50">
        <w:rPr>
          <w:lang w:val="en-US"/>
        </w:rPr>
        <w:t>Dalībvalstij A ir jāpaziņo dalībvalstīm B un C par turpmāk minētajiem aspektiem:</w:t>
      </w:r>
    </w:p>
    <w:p w14:paraId="5C21FF1E" w14:textId="77777777" w:rsidR="005A2D50" w:rsidRPr="005A2D50" w:rsidRDefault="005A2D50" w:rsidP="005A2D50">
      <w:pPr>
        <w:pStyle w:val="BodyText"/>
        <w:ind w:left="284"/>
        <w:rPr>
          <w:lang w:val="en-US"/>
        </w:rPr>
      </w:pPr>
    </w:p>
    <w:p w14:paraId="1F44F67F"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galvojuma atsauces numurs dalībvalstij B (</w:t>
      </w:r>
      <w:r w:rsidRPr="005A2D50">
        <w:rPr>
          <w:i/>
          <w:iCs/>
          <w:lang w:val="en-US"/>
        </w:rPr>
        <w:t>GRN </w:t>
      </w:r>
      <w:r w:rsidRPr="005A2D50">
        <w:rPr>
          <w:lang w:val="en-US"/>
        </w:rPr>
        <w:t>1) un galvojuma atsauces numurs dalībvalstij C (</w:t>
      </w:r>
      <w:r w:rsidRPr="005A2D50">
        <w:rPr>
          <w:i/>
          <w:iCs/>
          <w:lang w:val="en-US"/>
        </w:rPr>
        <w:t xml:space="preserve">GRN </w:t>
      </w:r>
      <w:r w:rsidRPr="005A2D50">
        <w:rPr>
          <w:lang w:val="en-US"/>
        </w:rPr>
        <w:t>2).</w:t>
      </w:r>
    </w:p>
    <w:p w14:paraId="33B11C63" w14:textId="77777777" w:rsidR="005A2D50" w:rsidRPr="005A2D50" w:rsidRDefault="005A2D50" w:rsidP="005A2D50">
      <w:pPr>
        <w:pStyle w:val="BodyText"/>
        <w:tabs>
          <w:tab w:val="left" w:pos="1134"/>
        </w:tabs>
        <w:ind w:left="567"/>
        <w:rPr>
          <w:lang w:val="en-US"/>
        </w:rPr>
      </w:pPr>
      <w:r w:rsidRPr="005A2D50">
        <w:rPr>
          <w:lang w:val="en-US"/>
        </w:rPr>
        <w:t xml:space="preserve">Dalībvalstij B un dalībvalstij C šie </w:t>
      </w:r>
      <w:r w:rsidRPr="005A2D50">
        <w:rPr>
          <w:i/>
          <w:iCs/>
          <w:lang w:val="en-US"/>
        </w:rPr>
        <w:t xml:space="preserve">GRN </w:t>
      </w:r>
      <w:r w:rsidRPr="005A2D50">
        <w:rPr>
          <w:lang w:val="en-US"/>
        </w:rPr>
        <w:t xml:space="preserve">ir jāiekļauj savās IT sistēmās, lai varētu pārbaudīt galvojuma esību. Kad muitas deklarācija ir iesniegta, importa sistēmai jāpārbauda, vai muitas deklarācijā iekļautais </w:t>
      </w:r>
      <w:r w:rsidRPr="005A2D50">
        <w:rPr>
          <w:i/>
          <w:iCs/>
          <w:lang w:val="en-US"/>
        </w:rPr>
        <w:t xml:space="preserve">GRN </w:t>
      </w:r>
      <w:r w:rsidRPr="005A2D50">
        <w:rPr>
          <w:lang w:val="en-US"/>
        </w:rPr>
        <w:t>ir derīgs;</w:t>
      </w:r>
    </w:p>
    <w:p w14:paraId="2C9AC8EC"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atsauces summas daļa dalībvalstij B (t. i., 20 000 EUR) un dalībvalsts C atsauces summas daļa (t. i., 30 000 EUR). Dalībvalstij B un dalībvalstij C ir jākontrolē sava atsauces summas daļa;</w:t>
      </w:r>
    </w:p>
    <w:p w14:paraId="491AE019" w14:textId="77777777" w:rsidR="005A2D50" w:rsidRPr="005A2D50" w:rsidRDefault="005A2D50" w:rsidP="005A2D50">
      <w:pPr>
        <w:pStyle w:val="BodyText"/>
        <w:numPr>
          <w:ilvl w:val="1"/>
          <w:numId w:val="6"/>
        </w:numPr>
        <w:tabs>
          <w:tab w:val="left" w:pos="1134"/>
        </w:tabs>
        <w:ind w:left="567" w:firstLine="0"/>
        <w:rPr>
          <w:lang w:val="en-US"/>
        </w:rPr>
      </w:pPr>
      <w:r w:rsidRPr="005A2D50">
        <w:rPr>
          <w:lang w:val="en-US"/>
        </w:rPr>
        <w:t>piekļuves kods, kas jāizmanto dalībvalstī B, un piekļuves kods, kas jāizmanto dalībvalstī C.</w:t>
      </w:r>
    </w:p>
    <w:p w14:paraId="2713FB2C" w14:textId="77777777" w:rsidR="005A2D50" w:rsidRPr="005A2D50" w:rsidRDefault="005A2D50" w:rsidP="005A2D50">
      <w:pPr>
        <w:pStyle w:val="BodyText"/>
        <w:rPr>
          <w:b/>
          <w:bCs/>
          <w:lang w:val="en-US"/>
        </w:rPr>
      </w:pPr>
    </w:p>
    <w:p w14:paraId="44978387" w14:textId="77777777" w:rsidR="005A2D50" w:rsidRPr="005A2D50" w:rsidRDefault="005A2D50" w:rsidP="005A2D50">
      <w:pPr>
        <w:pStyle w:val="BodyText"/>
        <w:rPr>
          <w:b/>
          <w:bCs/>
          <w:lang w:val="en-US"/>
        </w:rPr>
      </w:pPr>
      <w:r w:rsidRPr="005A2D50">
        <w:rPr>
          <w:b/>
          <w:bCs/>
          <w:lang w:val="en-US"/>
        </w:rPr>
        <w:t>3. Par pieteikumu grozījumiem atļaujā sniegt vispārējo galvojumu ir jāapspriežas, ja tas var ietekmēt sadalīto atsauces summu.</w:t>
      </w:r>
    </w:p>
    <w:p w14:paraId="039DA2E5" w14:textId="77777777" w:rsidR="005A2D50" w:rsidRPr="005A2D50" w:rsidRDefault="005A2D50" w:rsidP="005A2D50">
      <w:pPr>
        <w:tabs>
          <w:tab w:val="left" w:pos="826"/>
        </w:tabs>
        <w:ind w:left="284"/>
        <w:jc w:val="both"/>
        <w:rPr>
          <w:rFonts w:ascii="Times New Roman" w:hAnsi="Times New Roman" w:cs="Times New Roman"/>
          <w:b/>
          <w:noProof/>
          <w:sz w:val="24"/>
          <w:szCs w:val="24"/>
          <w:lang w:val="en-US"/>
        </w:rPr>
      </w:pPr>
    </w:p>
    <w:p w14:paraId="517EDE4B" w14:textId="77777777" w:rsidR="005A2D50" w:rsidRPr="005A2D50" w:rsidRDefault="005A2D50" w:rsidP="005A2D50">
      <w:pPr>
        <w:tabs>
          <w:tab w:val="left" w:pos="826"/>
        </w:tabs>
        <w:ind w:left="284"/>
        <w:jc w:val="both"/>
        <w:rPr>
          <w:rFonts w:ascii="Times New Roman" w:hAnsi="Times New Roman"/>
          <w:noProof/>
          <w:sz w:val="24"/>
          <w:lang w:val="en-US"/>
        </w:rPr>
      </w:pPr>
      <w:r w:rsidRPr="005A2D50">
        <w:rPr>
          <w:rFonts w:ascii="Times New Roman" w:hAnsi="Times New Roman"/>
          <w:b/>
          <w:noProof/>
          <w:sz w:val="24"/>
          <w:lang w:val="en-US"/>
        </w:rPr>
        <w:t xml:space="preserve">4. Pirms galvojuma atdošanas atļaujas turētājam vai galviniekam dalībvalstij A ir jāapspriežas ar dalībvalsti B un dalībvalsti C, lai pārbaudītu, vai saistībā ar </w:t>
      </w:r>
      <w:r w:rsidRPr="005A2D50">
        <w:rPr>
          <w:rFonts w:ascii="Times New Roman" w:hAnsi="Times New Roman"/>
          <w:b/>
          <w:i/>
          <w:iCs/>
          <w:noProof/>
          <w:sz w:val="24"/>
          <w:lang w:val="en-US"/>
        </w:rPr>
        <w:t>GRN </w:t>
      </w:r>
      <w:r w:rsidRPr="005A2D50">
        <w:rPr>
          <w:rFonts w:ascii="Times New Roman" w:hAnsi="Times New Roman"/>
          <w:b/>
          <w:noProof/>
          <w:sz w:val="24"/>
          <w:lang w:val="en-US"/>
        </w:rPr>
        <w:t xml:space="preserve">1 vai </w:t>
      </w:r>
      <w:r w:rsidRPr="005A2D50">
        <w:rPr>
          <w:rFonts w:ascii="Times New Roman" w:hAnsi="Times New Roman"/>
          <w:b/>
          <w:i/>
          <w:iCs/>
          <w:noProof/>
          <w:sz w:val="24"/>
          <w:lang w:val="en-US"/>
        </w:rPr>
        <w:t>GRN </w:t>
      </w:r>
      <w:r w:rsidRPr="005A2D50">
        <w:rPr>
          <w:rFonts w:ascii="Times New Roman" w:hAnsi="Times New Roman"/>
          <w:b/>
          <w:noProof/>
          <w:sz w:val="24"/>
          <w:lang w:val="en-US"/>
        </w:rPr>
        <w:t xml:space="preserve">2 nav kāda parāda. </w:t>
      </w:r>
      <w:r w:rsidRPr="005A2D50">
        <w:rPr>
          <w:rFonts w:ascii="Times New Roman" w:hAnsi="Times New Roman"/>
          <w:noProof/>
          <w:sz w:val="24"/>
          <w:lang w:val="en-US"/>
        </w:rPr>
        <w:t>Ja parāda nav, galvojumu var atdot atļaujas turētājam vai galviniekam.</w:t>
      </w:r>
    </w:p>
    <w:p w14:paraId="0B22B871" w14:textId="77777777" w:rsidR="005A2D50" w:rsidRPr="005A2D50" w:rsidRDefault="005A2D50" w:rsidP="005A2D50">
      <w:pPr>
        <w:tabs>
          <w:tab w:val="left" w:pos="826"/>
        </w:tabs>
        <w:jc w:val="both"/>
        <w:rPr>
          <w:rFonts w:ascii="Times New Roman" w:hAnsi="Times New Roman"/>
          <w:noProof/>
          <w:sz w:val="24"/>
          <w:lang w:val="en-US"/>
        </w:rPr>
      </w:pPr>
    </w:p>
    <w:p w14:paraId="4E0A8EAF" w14:textId="77777777" w:rsidR="005A2D50" w:rsidRPr="005A2D50" w:rsidRDefault="005A2D50" w:rsidP="005A2D50">
      <w:pPr>
        <w:pStyle w:val="BodyText"/>
        <w:rPr>
          <w:b/>
          <w:bCs/>
          <w:lang w:val="en-US"/>
        </w:rPr>
      </w:pPr>
      <w:bookmarkStart w:id="213" w:name="iii)_Comprehensive_guarantee_for_an_auth"/>
      <w:bookmarkEnd w:id="213"/>
      <w:r w:rsidRPr="005A2D50">
        <w:rPr>
          <w:b/>
          <w:bCs/>
          <w:lang w:val="en-US"/>
        </w:rPr>
        <w:t>iii) Vispārējais galvojums atļaujai, ko dalībvalsts piešķīrusi attiecībā uz ievešanu pārstrādei un preču sūtīšanai uz citu dalībvalsti</w:t>
      </w:r>
    </w:p>
    <w:p w14:paraId="06109BEE" w14:textId="77777777" w:rsidR="005A2D50" w:rsidRPr="005A2D50" w:rsidRDefault="005A2D50" w:rsidP="005A2D50">
      <w:pPr>
        <w:jc w:val="both"/>
        <w:rPr>
          <w:rFonts w:ascii="Times New Roman" w:eastAsia="Times New Roman" w:hAnsi="Times New Roman" w:cs="Times New Roman"/>
          <w:b/>
          <w:bCs/>
          <w:i/>
          <w:noProof/>
          <w:sz w:val="24"/>
          <w:szCs w:val="24"/>
          <w:lang w:val="en-US"/>
        </w:rPr>
      </w:pPr>
    </w:p>
    <w:p w14:paraId="463AB075" w14:textId="77777777" w:rsidR="005A2D50" w:rsidRPr="005A2D50" w:rsidRDefault="005A2D50" w:rsidP="005A2D50">
      <w:pPr>
        <w:pStyle w:val="BodyText"/>
        <w:rPr>
          <w:lang w:val="en-US"/>
        </w:rPr>
      </w:pPr>
      <w:r w:rsidRPr="005A2D50">
        <w:rPr>
          <w:lang w:val="en-US"/>
        </w:rPr>
        <w:t xml:space="preserve">Dalībvalsts Nr. 1 </w:t>
      </w:r>
      <w:r w:rsidRPr="005A2D50">
        <w:rPr>
          <w:i/>
          <w:iCs/>
          <w:lang w:val="en-US"/>
        </w:rPr>
        <w:t xml:space="preserve">CA </w:t>
      </w:r>
      <w:r w:rsidRPr="005A2D50">
        <w:rPr>
          <w:lang w:val="en-US"/>
        </w:rPr>
        <w:t>ir piešķīris atļauju veikt ievešanu pārstrādei, un galvojums tiek sniegts kā vispārējais galvojums. Atļauja veikt ievešanu pārstrādei ietver preču importu no trešās valsts uz dalībvalsti Nr. 1, nosūtot preces uz dalībvalsti Nr. 2 to pārstrādei tur esošā rūpnīcā. Pēc tam pārstrādātās preces tiek atgrieztas uzņēmuma noliktavā dalībvalstī Nr. 1, lai tās varētu atkārtoti izvest uz trešo valsti. Visas preces importē un atkārtoti eksportēt caur dalībvalsti Nr. 1, un preces netiek deklarētas dalībvalstī Nr. 2.</w:t>
      </w:r>
    </w:p>
    <w:p w14:paraId="54905EC8" w14:textId="77777777" w:rsidR="005A2D50" w:rsidRPr="005A2D50" w:rsidRDefault="005A2D50" w:rsidP="005A2D50">
      <w:pPr>
        <w:pStyle w:val="BodyText"/>
        <w:rPr>
          <w:lang w:val="en-US"/>
        </w:rPr>
      </w:pPr>
      <w:r w:rsidRPr="005A2D50">
        <w:rPr>
          <w:lang w:val="en-US"/>
        </w:rPr>
        <w:t xml:space="preserve">Šajā konkrētajā situācijā atsauces summa nav jāsadala starp dalībvalsti Nr. 1 un dalībvalsti Nr. 2, jo atļauju veikt ievešanu pārstrādei piešķir </w:t>
      </w:r>
      <w:r w:rsidRPr="005A2D50">
        <w:rPr>
          <w:i/>
          <w:iCs/>
          <w:lang w:val="en-US"/>
        </w:rPr>
        <w:t xml:space="preserve">CA </w:t>
      </w:r>
      <w:r w:rsidRPr="005A2D50">
        <w:rPr>
          <w:lang w:val="en-US"/>
        </w:rPr>
        <w:t>no dalībvalsts Nr. 1 un arī preču izlaišanu ievešanai pārstrādei un procedūras noslēgšanu veic dalībvalstī Nr. 1.</w:t>
      </w:r>
    </w:p>
    <w:p w14:paraId="4190F62C" w14:textId="77777777" w:rsidR="005A2D50" w:rsidRPr="005A2D50" w:rsidRDefault="005A2D50" w:rsidP="005A2D50">
      <w:pPr>
        <w:pStyle w:val="BodyText"/>
        <w:rPr>
          <w:lang w:val="en-US"/>
        </w:rPr>
      </w:pPr>
      <w:r w:rsidRPr="005A2D50">
        <w:rPr>
          <w:lang w:val="en-US"/>
        </w:rPr>
        <w:t xml:space="preserve">Tāpēc netiks veikta apspriešanās par atsauces summas sadalījumu starp dalībvalsts Nr. 1 un dalībvalsts Nr. 2 iestādēm, lai piešķirtu atļauju sniegt vispārējo galvojumu. Tātad par atsauces summas pārraudzību atbild </w:t>
      </w:r>
      <w:r w:rsidRPr="005A2D50">
        <w:rPr>
          <w:i/>
          <w:iCs/>
          <w:lang w:val="en-US"/>
        </w:rPr>
        <w:t xml:space="preserve">CA </w:t>
      </w:r>
      <w:r w:rsidRPr="005A2D50">
        <w:rPr>
          <w:lang w:val="en-US"/>
        </w:rPr>
        <w:t>no dalībvalsts Nr. 1. Tomēr ar dalībvalsti Nr. 2 jāapspriežas par projektu atļaujai veikt ievešanu pārstrādei saskaņā ar SMK ĪA 260. pantu. Sīkāka informācija par plānotajiem pasākumiem, tostarp dalībvalstī Nr. 2 paredzētajiem, jānorāda atļaujas projektā (datu elements 7/5, A pielikums – Informācija par plānotajiem pasākumiem). Jāsniedz arī informācija par citiem iesaistītajiem uzņēmējiem.</w:t>
      </w:r>
    </w:p>
    <w:p w14:paraId="7140D5D1" w14:textId="77777777" w:rsidR="005A2D50" w:rsidRPr="005A2D50" w:rsidRDefault="005A2D50" w:rsidP="005A2D50">
      <w:pPr>
        <w:pStyle w:val="BodyText"/>
        <w:rPr>
          <w:lang w:val="en-US"/>
        </w:rPr>
      </w:pPr>
      <w:r w:rsidRPr="005A2D50">
        <w:rPr>
          <w:lang w:val="en-US"/>
        </w:rPr>
        <w:t>Saskaņā ar norādījumiem par īpašām procedūrām atļauja veikt ievešanu pārstrādei jāizmanto preču pārvietošanai uz dalībvalsti Nr. 2; šajā gadījumā nav jāsniedz atsevišķs galvojums šai darbībai. Brīdī, kad preces tiek ievestas pārstrādes uzņēmumā, un brīdī, kad pārstrādātie produkti tiek izvesti uz muitas noliktavu dalībvalstī Nr. 1, procedūras noslēgšanas mērķiem varētu būt ieteicams veikt informācijas apmaiņu starp abu dalībvalstu muitas dienestiem, izņemot tad, kad pietiek, ja muitā pārbauda izpildes dokumentu (SMK ĪA 265. pants).</w:t>
      </w:r>
    </w:p>
    <w:p w14:paraId="5F5798FA" w14:textId="77777777" w:rsidR="005A2D50" w:rsidRPr="005A2D50" w:rsidRDefault="005A2D50" w:rsidP="005A2D50">
      <w:pPr>
        <w:pStyle w:val="BodyText"/>
        <w:rPr>
          <w:lang w:val="en-US"/>
        </w:rPr>
      </w:pPr>
    </w:p>
    <w:p w14:paraId="3E9497F2" w14:textId="77777777" w:rsidR="005A2D50" w:rsidRPr="005A2D50" w:rsidRDefault="005A2D50" w:rsidP="005A2D50">
      <w:pPr>
        <w:pStyle w:val="Heading2"/>
        <w:rPr>
          <w:noProof/>
          <w:lang w:val="en-US"/>
        </w:rPr>
      </w:pPr>
      <w:bookmarkStart w:id="214" w:name="A2.6_Guarantors_and_their_undertakings"/>
      <w:bookmarkStart w:id="215" w:name="_bookmark59"/>
      <w:bookmarkStart w:id="216" w:name="_Toc104982817"/>
      <w:bookmarkEnd w:id="214"/>
      <w:bookmarkEnd w:id="215"/>
      <w:r w:rsidRPr="005A2D50">
        <w:rPr>
          <w:noProof/>
          <w:lang w:val="en-US"/>
        </w:rPr>
        <w:t>A2.6. Galvinieki un to saistības</w:t>
      </w:r>
      <w:bookmarkEnd w:id="216"/>
    </w:p>
    <w:p w14:paraId="6595F2A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48C0043" w14:textId="77777777" w:rsidR="005A2D50" w:rsidRPr="005A2D50" w:rsidRDefault="005A2D50" w:rsidP="005A2D50">
      <w:pPr>
        <w:pStyle w:val="BodyText"/>
        <w:rPr>
          <w:lang w:val="en-US"/>
        </w:rPr>
      </w:pPr>
      <w:r w:rsidRPr="005A2D50">
        <w:rPr>
          <w:lang w:val="en-US"/>
        </w:rPr>
        <w:t xml:space="preserve">1) SMK 89. panta 3. punktā minētā persona dalībvalsts Nr. 2 </w:t>
      </w:r>
      <w:r w:rsidRPr="005A2D50">
        <w:rPr>
          <w:i/>
          <w:iCs/>
          <w:lang w:val="en-US"/>
        </w:rPr>
        <w:t xml:space="preserve">COG </w:t>
      </w:r>
      <w:r w:rsidRPr="005A2D50">
        <w:rPr>
          <w:lang w:val="en-US"/>
        </w:rPr>
        <w:t xml:space="preserve">sniedz dalībvalstī Nr. 2 izmantojamu galvojumu kā galvinieka saistības, proti, to sniedz dalībvalstī Nr. 1 reģistrēta banka. Ņemot vērā SMK DA 82. panta 1. punktu, dalībvalsts Nr. 1 banka ieceļ pārstāvi vai norāda piegādes adresi dalībvalstī Nr. 2, lai veiktu turpmāku saziņu ar dalībvalsts Nr. 2 </w:t>
      </w:r>
      <w:r w:rsidRPr="005A2D50">
        <w:rPr>
          <w:i/>
          <w:iCs/>
          <w:lang w:val="en-US"/>
        </w:rPr>
        <w:t xml:space="preserve">CA </w:t>
      </w:r>
      <w:r w:rsidRPr="005A2D50">
        <w:rPr>
          <w:lang w:val="en-US"/>
        </w:rPr>
        <w:t xml:space="preserve">saistībā ar darbībām, kas attiecas uz šo galvojumu. Ja šī banka ir akreditēta Savienībā saskaņā ar spēkā esošajiem Savienības noteikumiem, dalībvalsts Nr. 2 </w:t>
      </w:r>
      <w:r w:rsidRPr="005A2D50">
        <w:rPr>
          <w:i/>
          <w:iCs/>
          <w:lang w:val="en-US"/>
        </w:rPr>
        <w:t xml:space="preserve">CA </w:t>
      </w:r>
      <w:r w:rsidRPr="005A2D50">
        <w:rPr>
          <w:lang w:val="en-US"/>
        </w:rPr>
        <w:t xml:space="preserve">nav jāapstiprina galvinieks. Tomēr tie vēlēsies pārliecināties, vai šī banka patiešām ir akreditēta Savienībā saskaņā ar spēkā esošajiem Savienības noteikumiem. Tāpēc dalībvalsts Nr. 2 </w:t>
      </w:r>
      <w:r w:rsidRPr="005A2D50">
        <w:rPr>
          <w:i/>
          <w:iCs/>
          <w:lang w:val="en-US"/>
        </w:rPr>
        <w:t xml:space="preserve">CA </w:t>
      </w:r>
      <w:r w:rsidRPr="005A2D50">
        <w:rPr>
          <w:lang w:val="en-US"/>
        </w:rPr>
        <w:t>sazināsies ar valsts kompetento iestādi, kas atbild par banku akreditāciju dalībvalstī Nr. 2, lai saņemtu apstiprinājumu tam, vai attiecīgā banka ir akreditēta saskaņā ar spēkā esošajiem Savienības noteikumiem konkrētu finanšu pakalpojumu (galvojumu) sniegšanai dalībvalsts Nr. 2 teritorijā.</w:t>
      </w:r>
    </w:p>
    <w:p w14:paraId="49F2D844" w14:textId="77777777" w:rsidR="005A2D50" w:rsidRPr="005A2D50" w:rsidRDefault="005A2D50" w:rsidP="005A2D50">
      <w:pPr>
        <w:pStyle w:val="BodyText"/>
        <w:rPr>
          <w:lang w:val="en-US"/>
        </w:rPr>
      </w:pPr>
      <w:r w:rsidRPr="005A2D50">
        <w:rPr>
          <w:lang w:val="en-US"/>
        </w:rPr>
        <w:t xml:space="preserve">2) Akreditēts galvinieks, banka, sniedz dalībvalsts Nr. 1 </w:t>
      </w:r>
      <w:r w:rsidRPr="005A2D50">
        <w:rPr>
          <w:i/>
          <w:iCs/>
          <w:lang w:val="en-US"/>
        </w:rPr>
        <w:t xml:space="preserve">COG </w:t>
      </w:r>
      <w:r w:rsidRPr="005A2D50">
        <w:rPr>
          <w:lang w:val="en-US"/>
        </w:rPr>
        <w:t xml:space="preserve">galvojumu, kas ir derīgs arī dalībvalstī Nr. 2. Banka neieceļ pārstāvi dalībvalstī Nr. 2. Šajā gadījumā dalībvalsts Nr. 1 </w:t>
      </w:r>
      <w:r w:rsidRPr="005A2D50">
        <w:rPr>
          <w:i/>
          <w:iCs/>
          <w:lang w:val="en-US"/>
        </w:rPr>
        <w:t xml:space="preserve">COG </w:t>
      </w:r>
      <w:r w:rsidRPr="005A2D50">
        <w:rPr>
          <w:lang w:val="en-US"/>
        </w:rPr>
        <w:t>var noraidīt saistības, atsaucoties uz SMK DA 82. panta 1. punktu un SMK 94. panta 3. punktu.</w:t>
      </w:r>
    </w:p>
    <w:p w14:paraId="045F7EF3" w14:textId="77777777" w:rsidR="005A2D50" w:rsidRPr="005A2D50" w:rsidRDefault="005A2D50" w:rsidP="005A2D50">
      <w:pPr>
        <w:pStyle w:val="BodyText"/>
        <w:rPr>
          <w:lang w:val="en-US"/>
        </w:rPr>
      </w:pPr>
      <w:r w:rsidRPr="005A2D50">
        <w:rPr>
          <w:lang w:val="en-US"/>
        </w:rPr>
        <w:t>3) Uzņēmējs A sniedz vienu vispārējo galvojumu ievešanai pārstrādei (IP). Tas 2017. gada 1. janvārī saņēma atļauju sniegt vispārējo galvojumu. Ar šo atļauju ir saistītas bankas B emitētas saistības.</w:t>
      </w:r>
    </w:p>
    <w:p w14:paraId="5E95E660" w14:textId="77777777" w:rsidR="005A2D50" w:rsidRPr="005A2D50" w:rsidRDefault="005A2D50" w:rsidP="005A2D50">
      <w:pPr>
        <w:pStyle w:val="BodyText"/>
        <w:rPr>
          <w:lang w:val="en-US"/>
        </w:rPr>
      </w:pPr>
      <w:r w:rsidRPr="005A2D50">
        <w:rPr>
          <w:lang w:val="en-US"/>
        </w:rPr>
        <w:t>Persona A, izmantojot minēto galvojumu, 2017. gada 1. aprīlī piemēro precēm IP procedūru, sniedzot deklarāciju X.</w:t>
      </w:r>
    </w:p>
    <w:p w14:paraId="37B3D042" w14:textId="77777777" w:rsidR="005A2D50" w:rsidRPr="005A2D50" w:rsidRDefault="005A2D50" w:rsidP="005A2D50">
      <w:pPr>
        <w:pStyle w:val="BodyText"/>
        <w:rPr>
          <w:lang w:val="en-US"/>
        </w:rPr>
      </w:pPr>
      <w:r w:rsidRPr="005A2D50">
        <w:rPr>
          <w:lang w:val="en-US"/>
        </w:rPr>
        <w:t>Banka B atceļ savas saistības, un minētā atcelšana stājas spēkā 2018. gada 1. janvārī (pēdējais derīguma datums ir 2017. gada 31. decembris).</w:t>
      </w:r>
    </w:p>
    <w:p w14:paraId="08495696" w14:textId="77777777" w:rsidR="005A2D50" w:rsidRPr="005A2D50" w:rsidRDefault="005A2D50" w:rsidP="005A2D50">
      <w:pPr>
        <w:pStyle w:val="BodyText"/>
        <w:rPr>
          <w:lang w:val="en-US"/>
        </w:rPr>
      </w:pPr>
      <w:r w:rsidRPr="005A2D50">
        <w:rPr>
          <w:lang w:val="en-US"/>
        </w:rPr>
        <w:t xml:space="preserve">Persona A sniedz jaunas saistības, ko emitējusi banka C saistībā ar jau piešķirto </w:t>
      </w:r>
      <w:r w:rsidRPr="005A2D50">
        <w:rPr>
          <w:i/>
          <w:iCs/>
          <w:lang w:val="en-US"/>
        </w:rPr>
        <w:t xml:space="preserve">CGU </w:t>
      </w:r>
      <w:r w:rsidRPr="005A2D50">
        <w:rPr>
          <w:lang w:val="en-US"/>
        </w:rPr>
        <w:t>atļauju. Ja atbilstīgi, muita apstiprina šādas saistības un galvinieku, pirms stājas spēkā citu saistību atcelšana.</w:t>
      </w:r>
    </w:p>
    <w:p w14:paraId="008B6D78" w14:textId="77777777" w:rsidR="005A2D50" w:rsidRPr="005A2D50" w:rsidRDefault="005A2D50" w:rsidP="005A2D50">
      <w:pPr>
        <w:pStyle w:val="BodyText"/>
        <w:rPr>
          <w:lang w:val="en-US"/>
        </w:rPr>
      </w:pPr>
      <w:r w:rsidRPr="005A2D50">
        <w:rPr>
          <w:lang w:val="en-US"/>
        </w:rPr>
        <w:t>2018. gada 1. maijā ir radies muitas parāds par precēm, kurām 2017. gada 1. aprīlī piemēroja IP procedūru, un muitas operācija netika pabeigta, pirms stājās spēkā saistību atcelšana. Parādnieks šo parādu nemaksā, un muitai jāvēršas pie galvinieka, lai saņemtu maksājumu. Muitai jāvēršas bankā B, jo tā bija galvinieks, kad minētajām precēm piemēroja īpašo procedūru (minētajām precēm piemēroja procedūru, uz kuru attiecās vispārējais galvojums, ar ko bija saistītas bankas B emitētās saistības, un operācija netika pabeigta, pirms stājās spēkā saistību atcelšana).</w:t>
      </w:r>
    </w:p>
    <w:p w14:paraId="7FF3582D" w14:textId="77777777" w:rsidR="005A2D50" w:rsidRPr="005A2D50" w:rsidRDefault="005A2D50" w:rsidP="005A2D50">
      <w:pPr>
        <w:pStyle w:val="BodyText"/>
        <w:rPr>
          <w:lang w:val="en-US"/>
        </w:rPr>
      </w:pPr>
      <w:r w:rsidRPr="005A2D50">
        <w:rPr>
          <w:lang w:val="en-US"/>
        </w:rPr>
        <w:t>Šajā sakarā SMK ĪA 32-03. pielikuma 3. punktā ir noteikts:</w:t>
      </w:r>
    </w:p>
    <w:p w14:paraId="358AB068" w14:textId="77777777" w:rsidR="005A2D50" w:rsidRPr="005A2D50" w:rsidRDefault="005A2D50" w:rsidP="005A2D50">
      <w:pPr>
        <w:pStyle w:val="BodyText"/>
        <w:rPr>
          <w:lang w:val="en-US"/>
        </w:rPr>
      </w:pPr>
    </w:p>
    <w:p w14:paraId="249E671D" w14:textId="77777777" w:rsidR="005A2D50" w:rsidRPr="005A2D50" w:rsidRDefault="005A2D50" w:rsidP="005A2D50">
      <w:pPr>
        <w:pStyle w:val="BodyText"/>
        <w:ind w:left="284"/>
        <w:rPr>
          <w:lang w:val="en-US"/>
        </w:rPr>
      </w:pPr>
      <w:r w:rsidRPr="005A2D50">
        <w:rPr>
          <w:lang w:val="en-US"/>
        </w:rPr>
        <w:t>“Šīs saistības ir spēkā no dienas, kad tās apstiprinājusi galvojuma muitas iestāde. Parakstītājs joprojām ir atbildīgs par visu to parādu samaksu, kuri rodas tajā muitas operācijā, uz ko attiecas šīs saistības un kas ir uzsākta, pirms stājās spēkā galvojuma atsaukšana vai atcelšana, pat ja maksājums ir pieprasīts pēc minētās dienas.”</w:t>
      </w:r>
    </w:p>
    <w:p w14:paraId="6BE69B80" w14:textId="77777777" w:rsidR="005A2D50" w:rsidRPr="005A2D50" w:rsidRDefault="005A2D50" w:rsidP="005A2D50">
      <w:pPr>
        <w:pStyle w:val="BodyText"/>
        <w:rPr>
          <w:lang w:val="en-US"/>
        </w:rPr>
      </w:pPr>
    </w:p>
    <w:p w14:paraId="08E860C9" w14:textId="77777777" w:rsidR="005A2D50" w:rsidRPr="005A2D50" w:rsidRDefault="005A2D50" w:rsidP="005A2D50">
      <w:pPr>
        <w:pStyle w:val="BodyText"/>
        <w:rPr>
          <w:lang w:val="en-US"/>
        </w:rPr>
      </w:pPr>
      <w:r w:rsidRPr="005A2D50">
        <w:rPr>
          <w:lang w:val="en-US"/>
        </w:rPr>
        <w:t>Citiem vārdiem sakot, muitas parādi, kas var rasties attiecībā uz precēm, kurām piemērota procedūra pirms dienas, kad stājās spēkā galvinieka veikta atcelšana, ir jānodrošina ar saistībām, ko emitējusi banka B.</w:t>
      </w:r>
    </w:p>
    <w:p w14:paraId="55D5A60E" w14:textId="77777777" w:rsidR="005A2D50" w:rsidRPr="005A2D50" w:rsidRDefault="005A2D50" w:rsidP="005A2D50">
      <w:pPr>
        <w:pStyle w:val="BodyText"/>
        <w:rPr>
          <w:lang w:val="en-US"/>
        </w:rPr>
      </w:pPr>
      <w:r w:rsidRPr="005A2D50">
        <w:rPr>
          <w:lang w:val="en-US"/>
        </w:rPr>
        <w:t>Tas būtu piemērojams arī gadījumā, ja persona A nesaņemtu jaunu atļauju sniegt vispārējo galvojumu pēc 2018. gada 1. janvāra, tostarp atļauju sniegt jaunas saistības. Šajā gadījumā personai A acīmredzami nebūtu bijis iespējams deklarēt “jaunas” preces, kurām piemērotu īpašo procedūru, bet tas, ka personai A vairs nebūtu derīga vispārējā galvojuma, neskartu preces, kurām jau iepriekš bija piemērota minētā procedūra.</w:t>
      </w:r>
    </w:p>
    <w:p w14:paraId="00505948" w14:textId="77777777" w:rsidR="005A2D50" w:rsidRPr="005A2D50" w:rsidRDefault="005A2D50" w:rsidP="005A2D50">
      <w:pPr>
        <w:pStyle w:val="BodyText"/>
        <w:rPr>
          <w:lang w:val="en-US"/>
        </w:rPr>
      </w:pPr>
      <w:r w:rsidRPr="005A2D50">
        <w:rPr>
          <w:lang w:val="en-US"/>
        </w:rPr>
        <w:t>4) Galvinieks dod saistības 100 000 EUR apmērā visām īpašajām procedūrām. Galvinieks 2018. gada 28. aprīlī saņem pieprasījumu samaksāt 60 000 EUR.</w:t>
      </w:r>
    </w:p>
    <w:p w14:paraId="257DCBBE" w14:textId="77777777" w:rsidR="005A2D50" w:rsidRPr="005A2D50" w:rsidRDefault="005A2D50" w:rsidP="005A2D50">
      <w:pPr>
        <w:pStyle w:val="BodyText"/>
        <w:rPr>
          <w:lang w:val="en-US"/>
        </w:rPr>
      </w:pPr>
      <w:r w:rsidRPr="005A2D50">
        <w:rPr>
          <w:lang w:val="en-US"/>
        </w:rPr>
        <w:t>Galviniekam ir divas turpmāk minētās iespējas.</w:t>
      </w:r>
    </w:p>
    <w:p w14:paraId="65FDEE6C" w14:textId="77777777" w:rsidR="005A2D50" w:rsidRPr="005A2D50" w:rsidRDefault="005A2D50" w:rsidP="005A2D50">
      <w:pPr>
        <w:pStyle w:val="BodyText"/>
        <w:rPr>
          <w:u w:color="000000"/>
          <w:lang w:val="en-US"/>
        </w:rPr>
      </w:pPr>
    </w:p>
    <w:p w14:paraId="59B08883" w14:textId="77777777" w:rsidR="005A2D50" w:rsidRPr="005A2D50" w:rsidRDefault="005A2D50" w:rsidP="005A2D50">
      <w:pPr>
        <w:pStyle w:val="BodyText"/>
        <w:ind w:left="284"/>
        <w:rPr>
          <w:u w:val="single" w:color="000000"/>
          <w:lang w:val="en-US"/>
        </w:rPr>
      </w:pPr>
      <w:r w:rsidRPr="005A2D50">
        <w:rPr>
          <w:lang w:val="en-US"/>
        </w:rPr>
        <w:t>a) </w:t>
      </w:r>
      <w:r w:rsidRPr="005A2D50">
        <w:rPr>
          <w:u w:val="single"/>
          <w:lang w:val="en-US"/>
        </w:rPr>
        <w:t>Galvinieks var nekavējoties atcelt savas saistības</w:t>
      </w:r>
      <w:r w:rsidRPr="005A2D50">
        <w:rPr>
          <w:lang w:val="en-US"/>
        </w:rPr>
        <w:t>.</w:t>
      </w:r>
    </w:p>
    <w:p w14:paraId="6471FD47" w14:textId="77777777" w:rsidR="005A2D50" w:rsidRPr="005A2D50" w:rsidRDefault="005A2D50" w:rsidP="005A2D50">
      <w:pPr>
        <w:pStyle w:val="BodyText"/>
        <w:ind w:left="284"/>
        <w:rPr>
          <w:lang w:val="en-US"/>
        </w:rPr>
      </w:pPr>
    </w:p>
    <w:p w14:paraId="040E7805" w14:textId="77777777" w:rsidR="005A2D50" w:rsidRPr="005A2D50" w:rsidRDefault="005A2D50" w:rsidP="005A2D50">
      <w:pPr>
        <w:pStyle w:val="BodyText"/>
        <w:ind w:left="284"/>
        <w:rPr>
          <w:lang w:val="en-US"/>
        </w:rPr>
      </w:pPr>
      <w:r w:rsidRPr="005A2D50">
        <w:rPr>
          <w:lang w:val="en-US"/>
        </w:rPr>
        <w:t>Atcelšana stāsies spēkā sešpadsmitajā dienā pēc dienas, kurā galvinieks ir paziņojis par atcelšanu muitas iestādei, kurā tika sniegts galvojums. Šajā gadījumā galvinieks zina, ka viņam nekad KOPĀ nebūs jāmaksā vairāk par 100 000 EUR, jo viņš var atsaukties uz saistību 2. punkta pēdējo daļu.</w:t>
      </w:r>
    </w:p>
    <w:p w14:paraId="3A1F0885" w14:textId="77777777" w:rsidR="005A2D50" w:rsidRPr="005A2D50" w:rsidRDefault="005A2D50" w:rsidP="005A2D50">
      <w:pPr>
        <w:pStyle w:val="BodyText"/>
        <w:ind w:left="284"/>
        <w:rPr>
          <w:lang w:val="en-US"/>
        </w:rPr>
      </w:pPr>
      <w:r w:rsidRPr="005A2D50">
        <w:rPr>
          <w:lang w:val="en-US"/>
        </w:rPr>
        <w:t xml:space="preserve">Piemērs. Galvinieks 2018. gada 28. aprīlī saņem pieprasījumu samaksāt 60 000 EUR. Viņš samaksā 60 000 EUR (30 dienu laikā) un nekavējoties nosūta </w:t>
      </w:r>
      <w:r w:rsidRPr="005A2D50">
        <w:rPr>
          <w:i/>
          <w:iCs/>
          <w:lang w:val="en-US"/>
        </w:rPr>
        <w:t xml:space="preserve">COG </w:t>
      </w:r>
      <w:r w:rsidRPr="005A2D50">
        <w:rPr>
          <w:lang w:val="en-US"/>
        </w:rPr>
        <w:t>vēstuli par saistību atcelšanu. Vēstule par atcelšanu tiek saņemta 2018. gada 1. maijā, tāpēc atcelšana stājas spēkā 2018. gada 17. maijā.</w:t>
      </w:r>
    </w:p>
    <w:p w14:paraId="5396B2B4" w14:textId="77777777" w:rsidR="005A2D50" w:rsidRPr="005A2D50" w:rsidRDefault="005A2D50" w:rsidP="005A2D50">
      <w:pPr>
        <w:pStyle w:val="BodyText"/>
        <w:ind w:left="284"/>
        <w:rPr>
          <w:lang w:val="en-US"/>
        </w:rPr>
      </w:pPr>
      <w:r w:rsidRPr="005A2D50">
        <w:rPr>
          <w:lang w:val="en-US"/>
        </w:rPr>
        <w:t>Pastāv iespēja, ka uzņēmējs 2018. gada 16. maijā turpina piemērot procedūru precēm, izmantojot minēto galvojumu, bet, pat ja vēlāk tiktu konstatēts, ka saistībā ar pēdējo deklarāciju ir radies parāds, piemēram, 80 000 EUR, galviniekam var likt samaksāt tikai 40 000 EUR (maksimālais apmērs ir 100 000 EUR, no kura atskaita jau samaksātos 60 000 EUR).</w:t>
      </w:r>
    </w:p>
    <w:p w14:paraId="57527BCE" w14:textId="77777777" w:rsidR="005A2D50" w:rsidRPr="005A2D50" w:rsidRDefault="005A2D50" w:rsidP="005A2D50">
      <w:pPr>
        <w:pStyle w:val="BodyText"/>
        <w:ind w:left="284"/>
        <w:rPr>
          <w:lang w:val="en-US"/>
        </w:rPr>
      </w:pPr>
      <w:r w:rsidRPr="005A2D50">
        <w:rPr>
          <w:lang w:val="en-US"/>
        </w:rPr>
        <w:t>Ja galvinieks neatceļ saistības uzreiz pēc tam, kad ir saņemts pieprasījums samaksāt 60 000 EUR, viņš zina, ka, pamatojoties uz savām saistībām, viņam var nākties maksāt vairāk nekā 100 000 EUR.</w:t>
      </w:r>
    </w:p>
    <w:p w14:paraId="12647491" w14:textId="77777777" w:rsidR="005A2D50" w:rsidRPr="005A2D50" w:rsidRDefault="005A2D50" w:rsidP="005A2D50">
      <w:pPr>
        <w:pStyle w:val="BodyText"/>
        <w:ind w:left="284"/>
        <w:rPr>
          <w:lang w:val="en-US"/>
        </w:rPr>
      </w:pPr>
    </w:p>
    <w:p w14:paraId="32D89347" w14:textId="77777777" w:rsidR="005A2D50" w:rsidRPr="005A2D50" w:rsidRDefault="005A2D50" w:rsidP="005A2D50">
      <w:pPr>
        <w:pStyle w:val="BodyText"/>
        <w:ind w:left="284"/>
        <w:rPr>
          <w:u w:val="single"/>
          <w:lang w:val="en-US"/>
        </w:rPr>
      </w:pPr>
      <w:r w:rsidRPr="005A2D50">
        <w:rPr>
          <w:lang w:val="en-US"/>
        </w:rPr>
        <w:t>b) </w:t>
      </w:r>
      <w:r w:rsidRPr="005A2D50">
        <w:rPr>
          <w:u w:val="single"/>
          <w:lang w:val="en-US"/>
        </w:rPr>
        <w:t>Galvinieks izvēlas neatcelt savas saistības</w:t>
      </w:r>
      <w:r w:rsidRPr="005A2D50">
        <w:rPr>
          <w:lang w:val="en-US"/>
        </w:rPr>
        <w:t>.</w:t>
      </w:r>
    </w:p>
    <w:p w14:paraId="3996D1E7" w14:textId="77777777" w:rsidR="005A2D50" w:rsidRPr="005A2D50" w:rsidRDefault="005A2D50" w:rsidP="005A2D50">
      <w:pPr>
        <w:pStyle w:val="BodyText"/>
        <w:ind w:left="284"/>
        <w:rPr>
          <w:lang w:val="en-US"/>
        </w:rPr>
      </w:pPr>
    </w:p>
    <w:p w14:paraId="69FF4CDA" w14:textId="77777777" w:rsidR="005A2D50" w:rsidRPr="005A2D50" w:rsidRDefault="005A2D50" w:rsidP="005A2D50">
      <w:pPr>
        <w:pStyle w:val="BodyText"/>
        <w:ind w:left="284"/>
        <w:rPr>
          <w:lang w:val="en-US"/>
        </w:rPr>
      </w:pPr>
      <w:r w:rsidRPr="005A2D50">
        <w:rPr>
          <w:lang w:val="en-US"/>
        </w:rPr>
        <w:t>Piemērs. Pieprasījums maksāt 60 000 EUR tiek saņemts 2018. gada 28. aprīlī, galvinieks neatceļ savas saistības, 30 dienu laikā viņš samaksā minētos 60 000 EUR. Ja pēc tam saskaņā ar tām pašām saistībām 2018. gada 1. jūnijā tiek sākta jauna procedūra, galviniekam ir pienākums samaksāt “visu maksimālo apmēru – 100 000 EUR” saistībā ar šo jauno procedūru, tātad šajā piemērā galarezultātā galviniekam varētu būt jāsamaksā 160 000 EUR, pamatojoties uz tā saistībām, kas ir spēkā tikai par nominālo maksimālo apmēru – 100 000 EUR.</w:t>
      </w:r>
    </w:p>
    <w:p w14:paraId="02344168" w14:textId="77777777" w:rsidR="005A2D50" w:rsidRPr="005A2D50" w:rsidRDefault="005A2D50" w:rsidP="005A2D50">
      <w:pPr>
        <w:pStyle w:val="BodyText"/>
        <w:ind w:left="284"/>
        <w:rPr>
          <w:lang w:val="en-US"/>
        </w:rPr>
      </w:pPr>
      <w:r w:rsidRPr="005A2D50">
        <w:rPr>
          <w:lang w:val="en-US"/>
        </w:rPr>
        <w:t>Citiem vārdiem sakot, ja galvinieks pēc maksājuma pieprasījuma saņemšanas nepieņem lēmumu atcelt saistības, tas netieši piekrīt uzņemties atbildību par visu maksimālo apmēru turpmākajām procedūrām, kas uzsāktas saskaņā ar galvojumu (= procedūras sāktas vairāk nekā 30 dienas pēc pirmā maksājuma pieprasījuma, ko muita adresējusi galviniekam).</w:t>
      </w:r>
    </w:p>
    <w:p w14:paraId="29BDF013" w14:textId="77777777" w:rsidR="005A2D50" w:rsidRPr="005A2D50" w:rsidRDefault="005A2D50" w:rsidP="005A2D50">
      <w:pPr>
        <w:jc w:val="both"/>
        <w:rPr>
          <w:rFonts w:ascii="Times New Roman" w:hAnsi="Times New Roman" w:cs="Times New Roman"/>
          <w:noProof/>
          <w:sz w:val="24"/>
          <w:szCs w:val="24"/>
          <w:lang w:val="en-US"/>
        </w:rPr>
      </w:pPr>
    </w:p>
    <w:p w14:paraId="76AFD2B5" w14:textId="77777777" w:rsidR="005A2D50" w:rsidRPr="005A2D50" w:rsidRDefault="005A2D50" w:rsidP="005A2D50">
      <w:pPr>
        <w:pStyle w:val="Heading2"/>
        <w:rPr>
          <w:noProof/>
          <w:lang w:val="en-US"/>
        </w:rPr>
      </w:pPr>
      <w:bookmarkStart w:id="217" w:name="A2.7_Practice_for_audit_monitoring_of_th"/>
      <w:bookmarkStart w:id="218" w:name="_bookmark60"/>
      <w:bookmarkStart w:id="219" w:name="_Toc104982818"/>
      <w:bookmarkEnd w:id="217"/>
      <w:bookmarkEnd w:id="218"/>
      <w:r w:rsidRPr="005A2D50">
        <w:rPr>
          <w:noProof/>
          <w:lang w:val="en-US"/>
        </w:rPr>
        <w:t>A2.7. Revīzijas prakse atsauces summas pārraudzībai saskaņā ar SMK ĪA 157. panta 3. punktu</w:t>
      </w:r>
      <w:bookmarkEnd w:id="219"/>
    </w:p>
    <w:p w14:paraId="5233576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16ABCDD4" w14:textId="77777777" w:rsidR="005A2D50" w:rsidRPr="005A2D50" w:rsidRDefault="005A2D50" w:rsidP="005A2D50">
      <w:pPr>
        <w:pStyle w:val="BodyText"/>
        <w:rPr>
          <w:lang w:val="en-US"/>
        </w:rPr>
      </w:pPr>
      <w:r w:rsidRPr="005A2D50">
        <w:rPr>
          <w:lang w:val="en-US"/>
        </w:rPr>
        <w:t>Tiek piešķirta atļauja izmantot vispārējo galvojumu iespējamajiem parādiem, ir noteikta atsauces summa un ir sniegts galvojums par pilnu atsauces summu vai samazināto summu.</w:t>
      </w:r>
    </w:p>
    <w:p w14:paraId="5803EA39" w14:textId="77777777" w:rsidR="005A2D50" w:rsidRPr="005A2D50" w:rsidRDefault="005A2D50" w:rsidP="005A2D50">
      <w:pPr>
        <w:pStyle w:val="BodyText"/>
        <w:rPr>
          <w:lang w:val="en-US"/>
        </w:rPr>
      </w:pPr>
    </w:p>
    <w:p w14:paraId="293D6CFE" w14:textId="77777777" w:rsidR="005A2D50" w:rsidRPr="005A2D50" w:rsidRDefault="005A2D50" w:rsidP="005A2D50">
      <w:pPr>
        <w:pStyle w:val="BodyText"/>
        <w:numPr>
          <w:ilvl w:val="0"/>
          <w:numId w:val="4"/>
        </w:numPr>
        <w:tabs>
          <w:tab w:val="left" w:pos="851"/>
        </w:tabs>
        <w:ind w:left="284" w:firstLine="0"/>
        <w:rPr>
          <w:lang w:val="en-US"/>
        </w:rPr>
      </w:pPr>
      <w:r w:rsidRPr="005A2D50">
        <w:rPr>
          <w:lang w:val="en-US"/>
        </w:rPr>
        <w:t>Regulāri (vismaz reizi gadā) atļaujas turētājam ir prasīts sniegt turpmāk minēto informāciju (jānovērtē dati par divpadsmit mēnešiem):</w:t>
      </w:r>
    </w:p>
    <w:p w14:paraId="348B0F69" w14:textId="77777777" w:rsidR="005A2D50" w:rsidRPr="005A2D50" w:rsidRDefault="005A2D50" w:rsidP="005A2D50">
      <w:pPr>
        <w:pStyle w:val="BodyText"/>
        <w:numPr>
          <w:ilvl w:val="1"/>
          <w:numId w:val="4"/>
        </w:numPr>
        <w:tabs>
          <w:tab w:val="left" w:pos="1134"/>
        </w:tabs>
        <w:ind w:left="567" w:firstLine="0"/>
        <w:rPr>
          <w:lang w:val="en-US"/>
        </w:rPr>
      </w:pPr>
      <w:r w:rsidRPr="005A2D50">
        <w:rPr>
          <w:lang w:val="en-US"/>
        </w:rPr>
        <w:t>preču apraksts un KN kods;</w:t>
      </w:r>
    </w:p>
    <w:p w14:paraId="55DAFF64" w14:textId="77777777" w:rsidR="005A2D50" w:rsidRPr="005A2D50" w:rsidRDefault="005A2D50" w:rsidP="005A2D50">
      <w:pPr>
        <w:pStyle w:val="BodyText"/>
        <w:numPr>
          <w:ilvl w:val="1"/>
          <w:numId w:val="4"/>
        </w:numPr>
        <w:tabs>
          <w:tab w:val="left" w:pos="1134"/>
        </w:tabs>
        <w:ind w:left="567" w:firstLine="0"/>
        <w:rPr>
          <w:lang w:val="en-US"/>
        </w:rPr>
      </w:pPr>
      <w:r w:rsidRPr="005A2D50">
        <w:rPr>
          <w:lang w:val="en-US"/>
        </w:rPr>
        <w:t>preču vērtība noteiktā laikposmā (12 mēneši); jānošķir iespējamie muitas parādi (piemēram, muitas procedūra ievešanai noliktavā, izņemot tranzītu), tranzīta un muitas parādi, kas radīsies (laišana brīvā apgrozībā);</w:t>
      </w:r>
    </w:p>
    <w:p w14:paraId="4D848DC6" w14:textId="77777777" w:rsidR="005A2D50" w:rsidRPr="005A2D50" w:rsidRDefault="005A2D50" w:rsidP="005A2D50">
      <w:pPr>
        <w:pStyle w:val="BodyText"/>
        <w:numPr>
          <w:ilvl w:val="1"/>
          <w:numId w:val="4"/>
        </w:numPr>
        <w:tabs>
          <w:tab w:val="left" w:pos="1134"/>
        </w:tabs>
        <w:ind w:left="567" w:firstLine="0"/>
        <w:rPr>
          <w:lang w:val="en-US"/>
        </w:rPr>
      </w:pPr>
      <w:r w:rsidRPr="005A2D50">
        <w:rPr>
          <w:lang w:val="en-US"/>
        </w:rPr>
        <w:t>vidējais laiks muitas procedūras piemērošanai iespējamo muitas parādu gadījumā.</w:t>
      </w:r>
    </w:p>
    <w:p w14:paraId="713FB4BA" w14:textId="77777777" w:rsidR="005A2D50" w:rsidRPr="005A2D50" w:rsidRDefault="005A2D50" w:rsidP="005A2D50">
      <w:pPr>
        <w:pStyle w:val="BodyText"/>
        <w:rPr>
          <w:lang w:val="en-US"/>
        </w:rPr>
      </w:pPr>
    </w:p>
    <w:p w14:paraId="34052E92" w14:textId="77777777" w:rsidR="005A2D50" w:rsidRPr="005A2D50" w:rsidRDefault="005A2D50" w:rsidP="005A2D50">
      <w:pPr>
        <w:pStyle w:val="BodyText"/>
        <w:rPr>
          <w:lang w:val="en-US"/>
        </w:rPr>
      </w:pPr>
      <w:r w:rsidRPr="005A2D50">
        <w:rPr>
          <w:lang w:val="en-US"/>
        </w:rPr>
        <w:t>Attiecībā uz “jauniem” uzņēmējiem (nav informācijas par muitas operācijām) pirmo revīziju ieteicams veikt pēc laikposma, kas ir īsāks par 12 mēnešiem.</w:t>
      </w:r>
    </w:p>
    <w:p w14:paraId="45D85933" w14:textId="77777777" w:rsidR="005A2D50" w:rsidRPr="005A2D50" w:rsidRDefault="005A2D50" w:rsidP="005A2D50">
      <w:pPr>
        <w:pStyle w:val="BodyText"/>
        <w:rPr>
          <w:lang w:val="en-US"/>
        </w:rPr>
      </w:pPr>
    </w:p>
    <w:p w14:paraId="17E2E248" w14:textId="77777777" w:rsidR="005A2D50" w:rsidRPr="005A2D50" w:rsidRDefault="005A2D50" w:rsidP="005A2D50">
      <w:pPr>
        <w:pStyle w:val="BodyText"/>
        <w:numPr>
          <w:ilvl w:val="0"/>
          <w:numId w:val="4"/>
        </w:numPr>
        <w:tabs>
          <w:tab w:val="left" w:pos="851"/>
        </w:tabs>
        <w:ind w:left="284" w:firstLine="0"/>
        <w:rPr>
          <w:lang w:val="en-US"/>
        </w:rPr>
      </w:pPr>
      <w:r w:rsidRPr="005A2D50">
        <w:rPr>
          <w:lang w:val="en-US"/>
        </w:rPr>
        <w:t>Izmantojot šo informāciju, atsauces summu aprēķina un pārbauda salīdzinājumā ar pašreizējo atsauces summu un/vai atsauces summu, ko pieprasa atļaujas turētājs.</w:t>
      </w:r>
    </w:p>
    <w:p w14:paraId="760F9515" w14:textId="77777777" w:rsidR="005A2D50" w:rsidRPr="005A2D50" w:rsidRDefault="005A2D50" w:rsidP="005A2D50">
      <w:pPr>
        <w:pStyle w:val="BodyText"/>
        <w:numPr>
          <w:ilvl w:val="0"/>
          <w:numId w:val="4"/>
        </w:numPr>
        <w:tabs>
          <w:tab w:val="left" w:pos="851"/>
        </w:tabs>
        <w:ind w:left="284" w:firstLine="0"/>
        <w:rPr>
          <w:lang w:val="en-US"/>
        </w:rPr>
      </w:pPr>
      <w:r w:rsidRPr="005A2D50">
        <w:rPr>
          <w:lang w:val="en-US"/>
        </w:rPr>
        <w:t>Ja nepieciešams, atļaujas turētājs maina sniegto galvojumu.</w:t>
      </w:r>
    </w:p>
    <w:p w14:paraId="4ED737EB" w14:textId="77777777" w:rsidR="005A2D50" w:rsidRPr="005A2D50" w:rsidRDefault="005A2D50" w:rsidP="005A2D50">
      <w:pPr>
        <w:pStyle w:val="BodyText"/>
        <w:numPr>
          <w:ilvl w:val="0"/>
          <w:numId w:val="4"/>
        </w:numPr>
        <w:tabs>
          <w:tab w:val="left" w:pos="851"/>
        </w:tabs>
        <w:ind w:left="284" w:firstLine="0"/>
        <w:rPr>
          <w:lang w:val="en-US"/>
        </w:rPr>
      </w:pPr>
      <w:r w:rsidRPr="005A2D50">
        <w:rPr>
          <w:lang w:val="en-US"/>
        </w:rPr>
        <w:t>Iespējamo muitas parādu atsauces summa tiek pārbaudīta arī sniegtās atļaujas administratīvo pārbaužu laikā.</w:t>
      </w:r>
    </w:p>
    <w:p w14:paraId="318924CA" w14:textId="77777777" w:rsidR="005A2D50" w:rsidRPr="005A2D50" w:rsidRDefault="005A2D50" w:rsidP="005A2D50">
      <w:pPr>
        <w:pStyle w:val="BodyText"/>
        <w:numPr>
          <w:ilvl w:val="0"/>
          <w:numId w:val="4"/>
        </w:numPr>
        <w:tabs>
          <w:tab w:val="left" w:pos="851"/>
        </w:tabs>
        <w:ind w:left="284" w:firstLine="0"/>
        <w:rPr>
          <w:lang w:val="en-US"/>
        </w:rPr>
      </w:pPr>
      <w:r w:rsidRPr="005A2D50">
        <w:rPr>
          <w:lang w:val="en-US"/>
        </w:rPr>
        <w:t>Pieejamo atsauces summu muitas parādiem, kas radīsies, un tranzīta gadījumā pārbauda arī katrā darījumā atsevišķi deklarēšanas procesa laikā, kad deklarācija tiek iesniegta standarta procedūrā.</w:t>
      </w:r>
    </w:p>
    <w:p w14:paraId="75551ADE" w14:textId="77777777" w:rsidR="005A2D50" w:rsidRPr="005A2D50" w:rsidRDefault="005A2D50" w:rsidP="005A2D50">
      <w:pPr>
        <w:pStyle w:val="BodyText"/>
        <w:tabs>
          <w:tab w:val="left" w:pos="851"/>
        </w:tabs>
        <w:rPr>
          <w:lang w:val="en-US"/>
        </w:rPr>
      </w:pPr>
    </w:p>
    <w:p w14:paraId="5CF4AD69" w14:textId="77777777" w:rsidR="005A2D50" w:rsidRPr="005A2D50" w:rsidRDefault="005A2D50" w:rsidP="005A2D50">
      <w:pPr>
        <w:pStyle w:val="Heading2"/>
        <w:rPr>
          <w:noProof/>
          <w:lang w:val="en-US"/>
        </w:rPr>
      </w:pPr>
      <w:bookmarkStart w:id="220" w:name="A2.8_Examples_of_Optional_guarantee"/>
      <w:bookmarkStart w:id="221" w:name="_bookmark61"/>
      <w:bookmarkStart w:id="222" w:name="_Toc104982819"/>
      <w:bookmarkEnd w:id="220"/>
      <w:bookmarkEnd w:id="221"/>
      <w:r w:rsidRPr="005A2D50">
        <w:rPr>
          <w:noProof/>
          <w:lang w:val="en-US"/>
        </w:rPr>
        <w:t>A2.8. Neobligāta galvojuma piemēri</w:t>
      </w:r>
      <w:bookmarkEnd w:id="222"/>
    </w:p>
    <w:p w14:paraId="31AD6B3D"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64F7D1AF" w14:textId="77777777" w:rsidR="005A2D50" w:rsidRPr="005A2D50" w:rsidRDefault="005A2D50" w:rsidP="005A2D50">
      <w:pPr>
        <w:pStyle w:val="BodyText"/>
        <w:ind w:left="284"/>
        <w:rPr>
          <w:lang w:val="en-US"/>
        </w:rPr>
      </w:pPr>
      <w:r w:rsidRPr="005A2D50">
        <w:rPr>
          <w:lang w:val="en-US"/>
        </w:rPr>
        <w:t xml:space="preserve">1. </w:t>
      </w:r>
      <w:r w:rsidRPr="005A2D50">
        <w:rPr>
          <w:i/>
          <w:iCs/>
          <w:lang w:val="en-US"/>
        </w:rPr>
        <w:t xml:space="preserve">CA </w:t>
      </w:r>
      <w:r w:rsidRPr="005A2D50">
        <w:rPr>
          <w:lang w:val="en-US"/>
        </w:rPr>
        <w:t>var piešķirt atbrīvojumu no prasības sniegt galvojumu gadījumā, kas paredzēts SMK 89. panta 9. punktā. Muitas nodoklim statistiskās vērtības slieksnis ir 1000 EUR katrai muitas deklarācijai.</w:t>
      </w:r>
    </w:p>
    <w:p w14:paraId="12340E34" w14:textId="77777777" w:rsidR="005A2D50" w:rsidRPr="005A2D50" w:rsidRDefault="005A2D50" w:rsidP="005A2D50">
      <w:pPr>
        <w:pStyle w:val="BodyText"/>
        <w:ind w:left="284"/>
        <w:rPr>
          <w:lang w:val="en-US"/>
        </w:rPr>
      </w:pPr>
      <w:r w:rsidRPr="005A2D50">
        <w:rPr>
          <w:lang w:val="en-US"/>
        </w:rPr>
        <w:t>Praksē muitas deklarācijā ietver šādu informāciju:</w:t>
      </w:r>
    </w:p>
    <w:p w14:paraId="72119C62" w14:textId="77777777" w:rsidR="005A2D50" w:rsidRPr="005A2D50" w:rsidRDefault="005A2D50" w:rsidP="005A2D50">
      <w:pPr>
        <w:pStyle w:val="BodyText"/>
        <w:ind w:left="284"/>
        <w:rPr>
          <w:lang w:val="en-US"/>
        </w:rPr>
      </w:pPr>
    </w:p>
    <w:p w14:paraId="28A93DFC" w14:textId="77777777" w:rsidR="005A2D50" w:rsidRPr="005A2D50" w:rsidRDefault="005A2D50" w:rsidP="005A2D50">
      <w:pPr>
        <w:pStyle w:val="BodyText"/>
        <w:numPr>
          <w:ilvl w:val="1"/>
          <w:numId w:val="3"/>
        </w:numPr>
        <w:tabs>
          <w:tab w:val="left" w:pos="1134"/>
        </w:tabs>
        <w:ind w:left="567" w:firstLine="0"/>
        <w:rPr>
          <w:lang w:val="en-US"/>
        </w:rPr>
      </w:pPr>
      <w:r w:rsidRPr="005A2D50">
        <w:rPr>
          <w:lang w:val="en-US"/>
        </w:rPr>
        <w:t>muitas nodokļi 900 EUR apmērā;</w:t>
      </w:r>
    </w:p>
    <w:p w14:paraId="7FBBB30D" w14:textId="77777777" w:rsidR="005A2D50" w:rsidRPr="005A2D50" w:rsidRDefault="005A2D50" w:rsidP="005A2D50">
      <w:pPr>
        <w:pStyle w:val="BodyText"/>
        <w:numPr>
          <w:ilvl w:val="1"/>
          <w:numId w:val="3"/>
        </w:numPr>
        <w:tabs>
          <w:tab w:val="left" w:pos="1134"/>
        </w:tabs>
        <w:ind w:left="567" w:firstLine="0"/>
        <w:rPr>
          <w:lang w:val="en-US"/>
        </w:rPr>
      </w:pPr>
      <w:r w:rsidRPr="005A2D50">
        <w:rPr>
          <w:lang w:val="en-US"/>
        </w:rPr>
        <w:t>citi maksājumi 1500 EUR apmērā.</w:t>
      </w:r>
    </w:p>
    <w:p w14:paraId="5ED0F700" w14:textId="77777777" w:rsidR="005A2D50" w:rsidRPr="005A2D50" w:rsidRDefault="005A2D50" w:rsidP="005A2D50">
      <w:pPr>
        <w:pStyle w:val="BodyText"/>
        <w:tabs>
          <w:tab w:val="left" w:pos="1134"/>
        </w:tabs>
        <w:ind w:left="567"/>
        <w:rPr>
          <w:lang w:val="en-US"/>
        </w:rPr>
      </w:pPr>
    </w:p>
    <w:p w14:paraId="11A0AFD1" w14:textId="77777777" w:rsidR="005A2D50" w:rsidRPr="005A2D50" w:rsidRDefault="005A2D50" w:rsidP="005A2D50">
      <w:pPr>
        <w:pStyle w:val="BodyText"/>
        <w:tabs>
          <w:tab w:val="left" w:pos="1134"/>
        </w:tabs>
        <w:ind w:left="567"/>
        <w:rPr>
          <w:lang w:val="en-US"/>
        </w:rPr>
      </w:pPr>
      <w:r w:rsidRPr="005A2D50">
        <w:rPr>
          <w:lang w:val="en-US"/>
        </w:rPr>
        <w:t>Dalībvalstis var piešķirt atbrīvojumu no prasības sniegt galvojumu (pēc izvēles), jo muitas nodokļa vērtība nepārsniedz 1000 EUR, vai tās var lūgt nodrošināt, ka galvojums sedz summu 2400 EUR apmērā.</w:t>
      </w:r>
    </w:p>
    <w:p w14:paraId="5C859F38" w14:textId="77777777" w:rsidR="005A2D50" w:rsidRPr="005A2D50" w:rsidRDefault="005A2D50" w:rsidP="005A2D50">
      <w:pPr>
        <w:pStyle w:val="BodyText"/>
        <w:ind w:left="284"/>
        <w:rPr>
          <w:lang w:val="en-US"/>
        </w:rPr>
      </w:pPr>
    </w:p>
    <w:p w14:paraId="0D3A0D53" w14:textId="77777777" w:rsidR="005A2D50" w:rsidRPr="005A2D50" w:rsidRDefault="005A2D50" w:rsidP="005A2D50">
      <w:pPr>
        <w:pStyle w:val="BodyText"/>
        <w:ind w:left="284"/>
        <w:rPr>
          <w:lang w:val="en-US"/>
        </w:rPr>
      </w:pPr>
      <w:r w:rsidRPr="005A2D50">
        <w:rPr>
          <w:lang w:val="en-US"/>
        </w:rPr>
        <w:t>2. SMK 91. pantā minētās tiesību normas attiecībā uz neobligātu galvojumu ir piemērojamos gadījumā, ko reglamentē ar Padomes Regulas (EK) Nr. 1186/2009 10. panta 3. punktu (atbrīvojumi no muitas nodokļiem):</w:t>
      </w:r>
    </w:p>
    <w:p w14:paraId="071DE4CD" w14:textId="77777777" w:rsidR="005A2D50" w:rsidRPr="005A2D50" w:rsidRDefault="005A2D50" w:rsidP="005A2D50">
      <w:pPr>
        <w:ind w:left="284"/>
        <w:jc w:val="both"/>
        <w:rPr>
          <w:rFonts w:ascii="Times New Roman" w:eastAsia="Times New Roman" w:hAnsi="Times New Roman" w:cs="Times New Roman"/>
          <w:noProof/>
          <w:sz w:val="24"/>
          <w:szCs w:val="24"/>
          <w:lang w:val="en-US"/>
        </w:rPr>
      </w:pPr>
    </w:p>
    <w:p w14:paraId="20DF3011" w14:textId="77777777" w:rsidR="005A2D50" w:rsidRPr="005A2D50" w:rsidRDefault="005A2D50" w:rsidP="005A2D50">
      <w:pPr>
        <w:pStyle w:val="BodyText"/>
        <w:ind w:left="567"/>
        <w:rPr>
          <w:lang w:val="en-US"/>
        </w:rPr>
      </w:pPr>
      <w:r w:rsidRPr="005A2D50">
        <w:rPr>
          <w:lang w:val="en-US"/>
        </w:rPr>
        <w:t>“Atļaujas par atbrīvojumu no muitas nodokļiem piešķiršana turklāt ir pakļauta nosacījumam, ka attiecīgā persona apņemas faktiski iedibināt pastāvīgu dzīvesvietu Kopienas muitas teritorijā termiņā, ko nosaka kompetentās iestādes atbilstoši apstākļiem. Kompetentās iestādes var pieprasīt, lai šo apņemšanos papildina ar galvojumu, kura formu un summu tās nosaka.”</w:t>
      </w:r>
    </w:p>
    <w:p w14:paraId="2D43BA5E" w14:textId="77777777" w:rsidR="005A2D50" w:rsidRPr="005A2D50" w:rsidRDefault="005A2D50" w:rsidP="005A2D50">
      <w:pPr>
        <w:pStyle w:val="BodyText"/>
        <w:ind w:left="284"/>
        <w:rPr>
          <w:lang w:val="en-US"/>
        </w:rPr>
      </w:pPr>
    </w:p>
    <w:p w14:paraId="1A5178D9" w14:textId="77777777" w:rsidR="005A2D50" w:rsidRPr="005A2D50" w:rsidRDefault="005A2D50" w:rsidP="005A2D50">
      <w:pPr>
        <w:pStyle w:val="BodyText"/>
        <w:ind w:left="284"/>
        <w:rPr>
          <w:lang w:val="en-US"/>
        </w:rPr>
      </w:pPr>
      <w:r w:rsidRPr="005A2D50">
        <w:rPr>
          <w:lang w:val="en-US"/>
        </w:rPr>
        <w:t>3. Galvojumu var pieprasīt arī vietu darbībai brīvajās zonās, ja to paredz attiecīgās dalībvalsts tiesību akti.</w:t>
      </w:r>
    </w:p>
    <w:p w14:paraId="4295E85C" w14:textId="77777777" w:rsidR="005A2D50" w:rsidRPr="005A2D50" w:rsidRDefault="005A2D50" w:rsidP="005A2D50">
      <w:pPr>
        <w:jc w:val="both"/>
        <w:rPr>
          <w:rFonts w:ascii="Times New Roman" w:hAnsi="Times New Roman" w:cs="Times New Roman"/>
          <w:noProof/>
          <w:sz w:val="24"/>
          <w:szCs w:val="24"/>
          <w:lang w:val="en-US"/>
        </w:rPr>
      </w:pPr>
    </w:p>
    <w:p w14:paraId="0BFFEEDC" w14:textId="77777777" w:rsidR="005A2D50" w:rsidRPr="005A2D50" w:rsidRDefault="005A2D50" w:rsidP="005A2D50">
      <w:pPr>
        <w:pStyle w:val="Heading2"/>
        <w:rPr>
          <w:noProof/>
          <w:lang w:val="en-US"/>
        </w:rPr>
      </w:pPr>
      <w:bookmarkStart w:id="223" w:name="A2.9_Guarantee_for_TORO"/>
      <w:bookmarkStart w:id="224" w:name="_bookmark62"/>
      <w:bookmarkStart w:id="225" w:name="_Toc104982820"/>
      <w:bookmarkEnd w:id="223"/>
      <w:bookmarkEnd w:id="224"/>
      <w:r w:rsidRPr="005A2D50">
        <w:rPr>
          <w:noProof/>
          <w:lang w:val="en-US"/>
        </w:rPr>
        <w:t>A2.9. Galvojums tiesību un pienākumu nodošanai</w:t>
      </w:r>
      <w:bookmarkEnd w:id="225"/>
    </w:p>
    <w:p w14:paraId="747B34CD"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5A5963B" w14:textId="77777777" w:rsidR="005A2D50" w:rsidRPr="005A2D50" w:rsidRDefault="005A2D50" w:rsidP="005A2D50">
      <w:pPr>
        <w:pStyle w:val="BodyText"/>
        <w:rPr>
          <w:lang w:val="en-US"/>
        </w:rPr>
      </w:pPr>
      <w:r w:rsidRPr="005A2D50">
        <w:rPr>
          <w:lang w:val="en-US"/>
        </w:rPr>
        <w:t xml:space="preserve">Kādā brīdī Nr. 1 (PiT1) precēm piemēro īpašu procedūru ar muitas deklarāciju X, ko veic uzņēmējs A, kurš ir šīs procedūras izmantotājs un </w:t>
      </w:r>
      <w:r w:rsidRPr="005A2D50">
        <w:rPr>
          <w:i/>
          <w:iCs/>
          <w:lang w:val="en-US"/>
        </w:rPr>
        <w:t xml:space="preserve">SPE </w:t>
      </w:r>
      <w:r w:rsidRPr="005A2D50">
        <w:rPr>
          <w:lang w:val="en-US"/>
        </w:rPr>
        <w:t>atļaujas turētājs.</w:t>
      </w:r>
    </w:p>
    <w:p w14:paraId="2C8135B8" w14:textId="77777777" w:rsidR="005A2D50" w:rsidRPr="005A2D50" w:rsidRDefault="005A2D50" w:rsidP="005A2D50">
      <w:pPr>
        <w:pStyle w:val="BodyText"/>
        <w:rPr>
          <w:lang w:val="en-US"/>
        </w:rPr>
      </w:pPr>
      <w:r w:rsidRPr="005A2D50">
        <w:rPr>
          <w:lang w:val="en-US"/>
        </w:rPr>
        <w:t>Šajā PiT1 iespējamo parādu, kas varētu rasties saistībā ar minētajām precēm, sedz galvinieka saistības, ar ko galvinieks (banka Y) garantē uzņēmēja A tādu parādu nomaksu, kas var rasties attiecībā uz precēm, kurām piemēro minēto īpašo procedūru.</w:t>
      </w:r>
    </w:p>
    <w:p w14:paraId="73F696FA" w14:textId="77777777" w:rsidR="005A2D50" w:rsidRPr="005A2D50" w:rsidRDefault="005A2D50" w:rsidP="005A2D50">
      <w:pPr>
        <w:pStyle w:val="BodyText"/>
        <w:rPr>
          <w:lang w:val="en-US"/>
        </w:rPr>
      </w:pPr>
      <w:r w:rsidRPr="005A2D50">
        <w:rPr>
          <w:lang w:val="en-US"/>
        </w:rPr>
        <w:t xml:space="preserve">Vēlākā brīdī Nr. 2 (PiT2) notiek </w:t>
      </w:r>
      <w:r w:rsidRPr="005A2D50">
        <w:rPr>
          <w:i/>
          <w:iCs/>
          <w:lang w:val="en-US"/>
        </w:rPr>
        <w:t>TORO</w:t>
      </w:r>
      <w:r w:rsidRPr="005A2D50">
        <w:rPr>
          <w:lang w:val="en-US"/>
        </w:rPr>
        <w:t xml:space="preserve">, ar ko uzņēmējs A visas savas tiesības un pienākumus attiecībā uz precēm, kurām tika piemērota procedūra ar deklarāciju X, nodod citam uzņēmējam (uzņēmējam B), kuram ir </w:t>
      </w:r>
      <w:r w:rsidRPr="005A2D50">
        <w:rPr>
          <w:i/>
          <w:iCs/>
          <w:lang w:val="en-US"/>
        </w:rPr>
        <w:t xml:space="preserve">TORO </w:t>
      </w:r>
      <w:r w:rsidRPr="005A2D50">
        <w:rPr>
          <w:lang w:val="en-US"/>
        </w:rPr>
        <w:t>atļauja.</w:t>
      </w:r>
    </w:p>
    <w:p w14:paraId="560AEB6E" w14:textId="77777777" w:rsidR="005A2D50" w:rsidRPr="005A2D50" w:rsidRDefault="005A2D50" w:rsidP="005A2D50">
      <w:pPr>
        <w:pStyle w:val="BodyText"/>
        <w:rPr>
          <w:lang w:val="en-US"/>
        </w:rPr>
      </w:pPr>
      <w:r w:rsidRPr="005A2D50">
        <w:rPr>
          <w:lang w:val="en-US"/>
        </w:rPr>
        <w:t xml:space="preserve">Pirms PiT2, </w:t>
      </w:r>
      <w:r w:rsidRPr="005A2D50">
        <w:rPr>
          <w:i/>
          <w:iCs/>
          <w:lang w:val="en-US"/>
        </w:rPr>
        <w:t xml:space="preserve">TORO </w:t>
      </w:r>
      <w:r w:rsidRPr="005A2D50">
        <w:rPr>
          <w:lang w:val="en-US"/>
        </w:rPr>
        <w:t xml:space="preserve">brīdī, tika nodrošināta ideāla atbilstība visiem minētās īpašās procedūras pienākumiem (norādīti </w:t>
      </w:r>
      <w:r w:rsidRPr="005A2D50">
        <w:rPr>
          <w:i/>
          <w:iCs/>
          <w:lang w:val="en-US"/>
        </w:rPr>
        <w:t xml:space="preserve">SPE </w:t>
      </w:r>
      <w:r w:rsidRPr="005A2D50">
        <w:rPr>
          <w:lang w:val="en-US"/>
        </w:rPr>
        <w:t>atļaujā, kas piešķirta uzņēmējam A).</w:t>
      </w:r>
    </w:p>
    <w:p w14:paraId="7BF6C97A" w14:textId="77777777" w:rsidR="005A2D50" w:rsidRPr="005A2D50" w:rsidRDefault="005A2D50" w:rsidP="005A2D50">
      <w:pPr>
        <w:pStyle w:val="BodyText"/>
        <w:rPr>
          <w:lang w:val="en-US"/>
        </w:rPr>
      </w:pPr>
      <w:r w:rsidRPr="005A2D50">
        <w:rPr>
          <w:lang w:val="en-US"/>
        </w:rPr>
        <w:t>Tomēr PiT3, kas ir pēc PiT2, tiek konstatēta neatbilstība, kas rada muitas parādu attiecībā uz precēm, kurām tika piemērota procedūra ar deklarāciju X.</w:t>
      </w:r>
    </w:p>
    <w:p w14:paraId="459C4A73" w14:textId="77777777" w:rsidR="005A2D50" w:rsidRPr="005A2D50" w:rsidRDefault="005A2D50" w:rsidP="005A2D50">
      <w:pPr>
        <w:pStyle w:val="BodyText"/>
        <w:rPr>
          <w:lang w:val="en-US"/>
        </w:rPr>
      </w:pPr>
      <w:r w:rsidRPr="005A2D50">
        <w:rPr>
          <w:lang w:val="en-US"/>
        </w:rPr>
        <w:t xml:space="preserve">Tas nozīmē, ka uzņēmējs B, kurš no </w:t>
      </w:r>
      <w:r w:rsidRPr="005A2D50">
        <w:rPr>
          <w:i/>
          <w:iCs/>
          <w:lang w:val="en-US"/>
        </w:rPr>
        <w:t xml:space="preserve">TORO </w:t>
      </w:r>
      <w:r w:rsidRPr="005A2D50">
        <w:rPr>
          <w:lang w:val="en-US"/>
        </w:rPr>
        <w:t xml:space="preserve">brīža (PiT2) ir persona, kurai bija jāpilda visas saistības, kas izriet no minētās īpašās procedūras, būs attiecīgā parāda parādnieks (kopš </w:t>
      </w:r>
      <w:r w:rsidRPr="005A2D50">
        <w:rPr>
          <w:i/>
          <w:iCs/>
          <w:lang w:val="en-US"/>
        </w:rPr>
        <w:t xml:space="preserve">TORO </w:t>
      </w:r>
      <w:r w:rsidRPr="005A2D50">
        <w:rPr>
          <w:lang w:val="en-US"/>
        </w:rPr>
        <w:t>uzņēmējs A ir atbrīvots no saviem pienākumiem).</w:t>
      </w:r>
    </w:p>
    <w:p w14:paraId="17E104CE" w14:textId="77777777" w:rsidR="005A2D50" w:rsidRPr="005A2D50" w:rsidRDefault="005A2D50" w:rsidP="005A2D50">
      <w:pPr>
        <w:pStyle w:val="BodyText"/>
        <w:rPr>
          <w:lang w:val="en-US"/>
        </w:rPr>
      </w:pPr>
      <w:r w:rsidRPr="005A2D50">
        <w:rPr>
          <w:lang w:val="en-US"/>
        </w:rPr>
        <w:t xml:space="preserve">Pirms tiek uzsākta </w:t>
      </w:r>
      <w:r w:rsidRPr="005A2D50">
        <w:rPr>
          <w:i/>
          <w:iCs/>
          <w:lang w:val="en-US"/>
        </w:rPr>
        <w:t>TORO</w:t>
      </w:r>
      <w:r w:rsidRPr="005A2D50">
        <w:rPr>
          <w:lang w:val="en-US"/>
        </w:rPr>
        <w:t xml:space="preserve">, muitas uzraudzības iestādei jāpieprasa, lai pārņēmējs (uzņēmējs B) sniedz jaunas galvinieka saistības, kas paredz, ka galvinieks, kurš uzņemas jaunās saistības, nodrošina visu to uzņēmēja B parādu nomaksu, kas var rasties attiecībā uz precēm, kurām tika piemērota procedūra ar deklarācijām A, B un C neatbilstības gadījumu dēļ, kas notika brīdī pēc </w:t>
      </w:r>
      <w:r w:rsidRPr="005A2D50">
        <w:rPr>
          <w:i/>
          <w:iCs/>
          <w:lang w:val="en-US"/>
        </w:rPr>
        <w:t xml:space="preserve">TORO </w:t>
      </w:r>
      <w:r w:rsidRPr="005A2D50">
        <w:rPr>
          <w:lang w:val="en-US"/>
        </w:rPr>
        <w:t>spēkā stāšanās.</w:t>
      </w:r>
    </w:p>
    <w:p w14:paraId="2E82234F" w14:textId="77777777" w:rsidR="005A2D50" w:rsidRPr="005A2D50" w:rsidRDefault="005A2D50" w:rsidP="005A2D50">
      <w:pPr>
        <w:jc w:val="both"/>
        <w:rPr>
          <w:rFonts w:ascii="Times New Roman" w:hAnsi="Times New Roman" w:cs="Times New Roman"/>
          <w:noProof/>
          <w:sz w:val="24"/>
          <w:szCs w:val="24"/>
          <w:lang w:val="en-US"/>
        </w:rPr>
      </w:pPr>
    </w:p>
    <w:p w14:paraId="51916AAF" w14:textId="77777777" w:rsidR="005A2D50" w:rsidRPr="005A2D50" w:rsidRDefault="005A2D50" w:rsidP="005A2D50">
      <w:pPr>
        <w:pStyle w:val="Heading2"/>
        <w:rPr>
          <w:noProof/>
          <w:lang w:val="en-US"/>
        </w:rPr>
      </w:pPr>
      <w:bookmarkStart w:id="226" w:name="A2.10_Article_89(3)_second_paragraph_UCC"/>
      <w:bookmarkStart w:id="227" w:name="_bookmark63"/>
      <w:bookmarkStart w:id="228" w:name="_Toc104982821"/>
      <w:bookmarkEnd w:id="226"/>
      <w:bookmarkEnd w:id="227"/>
      <w:r w:rsidRPr="005A2D50">
        <w:rPr>
          <w:noProof/>
          <w:lang w:val="en-US"/>
        </w:rPr>
        <w:t>A2.10. SMK 89. panta 3. punkta otrā daļa – persona, kura nav parādnieks/iespējamais parādnieks un kurai var atļaut sniegt galvojumu muitas vajadzībām</w:t>
      </w:r>
      <w:bookmarkEnd w:id="228"/>
    </w:p>
    <w:p w14:paraId="52B6A55F"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43F319A2" w14:textId="77777777" w:rsidR="005A2D50" w:rsidRPr="005A2D50" w:rsidRDefault="005A2D50" w:rsidP="005A2D50">
      <w:pPr>
        <w:pStyle w:val="BodyText"/>
        <w:rPr>
          <w:lang w:val="en-US"/>
        </w:rPr>
      </w:pPr>
      <w:r w:rsidRPr="005A2D50">
        <w:rPr>
          <w:lang w:val="en-US"/>
        </w:rPr>
        <w:t>Turpmāk aprakstītā situācija nav izsmeļošs saraksts ar tādu citu personu piemēriem, kurām var atļaut sniegt galvojumu parādnieka vietā, bet diskusijās par šo jautājumu uz to ir norādījušas dalībvalstu muitas administrācijas.</w:t>
      </w:r>
    </w:p>
    <w:p w14:paraId="602B39CF" w14:textId="77777777" w:rsidR="005A2D50" w:rsidRPr="005A2D50" w:rsidRDefault="005A2D50" w:rsidP="005A2D50">
      <w:pPr>
        <w:pStyle w:val="BodyText"/>
        <w:rPr>
          <w:lang w:val="en-US"/>
        </w:rPr>
      </w:pPr>
    </w:p>
    <w:p w14:paraId="7555B1DB" w14:textId="77777777" w:rsidR="005A2D50" w:rsidRPr="005A2D50" w:rsidRDefault="005A2D50" w:rsidP="005A2D50">
      <w:pPr>
        <w:pStyle w:val="BodyText"/>
        <w:rPr>
          <w:lang w:val="en-US"/>
        </w:rPr>
      </w:pPr>
      <w:bookmarkStart w:id="229" w:name="Parent_companies"/>
      <w:bookmarkEnd w:id="229"/>
      <w:r w:rsidRPr="005A2D50">
        <w:rPr>
          <w:lang w:val="en-US"/>
        </w:rPr>
        <w:t>Mātesuzņēmumi</w:t>
      </w:r>
    </w:p>
    <w:p w14:paraId="739521D5"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B3FCB36" w14:textId="77777777" w:rsidR="005A2D50" w:rsidRPr="005A2D50" w:rsidRDefault="005A2D50" w:rsidP="005A2D50">
      <w:pPr>
        <w:pStyle w:val="BodyText"/>
        <w:rPr>
          <w:lang w:val="en-US"/>
        </w:rPr>
      </w:pPr>
      <w:r w:rsidRPr="005A2D50">
        <w:rPr>
          <w:lang w:val="en-US"/>
        </w:rPr>
        <w:t xml:space="preserve">Starptautiskos vai lielos uzņēmumos parasti ietilpst mātesuzņēmums un meitasuzņēmumi vai filiāles, kas var veikt uzņēmējdarbību vienā vai vairākās dalībvalstīs. Dažādas filiāles dažādās dalībvalstīs var būt tā paša mātesuzņēmuma pastāvīgas darījumdarbības vietas (turpmāk </w:t>
      </w:r>
      <w:r w:rsidRPr="005A2D50">
        <w:rPr>
          <w:i/>
          <w:iCs/>
          <w:lang w:val="en-US"/>
        </w:rPr>
        <w:t>PBE</w:t>
      </w:r>
      <w:r w:rsidRPr="005A2D50">
        <w:rPr>
          <w:lang w:val="en-US"/>
        </w:rPr>
        <w:t xml:space="preserve">). Filiālei dažādās dalībvalstīs var būt atšķirīgs juridiskais statuss, jo filiāles darbības juridiskā forma dalībvalstīs ir atkarīga no tā, kā tā izvēlējusies darboties, un galvenokārt no attiecīgās dalībvalsts nacionālajiem tiesību aktiem. Līdz ar to mātesuzņēmumam var būt dažas filiāles, kas dažās dalībvalstīs tiek uzskatītas par atsevišķām juridiskām personām saskaņā ar SMK 5. panta 4. punktu (t. i., par atsevišķu juridisku personu, kas reģistrēta vietējā uzņēmumu reģistrā saskaņā ar attiecīgās dalībvalsts uzņēmējdarbības tiesībām), bet citās dalībvalstīs – par </w:t>
      </w:r>
      <w:r w:rsidRPr="005A2D50">
        <w:rPr>
          <w:i/>
          <w:iCs/>
          <w:lang w:val="en-US"/>
        </w:rPr>
        <w:t xml:space="preserve">PBE </w:t>
      </w:r>
      <w:r w:rsidRPr="005A2D50">
        <w:rPr>
          <w:lang w:val="en-US"/>
        </w:rPr>
        <w:t>saskaņā ar SMK 5. panta 32. punktu, ko neuzskata par atsevišķām juridiskām personām. Meitasuzņēmumi ir atsevišķas juridiskās personas.</w:t>
      </w:r>
    </w:p>
    <w:p w14:paraId="1963A093" w14:textId="77777777" w:rsidR="005A2D50" w:rsidRPr="005A2D50" w:rsidRDefault="005A2D50" w:rsidP="005A2D50">
      <w:pPr>
        <w:pStyle w:val="BodyText"/>
        <w:rPr>
          <w:lang w:val="en-US"/>
        </w:rPr>
      </w:pPr>
      <w:r w:rsidRPr="005A2D50">
        <w:rPr>
          <w:lang w:val="en-US"/>
        </w:rPr>
        <w:t xml:space="preserve">Uzņēmējam, kas vēlas iesniegt pieteikumu atļaujai sniegt vispārējo galvojumu attiecībā uz visām tā filiālēm, ir jānovērtē, kurai grupai tās atbilst. Ja tās ir juridiskas personas saskaņā ar SMK 5. panta 4. punktā sniegto personu definīciju, tām atsevišķi jāiesniedz pieteikums </w:t>
      </w:r>
      <w:r w:rsidRPr="005A2D50">
        <w:rPr>
          <w:i/>
          <w:iCs/>
          <w:lang w:val="en-US"/>
        </w:rPr>
        <w:t xml:space="preserve">CGU </w:t>
      </w:r>
      <w:r w:rsidRPr="005A2D50">
        <w:rPr>
          <w:lang w:val="en-US"/>
        </w:rPr>
        <w:t xml:space="preserve">atļaujas saņemšanai attiecīgajā dalībvalstī. Pārējos gadījumos tās nevar atsevišķi iesniegt pieteikumu </w:t>
      </w:r>
      <w:r w:rsidRPr="005A2D50">
        <w:rPr>
          <w:i/>
          <w:iCs/>
          <w:lang w:val="en-US"/>
        </w:rPr>
        <w:t xml:space="preserve">CGU </w:t>
      </w:r>
      <w:r w:rsidRPr="005A2D50">
        <w:rPr>
          <w:lang w:val="en-US"/>
        </w:rPr>
        <w:t xml:space="preserve">atļaujas saņemšanai; tā vietā mātesuzņēmumam, kas saskaņā ar ES tiesību aktiem tiek uzskatīts par personu, ir jāiesniedz vienots pieteikums attiecībā uz visām šādām filiālēm. Muitas dienestiem jāņem vērā arī tas, ka uz visu veidu atļaujām/lēmumiem, kuriem uzņēmējs piesakās, attiecas vieni un tie paši vispārīgie nosacījumi. Piemēram, piemērojot vienus un tos pašus tiesību aktus, muita nevar uzskatīt, ka uzņēmējs ir juridiska persona, kad tas iesniedz pieteikumu, piemēram, </w:t>
      </w:r>
      <w:r w:rsidRPr="005A2D50">
        <w:rPr>
          <w:i/>
          <w:iCs/>
          <w:lang w:val="en-US"/>
        </w:rPr>
        <w:t xml:space="preserve">EORI </w:t>
      </w:r>
      <w:r w:rsidRPr="005A2D50">
        <w:rPr>
          <w:lang w:val="en-US"/>
        </w:rPr>
        <w:t xml:space="preserve">numura saņemšanai, un ka uzņēmējs ir </w:t>
      </w:r>
      <w:r w:rsidRPr="005A2D50">
        <w:rPr>
          <w:i/>
          <w:iCs/>
          <w:lang w:val="en-US"/>
        </w:rPr>
        <w:t>PBE</w:t>
      </w:r>
      <w:r w:rsidRPr="005A2D50">
        <w:rPr>
          <w:lang w:val="en-US"/>
        </w:rPr>
        <w:t xml:space="preserve">, kad tas iesniedz pieteikumu </w:t>
      </w:r>
      <w:r w:rsidRPr="005A2D50">
        <w:rPr>
          <w:i/>
          <w:iCs/>
          <w:lang w:val="en-US"/>
        </w:rPr>
        <w:t xml:space="preserve">AEO </w:t>
      </w:r>
      <w:r w:rsidRPr="005A2D50">
        <w:rPr>
          <w:lang w:val="en-US"/>
        </w:rPr>
        <w:t>statusa saņemšanai vai atļaujai sniegt vispārējo galvojumu.</w:t>
      </w:r>
    </w:p>
    <w:p w14:paraId="1E13E598" w14:textId="77777777" w:rsidR="005A2D50" w:rsidRPr="005A2D50" w:rsidRDefault="005A2D50" w:rsidP="005A2D50">
      <w:pPr>
        <w:pStyle w:val="BodyText"/>
        <w:rPr>
          <w:lang w:val="en-US"/>
        </w:rPr>
      </w:pPr>
      <w:r w:rsidRPr="005A2D50">
        <w:rPr>
          <w:lang w:val="en-US"/>
        </w:rPr>
        <w:t xml:space="preserve">Tomēr muitas dienesti var pieņemt, ka mātesuzņēmums sniedz galvojumu saskaņā ar SMK 89. panta 3. punktu par labu citai personai – meitasuzņēmumam vai filiālei – tikai tad, ja tas atbilst spēkā esošajām tiesību normām, kā paskaidrots šā dokumenta II.3.4.2. iedaļā. </w:t>
      </w:r>
      <w:r w:rsidRPr="005A2D50">
        <w:rPr>
          <w:i/>
          <w:iCs/>
          <w:lang w:val="en-US"/>
        </w:rPr>
        <w:t xml:space="preserve">PBE </w:t>
      </w:r>
      <w:r w:rsidRPr="005A2D50">
        <w:rPr>
          <w:lang w:val="en-US"/>
        </w:rPr>
        <w:t>ir sava mātesuzņēmuma juridiskā daļa, un to var iekļaut tikai mātesuzņēmuma atļaujās un galvojumos.</w:t>
      </w:r>
    </w:p>
    <w:p w14:paraId="7C5BC8EA" w14:textId="77777777" w:rsidR="005A2D50" w:rsidRPr="005A2D50" w:rsidRDefault="005A2D50" w:rsidP="005A2D50">
      <w:pPr>
        <w:pStyle w:val="BodyText"/>
        <w:rPr>
          <w:lang w:val="en-US"/>
        </w:rPr>
      </w:pPr>
      <w:r w:rsidRPr="005A2D50">
        <w:rPr>
          <w:lang w:val="en-US"/>
        </w:rPr>
        <w:t>Saskaņā ar SMK 94. pantu muitas dienesti var apstiprināt uzņēmumus/personas, kas nav saskaņā ar spēkā esošajiem Savienības noteikumiem Savienībā akreditētas kredītiestādes, finanšu iestādes vai apdrošināšanas sabiedrības, lai tās uzņemtos galvinieka lomu. Tas varētu attiekties uz gadījumu, kad mātesuzņēmumi emitē saistības savu meitasuzņēmumu vai filiāļu vārdā. Tas ir izskaidrots III.2.2. punktā.</w:t>
      </w:r>
    </w:p>
    <w:p w14:paraId="6837AAE6" w14:textId="77777777" w:rsidR="005A2D50" w:rsidRPr="005A2D50" w:rsidRDefault="005A2D50" w:rsidP="005A2D50">
      <w:pPr>
        <w:pStyle w:val="BodyText"/>
        <w:rPr>
          <w:lang w:val="en-US"/>
        </w:rPr>
      </w:pPr>
    </w:p>
    <w:p w14:paraId="3AA416FE" w14:textId="77777777" w:rsidR="005A2D50" w:rsidRPr="005A2D50" w:rsidRDefault="005A2D50" w:rsidP="005A2D50">
      <w:pPr>
        <w:pStyle w:val="Heading2"/>
        <w:rPr>
          <w:noProof/>
          <w:lang w:val="en-US"/>
        </w:rPr>
      </w:pPr>
      <w:bookmarkStart w:id="230" w:name="A2.11_Persons_not_established_in_the_EU_"/>
      <w:bookmarkStart w:id="231" w:name="_bookmark64"/>
      <w:bookmarkStart w:id="232" w:name="_Toc104982822"/>
      <w:bookmarkEnd w:id="230"/>
      <w:bookmarkEnd w:id="231"/>
      <w:r w:rsidRPr="005A2D50">
        <w:rPr>
          <w:noProof/>
          <w:lang w:val="en-US"/>
        </w:rPr>
        <w:t>A2.11. Personas, kas nav reģistrētas ES muitas teritorijā</w:t>
      </w:r>
      <w:bookmarkEnd w:id="232"/>
    </w:p>
    <w:p w14:paraId="4412D528"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218832EE"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Juridiska persona, kas nav reģistrēta ES muitas teritorijā, sūdzējās par grūtībām, ar kurām tā saskārās pēc SMK stāšanās spēkā saistībā ar automašīnu ievešanu ES to modernizācijai. Galvojuma apmērs, kādu viņiem prasīts segt, ir pārāk liels, jo no personām, kas ir reģistrētas ārpus ES teritorijas, var pieņemt tikai vienreizējo galvojumu un šīm personām nevar piemērot galvojumu par samazinātu summu.</w:t>
      </w:r>
    </w:p>
    <w:p w14:paraId="01168E4F" w14:textId="77777777" w:rsidR="005A2D50" w:rsidRPr="005A2D50" w:rsidRDefault="005A2D50" w:rsidP="005A2D50">
      <w:pPr>
        <w:pStyle w:val="BodyText"/>
        <w:rPr>
          <w:lang w:val="en-US"/>
        </w:rPr>
      </w:pPr>
      <w:r w:rsidRPr="005A2D50">
        <w:rPr>
          <w:lang w:val="en-US"/>
        </w:rPr>
        <w:t>Kad šie pircēji ar saviem transportlīdzekļiem šķērso ES robežu, tie, ja vien ievēro konkrētus nosacījumus, var izmantot atbrīvojumu no ievedmuitas nodokļa, pamatojoties uz pagaidu ievešanas procedūru.</w:t>
      </w:r>
    </w:p>
    <w:p w14:paraId="595E28DE" w14:textId="77777777" w:rsidR="005A2D50" w:rsidRPr="005A2D50" w:rsidRDefault="005A2D50" w:rsidP="005A2D50">
      <w:pPr>
        <w:pStyle w:val="BodyText"/>
        <w:rPr>
          <w:lang w:val="en-US"/>
        </w:rPr>
      </w:pPr>
      <w:r w:rsidRPr="005A2D50">
        <w:rPr>
          <w:lang w:val="en-US"/>
        </w:rPr>
        <w:t>Ja tas tā nav, jāpiemēro cita muitas procedūra. Tā patiešām var būt ievešana pārstrādei. ES remontdarbnīcas var pieteikties saņemt atļauju veikt ievešanas pārstrādei operācijas. Šajā gadījumā SMK nosaka pienākumu sniegt galvojumu. Taču, ja tās regulāri veic šādas darbības, tās var iesniegt pieteikumu izmantot vispārējo galvojumu un, ja atbilstīgi, var pretendēt uz šāda galvojuma samazinājumu dažādos apmēros vai pat atbrīvojumu no tā.</w:t>
      </w:r>
    </w:p>
    <w:p w14:paraId="0C52A106" w14:textId="77777777" w:rsidR="005A2D50" w:rsidRPr="005A2D50" w:rsidRDefault="005A2D50" w:rsidP="005A2D50">
      <w:pPr>
        <w:pStyle w:val="BodyText"/>
        <w:rPr>
          <w:lang w:val="en-US"/>
        </w:rPr>
      </w:pPr>
      <w:r w:rsidRPr="005A2D50">
        <w:rPr>
          <w:lang w:val="en-US"/>
        </w:rPr>
        <w:t>Tomēr, ja remontdarbnīcas pieprasa klientiem, kuri nav no Eiropas Savienības, nokārtot muitas formalitātes, šā klienta vienīgā iespēja ir iesniegt deklarāciju, lai viņa transportlīdzeklim piemērotu ievešanas pārstrādei procedūru. Šādai deklarācijai ir jāpievieno vienreizējais galvojums, kam atkarībā no ģeogrāfiskā derīguma ir jāsedz vismaz ievedmuitas nodokļa summa (10 % no vērtības).</w:t>
      </w:r>
    </w:p>
    <w:p w14:paraId="58F80FFC" w14:textId="77777777" w:rsidR="005A2D50" w:rsidRPr="005A2D50" w:rsidRDefault="005A2D50" w:rsidP="005A2D50">
      <w:pPr>
        <w:pStyle w:val="BodyText"/>
        <w:rPr>
          <w:lang w:val="en-US"/>
        </w:rPr>
      </w:pPr>
      <w:r w:rsidRPr="005A2D50">
        <w:rPr>
          <w:lang w:val="en-US"/>
        </w:rPr>
        <w:t>ES remontdarbnīcu darījumdarbības modelis ir izvēlēties starp abām iespējām. Tomēr, iesniedzot pieteikumu saņemt atļauju ievešanai pārstrādei, šīs ES remontdarbnīcas var piedāvāt saviem klientiem, kuri nav no Eiropas Savienības, šo papildu pakalpojumu, proti, nesniegt vienreizējo galvojumu.</w:t>
      </w:r>
    </w:p>
    <w:p w14:paraId="3F8A2837" w14:textId="77777777" w:rsidR="005A2D50" w:rsidRPr="005A2D50" w:rsidRDefault="005A2D50" w:rsidP="005A2D50">
      <w:pPr>
        <w:pStyle w:val="BodyText"/>
        <w:rPr>
          <w:lang w:val="en-US"/>
        </w:rPr>
      </w:pPr>
    </w:p>
    <w:p w14:paraId="32358E83" w14:textId="77777777" w:rsidR="005A2D50" w:rsidRPr="005A2D50" w:rsidRDefault="005A2D50" w:rsidP="005A2D50">
      <w:pPr>
        <w:pStyle w:val="Heading2"/>
        <w:keepNext/>
        <w:keepLines/>
        <w:rPr>
          <w:noProof/>
          <w:lang w:val="en-US"/>
        </w:rPr>
      </w:pPr>
      <w:bookmarkStart w:id="233" w:name="A2.12_Assessment_of_sufficient_financial"/>
      <w:bookmarkStart w:id="234" w:name="_bookmark65"/>
      <w:bookmarkStart w:id="235" w:name="_Toc104982823"/>
      <w:bookmarkEnd w:id="233"/>
      <w:bookmarkEnd w:id="234"/>
      <w:r w:rsidRPr="005A2D50">
        <w:rPr>
          <w:noProof/>
          <w:lang w:val="en-US"/>
        </w:rPr>
        <w:t>A2.12. Pietiekami laba finansiālā stāvokļa novērtējums saskaņā ar SMK DA 84. panta 3.a un 3.b punktu</w:t>
      </w:r>
      <w:bookmarkEnd w:id="235"/>
    </w:p>
    <w:p w14:paraId="4BA90AD6" w14:textId="77777777" w:rsidR="005A2D50" w:rsidRPr="005A2D50" w:rsidRDefault="005A2D50" w:rsidP="005A2D50">
      <w:pPr>
        <w:keepNext/>
        <w:keepLines/>
        <w:jc w:val="both"/>
        <w:rPr>
          <w:rFonts w:ascii="Times New Roman" w:eastAsia="Times New Roman" w:hAnsi="Times New Roman" w:cs="Times New Roman"/>
          <w:b/>
          <w:bCs/>
          <w:noProof/>
          <w:sz w:val="24"/>
          <w:szCs w:val="24"/>
          <w:lang w:val="en-US"/>
        </w:rPr>
      </w:pPr>
    </w:p>
    <w:p w14:paraId="2F118604" w14:textId="77777777" w:rsidR="005A2D50" w:rsidRPr="005A2D50" w:rsidRDefault="005A2D50" w:rsidP="005A2D50">
      <w:pPr>
        <w:pStyle w:val="BodyText"/>
        <w:keepNext/>
        <w:keepLines/>
        <w:rPr>
          <w:lang w:val="en-US"/>
        </w:rPr>
      </w:pPr>
      <w:r w:rsidRPr="005A2D50">
        <w:rPr>
          <w:lang w:val="en-US"/>
        </w:rPr>
        <w:t>Lai saskaņā ar SMK DA 84. pantu novērtētu pietiekami labu finansiālo stāvokli, veic trīs galvenos pasākumus:</w:t>
      </w:r>
    </w:p>
    <w:p w14:paraId="4E4F0BDD" w14:textId="77777777" w:rsidR="005A2D50" w:rsidRPr="005A2D50" w:rsidRDefault="005A2D50" w:rsidP="005A2D50">
      <w:pPr>
        <w:pStyle w:val="BodyText"/>
        <w:rPr>
          <w:lang w:val="en-US"/>
        </w:rPr>
      </w:pPr>
    </w:p>
    <w:p w14:paraId="4986F0E8" w14:textId="77777777" w:rsidR="005A2D50" w:rsidRPr="005A2D50" w:rsidRDefault="005A2D50" w:rsidP="005A2D50">
      <w:pPr>
        <w:pStyle w:val="BodyText"/>
        <w:ind w:left="284"/>
        <w:rPr>
          <w:lang w:val="en-US"/>
        </w:rPr>
      </w:pPr>
      <w:r w:rsidRPr="005A2D50">
        <w:rPr>
          <w:lang w:val="en-US"/>
        </w:rPr>
        <w:t>1) nosaka atsauces summu;</w:t>
      </w:r>
    </w:p>
    <w:p w14:paraId="58D4C308" w14:textId="77777777" w:rsidR="005A2D50" w:rsidRPr="005A2D50" w:rsidRDefault="005A2D50" w:rsidP="005A2D50">
      <w:pPr>
        <w:pStyle w:val="BodyText"/>
        <w:ind w:left="284"/>
        <w:rPr>
          <w:lang w:val="en-US"/>
        </w:rPr>
      </w:pPr>
      <w:r w:rsidRPr="005A2D50">
        <w:rPr>
          <w:lang w:val="en-US"/>
        </w:rPr>
        <w:t>2) novērtē pietiekami laba finansiālā stāvokļa kritēriju attiecībā uz atsauces summas daļu, ko nesedz galvojums (saistības), t. i., 30 %, 50 %, atbrīvojums;</w:t>
      </w:r>
    </w:p>
    <w:p w14:paraId="754AE012" w14:textId="77777777" w:rsidR="005A2D50" w:rsidRPr="005A2D50" w:rsidRDefault="005A2D50" w:rsidP="005A2D50">
      <w:pPr>
        <w:pStyle w:val="BodyText"/>
        <w:ind w:left="284"/>
        <w:rPr>
          <w:lang w:val="en-US"/>
        </w:rPr>
      </w:pPr>
      <w:r w:rsidRPr="005A2D50">
        <w:rPr>
          <w:lang w:val="en-US"/>
        </w:rPr>
        <w:t>3) novērtēšanas laikā muita var uzskatīt, ka ir pamatoti ņemt vērā muitas parāda rašanās risku. (Piemēram, finansiālais stāvoklis nav tik labs, kādu muita vēlētos, piešķirot samazinājumu līdz 30 % (SMK DA 84. panta 2. punkts). Tomēr muitas parāda rašanās risks ir niecīgs, jo runa ir par kravas uzglabāšanu, piemēram, ogļu uzglabāšanu.)</w:t>
      </w:r>
    </w:p>
    <w:p w14:paraId="54830E65" w14:textId="77777777" w:rsidR="005A2D50" w:rsidRPr="005A2D50" w:rsidRDefault="005A2D50" w:rsidP="005A2D50">
      <w:pPr>
        <w:pStyle w:val="BodyText"/>
        <w:ind w:left="284"/>
        <w:rPr>
          <w:lang w:val="en-US"/>
        </w:rPr>
      </w:pPr>
    </w:p>
    <w:p w14:paraId="42CC1C45"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A piemērs</w:t>
      </w:r>
    </w:p>
    <w:p w14:paraId="2B656C44" w14:textId="77777777" w:rsidR="005A2D50" w:rsidRPr="005A2D50" w:rsidRDefault="005A2D50" w:rsidP="005A2D50">
      <w:pPr>
        <w:jc w:val="both"/>
        <w:rPr>
          <w:rFonts w:ascii="Times New Roman" w:hAnsi="Times New Roman" w:cs="Times New Roman"/>
          <w:i/>
          <w:noProof/>
          <w:sz w:val="24"/>
          <w:szCs w:val="24"/>
          <w:lang w:val="en-US"/>
        </w:rPr>
      </w:pPr>
    </w:p>
    <w:p w14:paraId="6CF7477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Uzņēmējs iesniedz pieteikumu atļaujai veikt īpašu procedūru. Viņš vēlas, lai viņam atļauj šo procedūru piemērot precēm par atsauces summu 1 000 000 EUR apmērā.</w:t>
      </w:r>
    </w:p>
    <w:p w14:paraId="657C929D"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Tāpēc viņam ir nepieciešams vispārējais galvojums ar atsauces summu 1 000 000 EUR.</w:t>
      </w:r>
    </w:p>
    <w:p w14:paraId="771185D8"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Uzņēmējs pieprasa atļauju izmantot šādu vispārējo galvojumu un lūdz to samazināt līdz 30 % no atsauces summas.</w:t>
      </w:r>
    </w:p>
    <w:p w14:paraId="7648B67D"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Ja samazinājumu piešķirtu, uzņēmējam būtu jāsniedz tikai faktiskā galvojuma summa 300 000 EUR apmērā.</w:t>
      </w:r>
    </w:p>
    <w:p w14:paraId="5E8DBF89"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Hipotētiski, ja visi pārējie nosacījumi samazinājuma līdz 30 % saņemšanai ir izpildīti, ir jāpārbauda, vai uzņēmējam ir pietiekami labs finansiālais stāvoklis, lai tam piešķirtu tiesības uz šādu samazinājumu.</w:t>
      </w:r>
    </w:p>
    <w:p w14:paraId="7EF9DAC9"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Parasti muitai būtu jāpārbauda, vai uzņēmējam ir pietiekami labs finansiālais stāvoklis, lai vajadzības gadījumā samaksātu starpību starp atsauces summu (1 000 000 EUR) un faktiskā galvojuma summu (300 000 EUR). Praksē viņam jāpierāda, ka viņš no saviem līdzekļiem var samaksāt 700 000 EUR.</w:t>
      </w:r>
    </w:p>
    <w:p w14:paraId="524B401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Ja uzņēmējs nespēj pierādīt, ka viņam ir finanšu līdzekļi, lai samaksātu 700 000 EUR, tad jāpieņem nelabvēlīgs lēmums, bet varētu piešķirt mazāku samazinājuma apmēru (piemēram, līdz 50 %).</w:t>
      </w:r>
    </w:p>
    <w:p w14:paraId="2BE58725"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Tomēr saskaņā ar pašreizējo SMK DA 84. panta formulējumu pamatotos gadījumos muitas dienesti var ņemt vērā faktisko parādu rašanās risku, ņemot vērā uzņēmēja ar muitu saistītās darījumdarbības veidu un apjomu, kā arī preču veidu, kam jāpiemēro īpašā procedūra, pamatojoties uz vispārējo galvojumu.</w:t>
      </w:r>
    </w:p>
    <w:p w14:paraId="1F7E6E69" w14:textId="77777777" w:rsidR="005A2D50" w:rsidRPr="005A2D50" w:rsidRDefault="005A2D50" w:rsidP="005A2D50">
      <w:pPr>
        <w:jc w:val="both"/>
        <w:rPr>
          <w:rFonts w:ascii="Times New Roman" w:hAnsi="Times New Roman" w:cs="Times New Roman"/>
          <w:i/>
          <w:noProof/>
          <w:sz w:val="24"/>
          <w:szCs w:val="24"/>
          <w:lang w:val="en-US"/>
        </w:rPr>
      </w:pPr>
    </w:p>
    <w:p w14:paraId="505E6F1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Turpmāk ir minēti piemēri.</w:t>
      </w:r>
    </w:p>
    <w:p w14:paraId="51D78623"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Maksimālais parāds, kas teorētiski varētu rasties, ir 1 000 000 EUR (atsauces summa).</w:t>
      </w:r>
    </w:p>
    <w:p w14:paraId="5441D7F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Muita varētu uzskatīt, ka parāda 1 000 000 EUR apmērā rašanās risks būs ļoti neliels.</w:t>
      </w:r>
    </w:p>
    <w:p w14:paraId="7D05E94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Lai novērtētu “reālo sliktākā gadījuma scenāriju”, muita analizē:</w:t>
      </w:r>
    </w:p>
    <w:p w14:paraId="66D23EFF" w14:textId="77777777" w:rsidR="005A2D50" w:rsidRPr="005A2D50" w:rsidRDefault="005A2D50" w:rsidP="005A2D50">
      <w:pPr>
        <w:tabs>
          <w:tab w:val="left" w:pos="1186"/>
        </w:tabs>
        <w:ind w:left="284"/>
        <w:jc w:val="both"/>
        <w:rPr>
          <w:rFonts w:ascii="Times New Roman" w:eastAsia="Times New Roman" w:hAnsi="Times New Roman" w:cs="Times New Roman"/>
          <w:i/>
          <w:noProof/>
          <w:sz w:val="24"/>
          <w:szCs w:val="24"/>
          <w:lang w:val="en-US"/>
        </w:rPr>
      </w:pPr>
    </w:p>
    <w:p w14:paraId="2AC7BB7E" w14:textId="77777777" w:rsidR="005A2D50" w:rsidRPr="005A2D50" w:rsidRDefault="005A2D50" w:rsidP="005A2D50">
      <w:pPr>
        <w:tabs>
          <w:tab w:val="left" w:pos="1186"/>
        </w:tabs>
        <w:ind w:left="284"/>
        <w:jc w:val="both"/>
        <w:rPr>
          <w:rFonts w:ascii="Times New Roman" w:hAnsi="Times New Roman"/>
          <w:i/>
          <w:noProof/>
          <w:sz w:val="24"/>
          <w:lang w:val="en-US"/>
        </w:rPr>
      </w:pPr>
      <w:r w:rsidRPr="005A2D50">
        <w:rPr>
          <w:rFonts w:ascii="Times New Roman" w:hAnsi="Times New Roman"/>
          <w:i/>
          <w:noProof/>
          <w:sz w:val="24"/>
          <w:lang w:val="en-US"/>
        </w:rPr>
        <w:t>1) vai pēdējo trīs gadu laikā pieteikuma iesniedzējam ir radušies zaudējumi un vai tie ir samaksāti. Piemēram, radās zaudējumi 50 000 EUR apmērā, bet pieteikuma iesniedzējs tos pilnībā sedza. Tādā gadījumā muita var veikt 84. panta 3.a punktā minēto riska elementu novērtējumu;</w:t>
      </w:r>
    </w:p>
    <w:p w14:paraId="4B70981B" w14:textId="77777777" w:rsidR="005A2D50" w:rsidRPr="005A2D50" w:rsidRDefault="005A2D50" w:rsidP="005A2D50">
      <w:pPr>
        <w:tabs>
          <w:tab w:val="left" w:pos="1186"/>
        </w:tabs>
        <w:ind w:left="284"/>
        <w:jc w:val="both"/>
        <w:rPr>
          <w:rFonts w:ascii="Times New Roman" w:hAnsi="Times New Roman"/>
          <w:i/>
          <w:noProof/>
          <w:sz w:val="24"/>
          <w:lang w:val="en-US"/>
        </w:rPr>
      </w:pPr>
      <w:r w:rsidRPr="005A2D50">
        <w:rPr>
          <w:rFonts w:ascii="Times New Roman" w:hAnsi="Times New Roman"/>
          <w:i/>
          <w:noProof/>
          <w:sz w:val="24"/>
          <w:lang w:val="en-US"/>
        </w:rPr>
        <w:t>2) vai kontroles darbības ir pietiekamas;</w:t>
      </w:r>
    </w:p>
    <w:p w14:paraId="39881AA7" w14:textId="77777777" w:rsidR="005A2D50" w:rsidRPr="005A2D50" w:rsidRDefault="005A2D50" w:rsidP="005A2D50">
      <w:pPr>
        <w:tabs>
          <w:tab w:val="left" w:pos="1186"/>
        </w:tabs>
        <w:ind w:left="284"/>
        <w:jc w:val="both"/>
        <w:rPr>
          <w:rFonts w:ascii="Times New Roman" w:hAnsi="Times New Roman"/>
          <w:i/>
          <w:noProof/>
          <w:sz w:val="24"/>
          <w:lang w:val="en-US"/>
        </w:rPr>
      </w:pPr>
      <w:r w:rsidRPr="005A2D50">
        <w:rPr>
          <w:rFonts w:ascii="Times New Roman" w:hAnsi="Times New Roman"/>
          <w:i/>
          <w:noProof/>
          <w:sz w:val="24"/>
          <w:lang w:val="en-US"/>
        </w:rPr>
        <w:t>3) vai veiktā darījumdarbība ir mainījusies vai nav;</w:t>
      </w:r>
    </w:p>
    <w:p w14:paraId="35734027" w14:textId="77777777" w:rsidR="005A2D50" w:rsidRPr="005A2D50" w:rsidRDefault="005A2D50" w:rsidP="005A2D50">
      <w:pPr>
        <w:tabs>
          <w:tab w:val="left" w:pos="1186"/>
        </w:tabs>
        <w:ind w:left="284"/>
        <w:jc w:val="both"/>
        <w:rPr>
          <w:rFonts w:ascii="Times New Roman" w:hAnsi="Times New Roman"/>
          <w:i/>
          <w:noProof/>
          <w:sz w:val="24"/>
          <w:lang w:val="en-US"/>
        </w:rPr>
      </w:pPr>
      <w:r w:rsidRPr="005A2D50">
        <w:rPr>
          <w:rFonts w:ascii="Times New Roman" w:hAnsi="Times New Roman"/>
          <w:i/>
          <w:noProof/>
          <w:sz w:val="24"/>
          <w:lang w:val="en-US"/>
        </w:rPr>
        <w:t>4) vai nav riskantu preču.</w:t>
      </w:r>
    </w:p>
    <w:p w14:paraId="2170D696" w14:textId="77777777" w:rsidR="005A2D50" w:rsidRPr="005A2D50" w:rsidRDefault="005A2D50" w:rsidP="005A2D50">
      <w:pPr>
        <w:jc w:val="both"/>
        <w:rPr>
          <w:rFonts w:ascii="Times New Roman" w:hAnsi="Times New Roman" w:cs="Times New Roman"/>
          <w:i/>
          <w:noProof/>
          <w:sz w:val="24"/>
          <w:szCs w:val="24"/>
          <w:lang w:val="en-US"/>
        </w:rPr>
      </w:pPr>
    </w:p>
    <w:p w14:paraId="00E4F7BC"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Iepriekšējo trīs gadu muitas dati liecina, ka muitas parāda rašanās varbūtība ir aptuveni 5 %, kas ir 50 000 EUR gadā. Ja viņa darījumdarbība nemainās (piemēram, netiek veiktas jaunas muitas procedūras, kuras viņš nepārzina), ir ļoti iespējams, ka varbūtības risks saglabājas 5 % apmērā.</w:t>
      </w:r>
    </w:p>
    <w:p w14:paraId="6B00A676"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Ņemot vērā visus iepriekšminētos faktorus, lai noteiktu risku, muita var nolemt piešķirt samazinājumu, jo uzņēmēja darījumdarbību var uzskatīt par tādu, kurai ir zems risks, un uzņēmēja finansiālais stāvoklis var nosegt iespējamo muitas parādu, kas varētu rasties 50 000 EUR apmērā.</w:t>
      </w:r>
    </w:p>
    <w:p w14:paraId="12FEDB6E" w14:textId="77777777" w:rsidR="005A2D50" w:rsidRPr="005A2D50" w:rsidRDefault="005A2D50" w:rsidP="005A2D50">
      <w:pPr>
        <w:jc w:val="both"/>
        <w:rPr>
          <w:rFonts w:ascii="Times New Roman" w:hAnsi="Times New Roman" w:cs="Times New Roman"/>
          <w:i/>
          <w:noProof/>
          <w:sz w:val="24"/>
          <w:szCs w:val="24"/>
          <w:lang w:val="en-US"/>
        </w:rPr>
      </w:pPr>
    </w:p>
    <w:p w14:paraId="5634D2D1"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B piemērs</w:t>
      </w:r>
    </w:p>
    <w:p w14:paraId="43887D2F" w14:textId="77777777" w:rsidR="005A2D50" w:rsidRPr="005A2D50" w:rsidRDefault="005A2D50" w:rsidP="005A2D50">
      <w:pPr>
        <w:jc w:val="both"/>
        <w:rPr>
          <w:rFonts w:ascii="Times New Roman" w:hAnsi="Times New Roman" w:cs="Times New Roman"/>
          <w:i/>
          <w:noProof/>
          <w:sz w:val="24"/>
          <w:szCs w:val="24"/>
          <w:lang w:val="en-US"/>
        </w:rPr>
      </w:pPr>
    </w:p>
    <w:p w14:paraId="66374512"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Vēl viens piemērs situācijai, kad lielākais parāds, kas var rasties reālā scenārijā, varētu būt krietni mazāks par parādu, kas teorētiski varētu rasties.</w:t>
      </w:r>
    </w:p>
    <w:p w14:paraId="7161AAF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Tvertņu terminālī (pagaidu uzglabāšanas vietā) varētu būt tūkstošiem tvertņu, kas rada iespējamu muitas parādu simtiem miljonu euro apmērā. Tomēr nav tādas iespējas visas šīs tvertnes vienlaikus izņemt no “procedūras”. Ņemot vērā augstas drošības zonu pagaidu uzglabāšanas vietai, kuras pamatā ir atklātas muitas prasības, kā arī ISPS kodeksu, muita varētu secināt, ka lielākais parāds, kas varētu rasties reālā scenārijā, ir krietni mazāks par atsauces summu, ko tā varētu ņemt vērā, novērtējot pietiekami labu finansiālo stāvokli.</w:t>
      </w:r>
    </w:p>
    <w:p w14:paraId="4AE7AC80"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34D19952" w14:textId="77777777" w:rsidR="005A2D50" w:rsidRPr="005A2D50" w:rsidRDefault="005A2D50" w:rsidP="005A2D50">
      <w:pPr>
        <w:pStyle w:val="Heading2"/>
        <w:rPr>
          <w:noProof/>
          <w:lang w:val="en-US"/>
        </w:rPr>
      </w:pPr>
      <w:bookmarkStart w:id="236" w:name="A2.13_Release_of_guarantee_provided_for_"/>
      <w:bookmarkStart w:id="237" w:name="_bookmark66"/>
      <w:bookmarkStart w:id="238" w:name="_Toc104982824"/>
      <w:bookmarkEnd w:id="236"/>
      <w:bookmarkEnd w:id="237"/>
      <w:r w:rsidRPr="005A2D50">
        <w:rPr>
          <w:noProof/>
          <w:lang w:val="en-US"/>
        </w:rPr>
        <w:t>A2.13. Tāda galvojuma atbrīvošana, kas sniegts atliktajiem maksājumiem saskaņā ar SMK 110. panta b) un c) punktu</w:t>
      </w:r>
      <w:bookmarkEnd w:id="238"/>
    </w:p>
    <w:p w14:paraId="67F3AB10"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09F68192" w14:textId="77777777" w:rsidR="005A2D50" w:rsidRPr="005A2D50" w:rsidRDefault="005A2D50" w:rsidP="005A2D50">
      <w:pPr>
        <w:pStyle w:val="BodyText"/>
        <w:rPr>
          <w:lang w:val="en-US"/>
        </w:rPr>
      </w:pPr>
      <w:r w:rsidRPr="005A2D50">
        <w:rPr>
          <w:lang w:val="en-US"/>
        </w:rPr>
        <w:t>Saskaņā ar SMK 110. panta b) un c) punktu muitas nodokļu summām var piemērot maksājuma atlikšanu attiecībā uz visām summām, kas ir atsevišķi iegrāmatotas noteiktā laikposmā saskaņā ar SMK 105. panta 1. punkta pirmo daļu vai iegrāmatotas vispārīgi tā laikposma beigās, ko muitas dienesti ir noteikuši saskaņā ar SMK 105. panta 1. punkta otro daļu.</w:t>
      </w:r>
    </w:p>
    <w:p w14:paraId="50D58213" w14:textId="77777777" w:rsidR="005A2D50" w:rsidRPr="005A2D50" w:rsidRDefault="005A2D50" w:rsidP="005A2D50">
      <w:pPr>
        <w:pStyle w:val="BodyText"/>
        <w:rPr>
          <w:lang w:val="en-US"/>
        </w:rPr>
      </w:pPr>
      <w:r w:rsidRPr="005A2D50">
        <w:rPr>
          <w:lang w:val="en-US"/>
        </w:rPr>
        <w:t>Kopumā lasot šos noteikumus un SMK 102. panta 2. punkta noteikumus, kā arī neskarot SMK ĪA 244. pantu, var uzskatīt, ka tvērums galvojumam, kurš sniegts saistībā ar preču laišanu brīvā apgrozībā, atliekot maksājumu, attiecas tikai uz pienākumiem saistībā ar muitas deklarācijas pieņemšanu preču izlaišanai.</w:t>
      </w:r>
    </w:p>
    <w:p w14:paraId="29EBEA0C" w14:textId="77777777" w:rsidR="005A2D50" w:rsidRPr="005A2D50" w:rsidRDefault="005A2D50" w:rsidP="005A2D50">
      <w:pPr>
        <w:pStyle w:val="BodyText"/>
        <w:rPr>
          <w:lang w:val="en-US"/>
        </w:rPr>
      </w:pPr>
      <w:r w:rsidRPr="005A2D50">
        <w:rPr>
          <w:lang w:val="en-US"/>
        </w:rPr>
        <w:t>Tomēr, ņemot vērā SMK 89. panta 4. punkta otro daļu, galvojumam jāsedz maksājamā nodokļu summa par visām precēm, kas izlaistas, pamatojoties uz muitas deklarāciju, neatkarīgi no tā, vai šī deklarācija ir pareiza vai nav. Citiem vārdiem sakot, saskaņā ar SMK 48. pantu dalībvalstīm ir tiesības izmantot galvojumu arī tādu muitas parādu un, ja atbilstīgi, citu maksājumu atgūšanai, kas maksājami pēc kontroles pēc izlaišanas (skat. šā dokumenta II.3.3. iedaļu).</w:t>
      </w:r>
    </w:p>
    <w:p w14:paraId="5A7E8B5A" w14:textId="77777777" w:rsidR="005A2D50" w:rsidRPr="005A2D50" w:rsidRDefault="005A2D50" w:rsidP="005A2D50">
      <w:pPr>
        <w:pStyle w:val="BodyText"/>
        <w:rPr>
          <w:lang w:val="en-US"/>
        </w:rPr>
      </w:pPr>
      <w:r w:rsidRPr="005A2D50">
        <w:rPr>
          <w:lang w:val="en-US"/>
        </w:rPr>
        <w:t>Šķiet, ka vispārējā galvojuma gadījumā, kas sniegts maksājuma atlikšanai, galvinieks uzņemas finansiālu atbildību par summām, kas radušās brīdī, kad tiek pieņemta deklarācija par laišanu brīvā apgrozībā, neatkarīgi no tā, vai sākotnēji noteiktā summa bijusi pareiza vai nav, nepārsniedzot pieejamo galvojuma summu. Muitas dienests var pieprasīt šo summu no galvojuma tam pieejamās summas robežās un tikai tad, ja parādnieks neveic maksājumu noteiktajā termiņā, ko muitas dienests nosaka saskaņā ar SMK 111. pantu.</w:t>
      </w:r>
    </w:p>
    <w:p w14:paraId="43B4CFFD" w14:textId="77777777" w:rsidR="005A2D50" w:rsidRPr="005A2D50" w:rsidRDefault="005A2D50" w:rsidP="005A2D50">
      <w:pPr>
        <w:pStyle w:val="BodyText"/>
        <w:rPr>
          <w:lang w:val="en-US"/>
        </w:rPr>
      </w:pPr>
      <w:r w:rsidRPr="005A2D50">
        <w:rPr>
          <w:lang w:val="en-US"/>
        </w:rPr>
        <w:t>Pēc muitas pienākumu dzēšanas saskaņā ar SMK 124. panta 1. punkta b) apakšpunktu (ievedmuitas vai izvedmuitas nodokļa pareizas summas samaksa pilnā apmērā) un tad, ja galvojums vairs nav nepieciešams citiem muitas darījumiem/deklarācijām/precēm, muitas dienestam būtu nekavējoties jāatbrīvo galvojums, bet tikai pēc tam, kad ir izvērtēts risks, ka varētu rasties jauni muitas pienākumi saskaņā ar SMK 48. pantu un 105. panta 4. punktu (skat. šā dokumenta II.3.6. iedaļu).</w:t>
      </w:r>
    </w:p>
    <w:p w14:paraId="0A9C0404" w14:textId="77777777" w:rsidR="005A2D50" w:rsidRPr="005A2D50" w:rsidRDefault="005A2D50" w:rsidP="005A2D50">
      <w:pPr>
        <w:pStyle w:val="BodyText"/>
        <w:rPr>
          <w:lang w:val="en-US"/>
        </w:rPr>
      </w:pPr>
    </w:p>
    <w:p w14:paraId="1E52BE89"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Praktisks piemērs.</w:t>
      </w:r>
    </w:p>
    <w:p w14:paraId="67644045" w14:textId="77777777" w:rsidR="005A2D50" w:rsidRPr="005A2D50" w:rsidRDefault="005A2D50" w:rsidP="005A2D50">
      <w:pPr>
        <w:jc w:val="both"/>
        <w:rPr>
          <w:rFonts w:ascii="Times New Roman" w:hAnsi="Times New Roman" w:cs="Times New Roman"/>
          <w:i/>
          <w:noProof/>
          <w:sz w:val="24"/>
          <w:szCs w:val="24"/>
          <w:lang w:val="en-US"/>
        </w:rPr>
      </w:pPr>
    </w:p>
    <w:p w14:paraId="0C02813E"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Uzņēmējam ir atļauts atlikt nodokļu maksājumu, kas iegrāmatots saskaņā ar SMK 105. panta 1. punkta pirmo daļu, uz termiņu, kāds paredzēts SMK 111. panta 3. punktā (“samaksa ir atlikta saskaņā ar 110. panta b) punktu, minētais termiņš sākas nākamajā dienā pēc dienas, kad beidzas apkopošanas laikposms. To samazina par tik dienām, cik atbilst pusei no apkopošanas laikposma dienu skaita.”), nepārsniedzot atsauces summas maksimālo robežu 120 000 EUR apmērā.</w:t>
      </w:r>
    </w:p>
    <w:p w14:paraId="5724E9C2"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Persona, kas saņem atļauju atlikt maksājumu, veic iegrāmatoto summu apmaksu laikposmā pirms CA noteiktā termiņa beigām (120 000 EUR tikai attiecībā uz parādiem, kas radušies, ja attiecīgās deklarācijas ir pieņemtas un iegrāmatotas saskaņā ar SMK 105. panta 1. punkta pirmo daļu), un nesamaksātā galvojuma derīguma termiņa laikā nav veikta pārbaude pēc izlaišanas, kam pārbaude veicama saskaņā ar SMK 48. pantu. Saņēmējs lūdz atbrīvot galvojumu, kas sniegts par pienākošos summu 120 000 EUR apmērā. Saņemot šādu pieprasījumu, muitas dienests nodrošina, ka galvojums tiek nekavējoties atbrīvots, ja:</w:t>
      </w:r>
    </w:p>
    <w:p w14:paraId="3E28A732" w14:textId="77777777" w:rsidR="005A2D50" w:rsidRPr="005A2D50" w:rsidRDefault="005A2D50" w:rsidP="005A2D50">
      <w:pPr>
        <w:jc w:val="both"/>
        <w:rPr>
          <w:rFonts w:ascii="Times New Roman" w:hAnsi="Times New Roman" w:cs="Times New Roman"/>
          <w:i/>
          <w:noProof/>
          <w:sz w:val="24"/>
          <w:szCs w:val="24"/>
          <w:lang w:val="en-US"/>
        </w:rPr>
      </w:pPr>
    </w:p>
    <w:p w14:paraId="38A2FC56"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1) ir nomaksāti visi radušies parādi, kas noteikti pirms galvojuma derīguma termiņa beigām neatkarīgi no atlikšanas termiņa;</w:t>
      </w:r>
    </w:p>
    <w:p w14:paraId="5FB73A8B"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2) nākotnē nav paredzēti darījumi, uz kuriem attieksies minētais galvojums, un</w:t>
      </w:r>
    </w:p>
    <w:p w14:paraId="134DD565" w14:textId="77777777" w:rsidR="005A2D50" w:rsidRPr="005A2D50" w:rsidRDefault="005A2D50" w:rsidP="005A2D50">
      <w:pPr>
        <w:tabs>
          <w:tab w:val="left" w:pos="826"/>
        </w:tabs>
        <w:ind w:left="284"/>
        <w:jc w:val="both"/>
        <w:rPr>
          <w:rFonts w:ascii="Times New Roman" w:hAnsi="Times New Roman"/>
          <w:i/>
          <w:noProof/>
          <w:sz w:val="24"/>
          <w:lang w:val="en-US"/>
        </w:rPr>
      </w:pPr>
      <w:r w:rsidRPr="005A2D50">
        <w:rPr>
          <w:rFonts w:ascii="Times New Roman" w:hAnsi="Times New Roman"/>
          <w:i/>
          <w:noProof/>
          <w:sz w:val="24"/>
          <w:lang w:val="en-US"/>
        </w:rPr>
        <w:t>3) ņemot vērā galvojuma izsniegšanas brīdī pieejamo informāciju, nav aplēstas jaunas muitas saistības saskaņā ar SMK 48. pantu un 105. panta 3. punktu.</w:t>
      </w:r>
    </w:p>
    <w:p w14:paraId="2C003093" w14:textId="77777777" w:rsidR="005A2D50" w:rsidRPr="005A2D50" w:rsidRDefault="005A2D50" w:rsidP="005A2D50">
      <w:pPr>
        <w:jc w:val="both"/>
        <w:rPr>
          <w:rFonts w:ascii="Times New Roman" w:eastAsia="Times New Roman" w:hAnsi="Times New Roman" w:cs="Times New Roman"/>
          <w:noProof/>
          <w:sz w:val="24"/>
          <w:szCs w:val="24"/>
          <w:lang w:val="en-US"/>
        </w:rPr>
      </w:pPr>
    </w:p>
    <w:p w14:paraId="1E5449AD" w14:textId="77777777" w:rsidR="005A2D50" w:rsidRPr="005A2D50" w:rsidRDefault="005A2D50" w:rsidP="005A2D50">
      <w:pPr>
        <w:pStyle w:val="Heading2"/>
        <w:rPr>
          <w:noProof/>
          <w:lang w:val="en-US"/>
        </w:rPr>
      </w:pPr>
      <w:bookmarkStart w:id="239" w:name="A2.14_Release_of_the_guarantee_provided_"/>
      <w:bookmarkStart w:id="240" w:name="_bookmark67"/>
      <w:bookmarkStart w:id="241" w:name="_Toc104982825"/>
      <w:bookmarkEnd w:id="239"/>
      <w:bookmarkEnd w:id="240"/>
      <w:r w:rsidRPr="005A2D50">
        <w:rPr>
          <w:noProof/>
          <w:lang w:val="en-US"/>
        </w:rPr>
        <w:t xml:space="preserve">A2.14. </w:t>
      </w:r>
      <w:bookmarkEnd w:id="241"/>
      <w:r w:rsidRPr="005A2D50">
        <w:rPr>
          <w:noProof/>
          <w:lang w:val="en-US"/>
        </w:rPr>
        <w:t>Tāda galvojuma atbrīvošana, kas sniegts par precēm, kurām pieteiktā tarifu kvota ir kritiska</w:t>
      </w:r>
    </w:p>
    <w:p w14:paraId="229B3642" w14:textId="77777777" w:rsidR="005A2D50" w:rsidRPr="005A2D50" w:rsidRDefault="005A2D50" w:rsidP="005A2D50">
      <w:pPr>
        <w:jc w:val="both"/>
        <w:rPr>
          <w:rFonts w:ascii="Times New Roman" w:eastAsia="Times New Roman" w:hAnsi="Times New Roman" w:cs="Times New Roman"/>
          <w:b/>
          <w:bCs/>
          <w:noProof/>
          <w:sz w:val="24"/>
          <w:szCs w:val="24"/>
          <w:lang w:val="en-US"/>
        </w:rPr>
      </w:pPr>
    </w:p>
    <w:p w14:paraId="377D5599" w14:textId="77777777" w:rsidR="005A2D50" w:rsidRPr="005A2D50" w:rsidRDefault="005A2D50" w:rsidP="005A2D50">
      <w:pPr>
        <w:pStyle w:val="BodyText"/>
        <w:rPr>
          <w:lang w:val="en-US"/>
        </w:rPr>
      </w:pPr>
      <w:r w:rsidRPr="005A2D50">
        <w:rPr>
          <w:lang w:val="en-US"/>
        </w:rPr>
        <w:t>SMK DA 153. pantā ir noteikts:</w:t>
      </w:r>
    </w:p>
    <w:p w14:paraId="5E499D55" w14:textId="77777777" w:rsidR="005A2D50" w:rsidRPr="005A2D50" w:rsidRDefault="005A2D50" w:rsidP="005A2D50">
      <w:pPr>
        <w:pStyle w:val="BodyText"/>
        <w:rPr>
          <w:lang w:val="en-US"/>
        </w:rPr>
      </w:pPr>
    </w:p>
    <w:p w14:paraId="49259C0C" w14:textId="77777777" w:rsidR="005A2D50" w:rsidRPr="005A2D50" w:rsidRDefault="005A2D50" w:rsidP="005A2D50">
      <w:pPr>
        <w:pStyle w:val="BodyText"/>
        <w:rPr>
          <w:lang w:val="en-US"/>
        </w:rPr>
      </w:pPr>
      <w:r w:rsidRPr="005A2D50">
        <w:rPr>
          <w:lang w:val="en-US"/>
        </w:rPr>
        <w:t>“Ja pirms tādu preču izlaišanas, uz kurām attiecas pieprasījums piešķirt tarifu kvotu, attiecīgā tarifu kvota nav uzskatāma par kritisku, tad preču izlaišana nav atkarīga no galvojuma sniegšanas par minētajām precēm.”</w:t>
      </w:r>
    </w:p>
    <w:p w14:paraId="42E04DDA" w14:textId="77777777" w:rsidR="005A2D50" w:rsidRPr="005A2D50" w:rsidRDefault="005A2D50" w:rsidP="005A2D50">
      <w:pPr>
        <w:pStyle w:val="BodyText"/>
        <w:rPr>
          <w:lang w:val="en-US"/>
        </w:rPr>
      </w:pPr>
    </w:p>
    <w:p w14:paraId="321787B4" w14:textId="77777777" w:rsidR="005A2D50" w:rsidRPr="005A2D50" w:rsidRDefault="005A2D50" w:rsidP="005A2D50">
      <w:pPr>
        <w:pStyle w:val="BodyText"/>
        <w:rPr>
          <w:lang w:val="en-US"/>
        </w:rPr>
      </w:pPr>
      <w:r w:rsidRPr="005A2D50">
        <w:rPr>
          <w:lang w:val="en-US"/>
        </w:rPr>
        <w:t xml:space="preserve">Tātad, neskarot </w:t>
      </w:r>
      <w:r w:rsidRPr="005A2D50">
        <w:rPr>
          <w:i/>
          <w:iCs/>
          <w:lang w:val="en-US"/>
        </w:rPr>
        <w:t xml:space="preserve">CA </w:t>
      </w:r>
      <w:r w:rsidRPr="005A2D50">
        <w:rPr>
          <w:lang w:val="en-US"/>
        </w:rPr>
        <w:t>iespēju pieprasīt tā sniegšanu dažādu iemeslu dēļ, galvojums tarifu kvotu ietvaros vienmēr ir nepieciešams, ja kvota ir “kritiska” saskaņā ar SMK ĪA 53. pantu.</w:t>
      </w:r>
    </w:p>
    <w:p w14:paraId="4BBDC042" w14:textId="77777777" w:rsidR="005A2D50" w:rsidRPr="005A2D50" w:rsidRDefault="005A2D50" w:rsidP="005A2D50">
      <w:pPr>
        <w:pStyle w:val="BodyText"/>
        <w:rPr>
          <w:lang w:val="en-US"/>
        </w:rPr>
      </w:pPr>
      <w:r w:rsidRPr="005A2D50">
        <w:rPr>
          <w:lang w:val="en-US"/>
        </w:rPr>
        <w:t>Ja pēc attiecīgā uzņēmēja pieprasījuma tiek pilnībā iedalīts pieprasītais daudzums, sniegto galvojumu var atbrīvot, ja tas ir individuāls galvojums. “Nepārtraukta galvojuma” gadījumā šai muitas operācijai atbilstīgā bloķētā galvojuma summa var būt pieejama turpmākam darījumam.</w:t>
      </w:r>
    </w:p>
    <w:p w14:paraId="498582D6" w14:textId="77777777" w:rsidR="005A2D50" w:rsidRPr="005A2D50" w:rsidRDefault="005A2D50" w:rsidP="005A2D50">
      <w:pPr>
        <w:pStyle w:val="BodyText"/>
        <w:rPr>
          <w:lang w:val="en-US"/>
        </w:rPr>
      </w:pPr>
      <w:r w:rsidRPr="005A2D50">
        <w:rPr>
          <w:lang w:val="en-US"/>
        </w:rPr>
        <w:t>Savukārt gadījumā, ja kvota netiek iedalīta (daļēji vai pilnībā), jo uzņēmējs nesamaksā pienākošos summu</w:t>
      </w:r>
      <w:r w:rsidRPr="005A2D50">
        <w:rPr>
          <w:rStyle w:val="FootnoteReference"/>
          <w:lang w:val="en-US"/>
        </w:rPr>
        <w:footnoteReference w:id="32"/>
      </w:r>
      <w:r w:rsidRPr="005A2D50">
        <w:rPr>
          <w:lang w:val="en-US"/>
        </w:rPr>
        <w:t>, galvojums ir jāizpilda, izņemot daļu, kas pārsniedz pienākošos summu, ja tāda ir.</w:t>
      </w:r>
    </w:p>
    <w:p w14:paraId="21F923EF" w14:textId="77777777" w:rsidR="005A2D50" w:rsidRPr="005A2D50" w:rsidRDefault="005A2D50" w:rsidP="005A2D50">
      <w:pPr>
        <w:pStyle w:val="BodyText"/>
        <w:rPr>
          <w:lang w:val="en-US"/>
        </w:rPr>
      </w:pPr>
    </w:p>
    <w:p w14:paraId="6DE459A5"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Praktisks piemērs.</w:t>
      </w:r>
    </w:p>
    <w:p w14:paraId="6C4FF644" w14:textId="77777777" w:rsidR="005A2D50" w:rsidRPr="005A2D50" w:rsidRDefault="005A2D50" w:rsidP="005A2D50">
      <w:pPr>
        <w:jc w:val="both"/>
        <w:rPr>
          <w:rFonts w:ascii="Times New Roman" w:hAnsi="Times New Roman" w:cs="Times New Roman"/>
          <w:i/>
          <w:noProof/>
          <w:sz w:val="24"/>
          <w:szCs w:val="24"/>
          <w:lang w:val="en-US"/>
        </w:rPr>
      </w:pPr>
    </w:p>
    <w:p w14:paraId="52A77B20"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Uzņēmējs importē plakanus tērauda izstrādājumu velmējumus, kas ietilpst VD 7210 (TARIC virsraksts “Plakani dzelzs un neleģētā tērauda velmējumi ar platumu 600 mm vai vairāk, plaķēti, ar elektrolītisku vai citu pārklājumu”) nepreferenciālās tarifu kvotās, kuras paredzētas SMK ĪA, un iesniedz muitas dienestam īpašu pieteikumu.</w:t>
      </w:r>
    </w:p>
    <w:p w14:paraId="7E2B4E2B"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Ņemot vērā tarifu kvotu kritisku statusu, kas novērtēts, izmantojot pieeju QUOTA sistēmai, muitas dienests pieprasa importētājam sniegt galvojumu, lai segtu muitas nodokļu summu attiecībā uz importu, kas pārsniedz kvotu.</w:t>
      </w:r>
    </w:p>
    <w:p w14:paraId="5E62B5C4"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Šajā piemērā galvojums ir vienreizējais galvojums, un to sniedz skaidras naudas iemaksas veidā, gaidot attiecīgo kvotu piešķiršanu.</w:t>
      </w:r>
    </w:p>
    <w:p w14:paraId="0BE3FAA5"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Tiklīdz pieteikuma daļējs piešķīrums ir noskaidrots, muitas dienestam ir jāpieprasa muitas nodokļu samaksa, ko aprēķina, pamatojoties uz preču daudzumu, kas pārsniedz kvotas. Importētājs veic pienākošos maksājumu un vienlaikus iesniedz pieteikumu par sniegtā galvojuma atbrīvošanu.</w:t>
      </w:r>
    </w:p>
    <w:p w14:paraId="441348A2" w14:textId="77777777" w:rsidR="005A2D50" w:rsidRPr="005A2D50" w:rsidRDefault="005A2D50" w:rsidP="005A2D50">
      <w:pPr>
        <w:jc w:val="both"/>
        <w:rPr>
          <w:rFonts w:ascii="Times New Roman" w:hAnsi="Times New Roman"/>
          <w:i/>
          <w:noProof/>
          <w:sz w:val="24"/>
          <w:lang w:val="en-US"/>
        </w:rPr>
      </w:pPr>
      <w:r w:rsidRPr="005A2D50">
        <w:rPr>
          <w:rFonts w:ascii="Times New Roman" w:hAnsi="Times New Roman"/>
          <w:i/>
          <w:noProof/>
          <w:sz w:val="24"/>
          <w:lang w:val="en-US"/>
        </w:rPr>
        <w:t>Tiklīdz maksājums ir veikts, muitas dienestam ir nekavējoties jāatbrīvo sniegtais galvojums, bet tikai tad, ja tiek izvērtēts risks rasties jauniem muitas pienākumiem saskaņā ar SMK 48. pantu un 105. panta 4. punktu attiecībā uz attiecīgo importa deklarāciju (skat. šā dokumenta II.3.6. iedaļu).</w:t>
      </w:r>
    </w:p>
    <w:p w14:paraId="32D64DA3" w14:textId="77777777" w:rsidR="005A2D50" w:rsidRPr="005A2D50" w:rsidRDefault="005A2D50" w:rsidP="005A2D50">
      <w:pPr>
        <w:jc w:val="both"/>
        <w:rPr>
          <w:rFonts w:ascii="Times New Roman" w:eastAsia="Times New Roman" w:hAnsi="Times New Roman" w:cs="Times New Roman"/>
          <w:i/>
          <w:noProof/>
          <w:sz w:val="24"/>
          <w:szCs w:val="24"/>
          <w:lang w:val="en-US"/>
        </w:rPr>
      </w:pPr>
    </w:p>
    <w:sectPr w:rsidR="005A2D50" w:rsidRPr="005A2D50" w:rsidSect="00F41D72">
      <w:headerReference w:type="even" r:id="rId19"/>
      <w:headerReference w:type="default" r:id="rId20"/>
      <w:footerReference w:type="even" r:id="rId21"/>
      <w:footerReference w:type="default" r:id="rId22"/>
      <w:headerReference w:type="first" r:id="rId23"/>
      <w:footerReference w:type="first" r:id="rId2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93716E" w14:textId="77777777" w:rsidR="002F05D2" w:rsidRPr="005A2D50" w:rsidRDefault="002F05D2">
      <w:pPr>
        <w:rPr>
          <w:noProof/>
          <w:lang w:val="en-US"/>
        </w:rPr>
      </w:pPr>
      <w:r w:rsidRPr="005A2D50">
        <w:rPr>
          <w:noProof/>
          <w:lang w:val="en-US"/>
        </w:rPr>
        <w:separator/>
      </w:r>
    </w:p>
  </w:endnote>
  <w:endnote w:type="continuationSeparator" w:id="0">
    <w:p w14:paraId="2F24AEE6" w14:textId="77777777" w:rsidR="002F05D2" w:rsidRPr="005A2D50" w:rsidRDefault="002F05D2">
      <w:pPr>
        <w:rPr>
          <w:noProof/>
          <w:lang w:val="en-US"/>
        </w:rPr>
      </w:pPr>
      <w:r w:rsidRPr="005A2D50">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AF2DB3" w14:textId="77777777" w:rsidR="005A2D50" w:rsidRDefault="005A2D5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FC63F" w14:textId="77777777" w:rsidR="00BF4224" w:rsidRPr="005A2D50" w:rsidRDefault="00BF4224" w:rsidP="00BF4224">
    <w:pPr>
      <w:pStyle w:val="Header"/>
      <w:tabs>
        <w:tab w:val="left" w:pos="9072"/>
      </w:tabs>
      <w:jc w:val="both"/>
      <w:rPr>
        <w:rStyle w:val="PageNumber"/>
        <w:rFonts w:ascii="Times New Roman" w:hAnsi="Times New Roman" w:cs="Times New Roman"/>
        <w:noProof/>
        <w:sz w:val="20"/>
        <w:szCs w:val="20"/>
        <w:lang w:val="en-US"/>
      </w:rPr>
    </w:pPr>
  </w:p>
  <w:p w14:paraId="23B53462" w14:textId="77777777" w:rsidR="00BF4224" w:rsidRPr="005A2D50" w:rsidRDefault="00BF4224" w:rsidP="00BF4224">
    <w:pPr>
      <w:pStyle w:val="Header"/>
      <w:tabs>
        <w:tab w:val="clear" w:pos="4513"/>
        <w:tab w:val="clear" w:pos="9026"/>
        <w:tab w:val="right" w:leader="underscore" w:pos="9072"/>
      </w:tabs>
      <w:jc w:val="both"/>
      <w:rPr>
        <w:rFonts w:ascii="Times New Roman" w:hAnsi="Times New Roman" w:cs="Times New Roman"/>
        <w:noProof/>
        <w:sz w:val="20"/>
        <w:szCs w:val="20"/>
        <w:lang w:val="en-US"/>
      </w:rPr>
    </w:pPr>
    <w:r w:rsidRPr="005A2D50">
      <w:rPr>
        <w:rFonts w:ascii="Times New Roman" w:hAnsi="Times New Roman" w:cs="Times New Roman"/>
        <w:noProof/>
        <w:sz w:val="20"/>
        <w:szCs w:val="20"/>
        <w:lang w:val="en-US"/>
      </w:rPr>
      <w:tab/>
    </w:r>
  </w:p>
  <w:p w14:paraId="79A750BD" w14:textId="77777777" w:rsidR="00BF4224" w:rsidRPr="005A2D50" w:rsidRDefault="00BF4224" w:rsidP="00BF4224">
    <w:pPr>
      <w:pStyle w:val="Header"/>
      <w:tabs>
        <w:tab w:val="right" w:pos="9072"/>
      </w:tabs>
      <w:jc w:val="both"/>
      <w:rPr>
        <w:rStyle w:val="PageNumber"/>
        <w:rFonts w:ascii="Times New Roman" w:hAnsi="Times New Roman" w:cs="Times New Roman"/>
        <w:noProof/>
        <w:sz w:val="20"/>
        <w:szCs w:val="20"/>
        <w:lang w:val="en-US"/>
      </w:rPr>
    </w:pPr>
  </w:p>
  <w:p w14:paraId="22D16B42" w14:textId="77777777" w:rsidR="00BF4224" w:rsidRPr="005A2D50" w:rsidRDefault="00BF4224" w:rsidP="00BF4224">
    <w:pPr>
      <w:pStyle w:val="Footer"/>
      <w:tabs>
        <w:tab w:val="clear" w:pos="4513"/>
        <w:tab w:val="clear" w:pos="9026"/>
        <w:tab w:val="center" w:pos="9072"/>
      </w:tabs>
      <w:jc w:val="both"/>
      <w:rPr>
        <w:rFonts w:ascii="Times New Roman" w:hAnsi="Times New Roman" w:cs="Times New Roman"/>
        <w:noProof/>
        <w:sz w:val="20"/>
        <w:szCs w:val="20"/>
        <w:lang w:val="en-US"/>
      </w:rPr>
    </w:pPr>
    <w:r w:rsidRPr="005A2D50">
      <w:rPr>
        <w:rFonts w:ascii="Times New Roman" w:hAnsi="Times New Roman" w:cs="Times New Roman"/>
        <w:noProof/>
        <w:sz w:val="20"/>
        <w:szCs w:val="20"/>
        <w:lang w:val="en-US"/>
      </w:rPr>
      <w:t xml:space="preserve">Tulkojums </w:t>
    </w:r>
    <w:r w:rsidRPr="005A2D50">
      <w:rPr>
        <w:rFonts w:ascii="Times New Roman" w:hAnsi="Times New Roman" w:cs="Times New Roman"/>
        <w:noProof/>
        <w:sz w:val="20"/>
        <w:szCs w:val="20"/>
        <w:lang w:val="en-US"/>
      </w:rPr>
      <w:fldChar w:fldCharType="begin"/>
    </w:r>
    <w:r w:rsidRPr="005A2D50">
      <w:rPr>
        <w:rFonts w:ascii="Times New Roman" w:hAnsi="Times New Roman" w:cs="Times New Roman"/>
        <w:noProof/>
        <w:sz w:val="20"/>
        <w:szCs w:val="20"/>
        <w:lang w:val="en-US"/>
      </w:rPr>
      <w:instrText>symbol 211 \f "Symbol" \s 9</w:instrText>
    </w:r>
    <w:r w:rsidRPr="005A2D50">
      <w:rPr>
        <w:rFonts w:ascii="Times New Roman" w:hAnsi="Times New Roman" w:cs="Times New Roman"/>
        <w:noProof/>
        <w:sz w:val="20"/>
        <w:szCs w:val="20"/>
        <w:lang w:val="en-US"/>
      </w:rPr>
      <w:fldChar w:fldCharType="separate"/>
    </w:r>
    <w:r w:rsidRPr="005A2D50">
      <w:rPr>
        <w:rFonts w:ascii="Times New Roman" w:hAnsi="Times New Roman" w:cs="Times New Roman"/>
        <w:noProof/>
        <w:sz w:val="20"/>
        <w:szCs w:val="20"/>
        <w:lang w:val="en-US"/>
      </w:rPr>
      <w:t>Ó</w:t>
    </w:r>
    <w:r w:rsidRPr="005A2D50">
      <w:rPr>
        <w:rFonts w:ascii="Times New Roman" w:hAnsi="Times New Roman" w:cs="Times New Roman"/>
        <w:noProof/>
        <w:sz w:val="20"/>
        <w:szCs w:val="20"/>
        <w:lang w:val="en-US"/>
      </w:rPr>
      <w:fldChar w:fldCharType="end"/>
    </w:r>
    <w:r w:rsidRPr="005A2D50">
      <w:rPr>
        <w:rFonts w:ascii="Times New Roman" w:hAnsi="Times New Roman" w:cs="Times New Roman"/>
        <w:noProof/>
        <w:sz w:val="20"/>
        <w:szCs w:val="20"/>
        <w:lang w:val="en-US"/>
      </w:rPr>
      <w:t xml:space="preserve"> Valsts valodas centrs, 2022</w:t>
    </w:r>
    <w:r w:rsidRPr="005A2D50">
      <w:rPr>
        <w:rFonts w:ascii="Times New Roman" w:hAnsi="Times New Roman" w:cs="Times New Roman"/>
        <w:noProof/>
        <w:sz w:val="20"/>
        <w:szCs w:val="20"/>
        <w:lang w:val="en-US"/>
      </w:rPr>
      <w:tab/>
    </w:r>
    <w:r w:rsidRPr="005A2D50">
      <w:rPr>
        <w:rStyle w:val="PageNumber"/>
        <w:rFonts w:ascii="Times New Roman" w:hAnsi="Times New Roman" w:cs="Times New Roman"/>
        <w:noProof/>
        <w:sz w:val="20"/>
        <w:szCs w:val="20"/>
        <w:lang w:val="en-US"/>
      </w:rPr>
      <w:fldChar w:fldCharType="begin"/>
    </w:r>
    <w:r w:rsidRPr="005A2D50">
      <w:rPr>
        <w:rStyle w:val="PageNumber"/>
        <w:rFonts w:ascii="Times New Roman" w:hAnsi="Times New Roman" w:cs="Times New Roman"/>
        <w:noProof/>
        <w:sz w:val="20"/>
        <w:szCs w:val="20"/>
        <w:lang w:val="en-US"/>
      </w:rPr>
      <w:instrText xml:space="preserve">page </w:instrText>
    </w:r>
    <w:r w:rsidRPr="005A2D50">
      <w:rPr>
        <w:rStyle w:val="PageNumber"/>
        <w:rFonts w:ascii="Times New Roman" w:hAnsi="Times New Roman" w:cs="Times New Roman"/>
        <w:noProof/>
        <w:sz w:val="20"/>
        <w:szCs w:val="20"/>
        <w:lang w:val="en-US"/>
      </w:rPr>
      <w:fldChar w:fldCharType="separate"/>
    </w:r>
    <w:r w:rsidRPr="005A2D50">
      <w:rPr>
        <w:rStyle w:val="PageNumber"/>
        <w:rFonts w:ascii="Times New Roman" w:hAnsi="Times New Roman" w:cs="Times New Roman"/>
        <w:noProof/>
        <w:sz w:val="20"/>
        <w:szCs w:val="20"/>
        <w:lang w:val="en-US"/>
      </w:rPr>
      <w:t>2</w:t>
    </w:r>
    <w:r w:rsidRPr="005A2D50">
      <w:rPr>
        <w:rStyle w:val="PageNumber"/>
        <w:rFonts w:ascii="Times New Roman" w:hAnsi="Times New Roman" w:cs="Times New Roman"/>
        <w:noProof/>
        <w:sz w:val="20"/>
        <w:szCs w:val="20"/>
        <w:lang w:val="en-US"/>
      </w:rPr>
      <w:fldChar w:fldCharType="end"/>
    </w:r>
  </w:p>
  <w:p w14:paraId="4BFD3B6A" w14:textId="5C82AFE8" w:rsidR="007E24CD" w:rsidRPr="005A2D50" w:rsidRDefault="007E24CD">
    <w:pPr>
      <w:spacing w:line="14" w:lineRule="auto"/>
      <w:rPr>
        <w:noProof/>
        <w:sz w:val="20"/>
        <w:szCs w:val="20"/>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FBD064" w14:textId="77777777" w:rsidR="00C24CFD" w:rsidRPr="005A2D50" w:rsidRDefault="00C24CFD" w:rsidP="00C24CFD">
    <w:pPr>
      <w:pStyle w:val="Header"/>
      <w:tabs>
        <w:tab w:val="left" w:pos="9072"/>
      </w:tabs>
      <w:jc w:val="both"/>
      <w:rPr>
        <w:rStyle w:val="PageNumber"/>
        <w:rFonts w:ascii="Times New Roman" w:hAnsi="Times New Roman"/>
        <w:noProof/>
        <w:sz w:val="20"/>
        <w:szCs w:val="18"/>
        <w:lang w:val="en-US"/>
      </w:rPr>
    </w:pPr>
    <w:bookmarkStart w:id="256" w:name="_Hlk496261764"/>
    <w:bookmarkStart w:id="257" w:name="_Hlk496261765"/>
    <w:bookmarkStart w:id="258" w:name="_Hlk496261766"/>
    <w:bookmarkStart w:id="259" w:name="_Hlk30491075"/>
    <w:bookmarkStart w:id="260" w:name="_Hlk30491076"/>
  </w:p>
  <w:p w14:paraId="2F765011" w14:textId="77777777" w:rsidR="00C24CFD" w:rsidRPr="005A2D50" w:rsidRDefault="00C24CFD" w:rsidP="00C24CFD">
    <w:pPr>
      <w:pStyle w:val="Header"/>
      <w:tabs>
        <w:tab w:val="clear" w:pos="4513"/>
        <w:tab w:val="clear" w:pos="9026"/>
        <w:tab w:val="left" w:leader="underscore" w:pos="9072"/>
      </w:tabs>
      <w:jc w:val="both"/>
      <w:rPr>
        <w:rFonts w:ascii="Times New Roman" w:hAnsi="Times New Roman"/>
        <w:noProof/>
        <w:sz w:val="20"/>
        <w:szCs w:val="18"/>
        <w:lang w:val="en-US"/>
      </w:rPr>
    </w:pPr>
    <w:r w:rsidRPr="005A2D50">
      <w:rPr>
        <w:rFonts w:ascii="Times New Roman" w:hAnsi="Times New Roman"/>
        <w:noProof/>
        <w:sz w:val="20"/>
        <w:szCs w:val="18"/>
        <w:lang w:val="en-US"/>
      </w:rPr>
      <w:tab/>
    </w:r>
  </w:p>
  <w:p w14:paraId="68EA5771" w14:textId="77777777" w:rsidR="00C24CFD" w:rsidRPr="005A2D50" w:rsidRDefault="00C24CFD" w:rsidP="00C24CFD">
    <w:pPr>
      <w:pStyle w:val="Header"/>
      <w:tabs>
        <w:tab w:val="left" w:pos="9072"/>
      </w:tabs>
      <w:jc w:val="both"/>
      <w:rPr>
        <w:rStyle w:val="PageNumber"/>
        <w:rFonts w:ascii="Times New Roman" w:hAnsi="Times New Roman"/>
        <w:noProof/>
        <w:sz w:val="20"/>
        <w:szCs w:val="18"/>
        <w:lang w:val="en-US"/>
      </w:rPr>
    </w:pPr>
  </w:p>
  <w:p w14:paraId="64FD0606" w14:textId="438C14C7" w:rsidR="002830A9" w:rsidRPr="005A2D50" w:rsidRDefault="00C24CFD" w:rsidP="00C24CFD">
    <w:pPr>
      <w:pStyle w:val="Footer"/>
      <w:jc w:val="both"/>
      <w:rPr>
        <w:rFonts w:ascii="Times New Roman" w:hAnsi="Times New Roman"/>
        <w:noProof/>
        <w:sz w:val="20"/>
        <w:szCs w:val="18"/>
        <w:lang w:val="en-US"/>
      </w:rPr>
    </w:pPr>
    <w:r w:rsidRPr="005A2D50">
      <w:rPr>
        <w:rFonts w:ascii="Times New Roman" w:hAnsi="Times New Roman"/>
        <w:noProof/>
        <w:sz w:val="20"/>
        <w:szCs w:val="18"/>
        <w:lang w:val="en-US"/>
      </w:rPr>
      <w:t xml:space="preserve">Tulkojums </w:t>
    </w:r>
    <w:r w:rsidRPr="005A2D50">
      <w:rPr>
        <w:rFonts w:ascii="Times New Roman" w:hAnsi="Times New Roman"/>
        <w:noProof/>
        <w:sz w:val="20"/>
        <w:szCs w:val="18"/>
        <w:lang w:val="en-US"/>
      </w:rPr>
      <w:fldChar w:fldCharType="begin"/>
    </w:r>
    <w:r w:rsidRPr="005A2D50">
      <w:rPr>
        <w:rFonts w:ascii="Times New Roman" w:hAnsi="Times New Roman"/>
        <w:noProof/>
        <w:sz w:val="20"/>
        <w:szCs w:val="18"/>
        <w:lang w:val="en-US"/>
      </w:rPr>
      <w:instrText>symbol 211 \f "Symbol" \s 9</w:instrText>
    </w:r>
    <w:r w:rsidRPr="005A2D50">
      <w:rPr>
        <w:rFonts w:ascii="Times New Roman" w:hAnsi="Times New Roman"/>
        <w:noProof/>
        <w:sz w:val="20"/>
        <w:szCs w:val="18"/>
        <w:lang w:val="en-US"/>
      </w:rPr>
      <w:fldChar w:fldCharType="separate"/>
    </w:r>
    <w:r w:rsidRPr="005A2D50">
      <w:rPr>
        <w:rFonts w:ascii="Times New Roman" w:hAnsi="Times New Roman"/>
        <w:noProof/>
        <w:sz w:val="20"/>
        <w:szCs w:val="18"/>
        <w:lang w:val="en-US"/>
      </w:rPr>
      <w:t>Ó</w:t>
    </w:r>
    <w:r w:rsidRPr="005A2D50">
      <w:rPr>
        <w:rFonts w:ascii="Times New Roman" w:hAnsi="Times New Roman"/>
        <w:noProof/>
        <w:sz w:val="20"/>
        <w:szCs w:val="18"/>
        <w:lang w:val="en-US"/>
      </w:rPr>
      <w:fldChar w:fldCharType="end"/>
    </w:r>
    <w:r w:rsidRPr="005A2D50">
      <w:rPr>
        <w:rFonts w:ascii="Times New Roman" w:hAnsi="Times New Roman"/>
        <w:noProof/>
        <w:sz w:val="20"/>
        <w:szCs w:val="18"/>
        <w:lang w:val="en-US"/>
      </w:rPr>
      <w:t xml:space="preserve"> Valsts valodas centrs, 20</w:t>
    </w:r>
    <w:bookmarkEnd w:id="256"/>
    <w:bookmarkEnd w:id="257"/>
    <w:bookmarkEnd w:id="258"/>
    <w:r w:rsidRPr="005A2D50">
      <w:rPr>
        <w:rFonts w:ascii="Times New Roman" w:hAnsi="Times New Roman"/>
        <w:noProof/>
        <w:sz w:val="20"/>
        <w:szCs w:val="18"/>
        <w:lang w:val="en-US"/>
      </w:rPr>
      <w:t>2</w:t>
    </w:r>
    <w:bookmarkEnd w:id="259"/>
    <w:bookmarkEnd w:id="260"/>
    <w:r w:rsidRPr="005A2D50">
      <w:rPr>
        <w:rFonts w:ascii="Times New Roman" w:hAnsi="Times New Roman"/>
        <w:noProof/>
        <w:sz w:val="20"/>
        <w:szCs w:val="18"/>
        <w:lang w:val="en-US"/>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86171" w14:textId="77777777" w:rsidR="002F05D2" w:rsidRPr="005A2D50" w:rsidRDefault="002F05D2">
      <w:pPr>
        <w:rPr>
          <w:noProof/>
          <w:lang w:val="en-US"/>
        </w:rPr>
      </w:pPr>
      <w:r w:rsidRPr="005A2D50">
        <w:rPr>
          <w:noProof/>
          <w:lang w:val="en-US"/>
        </w:rPr>
        <w:separator/>
      </w:r>
    </w:p>
  </w:footnote>
  <w:footnote w:type="continuationSeparator" w:id="0">
    <w:p w14:paraId="5B76A349" w14:textId="77777777" w:rsidR="002F05D2" w:rsidRPr="005A2D50" w:rsidRDefault="002F05D2">
      <w:pPr>
        <w:rPr>
          <w:noProof/>
          <w:lang w:val="en-US"/>
        </w:rPr>
      </w:pPr>
      <w:r w:rsidRPr="005A2D50">
        <w:rPr>
          <w:noProof/>
          <w:lang w:val="en-US"/>
        </w:rPr>
        <w:continuationSeparator/>
      </w:r>
    </w:p>
  </w:footnote>
  <w:footnote w:id="1">
    <w:p w14:paraId="6932F28B"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Skat. piemēru A2.8. pielikumā “Neobligāta galvojuma piemēri”.</w:t>
      </w:r>
    </w:p>
  </w:footnote>
  <w:footnote w:id="2">
    <w:p w14:paraId="628FB269" w14:textId="77777777" w:rsidR="005A2D50" w:rsidRPr="005A2D50" w:rsidRDefault="005A2D50" w:rsidP="005A2D50">
      <w:pPr>
        <w:pStyle w:val="FootnoteText"/>
        <w:rPr>
          <w:noProof/>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lang w:val="en-US"/>
        </w:rPr>
        <w:t>SMK 89. panta 2. punkts</w:t>
      </w:r>
    </w:p>
  </w:footnote>
  <w:footnote w:id="3">
    <w:p w14:paraId="3DBC3FE9"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https://ec.europa.eu/taxation_customs/sites/taxation/files/guidance-customs-debt_en.pdf.</w:t>
      </w:r>
    </w:p>
  </w:footnote>
  <w:footnote w:id="4">
    <w:p w14:paraId="79EC9858" w14:textId="77777777" w:rsidR="005A2D50" w:rsidRPr="005A2D50" w:rsidRDefault="005A2D50" w:rsidP="005A2D50">
      <w:pPr>
        <w:pStyle w:val="FootnoteText"/>
        <w:rPr>
          <w:noProof/>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lang w:val="en-US"/>
        </w:rPr>
        <w:t>Īpašus noteikumus attiecībā uz galvojumiem, kas sniegti saistībā ar Savienības tranzītu, lūgums skatīt Tranzīta rokasgrāmatā: https://ec.europa.eu/taxation_customs/sites/taxation/files/transit_manual_en.pdf.</w:t>
      </w:r>
    </w:p>
  </w:footnote>
  <w:footnote w:id="5">
    <w:p w14:paraId="049D6BD9" w14:textId="77777777" w:rsidR="005A2D50" w:rsidRPr="005A2D50" w:rsidRDefault="005A2D50" w:rsidP="005A2D50">
      <w:pPr>
        <w:pStyle w:val="FootnoteText"/>
        <w:rPr>
          <w:noProof/>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u w:val="single" w:color="000000"/>
          <w:lang w:val="en-US"/>
        </w:rPr>
        <w:t>https://ec.europa.eu/taxation_customs/sites/taxation/files/docs/body/guidance_special_procedures_en.pdf.</w:t>
      </w:r>
    </w:p>
  </w:footnote>
  <w:footnote w:id="6">
    <w:p w14:paraId="263F0B52"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SMK 218. pants Tiesību un pienākumu nodošana</w:t>
      </w:r>
    </w:p>
    <w:p w14:paraId="5BA21810" w14:textId="77777777" w:rsidR="005A2D50" w:rsidRPr="005A2D50" w:rsidRDefault="005A2D50" w:rsidP="005A2D50">
      <w:pPr>
        <w:jc w:val="both"/>
        <w:rPr>
          <w:rFonts w:ascii="Times New Roman" w:hAnsi="Times New Roman" w:cs="Times New Roman"/>
          <w:noProof/>
          <w:sz w:val="20"/>
          <w:szCs w:val="20"/>
          <w:lang w:val="en-US"/>
        </w:rPr>
      </w:pPr>
      <w:r w:rsidRPr="005A2D50">
        <w:rPr>
          <w:rFonts w:ascii="Times New Roman" w:hAnsi="Times New Roman"/>
          <w:noProof/>
          <w:sz w:val="20"/>
          <w:lang w:val="en-US"/>
        </w:rPr>
        <w:t>Procedūras izmantotāja tiesības un pienākumus attiecībā uz precēm, kam piemērota īpaša procedūra, kura nav tranzīts, var pilnībā vai daļēji nodot citai personai, kas atbilst nosacījumiem, kuri paredzēti attiecīgajai procedūrai.</w:t>
      </w:r>
    </w:p>
  </w:footnote>
  <w:footnote w:id="7">
    <w:p w14:paraId="7481FE64"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SMK 211. pants Atļauja</w:t>
      </w:r>
    </w:p>
    <w:p w14:paraId="3A0947B3" w14:textId="77777777" w:rsidR="005A2D50" w:rsidRPr="005A2D50" w:rsidRDefault="005A2D50" w:rsidP="005A2D50">
      <w:pPr>
        <w:jc w:val="both"/>
        <w:rPr>
          <w:rFonts w:ascii="Times New Roman" w:hAnsi="Times New Roman" w:cs="Times New Roman"/>
          <w:noProof/>
          <w:sz w:val="20"/>
          <w:szCs w:val="20"/>
          <w:lang w:val="en-US"/>
        </w:rPr>
      </w:pPr>
      <w:r w:rsidRPr="005A2D50">
        <w:rPr>
          <w:rFonts w:ascii="Times New Roman" w:hAnsi="Times New Roman"/>
          <w:noProof/>
          <w:sz w:val="20"/>
          <w:lang w:val="en-US"/>
        </w:rPr>
        <w:t>Muitas dienesti var piešķirt atļauju ar atpakaļejošu spēku arī tad, ja preces, uz kurām attiecās muitas procedūra, vairs nav pieejamas laikā, kad tika pieņemts šādas atļaujas pieteikums.</w:t>
      </w:r>
    </w:p>
    <w:p w14:paraId="11108428" w14:textId="77777777" w:rsidR="005A2D50" w:rsidRPr="005A2D50" w:rsidRDefault="005A2D50" w:rsidP="005A2D50">
      <w:pPr>
        <w:jc w:val="both"/>
        <w:rPr>
          <w:rFonts w:ascii="Times New Roman" w:hAnsi="Times New Roman" w:cs="Times New Roman"/>
          <w:noProof/>
          <w:sz w:val="20"/>
          <w:szCs w:val="20"/>
          <w:lang w:val="en-US"/>
        </w:rPr>
      </w:pPr>
      <w:r w:rsidRPr="005A2D50">
        <w:rPr>
          <w:rFonts w:ascii="Times New Roman" w:hAnsi="Times New Roman"/>
          <w:noProof/>
          <w:sz w:val="20"/>
          <w:lang w:val="en-US"/>
        </w:rPr>
        <w:t>3. Ja nav paredzēts citādi, 1. punktā minēto atļauju piešķir tikai personām, kas atbilst visiem turpmāk norādītajiem nosacījumiem:</w:t>
      </w:r>
    </w:p>
    <w:p w14:paraId="41AABC1C" w14:textId="77777777" w:rsidR="005A2D50" w:rsidRPr="005A2D50" w:rsidRDefault="005A2D50" w:rsidP="005A2D50">
      <w:pPr>
        <w:jc w:val="both"/>
        <w:rPr>
          <w:rFonts w:ascii="Times New Roman" w:hAnsi="Times New Roman" w:cs="Times New Roman"/>
          <w:noProof/>
          <w:sz w:val="20"/>
          <w:szCs w:val="20"/>
          <w:lang w:val="en-US"/>
        </w:rPr>
      </w:pPr>
      <w:r w:rsidRPr="005A2D50">
        <w:rPr>
          <w:rFonts w:ascii="Times New Roman" w:hAnsi="Times New Roman"/>
          <w:noProof/>
          <w:sz w:val="20"/>
          <w:lang w:val="en-US"/>
        </w:rPr>
        <w:t>c) ja var rasties muitas parāds vai citi maksājumi par precēm, kurām piemēro īpašu procedūru, tās sniedz galvojumu saskaņā ar 89. pantu;</w:t>
      </w:r>
    </w:p>
  </w:footnote>
  <w:footnote w:id="8">
    <w:p w14:paraId="4DFF663F"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SMK 79. pants Muitas parāds, kas radies pienākumu neizpildes dēļ (..)</w:t>
      </w:r>
    </w:p>
    <w:p w14:paraId="5A026430" w14:textId="77777777" w:rsidR="005A2D50" w:rsidRPr="005A2D50" w:rsidRDefault="005A2D50" w:rsidP="005A2D50">
      <w:pPr>
        <w:jc w:val="both"/>
        <w:rPr>
          <w:rFonts w:ascii="Times New Roman" w:hAnsi="Times New Roman" w:cs="Times New Roman"/>
          <w:noProof/>
          <w:sz w:val="20"/>
          <w:szCs w:val="20"/>
          <w:lang w:val="en-US"/>
        </w:rPr>
      </w:pPr>
      <w:r w:rsidRPr="005A2D50">
        <w:rPr>
          <w:rFonts w:ascii="Times New Roman" w:hAnsi="Times New Roman"/>
          <w:noProof/>
          <w:sz w:val="20"/>
          <w:lang w:val="en-US"/>
        </w:rPr>
        <w:t>3. Panta 1. punkta a) un b) apakšpunktā minētajos gadījumos parādnieks ir:</w:t>
      </w:r>
    </w:p>
    <w:p w14:paraId="28CA7575" w14:textId="77777777" w:rsidR="005A2D50" w:rsidRPr="005A2D50" w:rsidRDefault="005A2D50" w:rsidP="005A2D50">
      <w:pPr>
        <w:tabs>
          <w:tab w:val="left" w:pos="385"/>
        </w:tabs>
        <w:jc w:val="both"/>
        <w:rPr>
          <w:rFonts w:ascii="Times New Roman" w:hAnsi="Times New Roman" w:cs="Times New Roman"/>
          <w:noProof/>
          <w:sz w:val="20"/>
          <w:szCs w:val="20"/>
          <w:lang w:val="en-US"/>
        </w:rPr>
      </w:pPr>
      <w:r w:rsidRPr="005A2D50">
        <w:rPr>
          <w:rFonts w:ascii="Times New Roman" w:hAnsi="Times New Roman"/>
          <w:noProof/>
          <w:sz w:val="20"/>
          <w:lang w:val="en-US"/>
        </w:rPr>
        <w:t>a) ikviena persona, kam bija jāpilda attiecīgie pienākumi;</w:t>
      </w:r>
    </w:p>
    <w:p w14:paraId="7A08D22E" w14:textId="77777777" w:rsidR="005A2D50" w:rsidRPr="005A2D50" w:rsidRDefault="005A2D50" w:rsidP="005A2D50">
      <w:pPr>
        <w:tabs>
          <w:tab w:val="left" w:pos="394"/>
        </w:tabs>
        <w:jc w:val="both"/>
        <w:rPr>
          <w:rFonts w:ascii="Times New Roman" w:hAnsi="Times New Roman" w:cs="Times New Roman"/>
          <w:noProof/>
          <w:sz w:val="20"/>
          <w:szCs w:val="20"/>
          <w:lang w:val="en-US"/>
        </w:rPr>
      </w:pPr>
      <w:r w:rsidRPr="005A2D50">
        <w:rPr>
          <w:rFonts w:ascii="Times New Roman" w:hAnsi="Times New Roman"/>
          <w:noProof/>
          <w:sz w:val="20"/>
          <w:lang w:val="en-US"/>
        </w:rPr>
        <w:t>b) ikviena persona, kas apzinājās vai kam būtu bijis jāapzinās, ka kāds tiesību aktos muitas jomā paredzēts pienākums nav izpildīts, un kas darbojās tādas personas uzdevumā, kurai šis pienākums bija jāpilda, vai kas piedalījās darbībā, kuras rezultātā pienākums netika izpildīts;</w:t>
      </w:r>
    </w:p>
    <w:p w14:paraId="3F743642" w14:textId="77777777" w:rsidR="005A2D50" w:rsidRPr="005A2D50" w:rsidRDefault="005A2D50" w:rsidP="005A2D50">
      <w:pPr>
        <w:tabs>
          <w:tab w:val="left" w:pos="344"/>
        </w:tabs>
        <w:jc w:val="both"/>
        <w:rPr>
          <w:rFonts w:ascii="Times New Roman" w:hAnsi="Times New Roman" w:cs="Times New Roman"/>
          <w:noProof/>
          <w:sz w:val="20"/>
          <w:szCs w:val="20"/>
          <w:lang w:val="en-US"/>
        </w:rPr>
      </w:pPr>
      <w:r w:rsidRPr="005A2D50">
        <w:rPr>
          <w:rFonts w:ascii="Times New Roman" w:hAnsi="Times New Roman"/>
          <w:noProof/>
          <w:sz w:val="20"/>
          <w:lang w:val="en-US"/>
        </w:rPr>
        <w:t>c) ikviena persona, kas ieguvusi attiecīgās preces vai bijusi to turētāja un kas apzinājās vai kam preču iegūšanas vai saņemšanas brīdī būtu bijis jāapzinās, ka kāds tiesību aktos muitas jomā paredzēts pienākums nav izpildīts.</w:t>
      </w:r>
    </w:p>
    <w:p w14:paraId="68524C14" w14:textId="77777777" w:rsidR="005A2D50" w:rsidRPr="005A2D50" w:rsidRDefault="005A2D50" w:rsidP="005A2D50">
      <w:pPr>
        <w:pStyle w:val="FootnoteText"/>
        <w:rPr>
          <w:noProof/>
          <w:lang w:val="en-US"/>
        </w:rPr>
      </w:pPr>
    </w:p>
  </w:footnote>
  <w:footnote w:id="9">
    <w:p w14:paraId="383D8DC2"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u w:val="single" w:color="000000"/>
          <w:lang w:val="en-US"/>
        </w:rPr>
        <w:t>https://ec.europa.eu/taxation_customs/sites/taxation/files/docs/body/guidance_special_procedures_en.pdf.</w:t>
      </w:r>
    </w:p>
  </w:footnote>
  <w:footnote w:id="10">
    <w:p w14:paraId="2C7413EF" w14:textId="77777777" w:rsidR="005A2D50" w:rsidRPr="005A2D50" w:rsidRDefault="005A2D50" w:rsidP="005A2D50">
      <w:pPr>
        <w:jc w:val="both"/>
        <w:rPr>
          <w:rFonts w:ascii="Times New Roman" w:hAnsi="Times New Roman" w:cs="Times New Roman"/>
          <w:noProof/>
          <w:sz w:val="20"/>
          <w:szCs w:val="20"/>
          <w:lang w:val="en-US"/>
        </w:rPr>
      </w:pPr>
      <w:r w:rsidRPr="005A2D50">
        <w:rPr>
          <w:rStyle w:val="FootnoteReference"/>
          <w:rFonts w:ascii="Times New Roman" w:hAnsi="Times New Roman" w:cs="Times New Roman"/>
          <w:noProof/>
          <w:sz w:val="20"/>
          <w:szCs w:val="20"/>
          <w:lang w:val="en-US"/>
        </w:rPr>
        <w:footnoteRef/>
      </w:r>
      <w:r w:rsidRPr="005A2D50">
        <w:rPr>
          <w:rFonts w:ascii="Times New Roman" w:hAnsi="Times New Roman"/>
          <w:noProof/>
          <w:sz w:val="20"/>
          <w:lang w:val="en-US"/>
        </w:rPr>
        <w:t xml:space="preserve"> https://ec.europa.eu/taxation_customs/sites/taxation/files/resources/documents/customs/policy_issues/customs_security/aeo_guidelines_en.pdf.</w:t>
      </w:r>
    </w:p>
  </w:footnote>
  <w:footnote w:id="11">
    <w:p w14:paraId="7C2D8419"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rFonts w:ascii="Times New Roman" w:hAnsi="Times New Roman" w:cs="Times New Roman"/>
          <w:noProof/>
          <w:lang w:val="en-US"/>
        </w:rPr>
        <w:footnoteRef/>
      </w:r>
      <w:r w:rsidRPr="005A2D50">
        <w:rPr>
          <w:rFonts w:ascii="Times New Roman" w:hAnsi="Times New Roman"/>
          <w:noProof/>
          <w:lang w:val="en-US"/>
        </w:rPr>
        <w:t xml:space="preserve"> </w:t>
      </w:r>
      <w:r w:rsidRPr="005A2D50">
        <w:rPr>
          <w:rFonts w:ascii="Times New Roman" w:hAnsi="Times New Roman"/>
          <w:noProof/>
          <w:sz w:val="20"/>
          <w:lang w:val="en-US"/>
        </w:rPr>
        <w:t>SMK 22. panta 2. punkts, SMK ĪA 12. pants un SMK DA 11. pants.</w:t>
      </w:r>
    </w:p>
  </w:footnote>
  <w:footnote w:id="12">
    <w:p w14:paraId="7931AFD6"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rFonts w:ascii="Times New Roman" w:hAnsi="Times New Roman" w:cs="Times New Roman"/>
          <w:noProof/>
          <w:lang w:val="en-US"/>
        </w:rPr>
        <w:footnoteRef/>
      </w:r>
      <w:r w:rsidRPr="005A2D50">
        <w:rPr>
          <w:rFonts w:ascii="Times New Roman" w:hAnsi="Times New Roman"/>
          <w:noProof/>
          <w:lang w:val="en-US"/>
        </w:rPr>
        <w:t xml:space="preserve"> </w:t>
      </w:r>
      <w:r w:rsidRPr="005A2D50">
        <w:rPr>
          <w:rFonts w:ascii="Times New Roman" w:hAnsi="Times New Roman"/>
          <w:noProof/>
          <w:sz w:val="20"/>
          <w:lang w:val="en-US"/>
        </w:rPr>
        <w:t>https://ec.europa.eu/taxation_customs/sites/taxation/files/resources/documents/customs/customs_code/guidance_general_cust_dec_en.pdf</w:t>
      </w:r>
      <w:r w:rsidRPr="005A2D50">
        <w:rPr>
          <w:rFonts w:ascii="Times New Roman" w:hAnsi="Times New Roman"/>
          <w:noProof/>
          <w:lang w:val="en-US"/>
        </w:rPr>
        <w:t>.</w:t>
      </w:r>
    </w:p>
  </w:footnote>
  <w:footnote w:id="13">
    <w:p w14:paraId="02338F38"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Muitas iestāde, kur tiek sniegts galvojums.</w:t>
      </w:r>
    </w:p>
  </w:footnote>
  <w:footnote w:id="14">
    <w:p w14:paraId="0F0A0F2B"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Dažos piemēros atsauces summa citiem maksājumiem tiek aprēķināta, bet dažos netiek.</w:t>
      </w:r>
    </w:p>
  </w:footnote>
  <w:footnote w:id="15">
    <w:p w14:paraId="0FF4A477"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Maksimālā nodokļa likme, ja nav zināma klasifikācija.</w:t>
      </w:r>
    </w:p>
  </w:footnote>
  <w:footnote w:id="16">
    <w:p w14:paraId="37562A6B"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i/>
          <w:iCs/>
          <w:noProof/>
          <w:sz w:val="20"/>
          <w:lang w:val="en-US"/>
        </w:rPr>
        <w:t>COG</w:t>
      </w:r>
      <w:r w:rsidRPr="005A2D50">
        <w:rPr>
          <w:noProof/>
          <w:lang w:val="en-US"/>
        </w:rPr>
        <w:t xml:space="preserve"> </w:t>
      </w:r>
      <w:r w:rsidRPr="005A2D50">
        <w:rPr>
          <w:rFonts w:ascii="Times New Roman" w:hAnsi="Times New Roman"/>
          <w:noProof/>
          <w:sz w:val="20"/>
          <w:lang w:val="en-US"/>
        </w:rPr>
        <w:t>dalībvalsts augstākā PVN likme.</w:t>
      </w:r>
    </w:p>
  </w:footnote>
  <w:footnote w:id="17">
    <w:p w14:paraId="7FA625C1"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Šajā gadījumā atsauces summa netiek aprēķināta, pamatojoties uz atļaujas derīguma termiņu vai uz noslēgšanas laikposmu.</w:t>
      </w:r>
    </w:p>
  </w:footnote>
  <w:footnote w:id="18">
    <w:p w14:paraId="240369FB" w14:textId="77777777" w:rsidR="005A2D50" w:rsidRPr="005A2D50" w:rsidRDefault="005A2D50" w:rsidP="005A2D50">
      <w:pPr>
        <w:jc w:val="both"/>
        <w:rPr>
          <w:rFonts w:ascii="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Nr. TAXUD/B2/047/2011 Rev.6</w:t>
      </w:r>
    </w:p>
  </w:footnote>
  <w:footnote w:id="19">
    <w:p w14:paraId="3205883E" w14:textId="77777777" w:rsidR="005A2D50" w:rsidRPr="005A2D50" w:rsidRDefault="005A2D50" w:rsidP="005A2D50">
      <w:pPr>
        <w:tabs>
          <w:tab w:val="left" w:pos="306"/>
        </w:tabs>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 xml:space="preserve">Šos elementus ņem vērā, arī novērtējot finansiālās maksātspējas kritēriju (SMK 39. panta c) punkts) attiecībā uz pieteikumiem, kas iesniegti </w:t>
      </w:r>
      <w:r w:rsidRPr="005A2D50">
        <w:rPr>
          <w:rFonts w:ascii="Times New Roman" w:hAnsi="Times New Roman"/>
          <w:i/>
          <w:iCs/>
          <w:noProof/>
          <w:sz w:val="20"/>
          <w:lang w:val="en-US"/>
        </w:rPr>
        <w:t>AEO</w:t>
      </w:r>
      <w:r w:rsidRPr="005A2D50">
        <w:rPr>
          <w:rFonts w:ascii="Times New Roman" w:hAnsi="Times New Roman"/>
          <w:noProof/>
          <w:sz w:val="20"/>
          <w:lang w:val="en-US"/>
        </w:rPr>
        <w:t xml:space="preserve"> statusa saņemšanai. Plašāka informācija sniegta Vadlīnijās </w:t>
      </w:r>
      <w:r w:rsidRPr="005A2D50">
        <w:rPr>
          <w:rFonts w:ascii="Times New Roman" w:hAnsi="Times New Roman"/>
          <w:i/>
          <w:iCs/>
          <w:noProof/>
          <w:sz w:val="20"/>
          <w:lang w:val="en-US"/>
        </w:rPr>
        <w:t>AEO</w:t>
      </w:r>
      <w:r w:rsidRPr="005A2D50">
        <w:rPr>
          <w:rFonts w:ascii="Times New Roman" w:hAnsi="Times New Roman"/>
          <w:noProof/>
          <w:sz w:val="20"/>
          <w:lang w:val="en-US"/>
        </w:rPr>
        <w:t xml:space="preserve"> – finansiālās maksātspējas kritērija novērtējums/III iedaļa. Pierādīta maksātspēja: https://ec.europa.eu/taxation_customs/sites/taxation/files/resources/documents/customs/policy_issues/customs_security/aeo_guidelines_en.pdf.</w:t>
      </w:r>
    </w:p>
  </w:footnote>
  <w:footnote w:id="20">
    <w:p w14:paraId="194885FF" w14:textId="77777777" w:rsidR="005A2D50" w:rsidRPr="005A2D50" w:rsidRDefault="005A2D50" w:rsidP="005A2D50">
      <w:pPr>
        <w:tabs>
          <w:tab w:val="left" w:pos="286"/>
        </w:tabs>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 xml:space="preserve">Plašāka informācija sniegta Vadlīnijās </w:t>
      </w:r>
      <w:r w:rsidRPr="005A2D50">
        <w:rPr>
          <w:rFonts w:ascii="Times New Roman" w:hAnsi="Times New Roman"/>
          <w:i/>
          <w:iCs/>
          <w:noProof/>
          <w:sz w:val="20"/>
          <w:lang w:val="en-US"/>
        </w:rPr>
        <w:t>AEO</w:t>
      </w:r>
      <w:r w:rsidRPr="005A2D50">
        <w:rPr>
          <w:rFonts w:ascii="Times New Roman" w:hAnsi="Times New Roman"/>
          <w:noProof/>
          <w:sz w:val="20"/>
          <w:lang w:val="en-US"/>
        </w:rPr>
        <w:t xml:space="preserve"> – finansiālās maksātspējas kritērija novērtējums/III iedaļa. Pierādīta maksātspēja: https://ec.europa.eu/taxation_customs/sites/taxation/files/resources/documents/customs/policy_issues/customs_security/aeo_guidelines_en.pdf.</w:t>
      </w:r>
    </w:p>
  </w:footnote>
  <w:footnote w:id="21">
    <w:p w14:paraId="0E494874" w14:textId="77777777" w:rsidR="005A2D50" w:rsidRPr="005A2D50" w:rsidRDefault="005A2D50" w:rsidP="005A2D50">
      <w:pPr>
        <w:pStyle w:val="FootnoteText"/>
        <w:rPr>
          <w:rFonts w:ascii="Times New Roman" w:hAnsi="Times New Roman" w:cs="Times New Roman"/>
          <w:noProof/>
          <w:lang w:val="en-US"/>
        </w:rPr>
      </w:pPr>
      <w:r w:rsidRPr="005A2D50">
        <w:rPr>
          <w:rStyle w:val="FootnoteReference"/>
          <w:rFonts w:ascii="Times New Roman" w:hAnsi="Times New Roman" w:cs="Times New Roman"/>
          <w:noProof/>
          <w:lang w:val="en-US"/>
        </w:rPr>
        <w:footnoteRef/>
      </w:r>
      <w:r w:rsidRPr="005A2D50">
        <w:rPr>
          <w:rFonts w:ascii="Times New Roman" w:hAnsi="Times New Roman"/>
          <w:noProof/>
          <w:lang w:val="en-US"/>
        </w:rPr>
        <w:t xml:space="preserve"> https://ec.europa.eu/taxation_customs/sites/taxation/files/resources/documents/customs/policy_issues/customs_security/aeo_guidelines_en.pdf.</w:t>
      </w:r>
    </w:p>
  </w:footnote>
  <w:footnote w:id="22">
    <w:p w14:paraId="2C6D4230"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rFonts w:ascii="Times New Roman" w:hAnsi="Times New Roman" w:cs="Times New Roman"/>
          <w:noProof/>
          <w:sz w:val="20"/>
          <w:szCs w:val="20"/>
          <w:lang w:val="en-US"/>
        </w:rPr>
        <w:footnoteRef/>
      </w:r>
      <w:r w:rsidRPr="005A2D50">
        <w:rPr>
          <w:rFonts w:ascii="Times New Roman" w:hAnsi="Times New Roman"/>
          <w:noProof/>
          <w:sz w:val="20"/>
          <w:lang w:val="en-US"/>
        </w:rPr>
        <w:t xml:space="preserve"> Piemēram, ja attiecībā uz tvertņu termināli muita nevar ņemt vērā zemo muitas parāda rašanās iespējamību, galvojums varētu būt jāparedz par pilnu atsauces summu. Šāda veida uzņēmumiem būtu neiespējami saņemt galvojumu simtiem miljonu </w:t>
      </w:r>
      <w:r w:rsidRPr="005A2D50">
        <w:rPr>
          <w:rFonts w:ascii="Times New Roman" w:hAnsi="Times New Roman"/>
          <w:i/>
          <w:iCs/>
          <w:noProof/>
          <w:sz w:val="20"/>
          <w:lang w:val="en-US"/>
        </w:rPr>
        <w:t>euro</w:t>
      </w:r>
      <w:r w:rsidRPr="005A2D50">
        <w:rPr>
          <w:rFonts w:ascii="Times New Roman" w:hAnsi="Times New Roman"/>
          <w:noProof/>
          <w:sz w:val="20"/>
          <w:lang w:val="en-US"/>
        </w:rPr>
        <w:t xml:space="preserve"> apmērā. Pat ja uzņēmumam izdotos saņemt galvojumu par šādu augstu summu, tas ietekmētu tā darījumdarbību, jo uzņēmējs, visticamāk, nevarētu vairs aizņemties, lai veiktu, piemēram, ieguldījumus. Tomēr </w:t>
      </w:r>
      <w:r w:rsidRPr="005A2D50">
        <w:rPr>
          <w:rFonts w:ascii="Times New Roman" w:hAnsi="Times New Roman"/>
          <w:i/>
          <w:iCs/>
          <w:noProof/>
          <w:sz w:val="20"/>
          <w:lang w:val="en-US"/>
        </w:rPr>
        <w:t>CA</w:t>
      </w:r>
      <w:r w:rsidRPr="005A2D50">
        <w:rPr>
          <w:rFonts w:ascii="Times New Roman" w:hAnsi="Times New Roman"/>
          <w:noProof/>
          <w:sz w:val="20"/>
          <w:lang w:val="en-US"/>
        </w:rPr>
        <w:t xml:space="preserve"> var ņemt vērā muitas parāda rašanās risku un lemt par samazinājuma apmēra piešķiršanu, ja tam ir pamatojums.</w:t>
      </w:r>
    </w:p>
  </w:footnote>
  <w:footnote w:id="23">
    <w:p w14:paraId="7691002E"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rFonts w:ascii="Times New Roman" w:hAnsi="Times New Roman" w:cs="Times New Roman"/>
          <w:noProof/>
          <w:sz w:val="20"/>
          <w:szCs w:val="20"/>
          <w:lang w:val="en-US"/>
        </w:rPr>
        <w:footnoteRef/>
      </w:r>
      <w:r w:rsidRPr="005A2D50">
        <w:rPr>
          <w:rFonts w:ascii="Times New Roman" w:hAnsi="Times New Roman"/>
          <w:noProof/>
          <w:sz w:val="20"/>
          <w:lang w:val="en-US"/>
        </w:rPr>
        <w:t xml:space="preserve"> Attiecībā uz riska elementiem tika veikta atsauce uz Vadlīnijām </w:t>
      </w:r>
      <w:r w:rsidRPr="005A2D50">
        <w:rPr>
          <w:rFonts w:ascii="Times New Roman" w:hAnsi="Times New Roman"/>
          <w:i/>
          <w:iCs/>
          <w:noProof/>
          <w:sz w:val="20"/>
          <w:lang w:val="en-US"/>
        </w:rPr>
        <w:t>AEO</w:t>
      </w:r>
      <w:r w:rsidRPr="005A2D50">
        <w:rPr>
          <w:rFonts w:ascii="Times New Roman" w:hAnsi="Times New Roman"/>
          <w:noProof/>
          <w:sz w:val="20"/>
          <w:lang w:val="en-US"/>
        </w:rPr>
        <w:t xml:space="preserve"> (varbūtība un ietekme).</w:t>
      </w:r>
    </w:p>
  </w:footnote>
  <w:footnote w:id="24">
    <w:p w14:paraId="33C0CF43" w14:textId="77777777" w:rsidR="005A2D50" w:rsidRPr="005A2D50" w:rsidRDefault="005A2D50" w:rsidP="005A2D50">
      <w:pPr>
        <w:tabs>
          <w:tab w:val="left" w:pos="306"/>
        </w:tabs>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Piemēram, apgrozāmais kapitāls, viegli konvertējami aktīvi, neto aktīvi un citi noderīgi rādītāji (vienmēr jāiesniedz jaunākā bilance / citi dokumenti).</w:t>
      </w:r>
    </w:p>
  </w:footnote>
  <w:footnote w:id="25">
    <w:p w14:paraId="06DBFC35"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Saraksts nav izsmeļošs.</w:t>
      </w:r>
    </w:p>
  </w:footnote>
  <w:footnote w:id="26">
    <w:p w14:paraId="40673FF1"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Tas ir nepieciešams, lai pareizi novērtētu nosacījumus, kas jāizpilda attiecībā uz vispārējo galvojumu ar iespējamu samazinājumu/atbrīvojumu (SMK DA 84. pants).</w:t>
      </w:r>
    </w:p>
  </w:footnote>
  <w:footnote w:id="27">
    <w:p w14:paraId="540CCD5A" w14:textId="77777777" w:rsidR="005A2D50" w:rsidRPr="005A2D50" w:rsidRDefault="005A2D50" w:rsidP="005A2D50">
      <w:pPr>
        <w:tabs>
          <w:tab w:val="left" w:pos="306"/>
        </w:tabs>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Norāde uz galvojuma tipa kodu “0”.</w:t>
      </w:r>
    </w:p>
  </w:footnote>
  <w:footnote w:id="28">
    <w:p w14:paraId="0A2ED682" w14:textId="77777777" w:rsidR="005A2D50" w:rsidRPr="005A2D50" w:rsidRDefault="005A2D50" w:rsidP="005A2D50">
      <w:pPr>
        <w:tabs>
          <w:tab w:val="left" w:pos="306"/>
        </w:tabs>
        <w:jc w:val="both"/>
        <w:rPr>
          <w:rFonts w:ascii="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Attiecībā uz atbrīvojumu no galvojuma, ja nodrošināmā ievedmuitas vai izvedmuitas nodokļa summa nepārsniedz statistikas vērtības slieksni deklarācijām, kas noteikts saskaņā ar Eiropas Parlamenta un Padomes Regulas (EK) Nr. 471/2009 (*) 3. panta 4. punktu (Kodeksa 89. panta 9. punkts).</w:t>
      </w:r>
    </w:p>
  </w:footnote>
  <w:footnote w:id="29">
    <w:p w14:paraId="41E7E06A" w14:textId="77777777" w:rsidR="005A2D50" w:rsidRPr="005A2D50" w:rsidRDefault="005A2D50" w:rsidP="005A2D50">
      <w:pPr>
        <w:pStyle w:val="FootnoteText"/>
        <w:rPr>
          <w:rFonts w:ascii="Times New Roman" w:hAnsi="Times New Roman" w:cs="Times New Roman"/>
          <w:noProof/>
          <w:lang w:val="en-US"/>
        </w:rPr>
      </w:pPr>
      <w:r w:rsidRPr="005A2D50">
        <w:rPr>
          <w:rStyle w:val="FootnoteReference"/>
          <w:rFonts w:ascii="Times New Roman" w:hAnsi="Times New Roman" w:cs="Times New Roman"/>
          <w:noProof/>
          <w:lang w:val="en-US"/>
        </w:rPr>
        <w:footnoteRef/>
      </w:r>
      <w:r w:rsidRPr="005A2D50">
        <w:rPr>
          <w:rFonts w:ascii="Times New Roman" w:hAnsi="Times New Roman"/>
          <w:noProof/>
          <w:lang w:val="en-US"/>
        </w:rPr>
        <w:t xml:space="preserve"> https://ec.europa.eu/taxation_customs/sites/taxation/files/ms_contact_points_article_3_tda_update_27_03_18_en.pdf.</w:t>
      </w:r>
    </w:p>
  </w:footnote>
  <w:footnote w:id="30">
    <w:p w14:paraId="77991C45" w14:textId="77777777" w:rsidR="005A2D50" w:rsidRPr="005A2D50" w:rsidRDefault="005A2D50" w:rsidP="005A2D50">
      <w:pPr>
        <w:tabs>
          <w:tab w:val="left" w:pos="306"/>
        </w:tabs>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 xml:space="preserve">Plašāku informāciju skatīt dokumentā “Guidance document on Customs Decision Management” [Norādījumi par muitas lēmumu pārvaldību] – ne vairāk kā 45 dienas attiecībā uz </w:t>
      </w:r>
      <w:r w:rsidRPr="005A2D50">
        <w:rPr>
          <w:rFonts w:ascii="Times New Roman" w:hAnsi="Times New Roman"/>
          <w:i/>
          <w:iCs/>
          <w:noProof/>
          <w:sz w:val="20"/>
          <w:lang w:val="en-US"/>
        </w:rPr>
        <w:t>CGU</w:t>
      </w:r>
      <w:r w:rsidRPr="005A2D50">
        <w:rPr>
          <w:rFonts w:ascii="Times New Roman" w:hAnsi="Times New Roman"/>
          <w:noProof/>
          <w:sz w:val="20"/>
          <w:lang w:val="en-US"/>
        </w:rPr>
        <w:t xml:space="preserve"> atļauju.</w:t>
      </w:r>
    </w:p>
  </w:footnote>
  <w:footnote w:id="31">
    <w:p w14:paraId="47DE7422" w14:textId="77777777" w:rsidR="005A2D50" w:rsidRPr="005A2D50" w:rsidRDefault="005A2D50" w:rsidP="005A2D50">
      <w:pPr>
        <w:jc w:val="both"/>
        <w:rPr>
          <w:rFonts w:ascii="Times New Roman" w:eastAsia="Times New Roman"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Attiecībā uz citiem datu elementiem, kas ir prasīti pieteikumā/atļaujā sniegt vispārējo galvojumu, skatīt DA A pielikuma 1. sadaļas 1. nodaļu.</w:t>
      </w:r>
    </w:p>
  </w:footnote>
  <w:footnote w:id="32">
    <w:p w14:paraId="3C1A19F0" w14:textId="77777777" w:rsidR="005A2D50" w:rsidRPr="005A2D50" w:rsidRDefault="005A2D50" w:rsidP="005A2D50">
      <w:pPr>
        <w:jc w:val="both"/>
        <w:rPr>
          <w:rFonts w:ascii="Times New Roman" w:eastAsia="Arial" w:hAnsi="Times New Roman" w:cs="Times New Roman"/>
          <w:noProof/>
          <w:sz w:val="20"/>
          <w:szCs w:val="20"/>
          <w:lang w:val="en-US"/>
        </w:rPr>
      </w:pPr>
      <w:r w:rsidRPr="005A2D50">
        <w:rPr>
          <w:rStyle w:val="FootnoteReference"/>
          <w:noProof/>
          <w:lang w:val="en-US"/>
        </w:rPr>
        <w:footnoteRef/>
      </w:r>
      <w:r w:rsidRPr="005A2D50">
        <w:rPr>
          <w:noProof/>
          <w:lang w:val="en-US"/>
        </w:rPr>
        <w:t xml:space="preserve"> </w:t>
      </w:r>
      <w:r w:rsidRPr="005A2D50">
        <w:rPr>
          <w:rFonts w:ascii="Times New Roman" w:hAnsi="Times New Roman"/>
          <w:noProof/>
          <w:sz w:val="20"/>
          <w:lang w:val="en-US"/>
        </w:rPr>
        <w:t>Iekasējamo muitas parādu summas tiek noteiktas atbilstoši preču daudzuma precīzai procentuālajai daļai, pārsniedzot piešķirtās kvotas (saistībā ar pieprasījumiem, ko saņēmusi Komisija (SMK ĪA 51. pants))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4BF81" w14:textId="77777777" w:rsidR="005A2D50" w:rsidRDefault="005A2D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2B9D55" w14:textId="77777777" w:rsidR="005E3C98" w:rsidRPr="005A2D50" w:rsidRDefault="005E3C98" w:rsidP="005E3C98">
    <w:pPr>
      <w:pStyle w:val="Header"/>
      <w:rPr>
        <w:rStyle w:val="PageNumber"/>
        <w:rFonts w:ascii="Times New Roman" w:hAnsi="Times New Roman" w:cs="Times New Roman"/>
        <w:noProof/>
        <w:sz w:val="20"/>
        <w:szCs w:val="20"/>
        <w:lang w:val="en-US"/>
      </w:rPr>
    </w:pPr>
    <w:bookmarkStart w:id="242" w:name="_Hlk496261784"/>
    <w:bookmarkStart w:id="243" w:name="_Hlk496261785"/>
    <w:bookmarkStart w:id="244" w:name="_Hlk496261786"/>
    <w:bookmarkStart w:id="245" w:name="_Hlk502757728"/>
    <w:bookmarkStart w:id="246" w:name="_Hlk502757729"/>
    <w:bookmarkStart w:id="247" w:name="_Hlk502757738"/>
    <w:bookmarkStart w:id="248" w:name="_Hlk502757739"/>
    <w:bookmarkStart w:id="249" w:name="_Hlk30491084"/>
    <w:bookmarkStart w:id="250" w:name="_Hlk30491085"/>
  </w:p>
  <w:p w14:paraId="623F9C6B" w14:textId="77777777" w:rsidR="005E3C98" w:rsidRPr="005A2D50" w:rsidRDefault="005E3C98" w:rsidP="005E3C98">
    <w:pPr>
      <w:pStyle w:val="Header"/>
      <w:tabs>
        <w:tab w:val="clear" w:pos="4513"/>
        <w:tab w:val="clear" w:pos="9026"/>
        <w:tab w:val="right" w:leader="underscore" w:pos="9072"/>
      </w:tabs>
      <w:rPr>
        <w:rFonts w:ascii="Times New Roman" w:hAnsi="Times New Roman" w:cs="Times New Roman"/>
        <w:noProof/>
        <w:sz w:val="20"/>
        <w:szCs w:val="20"/>
        <w:lang w:val="en-US"/>
      </w:rPr>
    </w:pPr>
    <w:r w:rsidRPr="005A2D50">
      <w:rPr>
        <w:rFonts w:ascii="Times New Roman" w:hAnsi="Times New Roman" w:cs="Times New Roman"/>
        <w:noProof/>
        <w:sz w:val="20"/>
        <w:szCs w:val="20"/>
        <w:lang w:val="en-US"/>
      </w:rPr>
      <w:tab/>
    </w:r>
  </w:p>
  <w:bookmarkEnd w:id="242"/>
  <w:bookmarkEnd w:id="243"/>
  <w:bookmarkEnd w:id="244"/>
  <w:bookmarkEnd w:id="245"/>
  <w:bookmarkEnd w:id="246"/>
  <w:bookmarkEnd w:id="247"/>
  <w:bookmarkEnd w:id="248"/>
  <w:bookmarkEnd w:id="249"/>
  <w:bookmarkEnd w:id="250"/>
  <w:p w14:paraId="4A29F97B" w14:textId="77777777" w:rsidR="002830A9" w:rsidRPr="005A2D50" w:rsidRDefault="002830A9">
    <w:pPr>
      <w:pStyle w:val="Header"/>
      <w:rPr>
        <w:noProof/>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336134" w14:textId="77777777" w:rsidR="002830A9" w:rsidRPr="005A2D50" w:rsidRDefault="002830A9" w:rsidP="002830A9">
    <w:pPr>
      <w:pBdr>
        <w:bottom w:val="single" w:sz="12" w:space="5" w:color="auto"/>
      </w:pBdr>
      <w:rPr>
        <w:rFonts w:ascii="Times New Roman" w:hAnsi="Times New Roman" w:cs="Times New Roman"/>
        <w:noProof/>
        <w:sz w:val="20"/>
        <w:szCs w:val="20"/>
        <w:lang w:val="en-US"/>
      </w:rPr>
    </w:pPr>
    <w:bookmarkStart w:id="251" w:name="_Hlk496261745"/>
    <w:bookmarkStart w:id="252" w:name="_Hlk496261746"/>
    <w:bookmarkStart w:id="253" w:name="_Hlk496261747"/>
    <w:bookmarkStart w:id="254" w:name="_Hlk30491063"/>
    <w:bookmarkStart w:id="255" w:name="_Hlk30491064"/>
  </w:p>
  <w:bookmarkEnd w:id="251"/>
  <w:bookmarkEnd w:id="252"/>
  <w:bookmarkEnd w:id="253"/>
  <w:bookmarkEnd w:id="254"/>
  <w:bookmarkEnd w:id="255"/>
  <w:p w14:paraId="5B0E9DA2" w14:textId="77777777" w:rsidR="002830A9" w:rsidRPr="005A2D50" w:rsidRDefault="002830A9">
    <w:pPr>
      <w:pStyle w:val="Header"/>
      <w:rPr>
        <w:noProof/>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74EB"/>
    <w:multiLevelType w:val="hybridMultilevel"/>
    <w:tmpl w:val="661CB10E"/>
    <w:lvl w:ilvl="0" w:tplc="1D92DE8C">
      <w:start w:val="1"/>
      <w:numFmt w:val="decimal"/>
      <w:lvlText w:val="%1."/>
      <w:lvlJc w:val="left"/>
      <w:pPr>
        <w:ind w:left="825" w:hanging="360"/>
      </w:pPr>
      <w:rPr>
        <w:rFonts w:ascii="Times New Roman" w:eastAsia="Times New Roman" w:hAnsi="Times New Roman" w:hint="default"/>
        <w:sz w:val="24"/>
        <w:szCs w:val="24"/>
      </w:rPr>
    </w:lvl>
    <w:lvl w:ilvl="1" w:tplc="2D4E72D4">
      <w:start w:val="1"/>
      <w:numFmt w:val="decimal"/>
      <w:lvlText w:val="%2)"/>
      <w:lvlJc w:val="left"/>
      <w:pPr>
        <w:ind w:left="1185" w:hanging="360"/>
      </w:pPr>
      <w:rPr>
        <w:rFonts w:ascii="Times New Roman" w:eastAsia="Times New Roman" w:hAnsi="Times New Roman" w:hint="default"/>
        <w:i/>
        <w:sz w:val="24"/>
        <w:szCs w:val="24"/>
      </w:rPr>
    </w:lvl>
    <w:lvl w:ilvl="2" w:tplc="95903270">
      <w:start w:val="1"/>
      <w:numFmt w:val="bullet"/>
      <w:lvlText w:val="•"/>
      <w:lvlJc w:val="left"/>
      <w:pPr>
        <w:ind w:left="2134" w:hanging="360"/>
      </w:pPr>
      <w:rPr>
        <w:rFonts w:hint="default"/>
      </w:rPr>
    </w:lvl>
    <w:lvl w:ilvl="3" w:tplc="61CC564C">
      <w:start w:val="1"/>
      <w:numFmt w:val="bullet"/>
      <w:lvlText w:val="•"/>
      <w:lvlJc w:val="left"/>
      <w:pPr>
        <w:ind w:left="3083" w:hanging="360"/>
      </w:pPr>
      <w:rPr>
        <w:rFonts w:hint="default"/>
      </w:rPr>
    </w:lvl>
    <w:lvl w:ilvl="4" w:tplc="03E4C5AE">
      <w:start w:val="1"/>
      <w:numFmt w:val="bullet"/>
      <w:lvlText w:val="•"/>
      <w:lvlJc w:val="left"/>
      <w:pPr>
        <w:ind w:left="4032" w:hanging="360"/>
      </w:pPr>
      <w:rPr>
        <w:rFonts w:hint="default"/>
      </w:rPr>
    </w:lvl>
    <w:lvl w:ilvl="5" w:tplc="4C40C4F8">
      <w:start w:val="1"/>
      <w:numFmt w:val="bullet"/>
      <w:lvlText w:val="•"/>
      <w:lvlJc w:val="left"/>
      <w:pPr>
        <w:ind w:left="4981" w:hanging="360"/>
      </w:pPr>
      <w:rPr>
        <w:rFonts w:hint="default"/>
      </w:rPr>
    </w:lvl>
    <w:lvl w:ilvl="6" w:tplc="0F047A64">
      <w:start w:val="1"/>
      <w:numFmt w:val="bullet"/>
      <w:lvlText w:val="•"/>
      <w:lvlJc w:val="left"/>
      <w:pPr>
        <w:ind w:left="5930" w:hanging="360"/>
      </w:pPr>
      <w:rPr>
        <w:rFonts w:hint="default"/>
      </w:rPr>
    </w:lvl>
    <w:lvl w:ilvl="7" w:tplc="BCC43078">
      <w:start w:val="1"/>
      <w:numFmt w:val="bullet"/>
      <w:lvlText w:val="•"/>
      <w:lvlJc w:val="left"/>
      <w:pPr>
        <w:ind w:left="6879" w:hanging="360"/>
      </w:pPr>
      <w:rPr>
        <w:rFonts w:hint="default"/>
      </w:rPr>
    </w:lvl>
    <w:lvl w:ilvl="8" w:tplc="FC329BAA">
      <w:start w:val="1"/>
      <w:numFmt w:val="bullet"/>
      <w:lvlText w:val="•"/>
      <w:lvlJc w:val="left"/>
      <w:pPr>
        <w:ind w:left="7828" w:hanging="360"/>
      </w:pPr>
      <w:rPr>
        <w:rFonts w:hint="default"/>
      </w:rPr>
    </w:lvl>
  </w:abstractNum>
  <w:abstractNum w:abstractNumId="1" w15:restartNumberingAfterBreak="0">
    <w:nsid w:val="0405570A"/>
    <w:multiLevelType w:val="multilevel"/>
    <w:tmpl w:val="A880DC3E"/>
    <w:lvl w:ilvl="0">
      <w:start w:val="1"/>
      <w:numFmt w:val="upperRoman"/>
      <w:lvlText w:val="%1."/>
      <w:lvlJc w:val="left"/>
      <w:pPr>
        <w:ind w:left="287" w:hanging="183"/>
      </w:pPr>
      <w:rPr>
        <w:rFonts w:ascii="Times New Roman" w:eastAsia="Times New Roman" w:hAnsi="Times New Roman" w:hint="default"/>
        <w:spacing w:val="-4"/>
        <w:sz w:val="22"/>
        <w:szCs w:val="22"/>
      </w:rPr>
    </w:lvl>
    <w:lvl w:ilvl="1">
      <w:start w:val="1"/>
      <w:numFmt w:val="decimal"/>
      <w:lvlText w:val="%1.%2."/>
      <w:lvlJc w:val="left"/>
      <w:pPr>
        <w:ind w:left="450" w:hanging="346"/>
      </w:pPr>
      <w:rPr>
        <w:rFonts w:ascii="Times New Roman" w:eastAsia="Times New Roman" w:hAnsi="Times New Roman" w:hint="default"/>
        <w:spacing w:val="-4"/>
        <w:sz w:val="22"/>
        <w:szCs w:val="22"/>
      </w:rPr>
    </w:lvl>
    <w:lvl w:ilvl="2">
      <w:start w:val="1"/>
      <w:numFmt w:val="decimal"/>
      <w:lvlText w:val="%1.%2.%3."/>
      <w:lvlJc w:val="left"/>
      <w:pPr>
        <w:ind w:left="690" w:hanging="586"/>
        <w:jc w:val="right"/>
      </w:pPr>
      <w:rPr>
        <w:rFonts w:ascii="Times New Roman" w:eastAsia="Times New Roman" w:hAnsi="Times New Roman" w:hint="default"/>
        <w:spacing w:val="-2"/>
        <w:sz w:val="22"/>
        <w:szCs w:val="22"/>
      </w:rPr>
    </w:lvl>
    <w:lvl w:ilvl="3">
      <w:start w:val="1"/>
      <w:numFmt w:val="bullet"/>
      <w:lvlText w:val="•"/>
      <w:lvlJc w:val="left"/>
      <w:pPr>
        <w:ind w:left="525" w:hanging="586"/>
      </w:pPr>
      <w:rPr>
        <w:rFonts w:hint="default"/>
      </w:rPr>
    </w:lvl>
    <w:lvl w:ilvl="4">
      <w:start w:val="1"/>
      <w:numFmt w:val="bullet"/>
      <w:lvlText w:val="•"/>
      <w:lvlJc w:val="left"/>
      <w:pPr>
        <w:ind w:left="542" w:hanging="586"/>
      </w:pPr>
      <w:rPr>
        <w:rFonts w:hint="default"/>
      </w:rPr>
    </w:lvl>
    <w:lvl w:ilvl="5">
      <w:start w:val="1"/>
      <w:numFmt w:val="bullet"/>
      <w:lvlText w:val="•"/>
      <w:lvlJc w:val="left"/>
      <w:pPr>
        <w:ind w:left="599" w:hanging="586"/>
      </w:pPr>
      <w:rPr>
        <w:rFonts w:hint="default"/>
      </w:rPr>
    </w:lvl>
    <w:lvl w:ilvl="6">
      <w:start w:val="1"/>
      <w:numFmt w:val="bullet"/>
      <w:lvlText w:val="•"/>
      <w:lvlJc w:val="left"/>
      <w:pPr>
        <w:ind w:left="611" w:hanging="586"/>
      </w:pPr>
      <w:rPr>
        <w:rFonts w:hint="default"/>
      </w:rPr>
    </w:lvl>
    <w:lvl w:ilvl="7">
      <w:start w:val="1"/>
      <w:numFmt w:val="bullet"/>
      <w:lvlText w:val="•"/>
      <w:lvlJc w:val="left"/>
      <w:pPr>
        <w:ind w:left="690" w:hanging="586"/>
      </w:pPr>
      <w:rPr>
        <w:rFonts w:hint="default"/>
      </w:rPr>
    </w:lvl>
    <w:lvl w:ilvl="8">
      <w:start w:val="1"/>
      <w:numFmt w:val="bullet"/>
      <w:lvlText w:val="•"/>
      <w:lvlJc w:val="left"/>
      <w:pPr>
        <w:ind w:left="1048" w:hanging="586"/>
      </w:pPr>
      <w:rPr>
        <w:rFonts w:hint="default"/>
      </w:rPr>
    </w:lvl>
  </w:abstractNum>
  <w:abstractNum w:abstractNumId="2" w15:restartNumberingAfterBreak="0">
    <w:nsid w:val="043220A7"/>
    <w:multiLevelType w:val="multilevel"/>
    <w:tmpl w:val="D18A3ECC"/>
    <w:lvl w:ilvl="0">
      <w:start w:val="5"/>
      <w:numFmt w:val="upperRoman"/>
      <w:lvlText w:val="%1"/>
      <w:lvlJc w:val="left"/>
      <w:pPr>
        <w:ind w:left="105" w:hanging="833"/>
      </w:pPr>
      <w:rPr>
        <w:rFonts w:hint="default"/>
      </w:rPr>
    </w:lvl>
    <w:lvl w:ilvl="1">
      <w:start w:val="2"/>
      <w:numFmt w:val="decimal"/>
      <w:lvlText w:val="%1.%2"/>
      <w:lvlJc w:val="left"/>
      <w:pPr>
        <w:ind w:left="105" w:hanging="833"/>
      </w:pPr>
      <w:rPr>
        <w:rFonts w:hint="default"/>
      </w:rPr>
    </w:lvl>
    <w:lvl w:ilvl="2">
      <w:start w:val="1"/>
      <w:numFmt w:val="decimal"/>
      <w:lvlText w:val="%1.%2.%3"/>
      <w:lvlJc w:val="left"/>
      <w:pPr>
        <w:ind w:left="105" w:hanging="833"/>
      </w:pPr>
      <w:rPr>
        <w:rFonts w:hint="default"/>
      </w:rPr>
    </w:lvl>
    <w:lvl w:ilvl="3">
      <w:start w:val="1"/>
      <w:numFmt w:val="decimal"/>
      <w:lvlText w:val="%1.%2.%3.%4."/>
      <w:lvlJc w:val="left"/>
      <w:pPr>
        <w:ind w:left="105" w:hanging="833"/>
      </w:pPr>
      <w:rPr>
        <w:rFonts w:ascii="Times New Roman" w:eastAsia="Times New Roman" w:hAnsi="Times New Roman" w:hint="default"/>
        <w:b/>
        <w:bCs/>
        <w:sz w:val="24"/>
        <w:szCs w:val="24"/>
      </w:rPr>
    </w:lvl>
    <w:lvl w:ilvl="4">
      <w:start w:val="1"/>
      <w:numFmt w:val="bullet"/>
      <w:lvlText w:val="•"/>
      <w:lvlJc w:val="left"/>
      <w:pPr>
        <w:ind w:left="3953" w:hanging="833"/>
      </w:pPr>
      <w:rPr>
        <w:rFonts w:hint="default"/>
      </w:rPr>
    </w:lvl>
    <w:lvl w:ilvl="5">
      <w:start w:val="1"/>
      <w:numFmt w:val="bullet"/>
      <w:lvlText w:val="•"/>
      <w:lvlJc w:val="left"/>
      <w:pPr>
        <w:ind w:left="4915" w:hanging="833"/>
      </w:pPr>
      <w:rPr>
        <w:rFonts w:hint="default"/>
      </w:rPr>
    </w:lvl>
    <w:lvl w:ilvl="6">
      <w:start w:val="1"/>
      <w:numFmt w:val="bullet"/>
      <w:lvlText w:val="•"/>
      <w:lvlJc w:val="left"/>
      <w:pPr>
        <w:ind w:left="5877" w:hanging="833"/>
      </w:pPr>
      <w:rPr>
        <w:rFonts w:hint="default"/>
      </w:rPr>
    </w:lvl>
    <w:lvl w:ilvl="7">
      <w:start w:val="1"/>
      <w:numFmt w:val="bullet"/>
      <w:lvlText w:val="•"/>
      <w:lvlJc w:val="left"/>
      <w:pPr>
        <w:ind w:left="6840" w:hanging="833"/>
      </w:pPr>
      <w:rPr>
        <w:rFonts w:hint="default"/>
      </w:rPr>
    </w:lvl>
    <w:lvl w:ilvl="8">
      <w:start w:val="1"/>
      <w:numFmt w:val="bullet"/>
      <w:lvlText w:val="•"/>
      <w:lvlJc w:val="left"/>
      <w:pPr>
        <w:ind w:left="7802" w:hanging="833"/>
      </w:pPr>
      <w:rPr>
        <w:rFonts w:hint="default"/>
      </w:rPr>
    </w:lvl>
  </w:abstractNum>
  <w:abstractNum w:abstractNumId="3" w15:restartNumberingAfterBreak="0">
    <w:nsid w:val="07284844"/>
    <w:multiLevelType w:val="hybridMultilevel"/>
    <w:tmpl w:val="3320C798"/>
    <w:lvl w:ilvl="0" w:tplc="AB4619B0">
      <w:start w:val="1"/>
      <w:numFmt w:val="lowerLetter"/>
      <w:lvlText w:val="(%1)"/>
      <w:lvlJc w:val="left"/>
      <w:pPr>
        <w:ind w:left="125" w:hanging="219"/>
      </w:pPr>
      <w:rPr>
        <w:rFonts w:ascii="Times New Roman" w:eastAsia="Times New Roman" w:hAnsi="Times New Roman" w:hint="default"/>
        <w:spacing w:val="-1"/>
        <w:sz w:val="16"/>
        <w:szCs w:val="16"/>
      </w:rPr>
    </w:lvl>
    <w:lvl w:ilvl="1" w:tplc="C278FFB8">
      <w:start w:val="1"/>
      <w:numFmt w:val="bullet"/>
      <w:lvlText w:val="•"/>
      <w:lvlJc w:val="left"/>
      <w:pPr>
        <w:ind w:left="1087" w:hanging="219"/>
      </w:pPr>
      <w:rPr>
        <w:rFonts w:hint="default"/>
      </w:rPr>
    </w:lvl>
    <w:lvl w:ilvl="2" w:tplc="0284CCD8">
      <w:start w:val="1"/>
      <w:numFmt w:val="bullet"/>
      <w:lvlText w:val="•"/>
      <w:lvlJc w:val="left"/>
      <w:pPr>
        <w:ind w:left="2049" w:hanging="219"/>
      </w:pPr>
      <w:rPr>
        <w:rFonts w:hint="default"/>
      </w:rPr>
    </w:lvl>
    <w:lvl w:ilvl="3" w:tplc="135CFB00">
      <w:start w:val="1"/>
      <w:numFmt w:val="bullet"/>
      <w:lvlText w:val="•"/>
      <w:lvlJc w:val="left"/>
      <w:pPr>
        <w:ind w:left="3011" w:hanging="219"/>
      </w:pPr>
      <w:rPr>
        <w:rFonts w:hint="default"/>
      </w:rPr>
    </w:lvl>
    <w:lvl w:ilvl="4" w:tplc="CD86018C">
      <w:start w:val="1"/>
      <w:numFmt w:val="bullet"/>
      <w:lvlText w:val="•"/>
      <w:lvlJc w:val="left"/>
      <w:pPr>
        <w:ind w:left="3973" w:hanging="219"/>
      </w:pPr>
      <w:rPr>
        <w:rFonts w:hint="default"/>
      </w:rPr>
    </w:lvl>
    <w:lvl w:ilvl="5" w:tplc="935A5510">
      <w:start w:val="1"/>
      <w:numFmt w:val="bullet"/>
      <w:lvlText w:val="•"/>
      <w:lvlJc w:val="left"/>
      <w:pPr>
        <w:ind w:left="4935" w:hanging="219"/>
      </w:pPr>
      <w:rPr>
        <w:rFonts w:hint="default"/>
      </w:rPr>
    </w:lvl>
    <w:lvl w:ilvl="6" w:tplc="C728E632">
      <w:start w:val="1"/>
      <w:numFmt w:val="bullet"/>
      <w:lvlText w:val="•"/>
      <w:lvlJc w:val="left"/>
      <w:pPr>
        <w:ind w:left="5897" w:hanging="219"/>
      </w:pPr>
      <w:rPr>
        <w:rFonts w:hint="default"/>
      </w:rPr>
    </w:lvl>
    <w:lvl w:ilvl="7" w:tplc="AF5CEC0E">
      <w:start w:val="1"/>
      <w:numFmt w:val="bullet"/>
      <w:lvlText w:val="•"/>
      <w:lvlJc w:val="left"/>
      <w:pPr>
        <w:ind w:left="6860" w:hanging="219"/>
      </w:pPr>
      <w:rPr>
        <w:rFonts w:hint="default"/>
      </w:rPr>
    </w:lvl>
    <w:lvl w:ilvl="8" w:tplc="954E5BC8">
      <w:start w:val="1"/>
      <w:numFmt w:val="bullet"/>
      <w:lvlText w:val="•"/>
      <w:lvlJc w:val="left"/>
      <w:pPr>
        <w:ind w:left="7822" w:hanging="219"/>
      </w:pPr>
      <w:rPr>
        <w:rFonts w:hint="default"/>
      </w:rPr>
    </w:lvl>
  </w:abstractNum>
  <w:abstractNum w:abstractNumId="4" w15:restartNumberingAfterBreak="0">
    <w:nsid w:val="09E53992"/>
    <w:multiLevelType w:val="hybridMultilevel"/>
    <w:tmpl w:val="68C23BD2"/>
    <w:lvl w:ilvl="0" w:tplc="CAC699C2">
      <w:start w:val="1"/>
      <w:numFmt w:val="upperLetter"/>
      <w:lvlText w:val="%1)"/>
      <w:lvlJc w:val="left"/>
      <w:pPr>
        <w:ind w:left="825" w:hanging="720"/>
      </w:pPr>
      <w:rPr>
        <w:rFonts w:ascii="Times New Roman" w:eastAsia="Times New Roman" w:hAnsi="Times New Roman" w:hint="default"/>
        <w:b/>
        <w:bCs/>
        <w:spacing w:val="-1"/>
        <w:sz w:val="24"/>
        <w:szCs w:val="24"/>
      </w:rPr>
    </w:lvl>
    <w:lvl w:ilvl="1" w:tplc="4A0AE0B6">
      <w:start w:val="1"/>
      <w:numFmt w:val="lowerLetter"/>
      <w:lvlText w:val="%2)"/>
      <w:lvlJc w:val="left"/>
      <w:pPr>
        <w:ind w:left="105" w:hanging="720"/>
      </w:pPr>
      <w:rPr>
        <w:rFonts w:ascii="Times New Roman" w:eastAsia="Times New Roman" w:hAnsi="Times New Roman" w:hint="default"/>
        <w:spacing w:val="-1"/>
        <w:sz w:val="24"/>
        <w:szCs w:val="24"/>
      </w:rPr>
    </w:lvl>
    <w:lvl w:ilvl="2" w:tplc="4CB2BB56">
      <w:start w:val="1"/>
      <w:numFmt w:val="lowerLetter"/>
      <w:lvlText w:val="(%3)"/>
      <w:lvlJc w:val="left"/>
      <w:pPr>
        <w:ind w:left="845" w:hanging="325"/>
      </w:pPr>
      <w:rPr>
        <w:rFonts w:ascii="Times New Roman" w:eastAsia="Arial" w:hAnsi="Times New Roman" w:cs="Times New Roman"/>
        <w:sz w:val="24"/>
        <w:szCs w:val="24"/>
      </w:rPr>
    </w:lvl>
    <w:lvl w:ilvl="3" w:tplc="8196FAC0">
      <w:start w:val="1"/>
      <w:numFmt w:val="bullet"/>
      <w:lvlText w:val="•"/>
      <w:lvlJc w:val="left"/>
      <w:pPr>
        <w:ind w:left="1955" w:hanging="325"/>
      </w:pPr>
      <w:rPr>
        <w:rFonts w:hint="default"/>
      </w:rPr>
    </w:lvl>
    <w:lvl w:ilvl="4" w:tplc="4960429C">
      <w:start w:val="1"/>
      <w:numFmt w:val="bullet"/>
      <w:lvlText w:val="•"/>
      <w:lvlJc w:val="left"/>
      <w:pPr>
        <w:ind w:left="3065" w:hanging="325"/>
      </w:pPr>
      <w:rPr>
        <w:rFonts w:hint="default"/>
      </w:rPr>
    </w:lvl>
    <w:lvl w:ilvl="5" w:tplc="D9C88C30">
      <w:start w:val="1"/>
      <w:numFmt w:val="bullet"/>
      <w:lvlText w:val="•"/>
      <w:lvlJc w:val="left"/>
      <w:pPr>
        <w:ind w:left="4175" w:hanging="325"/>
      </w:pPr>
      <w:rPr>
        <w:rFonts w:hint="default"/>
      </w:rPr>
    </w:lvl>
    <w:lvl w:ilvl="6" w:tplc="7C80BF46">
      <w:start w:val="1"/>
      <w:numFmt w:val="bullet"/>
      <w:lvlText w:val="•"/>
      <w:lvlJc w:val="left"/>
      <w:pPr>
        <w:ind w:left="5285" w:hanging="325"/>
      </w:pPr>
      <w:rPr>
        <w:rFonts w:hint="default"/>
      </w:rPr>
    </w:lvl>
    <w:lvl w:ilvl="7" w:tplc="58985398">
      <w:start w:val="1"/>
      <w:numFmt w:val="bullet"/>
      <w:lvlText w:val="•"/>
      <w:lvlJc w:val="left"/>
      <w:pPr>
        <w:ind w:left="6396" w:hanging="325"/>
      </w:pPr>
      <w:rPr>
        <w:rFonts w:hint="default"/>
      </w:rPr>
    </w:lvl>
    <w:lvl w:ilvl="8" w:tplc="48D0C972">
      <w:start w:val="1"/>
      <w:numFmt w:val="bullet"/>
      <w:lvlText w:val="•"/>
      <w:lvlJc w:val="left"/>
      <w:pPr>
        <w:ind w:left="7506" w:hanging="325"/>
      </w:pPr>
      <w:rPr>
        <w:rFonts w:hint="default"/>
      </w:rPr>
    </w:lvl>
  </w:abstractNum>
  <w:abstractNum w:abstractNumId="5" w15:restartNumberingAfterBreak="0">
    <w:nsid w:val="0AA03FBC"/>
    <w:multiLevelType w:val="hybridMultilevel"/>
    <w:tmpl w:val="7C684176"/>
    <w:lvl w:ilvl="0" w:tplc="B6F8ED08">
      <w:start w:val="1"/>
      <w:numFmt w:val="bullet"/>
      <w:lvlText w:val="-"/>
      <w:lvlJc w:val="left"/>
      <w:pPr>
        <w:ind w:left="964" w:hanging="140"/>
      </w:pPr>
      <w:rPr>
        <w:rFonts w:ascii="Times New Roman" w:eastAsia="Times New Roman" w:hAnsi="Times New Roman" w:hint="default"/>
        <w:sz w:val="24"/>
        <w:szCs w:val="24"/>
      </w:rPr>
    </w:lvl>
    <w:lvl w:ilvl="1" w:tplc="DF626A7C">
      <w:start w:val="1"/>
      <w:numFmt w:val="bullet"/>
      <w:lvlText w:val="•"/>
      <w:lvlJc w:val="left"/>
      <w:pPr>
        <w:ind w:left="1840" w:hanging="140"/>
      </w:pPr>
      <w:rPr>
        <w:rFonts w:hint="default"/>
      </w:rPr>
    </w:lvl>
    <w:lvl w:ilvl="2" w:tplc="7AFED966">
      <w:start w:val="1"/>
      <w:numFmt w:val="bullet"/>
      <w:lvlText w:val="•"/>
      <w:lvlJc w:val="left"/>
      <w:pPr>
        <w:ind w:left="2716" w:hanging="140"/>
      </w:pPr>
      <w:rPr>
        <w:rFonts w:hint="default"/>
      </w:rPr>
    </w:lvl>
    <w:lvl w:ilvl="3" w:tplc="A19A1692">
      <w:start w:val="1"/>
      <w:numFmt w:val="bullet"/>
      <w:lvlText w:val="•"/>
      <w:lvlJc w:val="left"/>
      <w:pPr>
        <w:ind w:left="3593" w:hanging="140"/>
      </w:pPr>
      <w:rPr>
        <w:rFonts w:hint="default"/>
      </w:rPr>
    </w:lvl>
    <w:lvl w:ilvl="4" w:tplc="512EB64A">
      <w:start w:val="1"/>
      <w:numFmt w:val="bullet"/>
      <w:lvlText w:val="•"/>
      <w:lvlJc w:val="left"/>
      <w:pPr>
        <w:ind w:left="4469" w:hanging="140"/>
      </w:pPr>
      <w:rPr>
        <w:rFonts w:hint="default"/>
      </w:rPr>
    </w:lvl>
    <w:lvl w:ilvl="5" w:tplc="C49AFCAC">
      <w:start w:val="1"/>
      <w:numFmt w:val="bullet"/>
      <w:lvlText w:val="•"/>
      <w:lvlJc w:val="left"/>
      <w:pPr>
        <w:ind w:left="5345" w:hanging="140"/>
      </w:pPr>
      <w:rPr>
        <w:rFonts w:hint="default"/>
      </w:rPr>
    </w:lvl>
    <w:lvl w:ilvl="6" w:tplc="FB6C2210">
      <w:start w:val="1"/>
      <w:numFmt w:val="bullet"/>
      <w:lvlText w:val="•"/>
      <w:lvlJc w:val="left"/>
      <w:pPr>
        <w:ind w:left="6221" w:hanging="140"/>
      </w:pPr>
      <w:rPr>
        <w:rFonts w:hint="default"/>
      </w:rPr>
    </w:lvl>
    <w:lvl w:ilvl="7" w:tplc="142E6A6A">
      <w:start w:val="1"/>
      <w:numFmt w:val="bullet"/>
      <w:lvlText w:val="•"/>
      <w:lvlJc w:val="left"/>
      <w:pPr>
        <w:ind w:left="7097" w:hanging="140"/>
      </w:pPr>
      <w:rPr>
        <w:rFonts w:hint="default"/>
      </w:rPr>
    </w:lvl>
    <w:lvl w:ilvl="8" w:tplc="DB807418">
      <w:start w:val="1"/>
      <w:numFmt w:val="bullet"/>
      <w:lvlText w:val="•"/>
      <w:lvlJc w:val="left"/>
      <w:pPr>
        <w:ind w:left="7974" w:hanging="140"/>
      </w:pPr>
      <w:rPr>
        <w:rFonts w:hint="default"/>
      </w:rPr>
    </w:lvl>
  </w:abstractNum>
  <w:abstractNum w:abstractNumId="6" w15:restartNumberingAfterBreak="0">
    <w:nsid w:val="0B4764DE"/>
    <w:multiLevelType w:val="hybridMultilevel"/>
    <w:tmpl w:val="D1C61DCA"/>
    <w:lvl w:ilvl="0" w:tplc="42ECC37E">
      <w:start w:val="1"/>
      <w:numFmt w:val="lowerRoman"/>
      <w:lvlText w:val="%1)"/>
      <w:lvlJc w:val="left"/>
      <w:pPr>
        <w:ind w:left="105" w:hanging="207"/>
      </w:pPr>
      <w:rPr>
        <w:rFonts w:ascii="Times New Roman" w:eastAsia="Times New Roman" w:hAnsi="Times New Roman" w:hint="default"/>
        <w:b/>
        <w:bCs/>
        <w:i/>
        <w:sz w:val="24"/>
        <w:szCs w:val="24"/>
      </w:rPr>
    </w:lvl>
    <w:lvl w:ilvl="1" w:tplc="4546ED72">
      <w:start w:val="1"/>
      <w:numFmt w:val="bullet"/>
      <w:lvlText w:val="–"/>
      <w:lvlJc w:val="left"/>
      <w:pPr>
        <w:ind w:left="225" w:hanging="358"/>
      </w:pPr>
      <w:rPr>
        <w:rFonts w:ascii="Times New Roman" w:eastAsia="Times New Roman" w:hAnsi="Times New Roman" w:hint="default"/>
        <w:sz w:val="24"/>
        <w:szCs w:val="24"/>
      </w:rPr>
    </w:lvl>
    <w:lvl w:ilvl="2" w:tplc="DA48B2D6">
      <w:start w:val="1"/>
      <w:numFmt w:val="bullet"/>
      <w:lvlText w:val="-"/>
      <w:lvlJc w:val="left"/>
      <w:pPr>
        <w:ind w:left="1098" w:hanging="286"/>
      </w:pPr>
      <w:rPr>
        <w:rFonts w:ascii="Times New Roman" w:eastAsia="Times New Roman" w:hAnsi="Times New Roman" w:hint="default"/>
        <w:sz w:val="24"/>
        <w:szCs w:val="24"/>
      </w:rPr>
    </w:lvl>
    <w:lvl w:ilvl="3" w:tplc="6076208E">
      <w:start w:val="1"/>
      <w:numFmt w:val="bullet"/>
      <w:lvlText w:val="•"/>
      <w:lvlJc w:val="left"/>
      <w:pPr>
        <w:ind w:left="2167" w:hanging="286"/>
      </w:pPr>
      <w:rPr>
        <w:rFonts w:hint="default"/>
      </w:rPr>
    </w:lvl>
    <w:lvl w:ilvl="4" w:tplc="2BDE6C46">
      <w:start w:val="1"/>
      <w:numFmt w:val="bullet"/>
      <w:lvlText w:val="•"/>
      <w:lvlJc w:val="left"/>
      <w:pPr>
        <w:ind w:left="3235" w:hanging="286"/>
      </w:pPr>
      <w:rPr>
        <w:rFonts w:hint="default"/>
      </w:rPr>
    </w:lvl>
    <w:lvl w:ilvl="5" w:tplc="2ED05AD8">
      <w:start w:val="1"/>
      <w:numFmt w:val="bullet"/>
      <w:lvlText w:val="•"/>
      <w:lvlJc w:val="left"/>
      <w:pPr>
        <w:ind w:left="4304" w:hanging="286"/>
      </w:pPr>
      <w:rPr>
        <w:rFonts w:hint="default"/>
      </w:rPr>
    </w:lvl>
    <w:lvl w:ilvl="6" w:tplc="96500656">
      <w:start w:val="1"/>
      <w:numFmt w:val="bullet"/>
      <w:lvlText w:val="•"/>
      <w:lvlJc w:val="left"/>
      <w:pPr>
        <w:ind w:left="5372" w:hanging="286"/>
      </w:pPr>
      <w:rPr>
        <w:rFonts w:hint="default"/>
      </w:rPr>
    </w:lvl>
    <w:lvl w:ilvl="7" w:tplc="7E02B89C">
      <w:start w:val="1"/>
      <w:numFmt w:val="bullet"/>
      <w:lvlText w:val="•"/>
      <w:lvlJc w:val="left"/>
      <w:pPr>
        <w:ind w:left="6441" w:hanging="286"/>
      </w:pPr>
      <w:rPr>
        <w:rFonts w:hint="default"/>
      </w:rPr>
    </w:lvl>
    <w:lvl w:ilvl="8" w:tplc="D33083BE">
      <w:start w:val="1"/>
      <w:numFmt w:val="bullet"/>
      <w:lvlText w:val="•"/>
      <w:lvlJc w:val="left"/>
      <w:pPr>
        <w:ind w:left="7509" w:hanging="286"/>
      </w:pPr>
      <w:rPr>
        <w:rFonts w:hint="default"/>
      </w:rPr>
    </w:lvl>
  </w:abstractNum>
  <w:abstractNum w:abstractNumId="7" w15:restartNumberingAfterBreak="0">
    <w:nsid w:val="0C8C7E1B"/>
    <w:multiLevelType w:val="multilevel"/>
    <w:tmpl w:val="5888F55C"/>
    <w:lvl w:ilvl="0">
      <w:start w:val="6"/>
      <w:numFmt w:val="upperRoman"/>
      <w:lvlText w:val="%1"/>
      <w:lvlJc w:val="left"/>
      <w:pPr>
        <w:ind w:left="611" w:hanging="507"/>
      </w:pPr>
      <w:rPr>
        <w:rFonts w:hint="default"/>
      </w:rPr>
    </w:lvl>
    <w:lvl w:ilvl="1">
      <w:start w:val="3"/>
      <w:numFmt w:val="decimal"/>
      <w:lvlText w:val="%1.%2."/>
      <w:lvlJc w:val="left"/>
      <w:pPr>
        <w:ind w:left="611" w:hanging="507"/>
      </w:pPr>
      <w:rPr>
        <w:rFonts w:ascii="Times New Roman" w:eastAsia="Times New Roman" w:hAnsi="Times New Roman" w:hint="default"/>
        <w:spacing w:val="1"/>
        <w:sz w:val="22"/>
        <w:szCs w:val="22"/>
      </w:rPr>
    </w:lvl>
    <w:lvl w:ilvl="2">
      <w:start w:val="1"/>
      <w:numFmt w:val="decimal"/>
      <w:lvlText w:val="%1.%2.%3."/>
      <w:lvlJc w:val="left"/>
      <w:pPr>
        <w:ind w:left="1060" w:hanging="672"/>
      </w:pPr>
      <w:rPr>
        <w:rFonts w:ascii="Times New Roman" w:eastAsia="Times New Roman" w:hAnsi="Times New Roman" w:hint="default"/>
        <w:spacing w:val="1"/>
        <w:sz w:val="22"/>
        <w:szCs w:val="22"/>
      </w:rPr>
    </w:lvl>
    <w:lvl w:ilvl="3">
      <w:start w:val="1"/>
      <w:numFmt w:val="bullet"/>
      <w:lvlText w:val="•"/>
      <w:lvlJc w:val="left"/>
      <w:pPr>
        <w:ind w:left="3003" w:hanging="672"/>
      </w:pPr>
      <w:rPr>
        <w:rFonts w:hint="default"/>
      </w:rPr>
    </w:lvl>
    <w:lvl w:ilvl="4">
      <w:start w:val="1"/>
      <w:numFmt w:val="bullet"/>
      <w:lvlText w:val="•"/>
      <w:lvlJc w:val="left"/>
      <w:pPr>
        <w:ind w:left="3975" w:hanging="672"/>
      </w:pPr>
      <w:rPr>
        <w:rFonts w:hint="default"/>
      </w:rPr>
    </w:lvl>
    <w:lvl w:ilvl="5">
      <w:start w:val="1"/>
      <w:numFmt w:val="bullet"/>
      <w:lvlText w:val="•"/>
      <w:lvlJc w:val="left"/>
      <w:pPr>
        <w:ind w:left="4947" w:hanging="672"/>
      </w:pPr>
      <w:rPr>
        <w:rFonts w:hint="default"/>
      </w:rPr>
    </w:lvl>
    <w:lvl w:ilvl="6">
      <w:start w:val="1"/>
      <w:numFmt w:val="bullet"/>
      <w:lvlText w:val="•"/>
      <w:lvlJc w:val="left"/>
      <w:pPr>
        <w:ind w:left="5919" w:hanging="672"/>
      </w:pPr>
      <w:rPr>
        <w:rFonts w:hint="default"/>
      </w:rPr>
    </w:lvl>
    <w:lvl w:ilvl="7">
      <w:start w:val="1"/>
      <w:numFmt w:val="bullet"/>
      <w:lvlText w:val="•"/>
      <w:lvlJc w:val="left"/>
      <w:pPr>
        <w:ind w:left="6891" w:hanging="672"/>
      </w:pPr>
      <w:rPr>
        <w:rFonts w:hint="default"/>
      </w:rPr>
    </w:lvl>
    <w:lvl w:ilvl="8">
      <w:start w:val="1"/>
      <w:numFmt w:val="bullet"/>
      <w:lvlText w:val="•"/>
      <w:lvlJc w:val="left"/>
      <w:pPr>
        <w:ind w:left="7862" w:hanging="672"/>
      </w:pPr>
      <w:rPr>
        <w:rFonts w:hint="default"/>
      </w:rPr>
    </w:lvl>
  </w:abstractNum>
  <w:abstractNum w:abstractNumId="8" w15:restartNumberingAfterBreak="0">
    <w:nsid w:val="0E296AB3"/>
    <w:multiLevelType w:val="hybridMultilevel"/>
    <w:tmpl w:val="36BE9FBC"/>
    <w:lvl w:ilvl="0" w:tplc="89004D66">
      <w:start w:val="1"/>
      <w:numFmt w:val="bullet"/>
      <w:lvlText w:val="-"/>
      <w:lvlJc w:val="left"/>
      <w:pPr>
        <w:ind w:left="825" w:hanging="360"/>
      </w:pPr>
      <w:rPr>
        <w:rFonts w:ascii="Times New Roman" w:eastAsia="Times New Roman" w:hAnsi="Times New Roman" w:hint="default"/>
        <w:sz w:val="24"/>
        <w:szCs w:val="24"/>
      </w:rPr>
    </w:lvl>
    <w:lvl w:ilvl="1" w:tplc="A222815A">
      <w:start w:val="1"/>
      <w:numFmt w:val="bullet"/>
      <w:lvlText w:val="•"/>
      <w:lvlJc w:val="left"/>
      <w:pPr>
        <w:ind w:left="1715" w:hanging="360"/>
      </w:pPr>
      <w:rPr>
        <w:rFonts w:hint="default"/>
      </w:rPr>
    </w:lvl>
    <w:lvl w:ilvl="2" w:tplc="E36C4FDC">
      <w:start w:val="1"/>
      <w:numFmt w:val="bullet"/>
      <w:lvlText w:val="•"/>
      <w:lvlJc w:val="left"/>
      <w:pPr>
        <w:ind w:left="2605" w:hanging="360"/>
      </w:pPr>
      <w:rPr>
        <w:rFonts w:hint="default"/>
      </w:rPr>
    </w:lvl>
    <w:lvl w:ilvl="3" w:tplc="2AB0EE2C">
      <w:start w:val="1"/>
      <w:numFmt w:val="bullet"/>
      <w:lvlText w:val="•"/>
      <w:lvlJc w:val="left"/>
      <w:pPr>
        <w:ind w:left="3495" w:hanging="360"/>
      </w:pPr>
      <w:rPr>
        <w:rFonts w:hint="default"/>
      </w:rPr>
    </w:lvl>
    <w:lvl w:ilvl="4" w:tplc="A088FD94">
      <w:start w:val="1"/>
      <w:numFmt w:val="bullet"/>
      <w:lvlText w:val="•"/>
      <w:lvlJc w:val="left"/>
      <w:pPr>
        <w:ind w:left="4385" w:hanging="360"/>
      </w:pPr>
      <w:rPr>
        <w:rFonts w:hint="default"/>
      </w:rPr>
    </w:lvl>
    <w:lvl w:ilvl="5" w:tplc="C666C770">
      <w:start w:val="1"/>
      <w:numFmt w:val="bullet"/>
      <w:lvlText w:val="•"/>
      <w:lvlJc w:val="left"/>
      <w:pPr>
        <w:ind w:left="5275" w:hanging="360"/>
      </w:pPr>
      <w:rPr>
        <w:rFonts w:hint="default"/>
      </w:rPr>
    </w:lvl>
    <w:lvl w:ilvl="6" w:tplc="B32C2C90">
      <w:start w:val="1"/>
      <w:numFmt w:val="bullet"/>
      <w:lvlText w:val="•"/>
      <w:lvlJc w:val="left"/>
      <w:pPr>
        <w:ind w:left="6165" w:hanging="360"/>
      </w:pPr>
      <w:rPr>
        <w:rFonts w:hint="default"/>
      </w:rPr>
    </w:lvl>
    <w:lvl w:ilvl="7" w:tplc="05420FDE">
      <w:start w:val="1"/>
      <w:numFmt w:val="bullet"/>
      <w:lvlText w:val="•"/>
      <w:lvlJc w:val="left"/>
      <w:pPr>
        <w:ind w:left="7056" w:hanging="360"/>
      </w:pPr>
      <w:rPr>
        <w:rFonts w:hint="default"/>
      </w:rPr>
    </w:lvl>
    <w:lvl w:ilvl="8" w:tplc="2796099C">
      <w:start w:val="1"/>
      <w:numFmt w:val="bullet"/>
      <w:lvlText w:val="•"/>
      <w:lvlJc w:val="left"/>
      <w:pPr>
        <w:ind w:left="7946" w:hanging="360"/>
      </w:pPr>
      <w:rPr>
        <w:rFonts w:hint="default"/>
      </w:rPr>
    </w:lvl>
  </w:abstractNum>
  <w:abstractNum w:abstractNumId="9" w15:restartNumberingAfterBreak="0">
    <w:nsid w:val="0F450CB3"/>
    <w:multiLevelType w:val="hybridMultilevel"/>
    <w:tmpl w:val="DBA27E98"/>
    <w:lvl w:ilvl="0" w:tplc="EBCECFC4">
      <w:start w:val="1"/>
      <w:numFmt w:val="bullet"/>
      <w:lvlText w:val="—"/>
      <w:lvlJc w:val="left"/>
      <w:pPr>
        <w:ind w:left="405" w:hanging="300"/>
      </w:pPr>
      <w:rPr>
        <w:rFonts w:ascii="Times New Roman" w:eastAsia="Times New Roman" w:hAnsi="Times New Roman" w:hint="default"/>
        <w:b/>
        <w:bCs/>
        <w:sz w:val="24"/>
        <w:szCs w:val="24"/>
      </w:rPr>
    </w:lvl>
    <w:lvl w:ilvl="1" w:tplc="49E69086">
      <w:start w:val="1"/>
      <w:numFmt w:val="bullet"/>
      <w:lvlText w:val="•"/>
      <w:lvlJc w:val="left"/>
      <w:pPr>
        <w:ind w:left="1337" w:hanging="300"/>
      </w:pPr>
      <w:rPr>
        <w:rFonts w:hint="default"/>
      </w:rPr>
    </w:lvl>
    <w:lvl w:ilvl="2" w:tplc="CFC8BEB8">
      <w:start w:val="1"/>
      <w:numFmt w:val="bullet"/>
      <w:lvlText w:val="•"/>
      <w:lvlJc w:val="left"/>
      <w:pPr>
        <w:ind w:left="2269" w:hanging="300"/>
      </w:pPr>
      <w:rPr>
        <w:rFonts w:hint="default"/>
      </w:rPr>
    </w:lvl>
    <w:lvl w:ilvl="3" w:tplc="24D2E3F8">
      <w:start w:val="1"/>
      <w:numFmt w:val="bullet"/>
      <w:lvlText w:val="•"/>
      <w:lvlJc w:val="left"/>
      <w:pPr>
        <w:ind w:left="3201" w:hanging="300"/>
      </w:pPr>
      <w:rPr>
        <w:rFonts w:hint="default"/>
      </w:rPr>
    </w:lvl>
    <w:lvl w:ilvl="4" w:tplc="348E7974">
      <w:start w:val="1"/>
      <w:numFmt w:val="bullet"/>
      <w:lvlText w:val="•"/>
      <w:lvlJc w:val="left"/>
      <w:pPr>
        <w:ind w:left="4133" w:hanging="300"/>
      </w:pPr>
      <w:rPr>
        <w:rFonts w:hint="default"/>
      </w:rPr>
    </w:lvl>
    <w:lvl w:ilvl="5" w:tplc="C1BE4EDA">
      <w:start w:val="1"/>
      <w:numFmt w:val="bullet"/>
      <w:lvlText w:val="•"/>
      <w:lvlJc w:val="left"/>
      <w:pPr>
        <w:ind w:left="5065" w:hanging="300"/>
      </w:pPr>
      <w:rPr>
        <w:rFonts w:hint="default"/>
      </w:rPr>
    </w:lvl>
    <w:lvl w:ilvl="6" w:tplc="52CEFEB8">
      <w:start w:val="1"/>
      <w:numFmt w:val="bullet"/>
      <w:lvlText w:val="•"/>
      <w:lvlJc w:val="left"/>
      <w:pPr>
        <w:ind w:left="5997" w:hanging="300"/>
      </w:pPr>
      <w:rPr>
        <w:rFonts w:hint="default"/>
      </w:rPr>
    </w:lvl>
    <w:lvl w:ilvl="7" w:tplc="9884A2EC">
      <w:start w:val="1"/>
      <w:numFmt w:val="bullet"/>
      <w:lvlText w:val="•"/>
      <w:lvlJc w:val="left"/>
      <w:pPr>
        <w:ind w:left="6930" w:hanging="300"/>
      </w:pPr>
      <w:rPr>
        <w:rFonts w:hint="default"/>
      </w:rPr>
    </w:lvl>
    <w:lvl w:ilvl="8" w:tplc="B992A576">
      <w:start w:val="1"/>
      <w:numFmt w:val="bullet"/>
      <w:lvlText w:val="•"/>
      <w:lvlJc w:val="left"/>
      <w:pPr>
        <w:ind w:left="7862" w:hanging="300"/>
      </w:pPr>
      <w:rPr>
        <w:rFonts w:hint="default"/>
      </w:rPr>
    </w:lvl>
  </w:abstractNum>
  <w:abstractNum w:abstractNumId="10" w15:restartNumberingAfterBreak="0">
    <w:nsid w:val="0FE97F54"/>
    <w:multiLevelType w:val="hybridMultilevel"/>
    <w:tmpl w:val="2A14CB86"/>
    <w:lvl w:ilvl="0" w:tplc="7682B554">
      <w:start w:val="1"/>
      <w:numFmt w:val="decimal"/>
      <w:lvlText w:val="(%1)"/>
      <w:lvlJc w:val="left"/>
      <w:pPr>
        <w:ind w:left="105" w:hanging="382"/>
      </w:pPr>
      <w:rPr>
        <w:rFonts w:ascii="Times New Roman" w:eastAsia="Times New Roman" w:hAnsi="Times New Roman" w:hint="default"/>
        <w:sz w:val="24"/>
        <w:szCs w:val="24"/>
      </w:rPr>
    </w:lvl>
    <w:lvl w:ilvl="1" w:tplc="FD52D120">
      <w:start w:val="1"/>
      <w:numFmt w:val="bullet"/>
      <w:lvlText w:val="•"/>
      <w:lvlJc w:val="left"/>
      <w:pPr>
        <w:ind w:left="1067" w:hanging="382"/>
      </w:pPr>
      <w:rPr>
        <w:rFonts w:hint="default"/>
      </w:rPr>
    </w:lvl>
    <w:lvl w:ilvl="2" w:tplc="440853D4">
      <w:start w:val="1"/>
      <w:numFmt w:val="bullet"/>
      <w:lvlText w:val="•"/>
      <w:lvlJc w:val="left"/>
      <w:pPr>
        <w:ind w:left="2029" w:hanging="382"/>
      </w:pPr>
      <w:rPr>
        <w:rFonts w:hint="default"/>
      </w:rPr>
    </w:lvl>
    <w:lvl w:ilvl="3" w:tplc="6DD04586">
      <w:start w:val="1"/>
      <w:numFmt w:val="bullet"/>
      <w:lvlText w:val="•"/>
      <w:lvlJc w:val="left"/>
      <w:pPr>
        <w:ind w:left="2991" w:hanging="382"/>
      </w:pPr>
      <w:rPr>
        <w:rFonts w:hint="default"/>
      </w:rPr>
    </w:lvl>
    <w:lvl w:ilvl="4" w:tplc="BC7436CA">
      <w:start w:val="1"/>
      <w:numFmt w:val="bullet"/>
      <w:lvlText w:val="•"/>
      <w:lvlJc w:val="left"/>
      <w:pPr>
        <w:ind w:left="3953" w:hanging="382"/>
      </w:pPr>
      <w:rPr>
        <w:rFonts w:hint="default"/>
      </w:rPr>
    </w:lvl>
    <w:lvl w:ilvl="5" w:tplc="42E6DC90">
      <w:start w:val="1"/>
      <w:numFmt w:val="bullet"/>
      <w:lvlText w:val="•"/>
      <w:lvlJc w:val="left"/>
      <w:pPr>
        <w:ind w:left="4915" w:hanging="382"/>
      </w:pPr>
      <w:rPr>
        <w:rFonts w:hint="default"/>
      </w:rPr>
    </w:lvl>
    <w:lvl w:ilvl="6" w:tplc="FD1A612C">
      <w:start w:val="1"/>
      <w:numFmt w:val="bullet"/>
      <w:lvlText w:val="•"/>
      <w:lvlJc w:val="left"/>
      <w:pPr>
        <w:ind w:left="5877" w:hanging="382"/>
      </w:pPr>
      <w:rPr>
        <w:rFonts w:hint="default"/>
      </w:rPr>
    </w:lvl>
    <w:lvl w:ilvl="7" w:tplc="2F704342">
      <w:start w:val="1"/>
      <w:numFmt w:val="bullet"/>
      <w:lvlText w:val="•"/>
      <w:lvlJc w:val="left"/>
      <w:pPr>
        <w:ind w:left="6840" w:hanging="382"/>
      </w:pPr>
      <w:rPr>
        <w:rFonts w:hint="default"/>
      </w:rPr>
    </w:lvl>
    <w:lvl w:ilvl="8" w:tplc="CCA8C61E">
      <w:start w:val="1"/>
      <w:numFmt w:val="bullet"/>
      <w:lvlText w:val="•"/>
      <w:lvlJc w:val="left"/>
      <w:pPr>
        <w:ind w:left="7802" w:hanging="382"/>
      </w:pPr>
      <w:rPr>
        <w:rFonts w:hint="default"/>
      </w:rPr>
    </w:lvl>
  </w:abstractNum>
  <w:abstractNum w:abstractNumId="11" w15:restartNumberingAfterBreak="0">
    <w:nsid w:val="1457092B"/>
    <w:multiLevelType w:val="hybridMultilevel"/>
    <w:tmpl w:val="E7822BD0"/>
    <w:lvl w:ilvl="0" w:tplc="499E82BC">
      <w:start w:val="1"/>
      <w:numFmt w:val="decimal"/>
      <w:lvlText w:val="%1."/>
      <w:lvlJc w:val="left"/>
      <w:pPr>
        <w:ind w:left="825" w:hanging="360"/>
      </w:pPr>
      <w:rPr>
        <w:rFonts w:ascii="Times New Roman" w:eastAsia="Times New Roman" w:hAnsi="Times New Roman" w:hint="default"/>
        <w:i/>
        <w:sz w:val="24"/>
        <w:szCs w:val="24"/>
      </w:rPr>
    </w:lvl>
    <w:lvl w:ilvl="1" w:tplc="F6CA6480">
      <w:start w:val="1"/>
      <w:numFmt w:val="bullet"/>
      <w:lvlText w:val="•"/>
      <w:lvlJc w:val="left"/>
      <w:pPr>
        <w:ind w:left="1715" w:hanging="360"/>
      </w:pPr>
      <w:rPr>
        <w:rFonts w:hint="default"/>
      </w:rPr>
    </w:lvl>
    <w:lvl w:ilvl="2" w:tplc="03006FE4">
      <w:start w:val="1"/>
      <w:numFmt w:val="bullet"/>
      <w:lvlText w:val="•"/>
      <w:lvlJc w:val="left"/>
      <w:pPr>
        <w:ind w:left="2605" w:hanging="360"/>
      </w:pPr>
      <w:rPr>
        <w:rFonts w:hint="default"/>
      </w:rPr>
    </w:lvl>
    <w:lvl w:ilvl="3" w:tplc="0E367E8C">
      <w:start w:val="1"/>
      <w:numFmt w:val="bullet"/>
      <w:lvlText w:val="•"/>
      <w:lvlJc w:val="left"/>
      <w:pPr>
        <w:ind w:left="3495" w:hanging="360"/>
      </w:pPr>
      <w:rPr>
        <w:rFonts w:hint="default"/>
      </w:rPr>
    </w:lvl>
    <w:lvl w:ilvl="4" w:tplc="5330C5CA">
      <w:start w:val="1"/>
      <w:numFmt w:val="bullet"/>
      <w:lvlText w:val="•"/>
      <w:lvlJc w:val="left"/>
      <w:pPr>
        <w:ind w:left="4385" w:hanging="360"/>
      </w:pPr>
      <w:rPr>
        <w:rFonts w:hint="default"/>
      </w:rPr>
    </w:lvl>
    <w:lvl w:ilvl="5" w:tplc="4F3E7688">
      <w:start w:val="1"/>
      <w:numFmt w:val="bullet"/>
      <w:lvlText w:val="•"/>
      <w:lvlJc w:val="left"/>
      <w:pPr>
        <w:ind w:left="5275" w:hanging="360"/>
      </w:pPr>
      <w:rPr>
        <w:rFonts w:hint="default"/>
      </w:rPr>
    </w:lvl>
    <w:lvl w:ilvl="6" w:tplc="CA1ACD04">
      <w:start w:val="1"/>
      <w:numFmt w:val="bullet"/>
      <w:lvlText w:val="•"/>
      <w:lvlJc w:val="left"/>
      <w:pPr>
        <w:ind w:left="6165" w:hanging="360"/>
      </w:pPr>
      <w:rPr>
        <w:rFonts w:hint="default"/>
      </w:rPr>
    </w:lvl>
    <w:lvl w:ilvl="7" w:tplc="9EB063AA">
      <w:start w:val="1"/>
      <w:numFmt w:val="bullet"/>
      <w:lvlText w:val="•"/>
      <w:lvlJc w:val="left"/>
      <w:pPr>
        <w:ind w:left="7056" w:hanging="360"/>
      </w:pPr>
      <w:rPr>
        <w:rFonts w:hint="default"/>
      </w:rPr>
    </w:lvl>
    <w:lvl w:ilvl="8" w:tplc="0B3A3320">
      <w:start w:val="1"/>
      <w:numFmt w:val="bullet"/>
      <w:lvlText w:val="•"/>
      <w:lvlJc w:val="left"/>
      <w:pPr>
        <w:ind w:left="7946" w:hanging="360"/>
      </w:pPr>
      <w:rPr>
        <w:rFonts w:hint="default"/>
      </w:rPr>
    </w:lvl>
  </w:abstractNum>
  <w:abstractNum w:abstractNumId="12" w15:restartNumberingAfterBreak="0">
    <w:nsid w:val="18F11DC6"/>
    <w:multiLevelType w:val="hybridMultilevel"/>
    <w:tmpl w:val="E3F4BE1E"/>
    <w:lvl w:ilvl="0" w:tplc="08B2CF62">
      <w:start w:val="1"/>
      <w:numFmt w:val="bullet"/>
      <w:lvlText w:val="-"/>
      <w:lvlJc w:val="left"/>
      <w:pPr>
        <w:ind w:left="845" w:hanging="360"/>
      </w:pPr>
      <w:rPr>
        <w:rFonts w:ascii="Calibri" w:eastAsia="Calibri" w:hAnsi="Calibri" w:hint="default"/>
        <w:sz w:val="24"/>
        <w:szCs w:val="24"/>
      </w:rPr>
    </w:lvl>
    <w:lvl w:ilvl="1" w:tplc="9DD6BE84">
      <w:start w:val="1"/>
      <w:numFmt w:val="bullet"/>
      <w:lvlText w:val="•"/>
      <w:lvlJc w:val="left"/>
      <w:pPr>
        <w:ind w:left="1735" w:hanging="360"/>
      </w:pPr>
      <w:rPr>
        <w:rFonts w:hint="default"/>
      </w:rPr>
    </w:lvl>
    <w:lvl w:ilvl="2" w:tplc="74044F60">
      <w:start w:val="1"/>
      <w:numFmt w:val="bullet"/>
      <w:lvlText w:val="•"/>
      <w:lvlJc w:val="left"/>
      <w:pPr>
        <w:ind w:left="2625" w:hanging="360"/>
      </w:pPr>
      <w:rPr>
        <w:rFonts w:hint="default"/>
      </w:rPr>
    </w:lvl>
    <w:lvl w:ilvl="3" w:tplc="9D2A0062">
      <w:start w:val="1"/>
      <w:numFmt w:val="bullet"/>
      <w:lvlText w:val="•"/>
      <w:lvlJc w:val="left"/>
      <w:pPr>
        <w:ind w:left="3515" w:hanging="360"/>
      </w:pPr>
      <w:rPr>
        <w:rFonts w:hint="default"/>
      </w:rPr>
    </w:lvl>
    <w:lvl w:ilvl="4" w:tplc="2BDCF716">
      <w:start w:val="1"/>
      <w:numFmt w:val="bullet"/>
      <w:lvlText w:val="•"/>
      <w:lvlJc w:val="left"/>
      <w:pPr>
        <w:ind w:left="4405" w:hanging="360"/>
      </w:pPr>
      <w:rPr>
        <w:rFonts w:hint="default"/>
      </w:rPr>
    </w:lvl>
    <w:lvl w:ilvl="5" w:tplc="AE86DF68">
      <w:start w:val="1"/>
      <w:numFmt w:val="bullet"/>
      <w:lvlText w:val="•"/>
      <w:lvlJc w:val="left"/>
      <w:pPr>
        <w:ind w:left="5295" w:hanging="360"/>
      </w:pPr>
      <w:rPr>
        <w:rFonts w:hint="default"/>
      </w:rPr>
    </w:lvl>
    <w:lvl w:ilvl="6" w:tplc="1EA067D4">
      <w:start w:val="1"/>
      <w:numFmt w:val="bullet"/>
      <w:lvlText w:val="•"/>
      <w:lvlJc w:val="left"/>
      <w:pPr>
        <w:ind w:left="6185" w:hanging="360"/>
      </w:pPr>
      <w:rPr>
        <w:rFonts w:hint="default"/>
      </w:rPr>
    </w:lvl>
    <w:lvl w:ilvl="7" w:tplc="9966827A">
      <w:start w:val="1"/>
      <w:numFmt w:val="bullet"/>
      <w:lvlText w:val="•"/>
      <w:lvlJc w:val="left"/>
      <w:pPr>
        <w:ind w:left="7076" w:hanging="360"/>
      </w:pPr>
      <w:rPr>
        <w:rFonts w:hint="default"/>
      </w:rPr>
    </w:lvl>
    <w:lvl w:ilvl="8" w:tplc="1DE89A66">
      <w:start w:val="1"/>
      <w:numFmt w:val="bullet"/>
      <w:lvlText w:val="•"/>
      <w:lvlJc w:val="left"/>
      <w:pPr>
        <w:ind w:left="7966" w:hanging="360"/>
      </w:pPr>
      <w:rPr>
        <w:rFonts w:hint="default"/>
      </w:rPr>
    </w:lvl>
  </w:abstractNum>
  <w:abstractNum w:abstractNumId="13" w15:restartNumberingAfterBreak="0">
    <w:nsid w:val="1B0D7FEB"/>
    <w:multiLevelType w:val="hybridMultilevel"/>
    <w:tmpl w:val="49BAD042"/>
    <w:lvl w:ilvl="0" w:tplc="E8F8FC48">
      <w:start w:val="1"/>
      <w:numFmt w:val="bullet"/>
      <w:lvlText w:val="-"/>
      <w:lvlJc w:val="left"/>
      <w:pPr>
        <w:ind w:left="462" w:hanging="360"/>
      </w:pPr>
      <w:rPr>
        <w:rFonts w:ascii="Times New Roman" w:eastAsia="Times New Roman" w:hAnsi="Times New Roman" w:hint="default"/>
        <w:sz w:val="24"/>
        <w:szCs w:val="24"/>
      </w:rPr>
    </w:lvl>
    <w:lvl w:ilvl="1" w:tplc="05C6C598">
      <w:start w:val="1"/>
      <w:numFmt w:val="bullet"/>
      <w:lvlText w:val="•"/>
      <w:lvlJc w:val="left"/>
      <w:pPr>
        <w:ind w:left="1183" w:hanging="360"/>
      </w:pPr>
      <w:rPr>
        <w:rFonts w:hint="default"/>
      </w:rPr>
    </w:lvl>
    <w:lvl w:ilvl="2" w:tplc="CCCA09FE">
      <w:start w:val="1"/>
      <w:numFmt w:val="bullet"/>
      <w:lvlText w:val="•"/>
      <w:lvlJc w:val="left"/>
      <w:pPr>
        <w:ind w:left="1904" w:hanging="360"/>
      </w:pPr>
      <w:rPr>
        <w:rFonts w:hint="default"/>
      </w:rPr>
    </w:lvl>
    <w:lvl w:ilvl="3" w:tplc="D3BA3ED8">
      <w:start w:val="1"/>
      <w:numFmt w:val="bullet"/>
      <w:lvlText w:val="•"/>
      <w:lvlJc w:val="left"/>
      <w:pPr>
        <w:ind w:left="2625" w:hanging="360"/>
      </w:pPr>
      <w:rPr>
        <w:rFonts w:hint="default"/>
      </w:rPr>
    </w:lvl>
    <w:lvl w:ilvl="4" w:tplc="66AAF6C8">
      <w:start w:val="1"/>
      <w:numFmt w:val="bullet"/>
      <w:lvlText w:val="•"/>
      <w:lvlJc w:val="left"/>
      <w:pPr>
        <w:ind w:left="3346" w:hanging="360"/>
      </w:pPr>
      <w:rPr>
        <w:rFonts w:hint="default"/>
      </w:rPr>
    </w:lvl>
    <w:lvl w:ilvl="5" w:tplc="0A6AD254">
      <w:start w:val="1"/>
      <w:numFmt w:val="bullet"/>
      <w:lvlText w:val="•"/>
      <w:lvlJc w:val="left"/>
      <w:pPr>
        <w:ind w:left="4067" w:hanging="360"/>
      </w:pPr>
      <w:rPr>
        <w:rFonts w:hint="default"/>
      </w:rPr>
    </w:lvl>
    <w:lvl w:ilvl="6" w:tplc="839EB706">
      <w:start w:val="1"/>
      <w:numFmt w:val="bullet"/>
      <w:lvlText w:val="•"/>
      <w:lvlJc w:val="left"/>
      <w:pPr>
        <w:ind w:left="4788" w:hanging="360"/>
      </w:pPr>
      <w:rPr>
        <w:rFonts w:hint="default"/>
      </w:rPr>
    </w:lvl>
    <w:lvl w:ilvl="7" w:tplc="0D664532">
      <w:start w:val="1"/>
      <w:numFmt w:val="bullet"/>
      <w:lvlText w:val="•"/>
      <w:lvlJc w:val="left"/>
      <w:pPr>
        <w:ind w:left="5509" w:hanging="360"/>
      </w:pPr>
      <w:rPr>
        <w:rFonts w:hint="default"/>
      </w:rPr>
    </w:lvl>
    <w:lvl w:ilvl="8" w:tplc="1B4A2E82">
      <w:start w:val="1"/>
      <w:numFmt w:val="bullet"/>
      <w:lvlText w:val="•"/>
      <w:lvlJc w:val="left"/>
      <w:pPr>
        <w:ind w:left="6230" w:hanging="360"/>
      </w:pPr>
      <w:rPr>
        <w:rFonts w:hint="default"/>
      </w:rPr>
    </w:lvl>
  </w:abstractNum>
  <w:abstractNum w:abstractNumId="14" w15:restartNumberingAfterBreak="0">
    <w:nsid w:val="1D340CF7"/>
    <w:multiLevelType w:val="multilevel"/>
    <w:tmpl w:val="331AB412"/>
    <w:lvl w:ilvl="0">
      <w:start w:val="2"/>
      <w:numFmt w:val="upperRoman"/>
      <w:lvlText w:val="%1"/>
      <w:lvlJc w:val="left"/>
      <w:pPr>
        <w:ind w:left="972" w:hanging="848"/>
      </w:pPr>
      <w:rPr>
        <w:rFonts w:hint="default"/>
      </w:rPr>
    </w:lvl>
    <w:lvl w:ilvl="1">
      <w:start w:val="3"/>
      <w:numFmt w:val="decimal"/>
      <w:lvlText w:val="%1.%2"/>
      <w:lvlJc w:val="left"/>
      <w:pPr>
        <w:ind w:left="972" w:hanging="848"/>
      </w:pPr>
      <w:rPr>
        <w:rFonts w:hint="default"/>
      </w:rPr>
    </w:lvl>
    <w:lvl w:ilvl="2">
      <w:start w:val="4"/>
      <w:numFmt w:val="decimal"/>
      <w:lvlText w:val="%1.%2.%3"/>
      <w:lvlJc w:val="left"/>
      <w:pPr>
        <w:ind w:left="972" w:hanging="848"/>
      </w:pPr>
      <w:rPr>
        <w:rFonts w:hint="default"/>
      </w:rPr>
    </w:lvl>
    <w:lvl w:ilvl="3">
      <w:start w:val="1"/>
      <w:numFmt w:val="decimal"/>
      <w:lvlText w:val="%1.%2.%3.%4."/>
      <w:lvlJc w:val="left"/>
      <w:pPr>
        <w:ind w:left="972" w:hanging="848"/>
      </w:pPr>
      <w:rPr>
        <w:rFonts w:ascii="Times New Roman" w:eastAsia="Times New Roman" w:hAnsi="Times New Roman" w:hint="default"/>
        <w:b/>
        <w:bCs/>
        <w:sz w:val="24"/>
        <w:szCs w:val="24"/>
      </w:rPr>
    </w:lvl>
    <w:lvl w:ilvl="4">
      <w:start w:val="1"/>
      <w:numFmt w:val="bullet"/>
      <w:lvlText w:val="•"/>
      <w:lvlJc w:val="left"/>
      <w:pPr>
        <w:ind w:left="4482" w:hanging="848"/>
      </w:pPr>
      <w:rPr>
        <w:rFonts w:hint="default"/>
      </w:rPr>
    </w:lvl>
    <w:lvl w:ilvl="5">
      <w:start w:val="1"/>
      <w:numFmt w:val="bullet"/>
      <w:lvlText w:val="•"/>
      <w:lvlJc w:val="left"/>
      <w:pPr>
        <w:ind w:left="5359" w:hanging="848"/>
      </w:pPr>
      <w:rPr>
        <w:rFonts w:hint="default"/>
      </w:rPr>
    </w:lvl>
    <w:lvl w:ilvl="6">
      <w:start w:val="1"/>
      <w:numFmt w:val="bullet"/>
      <w:lvlText w:val="•"/>
      <w:lvlJc w:val="left"/>
      <w:pPr>
        <w:ind w:left="6236" w:hanging="848"/>
      </w:pPr>
      <w:rPr>
        <w:rFonts w:hint="default"/>
      </w:rPr>
    </w:lvl>
    <w:lvl w:ilvl="7">
      <w:start w:val="1"/>
      <w:numFmt w:val="bullet"/>
      <w:lvlText w:val="•"/>
      <w:lvlJc w:val="left"/>
      <w:pPr>
        <w:ind w:left="7114" w:hanging="848"/>
      </w:pPr>
      <w:rPr>
        <w:rFonts w:hint="default"/>
      </w:rPr>
    </w:lvl>
    <w:lvl w:ilvl="8">
      <w:start w:val="1"/>
      <w:numFmt w:val="bullet"/>
      <w:lvlText w:val="•"/>
      <w:lvlJc w:val="left"/>
      <w:pPr>
        <w:ind w:left="7991" w:hanging="848"/>
      </w:pPr>
      <w:rPr>
        <w:rFonts w:hint="default"/>
      </w:rPr>
    </w:lvl>
  </w:abstractNum>
  <w:abstractNum w:abstractNumId="15" w15:restartNumberingAfterBreak="0">
    <w:nsid w:val="1EC363BC"/>
    <w:multiLevelType w:val="hybridMultilevel"/>
    <w:tmpl w:val="D7DA7EBC"/>
    <w:lvl w:ilvl="0" w:tplc="930CA2B4">
      <w:start w:val="11"/>
      <w:numFmt w:val="decimal"/>
      <w:lvlText w:val="%1"/>
      <w:lvlJc w:val="left"/>
      <w:pPr>
        <w:ind w:left="305" w:hanging="180"/>
      </w:pPr>
      <w:rPr>
        <w:rFonts w:ascii="Times New Roman" w:eastAsia="Times New Roman" w:hAnsi="Times New Roman" w:hint="default"/>
        <w:w w:val="99"/>
        <w:position w:val="7"/>
        <w:sz w:val="13"/>
        <w:szCs w:val="13"/>
      </w:rPr>
    </w:lvl>
    <w:lvl w:ilvl="1" w:tplc="5736053E">
      <w:start w:val="1"/>
      <w:numFmt w:val="bullet"/>
      <w:lvlText w:val="-"/>
      <w:lvlJc w:val="left"/>
      <w:pPr>
        <w:ind w:left="1185" w:hanging="360"/>
      </w:pPr>
      <w:rPr>
        <w:rFonts w:ascii="Calibri" w:eastAsia="Calibri" w:hAnsi="Calibri" w:hint="default"/>
        <w:sz w:val="24"/>
        <w:szCs w:val="24"/>
      </w:rPr>
    </w:lvl>
    <w:lvl w:ilvl="2" w:tplc="8CAC3C5C">
      <w:start w:val="1"/>
      <w:numFmt w:val="bullet"/>
      <w:lvlText w:val="•"/>
      <w:lvlJc w:val="left"/>
      <w:pPr>
        <w:ind w:left="2134" w:hanging="360"/>
      </w:pPr>
      <w:rPr>
        <w:rFonts w:hint="default"/>
      </w:rPr>
    </w:lvl>
    <w:lvl w:ilvl="3" w:tplc="1BC0F7DC">
      <w:start w:val="1"/>
      <w:numFmt w:val="bullet"/>
      <w:lvlText w:val="•"/>
      <w:lvlJc w:val="left"/>
      <w:pPr>
        <w:ind w:left="3083" w:hanging="360"/>
      </w:pPr>
      <w:rPr>
        <w:rFonts w:hint="default"/>
      </w:rPr>
    </w:lvl>
    <w:lvl w:ilvl="4" w:tplc="5A84F150">
      <w:start w:val="1"/>
      <w:numFmt w:val="bullet"/>
      <w:lvlText w:val="•"/>
      <w:lvlJc w:val="left"/>
      <w:pPr>
        <w:ind w:left="4032" w:hanging="360"/>
      </w:pPr>
      <w:rPr>
        <w:rFonts w:hint="default"/>
      </w:rPr>
    </w:lvl>
    <w:lvl w:ilvl="5" w:tplc="32265008">
      <w:start w:val="1"/>
      <w:numFmt w:val="bullet"/>
      <w:lvlText w:val="•"/>
      <w:lvlJc w:val="left"/>
      <w:pPr>
        <w:ind w:left="4981" w:hanging="360"/>
      </w:pPr>
      <w:rPr>
        <w:rFonts w:hint="default"/>
      </w:rPr>
    </w:lvl>
    <w:lvl w:ilvl="6" w:tplc="A4ACDE82">
      <w:start w:val="1"/>
      <w:numFmt w:val="bullet"/>
      <w:lvlText w:val="•"/>
      <w:lvlJc w:val="left"/>
      <w:pPr>
        <w:ind w:left="5930" w:hanging="360"/>
      </w:pPr>
      <w:rPr>
        <w:rFonts w:hint="default"/>
      </w:rPr>
    </w:lvl>
    <w:lvl w:ilvl="7" w:tplc="C280480E">
      <w:start w:val="1"/>
      <w:numFmt w:val="bullet"/>
      <w:lvlText w:val="•"/>
      <w:lvlJc w:val="left"/>
      <w:pPr>
        <w:ind w:left="6879" w:hanging="360"/>
      </w:pPr>
      <w:rPr>
        <w:rFonts w:hint="default"/>
      </w:rPr>
    </w:lvl>
    <w:lvl w:ilvl="8" w:tplc="BD226EB6">
      <w:start w:val="1"/>
      <w:numFmt w:val="bullet"/>
      <w:lvlText w:val="•"/>
      <w:lvlJc w:val="left"/>
      <w:pPr>
        <w:ind w:left="7828" w:hanging="360"/>
      </w:pPr>
      <w:rPr>
        <w:rFonts w:hint="default"/>
      </w:rPr>
    </w:lvl>
  </w:abstractNum>
  <w:abstractNum w:abstractNumId="16" w15:restartNumberingAfterBreak="0">
    <w:nsid w:val="1F897A88"/>
    <w:multiLevelType w:val="hybridMultilevel"/>
    <w:tmpl w:val="2E22172A"/>
    <w:lvl w:ilvl="0" w:tplc="0D8E5CD8">
      <w:start w:val="1"/>
      <w:numFmt w:val="bullet"/>
      <w:lvlText w:val="-"/>
      <w:lvlJc w:val="left"/>
      <w:pPr>
        <w:ind w:left="825" w:hanging="360"/>
      </w:pPr>
      <w:rPr>
        <w:rFonts w:ascii="Times New Roman" w:eastAsia="Times New Roman" w:hAnsi="Times New Roman" w:hint="default"/>
        <w:sz w:val="24"/>
        <w:szCs w:val="24"/>
      </w:rPr>
    </w:lvl>
    <w:lvl w:ilvl="1" w:tplc="29C49AE8">
      <w:start w:val="1"/>
      <w:numFmt w:val="bullet"/>
      <w:lvlText w:val="•"/>
      <w:lvlJc w:val="left"/>
      <w:pPr>
        <w:ind w:left="1715" w:hanging="360"/>
      </w:pPr>
      <w:rPr>
        <w:rFonts w:hint="default"/>
      </w:rPr>
    </w:lvl>
    <w:lvl w:ilvl="2" w:tplc="2C24D864">
      <w:start w:val="1"/>
      <w:numFmt w:val="bullet"/>
      <w:lvlText w:val="•"/>
      <w:lvlJc w:val="left"/>
      <w:pPr>
        <w:ind w:left="2605" w:hanging="360"/>
      </w:pPr>
      <w:rPr>
        <w:rFonts w:hint="default"/>
      </w:rPr>
    </w:lvl>
    <w:lvl w:ilvl="3" w:tplc="046C0F76">
      <w:start w:val="1"/>
      <w:numFmt w:val="bullet"/>
      <w:lvlText w:val="•"/>
      <w:lvlJc w:val="left"/>
      <w:pPr>
        <w:ind w:left="3495" w:hanging="360"/>
      </w:pPr>
      <w:rPr>
        <w:rFonts w:hint="default"/>
      </w:rPr>
    </w:lvl>
    <w:lvl w:ilvl="4" w:tplc="6D8291E2">
      <w:start w:val="1"/>
      <w:numFmt w:val="bullet"/>
      <w:lvlText w:val="•"/>
      <w:lvlJc w:val="left"/>
      <w:pPr>
        <w:ind w:left="4385" w:hanging="360"/>
      </w:pPr>
      <w:rPr>
        <w:rFonts w:hint="default"/>
      </w:rPr>
    </w:lvl>
    <w:lvl w:ilvl="5" w:tplc="F2FA1302">
      <w:start w:val="1"/>
      <w:numFmt w:val="bullet"/>
      <w:lvlText w:val="•"/>
      <w:lvlJc w:val="left"/>
      <w:pPr>
        <w:ind w:left="5275" w:hanging="360"/>
      </w:pPr>
      <w:rPr>
        <w:rFonts w:hint="default"/>
      </w:rPr>
    </w:lvl>
    <w:lvl w:ilvl="6" w:tplc="B6F2E642">
      <w:start w:val="1"/>
      <w:numFmt w:val="bullet"/>
      <w:lvlText w:val="•"/>
      <w:lvlJc w:val="left"/>
      <w:pPr>
        <w:ind w:left="6165" w:hanging="360"/>
      </w:pPr>
      <w:rPr>
        <w:rFonts w:hint="default"/>
      </w:rPr>
    </w:lvl>
    <w:lvl w:ilvl="7" w:tplc="1F36C78C">
      <w:start w:val="1"/>
      <w:numFmt w:val="bullet"/>
      <w:lvlText w:val="•"/>
      <w:lvlJc w:val="left"/>
      <w:pPr>
        <w:ind w:left="7056" w:hanging="360"/>
      </w:pPr>
      <w:rPr>
        <w:rFonts w:hint="default"/>
      </w:rPr>
    </w:lvl>
    <w:lvl w:ilvl="8" w:tplc="E9700C80">
      <w:start w:val="1"/>
      <w:numFmt w:val="bullet"/>
      <w:lvlText w:val="•"/>
      <w:lvlJc w:val="left"/>
      <w:pPr>
        <w:ind w:left="7946" w:hanging="360"/>
      </w:pPr>
      <w:rPr>
        <w:rFonts w:hint="default"/>
      </w:rPr>
    </w:lvl>
  </w:abstractNum>
  <w:abstractNum w:abstractNumId="17" w15:restartNumberingAfterBreak="0">
    <w:nsid w:val="1FBB7946"/>
    <w:multiLevelType w:val="hybridMultilevel"/>
    <w:tmpl w:val="76CCF2BA"/>
    <w:lvl w:ilvl="0" w:tplc="5184C13E">
      <w:start w:val="19"/>
      <w:numFmt w:val="decimal"/>
      <w:lvlText w:val="%1"/>
      <w:lvlJc w:val="left"/>
      <w:pPr>
        <w:ind w:left="125" w:hanging="180"/>
      </w:pPr>
      <w:rPr>
        <w:rFonts w:ascii="Times New Roman" w:eastAsia="Times New Roman" w:hAnsi="Times New Roman" w:hint="default"/>
        <w:w w:val="99"/>
        <w:position w:val="7"/>
        <w:sz w:val="13"/>
        <w:szCs w:val="13"/>
      </w:rPr>
    </w:lvl>
    <w:lvl w:ilvl="1" w:tplc="1264D3E2">
      <w:start w:val="1"/>
      <w:numFmt w:val="bullet"/>
      <w:lvlText w:val="•"/>
      <w:lvlJc w:val="left"/>
      <w:pPr>
        <w:ind w:left="1087" w:hanging="180"/>
      </w:pPr>
      <w:rPr>
        <w:rFonts w:hint="default"/>
      </w:rPr>
    </w:lvl>
    <w:lvl w:ilvl="2" w:tplc="2D10372A">
      <w:start w:val="1"/>
      <w:numFmt w:val="bullet"/>
      <w:lvlText w:val="•"/>
      <w:lvlJc w:val="left"/>
      <w:pPr>
        <w:ind w:left="2049" w:hanging="180"/>
      </w:pPr>
      <w:rPr>
        <w:rFonts w:hint="default"/>
      </w:rPr>
    </w:lvl>
    <w:lvl w:ilvl="3" w:tplc="96920E92">
      <w:start w:val="1"/>
      <w:numFmt w:val="bullet"/>
      <w:lvlText w:val="•"/>
      <w:lvlJc w:val="left"/>
      <w:pPr>
        <w:ind w:left="3011" w:hanging="180"/>
      </w:pPr>
      <w:rPr>
        <w:rFonts w:hint="default"/>
      </w:rPr>
    </w:lvl>
    <w:lvl w:ilvl="4" w:tplc="69E4C736">
      <w:start w:val="1"/>
      <w:numFmt w:val="bullet"/>
      <w:lvlText w:val="•"/>
      <w:lvlJc w:val="left"/>
      <w:pPr>
        <w:ind w:left="3973" w:hanging="180"/>
      </w:pPr>
      <w:rPr>
        <w:rFonts w:hint="default"/>
      </w:rPr>
    </w:lvl>
    <w:lvl w:ilvl="5" w:tplc="F3361416">
      <w:start w:val="1"/>
      <w:numFmt w:val="bullet"/>
      <w:lvlText w:val="•"/>
      <w:lvlJc w:val="left"/>
      <w:pPr>
        <w:ind w:left="4935" w:hanging="180"/>
      </w:pPr>
      <w:rPr>
        <w:rFonts w:hint="default"/>
      </w:rPr>
    </w:lvl>
    <w:lvl w:ilvl="6" w:tplc="F9667ECE">
      <w:start w:val="1"/>
      <w:numFmt w:val="bullet"/>
      <w:lvlText w:val="•"/>
      <w:lvlJc w:val="left"/>
      <w:pPr>
        <w:ind w:left="5897" w:hanging="180"/>
      </w:pPr>
      <w:rPr>
        <w:rFonts w:hint="default"/>
      </w:rPr>
    </w:lvl>
    <w:lvl w:ilvl="7" w:tplc="0B78631C">
      <w:start w:val="1"/>
      <w:numFmt w:val="bullet"/>
      <w:lvlText w:val="•"/>
      <w:lvlJc w:val="left"/>
      <w:pPr>
        <w:ind w:left="6860" w:hanging="180"/>
      </w:pPr>
      <w:rPr>
        <w:rFonts w:hint="default"/>
      </w:rPr>
    </w:lvl>
    <w:lvl w:ilvl="8" w:tplc="B3566CFC">
      <w:start w:val="1"/>
      <w:numFmt w:val="bullet"/>
      <w:lvlText w:val="•"/>
      <w:lvlJc w:val="left"/>
      <w:pPr>
        <w:ind w:left="7822" w:hanging="180"/>
      </w:pPr>
      <w:rPr>
        <w:rFonts w:hint="default"/>
      </w:rPr>
    </w:lvl>
  </w:abstractNum>
  <w:abstractNum w:abstractNumId="18" w15:restartNumberingAfterBreak="0">
    <w:nsid w:val="21125FE1"/>
    <w:multiLevelType w:val="hybridMultilevel"/>
    <w:tmpl w:val="15B4DDFE"/>
    <w:lvl w:ilvl="0" w:tplc="E6BA16F8">
      <w:start w:val="1"/>
      <w:numFmt w:val="decimal"/>
      <w:lvlText w:val="%1."/>
      <w:lvlJc w:val="left"/>
      <w:pPr>
        <w:ind w:left="818" w:hanging="356"/>
      </w:pPr>
      <w:rPr>
        <w:rFonts w:ascii="Times New Roman" w:eastAsia="Times New Roman" w:hAnsi="Times New Roman" w:hint="default"/>
        <w:sz w:val="24"/>
        <w:szCs w:val="24"/>
      </w:rPr>
    </w:lvl>
    <w:lvl w:ilvl="1" w:tplc="6AEA1C96">
      <w:start w:val="1"/>
      <w:numFmt w:val="bullet"/>
      <w:lvlText w:val="-"/>
      <w:lvlJc w:val="left"/>
      <w:pPr>
        <w:ind w:left="1545" w:hanging="360"/>
      </w:pPr>
      <w:rPr>
        <w:rFonts w:ascii="Times New Roman" w:eastAsia="Times New Roman" w:hAnsi="Times New Roman" w:hint="default"/>
        <w:sz w:val="24"/>
        <w:szCs w:val="24"/>
      </w:rPr>
    </w:lvl>
    <w:lvl w:ilvl="2" w:tplc="F4B80166">
      <w:start w:val="1"/>
      <w:numFmt w:val="bullet"/>
      <w:lvlText w:val="•"/>
      <w:lvlJc w:val="left"/>
      <w:pPr>
        <w:ind w:left="2454" w:hanging="360"/>
      </w:pPr>
      <w:rPr>
        <w:rFonts w:hint="default"/>
      </w:rPr>
    </w:lvl>
    <w:lvl w:ilvl="3" w:tplc="0E009916">
      <w:start w:val="1"/>
      <w:numFmt w:val="bullet"/>
      <w:lvlText w:val="•"/>
      <w:lvlJc w:val="left"/>
      <w:pPr>
        <w:ind w:left="3363" w:hanging="360"/>
      </w:pPr>
      <w:rPr>
        <w:rFonts w:hint="default"/>
      </w:rPr>
    </w:lvl>
    <w:lvl w:ilvl="4" w:tplc="662E52B0">
      <w:start w:val="1"/>
      <w:numFmt w:val="bullet"/>
      <w:lvlText w:val="•"/>
      <w:lvlJc w:val="left"/>
      <w:pPr>
        <w:ind w:left="4272" w:hanging="360"/>
      </w:pPr>
      <w:rPr>
        <w:rFonts w:hint="default"/>
      </w:rPr>
    </w:lvl>
    <w:lvl w:ilvl="5" w:tplc="8514EB9A">
      <w:start w:val="1"/>
      <w:numFmt w:val="bullet"/>
      <w:lvlText w:val="•"/>
      <w:lvlJc w:val="left"/>
      <w:pPr>
        <w:ind w:left="5181" w:hanging="360"/>
      </w:pPr>
      <w:rPr>
        <w:rFonts w:hint="default"/>
      </w:rPr>
    </w:lvl>
    <w:lvl w:ilvl="6" w:tplc="13D0667C">
      <w:start w:val="1"/>
      <w:numFmt w:val="bullet"/>
      <w:lvlText w:val="•"/>
      <w:lvlJc w:val="left"/>
      <w:pPr>
        <w:ind w:left="6090" w:hanging="360"/>
      </w:pPr>
      <w:rPr>
        <w:rFonts w:hint="default"/>
      </w:rPr>
    </w:lvl>
    <w:lvl w:ilvl="7" w:tplc="384C1F9C">
      <w:start w:val="1"/>
      <w:numFmt w:val="bullet"/>
      <w:lvlText w:val="•"/>
      <w:lvlJc w:val="left"/>
      <w:pPr>
        <w:ind w:left="6999" w:hanging="360"/>
      </w:pPr>
      <w:rPr>
        <w:rFonts w:hint="default"/>
      </w:rPr>
    </w:lvl>
    <w:lvl w:ilvl="8" w:tplc="049C2B82">
      <w:start w:val="1"/>
      <w:numFmt w:val="bullet"/>
      <w:lvlText w:val="•"/>
      <w:lvlJc w:val="left"/>
      <w:pPr>
        <w:ind w:left="7908" w:hanging="360"/>
      </w:pPr>
      <w:rPr>
        <w:rFonts w:hint="default"/>
      </w:rPr>
    </w:lvl>
  </w:abstractNum>
  <w:abstractNum w:abstractNumId="19" w15:restartNumberingAfterBreak="0">
    <w:nsid w:val="214351BC"/>
    <w:multiLevelType w:val="hybridMultilevel"/>
    <w:tmpl w:val="E0361622"/>
    <w:lvl w:ilvl="0" w:tplc="5518E8B0">
      <w:start w:val="1"/>
      <w:numFmt w:val="lowerRoman"/>
      <w:lvlText w:val="%1)"/>
      <w:lvlJc w:val="left"/>
      <w:pPr>
        <w:ind w:left="272" w:hanging="148"/>
      </w:pPr>
      <w:rPr>
        <w:rFonts w:hint="default"/>
        <w:u w:val="thick" w:color="000000"/>
      </w:rPr>
    </w:lvl>
    <w:lvl w:ilvl="1" w:tplc="34F038A6">
      <w:start w:val="1"/>
      <w:numFmt w:val="bullet"/>
      <w:lvlText w:val="•"/>
      <w:lvlJc w:val="left"/>
      <w:pPr>
        <w:ind w:left="1219" w:hanging="148"/>
      </w:pPr>
      <w:rPr>
        <w:rFonts w:hint="default"/>
      </w:rPr>
    </w:lvl>
    <w:lvl w:ilvl="2" w:tplc="B9B865D4">
      <w:start w:val="1"/>
      <w:numFmt w:val="bullet"/>
      <w:lvlText w:val="•"/>
      <w:lvlJc w:val="left"/>
      <w:pPr>
        <w:ind w:left="2167" w:hanging="148"/>
      </w:pPr>
      <w:rPr>
        <w:rFonts w:hint="default"/>
      </w:rPr>
    </w:lvl>
    <w:lvl w:ilvl="3" w:tplc="10502D4A">
      <w:start w:val="1"/>
      <w:numFmt w:val="bullet"/>
      <w:lvlText w:val="•"/>
      <w:lvlJc w:val="left"/>
      <w:pPr>
        <w:ind w:left="3114" w:hanging="148"/>
      </w:pPr>
      <w:rPr>
        <w:rFonts w:hint="default"/>
      </w:rPr>
    </w:lvl>
    <w:lvl w:ilvl="4" w:tplc="FE385836">
      <w:start w:val="1"/>
      <w:numFmt w:val="bullet"/>
      <w:lvlText w:val="•"/>
      <w:lvlJc w:val="left"/>
      <w:pPr>
        <w:ind w:left="4062" w:hanging="148"/>
      </w:pPr>
      <w:rPr>
        <w:rFonts w:hint="default"/>
      </w:rPr>
    </w:lvl>
    <w:lvl w:ilvl="5" w:tplc="77C67B4E">
      <w:start w:val="1"/>
      <w:numFmt w:val="bullet"/>
      <w:lvlText w:val="•"/>
      <w:lvlJc w:val="left"/>
      <w:pPr>
        <w:ind w:left="5009" w:hanging="148"/>
      </w:pPr>
      <w:rPr>
        <w:rFonts w:hint="default"/>
      </w:rPr>
    </w:lvl>
    <w:lvl w:ilvl="6" w:tplc="D20C9C28">
      <w:start w:val="1"/>
      <w:numFmt w:val="bullet"/>
      <w:lvlText w:val="•"/>
      <w:lvlJc w:val="left"/>
      <w:pPr>
        <w:ind w:left="5956" w:hanging="148"/>
      </w:pPr>
      <w:rPr>
        <w:rFonts w:hint="default"/>
      </w:rPr>
    </w:lvl>
    <w:lvl w:ilvl="7" w:tplc="310E6CC6">
      <w:start w:val="1"/>
      <w:numFmt w:val="bullet"/>
      <w:lvlText w:val="•"/>
      <w:lvlJc w:val="left"/>
      <w:pPr>
        <w:ind w:left="6904" w:hanging="148"/>
      </w:pPr>
      <w:rPr>
        <w:rFonts w:hint="default"/>
      </w:rPr>
    </w:lvl>
    <w:lvl w:ilvl="8" w:tplc="5038E174">
      <w:start w:val="1"/>
      <w:numFmt w:val="bullet"/>
      <w:lvlText w:val="•"/>
      <w:lvlJc w:val="left"/>
      <w:pPr>
        <w:ind w:left="7851" w:hanging="148"/>
      </w:pPr>
      <w:rPr>
        <w:rFonts w:hint="default"/>
      </w:rPr>
    </w:lvl>
  </w:abstractNum>
  <w:abstractNum w:abstractNumId="20" w15:restartNumberingAfterBreak="0">
    <w:nsid w:val="21D51A17"/>
    <w:multiLevelType w:val="multilevel"/>
    <w:tmpl w:val="1362D84E"/>
    <w:lvl w:ilvl="0">
      <w:start w:val="3"/>
      <w:numFmt w:val="upperRoman"/>
      <w:lvlText w:val="%1"/>
      <w:lvlJc w:val="left"/>
      <w:pPr>
        <w:ind w:left="1046" w:hanging="941"/>
      </w:pPr>
      <w:rPr>
        <w:rFonts w:hint="default"/>
      </w:rPr>
    </w:lvl>
    <w:lvl w:ilvl="1">
      <w:start w:val="2"/>
      <w:numFmt w:val="decimal"/>
      <w:lvlText w:val="%1.%2"/>
      <w:lvlJc w:val="left"/>
      <w:pPr>
        <w:ind w:left="1046" w:hanging="941"/>
      </w:pPr>
      <w:rPr>
        <w:rFonts w:hint="default"/>
      </w:rPr>
    </w:lvl>
    <w:lvl w:ilvl="2">
      <w:start w:val="2"/>
      <w:numFmt w:val="decimal"/>
      <w:lvlText w:val="%1.%2.%3"/>
      <w:lvlJc w:val="left"/>
      <w:pPr>
        <w:ind w:left="1046" w:hanging="941"/>
      </w:pPr>
      <w:rPr>
        <w:rFonts w:hint="default"/>
      </w:rPr>
    </w:lvl>
    <w:lvl w:ilvl="3">
      <w:start w:val="1"/>
      <w:numFmt w:val="decimal"/>
      <w:lvlText w:val="%1.%2.%3.%4."/>
      <w:lvlJc w:val="left"/>
      <w:pPr>
        <w:ind w:left="1046" w:hanging="941"/>
      </w:pPr>
      <w:rPr>
        <w:rFonts w:ascii="Times New Roman" w:eastAsia="Times New Roman" w:hAnsi="Times New Roman" w:hint="default"/>
        <w:b/>
        <w:bCs/>
        <w:sz w:val="24"/>
        <w:szCs w:val="24"/>
      </w:rPr>
    </w:lvl>
    <w:lvl w:ilvl="4">
      <w:start w:val="1"/>
      <w:numFmt w:val="decimal"/>
      <w:lvlText w:val="%1.%2.%3.%4.%5."/>
      <w:lvlJc w:val="left"/>
      <w:pPr>
        <w:ind w:left="1226" w:hanging="1121"/>
      </w:pPr>
      <w:rPr>
        <w:rFonts w:ascii="Times New Roman" w:eastAsia="Times New Roman" w:hAnsi="Times New Roman" w:hint="default"/>
        <w:b/>
        <w:bCs/>
        <w:sz w:val="24"/>
        <w:szCs w:val="24"/>
      </w:rPr>
    </w:lvl>
    <w:lvl w:ilvl="5">
      <w:start w:val="1"/>
      <w:numFmt w:val="bullet"/>
      <w:lvlText w:val=""/>
      <w:lvlJc w:val="left"/>
      <w:pPr>
        <w:ind w:left="825" w:hanging="360"/>
      </w:pPr>
      <w:rPr>
        <w:rFonts w:ascii="Symbol" w:eastAsia="Symbol" w:hAnsi="Symbol" w:hint="default"/>
        <w:sz w:val="24"/>
        <w:szCs w:val="24"/>
      </w:rPr>
    </w:lvl>
    <w:lvl w:ilvl="6">
      <w:start w:val="1"/>
      <w:numFmt w:val="bullet"/>
      <w:lvlText w:val="•"/>
      <w:lvlJc w:val="left"/>
      <w:pPr>
        <w:ind w:left="5476" w:hanging="360"/>
      </w:pPr>
      <w:rPr>
        <w:rFonts w:hint="default"/>
      </w:rPr>
    </w:lvl>
    <w:lvl w:ilvl="7">
      <w:start w:val="1"/>
      <w:numFmt w:val="bullet"/>
      <w:lvlText w:val="•"/>
      <w:lvlJc w:val="left"/>
      <w:pPr>
        <w:ind w:left="6538" w:hanging="360"/>
      </w:pPr>
      <w:rPr>
        <w:rFonts w:hint="default"/>
      </w:rPr>
    </w:lvl>
    <w:lvl w:ilvl="8">
      <w:start w:val="1"/>
      <w:numFmt w:val="bullet"/>
      <w:lvlText w:val="•"/>
      <w:lvlJc w:val="left"/>
      <w:pPr>
        <w:ind w:left="7601" w:hanging="360"/>
      </w:pPr>
      <w:rPr>
        <w:rFonts w:hint="default"/>
      </w:rPr>
    </w:lvl>
  </w:abstractNum>
  <w:abstractNum w:abstractNumId="21" w15:restartNumberingAfterBreak="0">
    <w:nsid w:val="24B857B1"/>
    <w:multiLevelType w:val="hybridMultilevel"/>
    <w:tmpl w:val="DF3A40AE"/>
    <w:lvl w:ilvl="0" w:tplc="AA506C10">
      <w:start w:val="1"/>
      <w:numFmt w:val="bullet"/>
      <w:lvlText w:val="-"/>
      <w:lvlJc w:val="left"/>
      <w:pPr>
        <w:ind w:left="825" w:hanging="156"/>
      </w:pPr>
      <w:rPr>
        <w:rFonts w:ascii="Times New Roman" w:eastAsia="Times New Roman" w:hAnsi="Times New Roman" w:hint="default"/>
        <w:sz w:val="24"/>
        <w:szCs w:val="24"/>
      </w:rPr>
    </w:lvl>
    <w:lvl w:ilvl="1" w:tplc="17E4D8C4">
      <w:start w:val="1"/>
      <w:numFmt w:val="bullet"/>
      <w:lvlText w:val="•"/>
      <w:lvlJc w:val="left"/>
      <w:pPr>
        <w:ind w:left="1715" w:hanging="156"/>
      </w:pPr>
      <w:rPr>
        <w:rFonts w:hint="default"/>
      </w:rPr>
    </w:lvl>
    <w:lvl w:ilvl="2" w:tplc="5CF81C84">
      <w:start w:val="1"/>
      <w:numFmt w:val="bullet"/>
      <w:lvlText w:val="•"/>
      <w:lvlJc w:val="left"/>
      <w:pPr>
        <w:ind w:left="2605" w:hanging="156"/>
      </w:pPr>
      <w:rPr>
        <w:rFonts w:hint="default"/>
      </w:rPr>
    </w:lvl>
    <w:lvl w:ilvl="3" w:tplc="69E2705E">
      <w:start w:val="1"/>
      <w:numFmt w:val="bullet"/>
      <w:lvlText w:val="•"/>
      <w:lvlJc w:val="left"/>
      <w:pPr>
        <w:ind w:left="3495" w:hanging="156"/>
      </w:pPr>
      <w:rPr>
        <w:rFonts w:hint="default"/>
      </w:rPr>
    </w:lvl>
    <w:lvl w:ilvl="4" w:tplc="51CC69CC">
      <w:start w:val="1"/>
      <w:numFmt w:val="bullet"/>
      <w:lvlText w:val="•"/>
      <w:lvlJc w:val="left"/>
      <w:pPr>
        <w:ind w:left="4385" w:hanging="156"/>
      </w:pPr>
      <w:rPr>
        <w:rFonts w:hint="default"/>
      </w:rPr>
    </w:lvl>
    <w:lvl w:ilvl="5" w:tplc="1F8CB1CA">
      <w:start w:val="1"/>
      <w:numFmt w:val="bullet"/>
      <w:lvlText w:val="•"/>
      <w:lvlJc w:val="left"/>
      <w:pPr>
        <w:ind w:left="5275" w:hanging="156"/>
      </w:pPr>
      <w:rPr>
        <w:rFonts w:hint="default"/>
      </w:rPr>
    </w:lvl>
    <w:lvl w:ilvl="6" w:tplc="29144D3A">
      <w:start w:val="1"/>
      <w:numFmt w:val="bullet"/>
      <w:lvlText w:val="•"/>
      <w:lvlJc w:val="left"/>
      <w:pPr>
        <w:ind w:left="6165" w:hanging="156"/>
      </w:pPr>
      <w:rPr>
        <w:rFonts w:hint="default"/>
      </w:rPr>
    </w:lvl>
    <w:lvl w:ilvl="7" w:tplc="1116EB28">
      <w:start w:val="1"/>
      <w:numFmt w:val="bullet"/>
      <w:lvlText w:val="•"/>
      <w:lvlJc w:val="left"/>
      <w:pPr>
        <w:ind w:left="7056" w:hanging="156"/>
      </w:pPr>
      <w:rPr>
        <w:rFonts w:hint="default"/>
      </w:rPr>
    </w:lvl>
    <w:lvl w:ilvl="8" w:tplc="DAF81CC0">
      <w:start w:val="1"/>
      <w:numFmt w:val="bullet"/>
      <w:lvlText w:val="•"/>
      <w:lvlJc w:val="left"/>
      <w:pPr>
        <w:ind w:left="7946" w:hanging="156"/>
      </w:pPr>
      <w:rPr>
        <w:rFonts w:hint="default"/>
      </w:rPr>
    </w:lvl>
  </w:abstractNum>
  <w:abstractNum w:abstractNumId="22" w15:restartNumberingAfterBreak="0">
    <w:nsid w:val="257D64AA"/>
    <w:multiLevelType w:val="multilevel"/>
    <w:tmpl w:val="14C42AB8"/>
    <w:lvl w:ilvl="0">
      <w:start w:val="3"/>
      <w:numFmt w:val="upperRoman"/>
      <w:lvlText w:val="%1"/>
      <w:lvlJc w:val="left"/>
      <w:pPr>
        <w:ind w:left="1406" w:hanging="1301"/>
      </w:pPr>
      <w:rPr>
        <w:rFonts w:hint="default"/>
      </w:rPr>
    </w:lvl>
    <w:lvl w:ilvl="1">
      <w:start w:val="2"/>
      <w:numFmt w:val="decimal"/>
      <w:lvlText w:val="%1.%2"/>
      <w:lvlJc w:val="left"/>
      <w:pPr>
        <w:ind w:left="1406" w:hanging="1301"/>
      </w:pPr>
      <w:rPr>
        <w:rFonts w:hint="default"/>
      </w:rPr>
    </w:lvl>
    <w:lvl w:ilvl="2">
      <w:start w:val="2"/>
      <w:numFmt w:val="decimal"/>
      <w:lvlText w:val="%1.%2.%3"/>
      <w:lvlJc w:val="left"/>
      <w:pPr>
        <w:ind w:left="1406" w:hanging="1301"/>
      </w:pPr>
      <w:rPr>
        <w:rFonts w:hint="default"/>
      </w:rPr>
    </w:lvl>
    <w:lvl w:ilvl="3">
      <w:start w:val="1"/>
      <w:numFmt w:val="decimal"/>
      <w:lvlText w:val="%1.%2.%3.%4"/>
      <w:lvlJc w:val="left"/>
      <w:pPr>
        <w:ind w:left="1406" w:hanging="1301"/>
      </w:pPr>
      <w:rPr>
        <w:rFonts w:hint="default"/>
      </w:rPr>
    </w:lvl>
    <w:lvl w:ilvl="4">
      <w:start w:val="1"/>
      <w:numFmt w:val="decimal"/>
      <w:lvlText w:val="%1.%2.%3.%4.%5"/>
      <w:lvlJc w:val="left"/>
      <w:pPr>
        <w:ind w:left="1406" w:hanging="1301"/>
      </w:pPr>
      <w:rPr>
        <w:rFonts w:hint="default"/>
      </w:rPr>
    </w:lvl>
    <w:lvl w:ilvl="5">
      <w:start w:val="1"/>
      <w:numFmt w:val="decimal"/>
      <w:lvlText w:val="%1.%2.%3.%4.%5.%6."/>
      <w:lvlJc w:val="left"/>
      <w:pPr>
        <w:ind w:left="1406" w:hanging="1301"/>
      </w:pPr>
      <w:rPr>
        <w:rFonts w:ascii="Times New Roman" w:eastAsia="Times New Roman" w:hAnsi="Times New Roman" w:hint="default"/>
        <w:b/>
        <w:bCs/>
        <w:sz w:val="24"/>
        <w:szCs w:val="24"/>
      </w:rPr>
    </w:lvl>
    <w:lvl w:ilvl="6">
      <w:start w:val="1"/>
      <w:numFmt w:val="bullet"/>
      <w:lvlText w:val=""/>
      <w:lvlJc w:val="left"/>
      <w:pPr>
        <w:ind w:left="945" w:hanging="358"/>
      </w:pPr>
      <w:rPr>
        <w:rFonts w:ascii="Symbol" w:eastAsia="Symbol" w:hAnsi="Symbol" w:hint="default"/>
        <w:sz w:val="24"/>
        <w:szCs w:val="24"/>
      </w:rPr>
    </w:lvl>
    <w:lvl w:ilvl="7">
      <w:start w:val="1"/>
      <w:numFmt w:val="bullet"/>
      <w:lvlText w:val="•"/>
      <w:lvlJc w:val="left"/>
      <w:pPr>
        <w:ind w:left="6952" w:hanging="358"/>
      </w:pPr>
      <w:rPr>
        <w:rFonts w:hint="default"/>
      </w:rPr>
    </w:lvl>
    <w:lvl w:ilvl="8">
      <w:start w:val="1"/>
      <w:numFmt w:val="bullet"/>
      <w:lvlText w:val="•"/>
      <w:lvlJc w:val="left"/>
      <w:pPr>
        <w:ind w:left="7877" w:hanging="358"/>
      </w:pPr>
      <w:rPr>
        <w:rFonts w:hint="default"/>
      </w:rPr>
    </w:lvl>
  </w:abstractNum>
  <w:abstractNum w:abstractNumId="23" w15:restartNumberingAfterBreak="0">
    <w:nsid w:val="277743A2"/>
    <w:multiLevelType w:val="hybridMultilevel"/>
    <w:tmpl w:val="DDE891F8"/>
    <w:lvl w:ilvl="0" w:tplc="46906B20">
      <w:start w:val="1"/>
      <w:numFmt w:val="bullet"/>
      <w:lvlText w:val=""/>
      <w:lvlJc w:val="left"/>
      <w:pPr>
        <w:ind w:left="125" w:hanging="363"/>
      </w:pPr>
      <w:rPr>
        <w:rFonts w:ascii="Symbol" w:eastAsia="Symbol" w:hAnsi="Symbol" w:hint="default"/>
        <w:sz w:val="23"/>
        <w:szCs w:val="23"/>
      </w:rPr>
    </w:lvl>
    <w:lvl w:ilvl="1" w:tplc="06322BDC">
      <w:start w:val="1"/>
      <w:numFmt w:val="bullet"/>
      <w:lvlText w:val="•"/>
      <w:lvlJc w:val="left"/>
      <w:pPr>
        <w:ind w:left="1087" w:hanging="363"/>
      </w:pPr>
      <w:rPr>
        <w:rFonts w:hint="default"/>
      </w:rPr>
    </w:lvl>
    <w:lvl w:ilvl="2" w:tplc="0CFC8948">
      <w:start w:val="1"/>
      <w:numFmt w:val="bullet"/>
      <w:lvlText w:val="•"/>
      <w:lvlJc w:val="left"/>
      <w:pPr>
        <w:ind w:left="2049" w:hanging="363"/>
      </w:pPr>
      <w:rPr>
        <w:rFonts w:hint="default"/>
      </w:rPr>
    </w:lvl>
    <w:lvl w:ilvl="3" w:tplc="2A545A44">
      <w:start w:val="1"/>
      <w:numFmt w:val="bullet"/>
      <w:lvlText w:val="•"/>
      <w:lvlJc w:val="left"/>
      <w:pPr>
        <w:ind w:left="3011" w:hanging="363"/>
      </w:pPr>
      <w:rPr>
        <w:rFonts w:hint="default"/>
      </w:rPr>
    </w:lvl>
    <w:lvl w:ilvl="4" w:tplc="6C042C6A">
      <w:start w:val="1"/>
      <w:numFmt w:val="bullet"/>
      <w:lvlText w:val="•"/>
      <w:lvlJc w:val="left"/>
      <w:pPr>
        <w:ind w:left="3973" w:hanging="363"/>
      </w:pPr>
      <w:rPr>
        <w:rFonts w:hint="default"/>
      </w:rPr>
    </w:lvl>
    <w:lvl w:ilvl="5" w:tplc="35068B1A">
      <w:start w:val="1"/>
      <w:numFmt w:val="bullet"/>
      <w:lvlText w:val="•"/>
      <w:lvlJc w:val="left"/>
      <w:pPr>
        <w:ind w:left="4935" w:hanging="363"/>
      </w:pPr>
      <w:rPr>
        <w:rFonts w:hint="default"/>
      </w:rPr>
    </w:lvl>
    <w:lvl w:ilvl="6" w:tplc="FE769692">
      <w:start w:val="1"/>
      <w:numFmt w:val="bullet"/>
      <w:lvlText w:val="•"/>
      <w:lvlJc w:val="left"/>
      <w:pPr>
        <w:ind w:left="5897" w:hanging="363"/>
      </w:pPr>
      <w:rPr>
        <w:rFonts w:hint="default"/>
      </w:rPr>
    </w:lvl>
    <w:lvl w:ilvl="7" w:tplc="E6B2DBC6">
      <w:start w:val="1"/>
      <w:numFmt w:val="bullet"/>
      <w:lvlText w:val="•"/>
      <w:lvlJc w:val="left"/>
      <w:pPr>
        <w:ind w:left="6860" w:hanging="363"/>
      </w:pPr>
      <w:rPr>
        <w:rFonts w:hint="default"/>
      </w:rPr>
    </w:lvl>
    <w:lvl w:ilvl="8" w:tplc="FA622630">
      <w:start w:val="1"/>
      <w:numFmt w:val="bullet"/>
      <w:lvlText w:val="•"/>
      <w:lvlJc w:val="left"/>
      <w:pPr>
        <w:ind w:left="7822" w:hanging="363"/>
      </w:pPr>
      <w:rPr>
        <w:rFonts w:hint="default"/>
      </w:rPr>
    </w:lvl>
  </w:abstractNum>
  <w:abstractNum w:abstractNumId="24" w15:restartNumberingAfterBreak="0">
    <w:nsid w:val="2A2D4603"/>
    <w:multiLevelType w:val="hybridMultilevel"/>
    <w:tmpl w:val="6BC85166"/>
    <w:lvl w:ilvl="0" w:tplc="071E805A">
      <w:start w:val="1"/>
      <w:numFmt w:val="bullet"/>
      <w:lvlText w:val="-"/>
      <w:lvlJc w:val="left"/>
      <w:pPr>
        <w:ind w:left="1545" w:hanging="720"/>
      </w:pPr>
      <w:rPr>
        <w:rFonts w:ascii="Times New Roman" w:eastAsia="Times New Roman" w:hAnsi="Times New Roman" w:hint="default"/>
        <w:sz w:val="24"/>
        <w:szCs w:val="24"/>
      </w:rPr>
    </w:lvl>
    <w:lvl w:ilvl="1" w:tplc="76540FE6">
      <w:start w:val="1"/>
      <w:numFmt w:val="bullet"/>
      <w:lvlText w:val="•"/>
      <w:lvlJc w:val="left"/>
      <w:pPr>
        <w:ind w:left="2363" w:hanging="720"/>
      </w:pPr>
      <w:rPr>
        <w:rFonts w:hint="default"/>
      </w:rPr>
    </w:lvl>
    <w:lvl w:ilvl="2" w:tplc="56D0CD04">
      <w:start w:val="1"/>
      <w:numFmt w:val="bullet"/>
      <w:lvlText w:val="•"/>
      <w:lvlJc w:val="left"/>
      <w:pPr>
        <w:ind w:left="3181" w:hanging="720"/>
      </w:pPr>
      <w:rPr>
        <w:rFonts w:hint="default"/>
      </w:rPr>
    </w:lvl>
    <w:lvl w:ilvl="3" w:tplc="C4AED6E4">
      <w:start w:val="1"/>
      <w:numFmt w:val="bullet"/>
      <w:lvlText w:val="•"/>
      <w:lvlJc w:val="left"/>
      <w:pPr>
        <w:ind w:left="3999" w:hanging="720"/>
      </w:pPr>
      <w:rPr>
        <w:rFonts w:hint="default"/>
      </w:rPr>
    </w:lvl>
    <w:lvl w:ilvl="4" w:tplc="8730E600">
      <w:start w:val="1"/>
      <w:numFmt w:val="bullet"/>
      <w:lvlText w:val="•"/>
      <w:lvlJc w:val="left"/>
      <w:pPr>
        <w:ind w:left="4817" w:hanging="720"/>
      </w:pPr>
      <w:rPr>
        <w:rFonts w:hint="default"/>
      </w:rPr>
    </w:lvl>
    <w:lvl w:ilvl="5" w:tplc="49165E48">
      <w:start w:val="1"/>
      <w:numFmt w:val="bullet"/>
      <w:lvlText w:val="•"/>
      <w:lvlJc w:val="left"/>
      <w:pPr>
        <w:ind w:left="5635" w:hanging="720"/>
      </w:pPr>
      <w:rPr>
        <w:rFonts w:hint="default"/>
      </w:rPr>
    </w:lvl>
    <w:lvl w:ilvl="6" w:tplc="43C89FE8">
      <w:start w:val="1"/>
      <w:numFmt w:val="bullet"/>
      <w:lvlText w:val="•"/>
      <w:lvlJc w:val="left"/>
      <w:pPr>
        <w:ind w:left="6453" w:hanging="720"/>
      </w:pPr>
      <w:rPr>
        <w:rFonts w:hint="default"/>
      </w:rPr>
    </w:lvl>
    <w:lvl w:ilvl="7" w:tplc="3924AA20">
      <w:start w:val="1"/>
      <w:numFmt w:val="bullet"/>
      <w:lvlText w:val="•"/>
      <w:lvlJc w:val="left"/>
      <w:pPr>
        <w:ind w:left="7272" w:hanging="720"/>
      </w:pPr>
      <w:rPr>
        <w:rFonts w:hint="default"/>
      </w:rPr>
    </w:lvl>
    <w:lvl w:ilvl="8" w:tplc="0E58A646">
      <w:start w:val="1"/>
      <w:numFmt w:val="bullet"/>
      <w:lvlText w:val="•"/>
      <w:lvlJc w:val="left"/>
      <w:pPr>
        <w:ind w:left="8090" w:hanging="720"/>
      </w:pPr>
      <w:rPr>
        <w:rFonts w:hint="default"/>
      </w:rPr>
    </w:lvl>
  </w:abstractNum>
  <w:abstractNum w:abstractNumId="25" w15:restartNumberingAfterBreak="0">
    <w:nsid w:val="2A454313"/>
    <w:multiLevelType w:val="hybridMultilevel"/>
    <w:tmpl w:val="38047706"/>
    <w:lvl w:ilvl="0" w:tplc="B69CF44C">
      <w:start w:val="1"/>
      <w:numFmt w:val="lowerLetter"/>
      <w:lvlText w:val="%1)"/>
      <w:lvlJc w:val="left"/>
      <w:pPr>
        <w:ind w:left="408" w:hanging="284"/>
      </w:pPr>
      <w:rPr>
        <w:rFonts w:ascii="Times New Roman" w:eastAsia="Times New Roman" w:hAnsi="Times New Roman" w:hint="default"/>
        <w:b/>
        <w:bCs/>
        <w:sz w:val="24"/>
        <w:szCs w:val="24"/>
      </w:rPr>
    </w:lvl>
    <w:lvl w:ilvl="1" w:tplc="C028702E">
      <w:start w:val="1"/>
      <w:numFmt w:val="bullet"/>
      <w:lvlText w:val=""/>
      <w:lvlJc w:val="left"/>
      <w:pPr>
        <w:ind w:left="1185" w:hanging="360"/>
      </w:pPr>
      <w:rPr>
        <w:rFonts w:ascii="Symbol" w:eastAsia="Symbol" w:hAnsi="Symbol" w:hint="default"/>
        <w:sz w:val="24"/>
        <w:szCs w:val="24"/>
      </w:rPr>
    </w:lvl>
    <w:lvl w:ilvl="2" w:tplc="08090003">
      <w:start w:val="1"/>
      <w:numFmt w:val="bullet"/>
      <w:lvlText w:val="o"/>
      <w:lvlJc w:val="left"/>
      <w:pPr>
        <w:ind w:left="2136" w:hanging="360"/>
      </w:pPr>
      <w:rPr>
        <w:rFonts w:ascii="Courier New" w:hAnsi="Courier New" w:cs="Courier New" w:hint="default"/>
      </w:rPr>
    </w:lvl>
    <w:lvl w:ilvl="3" w:tplc="FC0613C6">
      <w:start w:val="1"/>
      <w:numFmt w:val="bullet"/>
      <w:lvlText w:val="•"/>
      <w:lvlJc w:val="left"/>
      <w:pPr>
        <w:ind w:left="3087" w:hanging="360"/>
      </w:pPr>
      <w:rPr>
        <w:rFonts w:hint="default"/>
      </w:rPr>
    </w:lvl>
    <w:lvl w:ilvl="4" w:tplc="F6EAF0C0">
      <w:start w:val="1"/>
      <w:numFmt w:val="bullet"/>
      <w:lvlText w:val="•"/>
      <w:lvlJc w:val="left"/>
      <w:pPr>
        <w:ind w:left="4038" w:hanging="360"/>
      </w:pPr>
      <w:rPr>
        <w:rFonts w:hint="default"/>
      </w:rPr>
    </w:lvl>
    <w:lvl w:ilvl="5" w:tplc="A9B86CE0">
      <w:start w:val="1"/>
      <w:numFmt w:val="bullet"/>
      <w:lvlText w:val="•"/>
      <w:lvlJc w:val="left"/>
      <w:pPr>
        <w:ind w:left="4990" w:hanging="360"/>
      </w:pPr>
      <w:rPr>
        <w:rFonts w:hint="default"/>
      </w:rPr>
    </w:lvl>
    <w:lvl w:ilvl="6" w:tplc="382C757E">
      <w:start w:val="1"/>
      <w:numFmt w:val="bullet"/>
      <w:lvlText w:val="•"/>
      <w:lvlJc w:val="left"/>
      <w:pPr>
        <w:ind w:left="5941" w:hanging="360"/>
      </w:pPr>
      <w:rPr>
        <w:rFonts w:hint="default"/>
      </w:rPr>
    </w:lvl>
    <w:lvl w:ilvl="7" w:tplc="EE4223CE">
      <w:start w:val="1"/>
      <w:numFmt w:val="bullet"/>
      <w:lvlText w:val="•"/>
      <w:lvlJc w:val="left"/>
      <w:pPr>
        <w:ind w:left="6892" w:hanging="360"/>
      </w:pPr>
      <w:rPr>
        <w:rFonts w:hint="default"/>
      </w:rPr>
    </w:lvl>
    <w:lvl w:ilvl="8" w:tplc="06623672">
      <w:start w:val="1"/>
      <w:numFmt w:val="bullet"/>
      <w:lvlText w:val="•"/>
      <w:lvlJc w:val="left"/>
      <w:pPr>
        <w:ind w:left="7843" w:hanging="360"/>
      </w:pPr>
      <w:rPr>
        <w:rFonts w:hint="default"/>
      </w:rPr>
    </w:lvl>
  </w:abstractNum>
  <w:abstractNum w:abstractNumId="26" w15:restartNumberingAfterBreak="0">
    <w:nsid w:val="2AAF4055"/>
    <w:multiLevelType w:val="hybridMultilevel"/>
    <w:tmpl w:val="A2F05988"/>
    <w:lvl w:ilvl="0" w:tplc="377029B4">
      <w:start w:val="1"/>
      <w:numFmt w:val="decimal"/>
      <w:lvlText w:val="%1)"/>
      <w:lvlJc w:val="left"/>
      <w:pPr>
        <w:ind w:left="105" w:hanging="262"/>
      </w:pPr>
      <w:rPr>
        <w:rFonts w:ascii="Times New Roman" w:eastAsia="Times New Roman" w:hAnsi="Times New Roman" w:hint="default"/>
        <w:sz w:val="24"/>
        <w:szCs w:val="24"/>
      </w:rPr>
    </w:lvl>
    <w:lvl w:ilvl="1" w:tplc="32541640">
      <w:start w:val="1"/>
      <w:numFmt w:val="lowerLetter"/>
      <w:lvlText w:val="%2)"/>
      <w:lvlJc w:val="left"/>
      <w:pPr>
        <w:ind w:left="825" w:hanging="360"/>
      </w:pPr>
      <w:rPr>
        <w:rFonts w:ascii="Times New Roman" w:eastAsia="Times New Roman" w:hAnsi="Times New Roman" w:hint="default"/>
        <w:spacing w:val="-1"/>
        <w:sz w:val="24"/>
        <w:szCs w:val="24"/>
      </w:rPr>
    </w:lvl>
    <w:lvl w:ilvl="2" w:tplc="143ED184">
      <w:start w:val="1"/>
      <w:numFmt w:val="bullet"/>
      <w:lvlText w:val="•"/>
      <w:lvlJc w:val="left"/>
      <w:pPr>
        <w:ind w:left="1814" w:hanging="360"/>
      </w:pPr>
      <w:rPr>
        <w:rFonts w:hint="default"/>
      </w:rPr>
    </w:lvl>
    <w:lvl w:ilvl="3" w:tplc="442845EE">
      <w:start w:val="1"/>
      <w:numFmt w:val="bullet"/>
      <w:lvlText w:val="•"/>
      <w:lvlJc w:val="left"/>
      <w:pPr>
        <w:ind w:left="2803" w:hanging="360"/>
      </w:pPr>
      <w:rPr>
        <w:rFonts w:hint="default"/>
      </w:rPr>
    </w:lvl>
    <w:lvl w:ilvl="4" w:tplc="24623D7C">
      <w:start w:val="1"/>
      <w:numFmt w:val="bullet"/>
      <w:lvlText w:val="•"/>
      <w:lvlJc w:val="left"/>
      <w:pPr>
        <w:ind w:left="3792" w:hanging="360"/>
      </w:pPr>
      <w:rPr>
        <w:rFonts w:hint="default"/>
      </w:rPr>
    </w:lvl>
    <w:lvl w:ilvl="5" w:tplc="100A98EA">
      <w:start w:val="1"/>
      <w:numFmt w:val="bullet"/>
      <w:lvlText w:val="•"/>
      <w:lvlJc w:val="left"/>
      <w:pPr>
        <w:ind w:left="4781" w:hanging="360"/>
      </w:pPr>
      <w:rPr>
        <w:rFonts w:hint="default"/>
      </w:rPr>
    </w:lvl>
    <w:lvl w:ilvl="6" w:tplc="CC0ECFF0">
      <w:start w:val="1"/>
      <w:numFmt w:val="bullet"/>
      <w:lvlText w:val="•"/>
      <w:lvlJc w:val="left"/>
      <w:pPr>
        <w:ind w:left="5770" w:hanging="360"/>
      </w:pPr>
      <w:rPr>
        <w:rFonts w:hint="default"/>
      </w:rPr>
    </w:lvl>
    <w:lvl w:ilvl="7" w:tplc="CB308828">
      <w:start w:val="1"/>
      <w:numFmt w:val="bullet"/>
      <w:lvlText w:val="•"/>
      <w:lvlJc w:val="left"/>
      <w:pPr>
        <w:ind w:left="6759" w:hanging="360"/>
      </w:pPr>
      <w:rPr>
        <w:rFonts w:hint="default"/>
      </w:rPr>
    </w:lvl>
    <w:lvl w:ilvl="8" w:tplc="D602A188">
      <w:start w:val="1"/>
      <w:numFmt w:val="bullet"/>
      <w:lvlText w:val="•"/>
      <w:lvlJc w:val="left"/>
      <w:pPr>
        <w:ind w:left="7748" w:hanging="360"/>
      </w:pPr>
      <w:rPr>
        <w:rFonts w:hint="default"/>
      </w:rPr>
    </w:lvl>
  </w:abstractNum>
  <w:abstractNum w:abstractNumId="27" w15:restartNumberingAfterBreak="0">
    <w:nsid w:val="2B4946B1"/>
    <w:multiLevelType w:val="hybridMultilevel"/>
    <w:tmpl w:val="6BAC2D5E"/>
    <w:lvl w:ilvl="0" w:tplc="F348BB5C">
      <w:start w:val="1"/>
      <w:numFmt w:val="decimal"/>
      <w:lvlText w:val="%1."/>
      <w:lvlJc w:val="left"/>
      <w:pPr>
        <w:ind w:left="825" w:hanging="720"/>
      </w:pPr>
      <w:rPr>
        <w:rFonts w:ascii="Times New Roman" w:eastAsia="Times New Roman" w:hAnsi="Times New Roman" w:hint="default"/>
        <w:sz w:val="24"/>
        <w:szCs w:val="24"/>
      </w:rPr>
    </w:lvl>
    <w:lvl w:ilvl="1" w:tplc="4F2CAB1C">
      <w:start w:val="1"/>
      <w:numFmt w:val="bullet"/>
      <w:lvlText w:val="•"/>
      <w:lvlJc w:val="left"/>
      <w:pPr>
        <w:ind w:left="1715" w:hanging="720"/>
      </w:pPr>
      <w:rPr>
        <w:rFonts w:hint="default"/>
      </w:rPr>
    </w:lvl>
    <w:lvl w:ilvl="2" w:tplc="F11693B4">
      <w:start w:val="1"/>
      <w:numFmt w:val="bullet"/>
      <w:lvlText w:val="•"/>
      <w:lvlJc w:val="left"/>
      <w:pPr>
        <w:ind w:left="2605" w:hanging="720"/>
      </w:pPr>
      <w:rPr>
        <w:rFonts w:hint="default"/>
      </w:rPr>
    </w:lvl>
    <w:lvl w:ilvl="3" w:tplc="0980C4EC">
      <w:start w:val="1"/>
      <w:numFmt w:val="bullet"/>
      <w:lvlText w:val="•"/>
      <w:lvlJc w:val="left"/>
      <w:pPr>
        <w:ind w:left="3495" w:hanging="720"/>
      </w:pPr>
      <w:rPr>
        <w:rFonts w:hint="default"/>
      </w:rPr>
    </w:lvl>
    <w:lvl w:ilvl="4" w:tplc="1DD86A16">
      <w:start w:val="1"/>
      <w:numFmt w:val="bullet"/>
      <w:lvlText w:val="•"/>
      <w:lvlJc w:val="left"/>
      <w:pPr>
        <w:ind w:left="4385" w:hanging="720"/>
      </w:pPr>
      <w:rPr>
        <w:rFonts w:hint="default"/>
      </w:rPr>
    </w:lvl>
    <w:lvl w:ilvl="5" w:tplc="36A84A30">
      <w:start w:val="1"/>
      <w:numFmt w:val="bullet"/>
      <w:lvlText w:val="•"/>
      <w:lvlJc w:val="left"/>
      <w:pPr>
        <w:ind w:left="5275" w:hanging="720"/>
      </w:pPr>
      <w:rPr>
        <w:rFonts w:hint="default"/>
      </w:rPr>
    </w:lvl>
    <w:lvl w:ilvl="6" w:tplc="62AE2798">
      <w:start w:val="1"/>
      <w:numFmt w:val="bullet"/>
      <w:lvlText w:val="•"/>
      <w:lvlJc w:val="left"/>
      <w:pPr>
        <w:ind w:left="6165" w:hanging="720"/>
      </w:pPr>
      <w:rPr>
        <w:rFonts w:hint="default"/>
      </w:rPr>
    </w:lvl>
    <w:lvl w:ilvl="7" w:tplc="54582752">
      <w:start w:val="1"/>
      <w:numFmt w:val="bullet"/>
      <w:lvlText w:val="•"/>
      <w:lvlJc w:val="left"/>
      <w:pPr>
        <w:ind w:left="7056" w:hanging="720"/>
      </w:pPr>
      <w:rPr>
        <w:rFonts w:hint="default"/>
      </w:rPr>
    </w:lvl>
    <w:lvl w:ilvl="8" w:tplc="E4869C70">
      <w:start w:val="1"/>
      <w:numFmt w:val="bullet"/>
      <w:lvlText w:val="•"/>
      <w:lvlJc w:val="left"/>
      <w:pPr>
        <w:ind w:left="7946" w:hanging="720"/>
      </w:pPr>
      <w:rPr>
        <w:rFonts w:hint="default"/>
      </w:rPr>
    </w:lvl>
  </w:abstractNum>
  <w:abstractNum w:abstractNumId="28" w15:restartNumberingAfterBreak="0">
    <w:nsid w:val="2D641E91"/>
    <w:multiLevelType w:val="multilevel"/>
    <w:tmpl w:val="D4AA24D0"/>
    <w:lvl w:ilvl="0">
      <w:start w:val="2"/>
      <w:numFmt w:val="upperRoman"/>
      <w:lvlText w:val="%1"/>
      <w:lvlJc w:val="left"/>
      <w:pPr>
        <w:ind w:left="772" w:hanging="668"/>
      </w:pPr>
      <w:rPr>
        <w:rFonts w:hint="default"/>
      </w:rPr>
    </w:lvl>
    <w:lvl w:ilvl="1">
      <w:start w:val="3"/>
      <w:numFmt w:val="decimal"/>
      <w:lvlText w:val="%1.%2"/>
      <w:lvlJc w:val="left"/>
      <w:pPr>
        <w:ind w:left="772" w:hanging="668"/>
      </w:pPr>
      <w:rPr>
        <w:rFonts w:hint="default"/>
      </w:rPr>
    </w:lvl>
    <w:lvl w:ilvl="2">
      <w:start w:val="5"/>
      <w:numFmt w:val="decimal"/>
      <w:lvlText w:val="%1.%2.%3."/>
      <w:lvlJc w:val="left"/>
      <w:pPr>
        <w:ind w:left="772" w:hanging="668"/>
      </w:pPr>
      <w:rPr>
        <w:rFonts w:ascii="Times New Roman" w:eastAsia="Times New Roman" w:hAnsi="Times New Roman" w:hint="default"/>
        <w:b/>
        <w:bCs/>
        <w:sz w:val="24"/>
        <w:szCs w:val="24"/>
      </w:rPr>
    </w:lvl>
    <w:lvl w:ilvl="3">
      <w:start w:val="1"/>
      <w:numFmt w:val="decimal"/>
      <w:lvlText w:val="%1.%2.%3.%4."/>
      <w:lvlJc w:val="left"/>
      <w:pPr>
        <w:ind w:left="105" w:hanging="845"/>
      </w:pPr>
      <w:rPr>
        <w:rFonts w:ascii="Times New Roman" w:eastAsia="Times New Roman" w:hAnsi="Times New Roman" w:hint="default"/>
        <w:b/>
        <w:bCs/>
        <w:sz w:val="24"/>
        <w:szCs w:val="24"/>
      </w:rPr>
    </w:lvl>
    <w:lvl w:ilvl="4">
      <w:start w:val="1"/>
      <w:numFmt w:val="bullet"/>
      <w:lvlText w:val="•"/>
      <w:lvlJc w:val="left"/>
      <w:pPr>
        <w:ind w:left="3757" w:hanging="845"/>
      </w:pPr>
      <w:rPr>
        <w:rFonts w:hint="default"/>
      </w:rPr>
    </w:lvl>
    <w:lvl w:ilvl="5">
      <w:start w:val="1"/>
      <w:numFmt w:val="bullet"/>
      <w:lvlText w:val="•"/>
      <w:lvlJc w:val="left"/>
      <w:pPr>
        <w:ind w:left="4752" w:hanging="845"/>
      </w:pPr>
      <w:rPr>
        <w:rFonts w:hint="default"/>
      </w:rPr>
    </w:lvl>
    <w:lvl w:ilvl="6">
      <w:start w:val="1"/>
      <w:numFmt w:val="bullet"/>
      <w:lvlText w:val="•"/>
      <w:lvlJc w:val="left"/>
      <w:pPr>
        <w:ind w:left="5746" w:hanging="845"/>
      </w:pPr>
      <w:rPr>
        <w:rFonts w:hint="default"/>
      </w:rPr>
    </w:lvl>
    <w:lvl w:ilvl="7">
      <w:start w:val="1"/>
      <w:numFmt w:val="bullet"/>
      <w:lvlText w:val="•"/>
      <w:lvlJc w:val="left"/>
      <w:pPr>
        <w:ind w:left="6741" w:hanging="845"/>
      </w:pPr>
      <w:rPr>
        <w:rFonts w:hint="default"/>
      </w:rPr>
    </w:lvl>
    <w:lvl w:ilvl="8">
      <w:start w:val="1"/>
      <w:numFmt w:val="bullet"/>
      <w:lvlText w:val="•"/>
      <w:lvlJc w:val="left"/>
      <w:pPr>
        <w:ind w:left="7736" w:hanging="845"/>
      </w:pPr>
      <w:rPr>
        <w:rFonts w:hint="default"/>
      </w:rPr>
    </w:lvl>
  </w:abstractNum>
  <w:abstractNum w:abstractNumId="29" w15:restartNumberingAfterBreak="0">
    <w:nsid w:val="2EAF3144"/>
    <w:multiLevelType w:val="multilevel"/>
    <w:tmpl w:val="7D5CBDBC"/>
    <w:lvl w:ilvl="0">
      <w:start w:val="5"/>
      <w:numFmt w:val="upperRoman"/>
      <w:lvlText w:val="%1"/>
      <w:lvlJc w:val="left"/>
      <w:pPr>
        <w:ind w:left="105" w:hanging="648"/>
      </w:pPr>
      <w:rPr>
        <w:rFonts w:hint="default"/>
      </w:rPr>
    </w:lvl>
    <w:lvl w:ilvl="1">
      <w:start w:val="2"/>
      <w:numFmt w:val="decimal"/>
      <w:lvlText w:val="%1.%2"/>
      <w:lvlJc w:val="left"/>
      <w:pPr>
        <w:ind w:left="105" w:hanging="648"/>
      </w:pPr>
      <w:rPr>
        <w:rFonts w:hint="default"/>
      </w:rPr>
    </w:lvl>
    <w:lvl w:ilvl="2">
      <w:start w:val="2"/>
      <w:numFmt w:val="decimal"/>
      <w:lvlText w:val="%1.%2.%3."/>
      <w:lvlJc w:val="left"/>
      <w:pPr>
        <w:ind w:left="105" w:hanging="648"/>
      </w:pPr>
      <w:rPr>
        <w:rFonts w:ascii="Times New Roman" w:eastAsia="Times New Roman" w:hAnsi="Times New Roman" w:hint="default"/>
        <w:b/>
        <w:bCs/>
        <w:sz w:val="24"/>
        <w:szCs w:val="24"/>
      </w:rPr>
    </w:lvl>
    <w:lvl w:ilvl="3">
      <w:start w:val="1"/>
      <w:numFmt w:val="decimal"/>
      <w:lvlText w:val="%1.%2.%3.%4."/>
      <w:lvlJc w:val="left"/>
      <w:pPr>
        <w:ind w:left="938" w:hanging="833"/>
      </w:pPr>
      <w:rPr>
        <w:rFonts w:ascii="Times New Roman" w:eastAsia="Times New Roman" w:hAnsi="Times New Roman" w:hint="default"/>
        <w:b/>
        <w:bCs/>
        <w:sz w:val="24"/>
        <w:szCs w:val="24"/>
      </w:rPr>
    </w:lvl>
    <w:lvl w:ilvl="4">
      <w:start w:val="1"/>
      <w:numFmt w:val="decimal"/>
      <w:lvlText w:val="%1.%2.%3.%4.%5."/>
      <w:lvlJc w:val="left"/>
      <w:pPr>
        <w:ind w:left="125" w:hanging="1013"/>
      </w:pPr>
      <w:rPr>
        <w:rFonts w:ascii="Times New Roman" w:eastAsia="Times New Roman" w:hAnsi="Times New Roman" w:hint="default"/>
        <w:b/>
        <w:bCs/>
        <w:sz w:val="24"/>
        <w:szCs w:val="24"/>
      </w:rPr>
    </w:lvl>
    <w:lvl w:ilvl="5">
      <w:start w:val="1"/>
      <w:numFmt w:val="lowerRoman"/>
      <w:lvlText w:val="%6."/>
      <w:lvlJc w:val="left"/>
      <w:pPr>
        <w:ind w:left="818" w:hanging="483"/>
        <w:jc w:val="right"/>
      </w:pPr>
      <w:rPr>
        <w:rFonts w:ascii="Times New Roman" w:eastAsia="Times New Roman" w:hAnsi="Times New Roman" w:hint="default"/>
        <w:sz w:val="24"/>
        <w:szCs w:val="24"/>
      </w:rPr>
    </w:lvl>
    <w:lvl w:ilvl="6">
      <w:start w:val="1"/>
      <w:numFmt w:val="bullet"/>
      <w:lvlText w:val="•"/>
      <w:lvlJc w:val="left"/>
      <w:pPr>
        <w:ind w:left="4704" w:hanging="483"/>
      </w:pPr>
      <w:rPr>
        <w:rFonts w:hint="default"/>
      </w:rPr>
    </w:lvl>
    <w:lvl w:ilvl="7">
      <w:start w:val="1"/>
      <w:numFmt w:val="bullet"/>
      <w:lvlText w:val="•"/>
      <w:lvlJc w:val="left"/>
      <w:pPr>
        <w:ind w:left="5959" w:hanging="483"/>
      </w:pPr>
      <w:rPr>
        <w:rFonts w:hint="default"/>
      </w:rPr>
    </w:lvl>
    <w:lvl w:ilvl="8">
      <w:start w:val="1"/>
      <w:numFmt w:val="bullet"/>
      <w:lvlText w:val="•"/>
      <w:lvlJc w:val="left"/>
      <w:pPr>
        <w:ind w:left="7215" w:hanging="483"/>
      </w:pPr>
      <w:rPr>
        <w:rFonts w:hint="default"/>
      </w:rPr>
    </w:lvl>
  </w:abstractNum>
  <w:abstractNum w:abstractNumId="30" w15:restartNumberingAfterBreak="0">
    <w:nsid w:val="32E71415"/>
    <w:multiLevelType w:val="hybridMultilevel"/>
    <w:tmpl w:val="398E8644"/>
    <w:lvl w:ilvl="0" w:tplc="704A51E6">
      <w:start w:val="1"/>
      <w:numFmt w:val="bullet"/>
      <w:lvlText w:val="-"/>
      <w:lvlJc w:val="left"/>
      <w:pPr>
        <w:ind w:left="845" w:hanging="168"/>
      </w:pPr>
      <w:rPr>
        <w:rFonts w:ascii="Times New Roman" w:eastAsia="Times New Roman" w:hAnsi="Times New Roman" w:hint="default"/>
        <w:sz w:val="24"/>
        <w:szCs w:val="24"/>
      </w:rPr>
    </w:lvl>
    <w:lvl w:ilvl="1" w:tplc="749AA74C">
      <w:start w:val="1"/>
      <w:numFmt w:val="bullet"/>
      <w:lvlText w:val="•"/>
      <w:lvlJc w:val="left"/>
      <w:pPr>
        <w:ind w:left="1735" w:hanging="168"/>
      </w:pPr>
      <w:rPr>
        <w:rFonts w:hint="default"/>
      </w:rPr>
    </w:lvl>
    <w:lvl w:ilvl="2" w:tplc="BCD4BF54">
      <w:start w:val="1"/>
      <w:numFmt w:val="bullet"/>
      <w:lvlText w:val="•"/>
      <w:lvlJc w:val="left"/>
      <w:pPr>
        <w:ind w:left="2625" w:hanging="168"/>
      </w:pPr>
      <w:rPr>
        <w:rFonts w:hint="default"/>
      </w:rPr>
    </w:lvl>
    <w:lvl w:ilvl="3" w:tplc="846E0AF2">
      <w:start w:val="1"/>
      <w:numFmt w:val="bullet"/>
      <w:lvlText w:val="•"/>
      <w:lvlJc w:val="left"/>
      <w:pPr>
        <w:ind w:left="3515" w:hanging="168"/>
      </w:pPr>
      <w:rPr>
        <w:rFonts w:hint="default"/>
      </w:rPr>
    </w:lvl>
    <w:lvl w:ilvl="4" w:tplc="20DE65A2">
      <w:start w:val="1"/>
      <w:numFmt w:val="bullet"/>
      <w:lvlText w:val="•"/>
      <w:lvlJc w:val="left"/>
      <w:pPr>
        <w:ind w:left="4405" w:hanging="168"/>
      </w:pPr>
      <w:rPr>
        <w:rFonts w:hint="default"/>
      </w:rPr>
    </w:lvl>
    <w:lvl w:ilvl="5" w:tplc="779C34CC">
      <w:start w:val="1"/>
      <w:numFmt w:val="bullet"/>
      <w:lvlText w:val="•"/>
      <w:lvlJc w:val="left"/>
      <w:pPr>
        <w:ind w:left="5295" w:hanging="168"/>
      </w:pPr>
      <w:rPr>
        <w:rFonts w:hint="default"/>
      </w:rPr>
    </w:lvl>
    <w:lvl w:ilvl="6" w:tplc="C5409C68">
      <w:start w:val="1"/>
      <w:numFmt w:val="bullet"/>
      <w:lvlText w:val="•"/>
      <w:lvlJc w:val="left"/>
      <w:pPr>
        <w:ind w:left="6185" w:hanging="168"/>
      </w:pPr>
      <w:rPr>
        <w:rFonts w:hint="default"/>
      </w:rPr>
    </w:lvl>
    <w:lvl w:ilvl="7" w:tplc="B37AE0D0">
      <w:start w:val="1"/>
      <w:numFmt w:val="bullet"/>
      <w:lvlText w:val="•"/>
      <w:lvlJc w:val="left"/>
      <w:pPr>
        <w:ind w:left="7076" w:hanging="168"/>
      </w:pPr>
      <w:rPr>
        <w:rFonts w:hint="default"/>
      </w:rPr>
    </w:lvl>
    <w:lvl w:ilvl="8" w:tplc="4AF4FBAE">
      <w:start w:val="1"/>
      <w:numFmt w:val="bullet"/>
      <w:lvlText w:val="•"/>
      <w:lvlJc w:val="left"/>
      <w:pPr>
        <w:ind w:left="7966" w:hanging="168"/>
      </w:pPr>
      <w:rPr>
        <w:rFonts w:hint="default"/>
      </w:rPr>
    </w:lvl>
  </w:abstractNum>
  <w:abstractNum w:abstractNumId="31" w15:restartNumberingAfterBreak="0">
    <w:nsid w:val="32E775F6"/>
    <w:multiLevelType w:val="hybridMultilevel"/>
    <w:tmpl w:val="4538EC4A"/>
    <w:lvl w:ilvl="0" w:tplc="7EA6127A">
      <w:start w:val="1"/>
      <w:numFmt w:val="bullet"/>
      <w:lvlText w:val="-"/>
      <w:lvlJc w:val="left"/>
      <w:pPr>
        <w:ind w:left="825" w:hanging="360"/>
      </w:pPr>
      <w:rPr>
        <w:rFonts w:ascii="Times New Roman" w:eastAsia="Times New Roman" w:hAnsi="Times New Roman" w:hint="default"/>
        <w:sz w:val="24"/>
        <w:szCs w:val="24"/>
      </w:rPr>
    </w:lvl>
    <w:lvl w:ilvl="1" w:tplc="1FF2E112">
      <w:start w:val="1"/>
      <w:numFmt w:val="bullet"/>
      <w:lvlText w:val="•"/>
      <w:lvlJc w:val="left"/>
      <w:pPr>
        <w:ind w:left="1715" w:hanging="360"/>
      </w:pPr>
      <w:rPr>
        <w:rFonts w:hint="default"/>
      </w:rPr>
    </w:lvl>
    <w:lvl w:ilvl="2" w:tplc="15408BCA">
      <w:start w:val="1"/>
      <w:numFmt w:val="bullet"/>
      <w:lvlText w:val="•"/>
      <w:lvlJc w:val="left"/>
      <w:pPr>
        <w:ind w:left="2605" w:hanging="360"/>
      </w:pPr>
      <w:rPr>
        <w:rFonts w:hint="default"/>
      </w:rPr>
    </w:lvl>
    <w:lvl w:ilvl="3" w:tplc="3486427C">
      <w:start w:val="1"/>
      <w:numFmt w:val="bullet"/>
      <w:lvlText w:val="•"/>
      <w:lvlJc w:val="left"/>
      <w:pPr>
        <w:ind w:left="3495" w:hanging="360"/>
      </w:pPr>
      <w:rPr>
        <w:rFonts w:hint="default"/>
      </w:rPr>
    </w:lvl>
    <w:lvl w:ilvl="4" w:tplc="084EEC80">
      <w:start w:val="1"/>
      <w:numFmt w:val="bullet"/>
      <w:lvlText w:val="•"/>
      <w:lvlJc w:val="left"/>
      <w:pPr>
        <w:ind w:left="4385" w:hanging="360"/>
      </w:pPr>
      <w:rPr>
        <w:rFonts w:hint="default"/>
      </w:rPr>
    </w:lvl>
    <w:lvl w:ilvl="5" w:tplc="7944A79E">
      <w:start w:val="1"/>
      <w:numFmt w:val="bullet"/>
      <w:lvlText w:val="•"/>
      <w:lvlJc w:val="left"/>
      <w:pPr>
        <w:ind w:left="5275" w:hanging="360"/>
      </w:pPr>
      <w:rPr>
        <w:rFonts w:hint="default"/>
      </w:rPr>
    </w:lvl>
    <w:lvl w:ilvl="6" w:tplc="EB7C73FC">
      <w:start w:val="1"/>
      <w:numFmt w:val="bullet"/>
      <w:lvlText w:val="•"/>
      <w:lvlJc w:val="left"/>
      <w:pPr>
        <w:ind w:left="6165" w:hanging="360"/>
      </w:pPr>
      <w:rPr>
        <w:rFonts w:hint="default"/>
      </w:rPr>
    </w:lvl>
    <w:lvl w:ilvl="7" w:tplc="22E4CFBE">
      <w:start w:val="1"/>
      <w:numFmt w:val="bullet"/>
      <w:lvlText w:val="•"/>
      <w:lvlJc w:val="left"/>
      <w:pPr>
        <w:ind w:left="7056" w:hanging="360"/>
      </w:pPr>
      <w:rPr>
        <w:rFonts w:hint="default"/>
      </w:rPr>
    </w:lvl>
    <w:lvl w:ilvl="8" w:tplc="55782CE6">
      <w:start w:val="1"/>
      <w:numFmt w:val="bullet"/>
      <w:lvlText w:val="•"/>
      <w:lvlJc w:val="left"/>
      <w:pPr>
        <w:ind w:left="7946" w:hanging="360"/>
      </w:pPr>
      <w:rPr>
        <w:rFonts w:hint="default"/>
      </w:rPr>
    </w:lvl>
  </w:abstractNum>
  <w:abstractNum w:abstractNumId="32" w15:restartNumberingAfterBreak="0">
    <w:nsid w:val="3A064933"/>
    <w:multiLevelType w:val="hybridMultilevel"/>
    <w:tmpl w:val="E076CEDC"/>
    <w:lvl w:ilvl="0" w:tplc="81B21D42">
      <w:start w:val="29"/>
      <w:numFmt w:val="decimal"/>
      <w:lvlText w:val="%1"/>
      <w:lvlJc w:val="left"/>
      <w:pPr>
        <w:ind w:left="305" w:hanging="180"/>
      </w:pPr>
      <w:rPr>
        <w:rFonts w:ascii="Times New Roman" w:eastAsia="Times New Roman" w:hAnsi="Times New Roman" w:hint="default"/>
        <w:w w:val="99"/>
        <w:position w:val="7"/>
        <w:sz w:val="13"/>
        <w:szCs w:val="13"/>
      </w:rPr>
    </w:lvl>
    <w:lvl w:ilvl="1" w:tplc="E80A6D02">
      <w:start w:val="1"/>
      <w:numFmt w:val="bullet"/>
      <w:lvlText w:val="•"/>
      <w:lvlJc w:val="left"/>
      <w:pPr>
        <w:ind w:left="1249" w:hanging="180"/>
      </w:pPr>
      <w:rPr>
        <w:rFonts w:hint="default"/>
      </w:rPr>
    </w:lvl>
    <w:lvl w:ilvl="2" w:tplc="7BA4D72C">
      <w:start w:val="1"/>
      <w:numFmt w:val="bullet"/>
      <w:lvlText w:val="•"/>
      <w:lvlJc w:val="left"/>
      <w:pPr>
        <w:ind w:left="2193" w:hanging="180"/>
      </w:pPr>
      <w:rPr>
        <w:rFonts w:hint="default"/>
      </w:rPr>
    </w:lvl>
    <w:lvl w:ilvl="3" w:tplc="2CA4036C">
      <w:start w:val="1"/>
      <w:numFmt w:val="bullet"/>
      <w:lvlText w:val="•"/>
      <w:lvlJc w:val="left"/>
      <w:pPr>
        <w:ind w:left="3137" w:hanging="180"/>
      </w:pPr>
      <w:rPr>
        <w:rFonts w:hint="default"/>
      </w:rPr>
    </w:lvl>
    <w:lvl w:ilvl="4" w:tplc="92CAC422">
      <w:start w:val="1"/>
      <w:numFmt w:val="bullet"/>
      <w:lvlText w:val="•"/>
      <w:lvlJc w:val="left"/>
      <w:pPr>
        <w:ind w:left="4081" w:hanging="180"/>
      </w:pPr>
      <w:rPr>
        <w:rFonts w:hint="default"/>
      </w:rPr>
    </w:lvl>
    <w:lvl w:ilvl="5" w:tplc="FABC938E">
      <w:start w:val="1"/>
      <w:numFmt w:val="bullet"/>
      <w:lvlText w:val="•"/>
      <w:lvlJc w:val="left"/>
      <w:pPr>
        <w:ind w:left="5025" w:hanging="180"/>
      </w:pPr>
      <w:rPr>
        <w:rFonts w:hint="default"/>
      </w:rPr>
    </w:lvl>
    <w:lvl w:ilvl="6" w:tplc="484AA4E0">
      <w:start w:val="1"/>
      <w:numFmt w:val="bullet"/>
      <w:lvlText w:val="•"/>
      <w:lvlJc w:val="left"/>
      <w:pPr>
        <w:ind w:left="5969" w:hanging="180"/>
      </w:pPr>
      <w:rPr>
        <w:rFonts w:hint="default"/>
      </w:rPr>
    </w:lvl>
    <w:lvl w:ilvl="7" w:tplc="9A78946C">
      <w:start w:val="1"/>
      <w:numFmt w:val="bullet"/>
      <w:lvlText w:val="•"/>
      <w:lvlJc w:val="left"/>
      <w:pPr>
        <w:ind w:left="6914" w:hanging="180"/>
      </w:pPr>
      <w:rPr>
        <w:rFonts w:hint="default"/>
      </w:rPr>
    </w:lvl>
    <w:lvl w:ilvl="8" w:tplc="7FC6376E">
      <w:start w:val="1"/>
      <w:numFmt w:val="bullet"/>
      <w:lvlText w:val="•"/>
      <w:lvlJc w:val="left"/>
      <w:pPr>
        <w:ind w:left="7858" w:hanging="180"/>
      </w:pPr>
      <w:rPr>
        <w:rFonts w:hint="default"/>
      </w:rPr>
    </w:lvl>
  </w:abstractNum>
  <w:abstractNum w:abstractNumId="33" w15:restartNumberingAfterBreak="0">
    <w:nsid w:val="3C1A7EE7"/>
    <w:multiLevelType w:val="multilevel"/>
    <w:tmpl w:val="7674B252"/>
    <w:lvl w:ilvl="0">
      <w:start w:val="6"/>
      <w:numFmt w:val="upperRoman"/>
      <w:lvlText w:val="%1"/>
      <w:lvlJc w:val="left"/>
      <w:pPr>
        <w:ind w:left="871" w:hanging="747"/>
      </w:pPr>
      <w:rPr>
        <w:rFonts w:hint="default"/>
      </w:rPr>
    </w:lvl>
    <w:lvl w:ilvl="1">
      <w:start w:val="3"/>
      <w:numFmt w:val="decimal"/>
      <w:lvlText w:val="%1.%2"/>
      <w:lvlJc w:val="left"/>
      <w:pPr>
        <w:ind w:left="871" w:hanging="747"/>
      </w:pPr>
      <w:rPr>
        <w:rFonts w:hint="default"/>
      </w:rPr>
    </w:lvl>
    <w:lvl w:ilvl="2">
      <w:start w:val="1"/>
      <w:numFmt w:val="decimal"/>
      <w:lvlText w:val="%1.%2.%3."/>
      <w:lvlJc w:val="left"/>
      <w:pPr>
        <w:ind w:left="871" w:hanging="747"/>
      </w:pPr>
      <w:rPr>
        <w:rFonts w:ascii="Times New Roman" w:eastAsia="Times New Roman" w:hAnsi="Times New Roman" w:hint="default"/>
        <w:b/>
        <w:bCs/>
        <w:sz w:val="24"/>
        <w:szCs w:val="24"/>
      </w:rPr>
    </w:lvl>
    <w:lvl w:ilvl="3">
      <w:start w:val="1"/>
      <w:numFmt w:val="bullet"/>
      <w:lvlText w:val="•"/>
      <w:lvlJc w:val="left"/>
      <w:pPr>
        <w:ind w:left="3534" w:hanging="747"/>
      </w:pPr>
      <w:rPr>
        <w:rFonts w:hint="default"/>
      </w:rPr>
    </w:lvl>
    <w:lvl w:ilvl="4">
      <w:start w:val="1"/>
      <w:numFmt w:val="bullet"/>
      <w:lvlText w:val="•"/>
      <w:lvlJc w:val="left"/>
      <w:pPr>
        <w:ind w:left="4421" w:hanging="747"/>
      </w:pPr>
      <w:rPr>
        <w:rFonts w:hint="default"/>
      </w:rPr>
    </w:lvl>
    <w:lvl w:ilvl="5">
      <w:start w:val="1"/>
      <w:numFmt w:val="bullet"/>
      <w:lvlText w:val="•"/>
      <w:lvlJc w:val="left"/>
      <w:pPr>
        <w:ind w:left="5309" w:hanging="747"/>
      </w:pPr>
      <w:rPr>
        <w:rFonts w:hint="default"/>
      </w:rPr>
    </w:lvl>
    <w:lvl w:ilvl="6">
      <w:start w:val="1"/>
      <w:numFmt w:val="bullet"/>
      <w:lvlText w:val="•"/>
      <w:lvlJc w:val="left"/>
      <w:pPr>
        <w:ind w:left="6196" w:hanging="747"/>
      </w:pPr>
      <w:rPr>
        <w:rFonts w:hint="default"/>
      </w:rPr>
    </w:lvl>
    <w:lvl w:ilvl="7">
      <w:start w:val="1"/>
      <w:numFmt w:val="bullet"/>
      <w:lvlText w:val="•"/>
      <w:lvlJc w:val="left"/>
      <w:pPr>
        <w:ind w:left="7083" w:hanging="747"/>
      </w:pPr>
      <w:rPr>
        <w:rFonts w:hint="default"/>
      </w:rPr>
    </w:lvl>
    <w:lvl w:ilvl="8">
      <w:start w:val="1"/>
      <w:numFmt w:val="bullet"/>
      <w:lvlText w:val="•"/>
      <w:lvlJc w:val="left"/>
      <w:pPr>
        <w:ind w:left="7971" w:hanging="747"/>
      </w:pPr>
      <w:rPr>
        <w:rFonts w:hint="default"/>
      </w:rPr>
    </w:lvl>
  </w:abstractNum>
  <w:abstractNum w:abstractNumId="34" w15:restartNumberingAfterBreak="0">
    <w:nsid w:val="44147844"/>
    <w:multiLevelType w:val="multilevel"/>
    <w:tmpl w:val="49B2B236"/>
    <w:lvl w:ilvl="0">
      <w:start w:val="4"/>
      <w:numFmt w:val="upperRoman"/>
      <w:lvlText w:val="%1"/>
      <w:lvlJc w:val="left"/>
      <w:pPr>
        <w:ind w:left="1031" w:hanging="927"/>
      </w:pPr>
      <w:rPr>
        <w:rFonts w:hint="default"/>
      </w:rPr>
    </w:lvl>
    <w:lvl w:ilvl="1">
      <w:start w:val="3"/>
      <w:numFmt w:val="decimal"/>
      <w:lvlText w:val="%1.%2"/>
      <w:lvlJc w:val="left"/>
      <w:pPr>
        <w:ind w:left="1031" w:hanging="927"/>
      </w:pPr>
      <w:rPr>
        <w:rFonts w:hint="default"/>
      </w:rPr>
    </w:lvl>
    <w:lvl w:ilvl="2">
      <w:start w:val="1"/>
      <w:numFmt w:val="decimal"/>
      <w:lvlText w:val="%1.%2.%3"/>
      <w:lvlJc w:val="left"/>
      <w:pPr>
        <w:ind w:left="1031" w:hanging="927"/>
      </w:pPr>
      <w:rPr>
        <w:rFonts w:hint="default"/>
      </w:rPr>
    </w:lvl>
    <w:lvl w:ilvl="3">
      <w:start w:val="1"/>
      <w:numFmt w:val="decimal"/>
      <w:lvlText w:val="%1.%2.%3.%4."/>
      <w:lvlJc w:val="left"/>
      <w:pPr>
        <w:ind w:left="1031" w:hanging="927"/>
      </w:pPr>
      <w:rPr>
        <w:rFonts w:ascii="Times New Roman" w:eastAsia="Times New Roman" w:hAnsi="Times New Roman" w:hint="default"/>
        <w:b/>
        <w:bCs/>
        <w:sz w:val="24"/>
        <w:szCs w:val="24"/>
      </w:rPr>
    </w:lvl>
    <w:lvl w:ilvl="4">
      <w:start w:val="1"/>
      <w:numFmt w:val="bullet"/>
      <w:lvlText w:val="•"/>
      <w:lvlJc w:val="left"/>
      <w:pPr>
        <w:ind w:left="4509" w:hanging="927"/>
      </w:pPr>
      <w:rPr>
        <w:rFonts w:hint="default"/>
      </w:rPr>
    </w:lvl>
    <w:lvl w:ilvl="5">
      <w:start w:val="1"/>
      <w:numFmt w:val="bullet"/>
      <w:lvlText w:val="•"/>
      <w:lvlJc w:val="left"/>
      <w:pPr>
        <w:ind w:left="5379" w:hanging="927"/>
      </w:pPr>
      <w:rPr>
        <w:rFonts w:hint="default"/>
      </w:rPr>
    </w:lvl>
    <w:lvl w:ilvl="6">
      <w:start w:val="1"/>
      <w:numFmt w:val="bullet"/>
      <w:lvlText w:val="•"/>
      <w:lvlJc w:val="left"/>
      <w:pPr>
        <w:ind w:left="6248" w:hanging="927"/>
      </w:pPr>
      <w:rPr>
        <w:rFonts w:hint="default"/>
      </w:rPr>
    </w:lvl>
    <w:lvl w:ilvl="7">
      <w:start w:val="1"/>
      <w:numFmt w:val="bullet"/>
      <w:lvlText w:val="•"/>
      <w:lvlJc w:val="left"/>
      <w:pPr>
        <w:ind w:left="7117" w:hanging="927"/>
      </w:pPr>
      <w:rPr>
        <w:rFonts w:hint="default"/>
      </w:rPr>
    </w:lvl>
    <w:lvl w:ilvl="8">
      <w:start w:val="1"/>
      <w:numFmt w:val="bullet"/>
      <w:lvlText w:val="•"/>
      <w:lvlJc w:val="left"/>
      <w:pPr>
        <w:ind w:left="7987" w:hanging="927"/>
      </w:pPr>
      <w:rPr>
        <w:rFonts w:hint="default"/>
      </w:rPr>
    </w:lvl>
  </w:abstractNum>
  <w:abstractNum w:abstractNumId="35" w15:restartNumberingAfterBreak="0">
    <w:nsid w:val="471814D0"/>
    <w:multiLevelType w:val="hybridMultilevel"/>
    <w:tmpl w:val="6AB06694"/>
    <w:lvl w:ilvl="0" w:tplc="931AE6FC">
      <w:start w:val="1"/>
      <w:numFmt w:val="bullet"/>
      <w:lvlText w:val="-"/>
      <w:lvlJc w:val="left"/>
      <w:pPr>
        <w:ind w:left="825" w:hanging="720"/>
      </w:pPr>
      <w:rPr>
        <w:rFonts w:ascii="Times New Roman" w:eastAsia="Times New Roman" w:hAnsi="Times New Roman" w:hint="default"/>
        <w:sz w:val="24"/>
        <w:szCs w:val="24"/>
      </w:rPr>
    </w:lvl>
    <w:lvl w:ilvl="1" w:tplc="D2022688">
      <w:start w:val="1"/>
      <w:numFmt w:val="bullet"/>
      <w:lvlText w:val="•"/>
      <w:lvlJc w:val="left"/>
      <w:pPr>
        <w:ind w:left="1715" w:hanging="720"/>
      </w:pPr>
      <w:rPr>
        <w:rFonts w:hint="default"/>
      </w:rPr>
    </w:lvl>
    <w:lvl w:ilvl="2" w:tplc="7E309B30">
      <w:start w:val="1"/>
      <w:numFmt w:val="bullet"/>
      <w:lvlText w:val="•"/>
      <w:lvlJc w:val="left"/>
      <w:pPr>
        <w:ind w:left="2605" w:hanging="720"/>
      </w:pPr>
      <w:rPr>
        <w:rFonts w:hint="default"/>
      </w:rPr>
    </w:lvl>
    <w:lvl w:ilvl="3" w:tplc="3170F270">
      <w:start w:val="1"/>
      <w:numFmt w:val="bullet"/>
      <w:lvlText w:val="•"/>
      <w:lvlJc w:val="left"/>
      <w:pPr>
        <w:ind w:left="3495" w:hanging="720"/>
      </w:pPr>
      <w:rPr>
        <w:rFonts w:hint="default"/>
      </w:rPr>
    </w:lvl>
    <w:lvl w:ilvl="4" w:tplc="6DF83BCA">
      <w:start w:val="1"/>
      <w:numFmt w:val="bullet"/>
      <w:lvlText w:val="•"/>
      <w:lvlJc w:val="left"/>
      <w:pPr>
        <w:ind w:left="4385" w:hanging="720"/>
      </w:pPr>
      <w:rPr>
        <w:rFonts w:hint="default"/>
      </w:rPr>
    </w:lvl>
    <w:lvl w:ilvl="5" w:tplc="0CD253C2">
      <w:start w:val="1"/>
      <w:numFmt w:val="bullet"/>
      <w:lvlText w:val="•"/>
      <w:lvlJc w:val="left"/>
      <w:pPr>
        <w:ind w:left="5275" w:hanging="720"/>
      </w:pPr>
      <w:rPr>
        <w:rFonts w:hint="default"/>
      </w:rPr>
    </w:lvl>
    <w:lvl w:ilvl="6" w:tplc="8980996C">
      <w:start w:val="1"/>
      <w:numFmt w:val="bullet"/>
      <w:lvlText w:val="•"/>
      <w:lvlJc w:val="left"/>
      <w:pPr>
        <w:ind w:left="6165" w:hanging="720"/>
      </w:pPr>
      <w:rPr>
        <w:rFonts w:hint="default"/>
      </w:rPr>
    </w:lvl>
    <w:lvl w:ilvl="7" w:tplc="5040046A">
      <w:start w:val="1"/>
      <w:numFmt w:val="bullet"/>
      <w:lvlText w:val="•"/>
      <w:lvlJc w:val="left"/>
      <w:pPr>
        <w:ind w:left="7056" w:hanging="720"/>
      </w:pPr>
      <w:rPr>
        <w:rFonts w:hint="default"/>
      </w:rPr>
    </w:lvl>
    <w:lvl w:ilvl="8" w:tplc="B9C2E6B8">
      <w:start w:val="1"/>
      <w:numFmt w:val="bullet"/>
      <w:lvlText w:val="•"/>
      <w:lvlJc w:val="left"/>
      <w:pPr>
        <w:ind w:left="7946" w:hanging="720"/>
      </w:pPr>
      <w:rPr>
        <w:rFonts w:hint="default"/>
      </w:rPr>
    </w:lvl>
  </w:abstractNum>
  <w:abstractNum w:abstractNumId="36" w15:restartNumberingAfterBreak="0">
    <w:nsid w:val="475E3042"/>
    <w:multiLevelType w:val="hybridMultilevel"/>
    <w:tmpl w:val="1E863FF8"/>
    <w:lvl w:ilvl="0" w:tplc="8500CDE0">
      <w:start w:val="1"/>
      <w:numFmt w:val="bullet"/>
      <w:lvlText w:val="-"/>
      <w:lvlJc w:val="left"/>
      <w:pPr>
        <w:ind w:left="825" w:hanging="360"/>
      </w:pPr>
      <w:rPr>
        <w:rFonts w:ascii="Times New Roman" w:eastAsia="Times New Roman" w:hAnsi="Times New Roman" w:hint="default"/>
        <w:sz w:val="24"/>
        <w:szCs w:val="24"/>
      </w:rPr>
    </w:lvl>
    <w:lvl w:ilvl="1" w:tplc="9D76690E">
      <w:start w:val="1"/>
      <w:numFmt w:val="bullet"/>
      <w:lvlText w:val="•"/>
      <w:lvlJc w:val="left"/>
      <w:pPr>
        <w:ind w:left="1715" w:hanging="360"/>
      </w:pPr>
      <w:rPr>
        <w:rFonts w:hint="default"/>
      </w:rPr>
    </w:lvl>
    <w:lvl w:ilvl="2" w:tplc="C48E1B12">
      <w:start w:val="1"/>
      <w:numFmt w:val="bullet"/>
      <w:lvlText w:val="•"/>
      <w:lvlJc w:val="left"/>
      <w:pPr>
        <w:ind w:left="2605" w:hanging="360"/>
      </w:pPr>
      <w:rPr>
        <w:rFonts w:hint="default"/>
      </w:rPr>
    </w:lvl>
    <w:lvl w:ilvl="3" w:tplc="EBACEAC4">
      <w:start w:val="1"/>
      <w:numFmt w:val="bullet"/>
      <w:lvlText w:val="•"/>
      <w:lvlJc w:val="left"/>
      <w:pPr>
        <w:ind w:left="3495" w:hanging="360"/>
      </w:pPr>
      <w:rPr>
        <w:rFonts w:hint="default"/>
      </w:rPr>
    </w:lvl>
    <w:lvl w:ilvl="4" w:tplc="1E90CD86">
      <w:start w:val="1"/>
      <w:numFmt w:val="bullet"/>
      <w:lvlText w:val="•"/>
      <w:lvlJc w:val="left"/>
      <w:pPr>
        <w:ind w:left="4385" w:hanging="360"/>
      </w:pPr>
      <w:rPr>
        <w:rFonts w:hint="default"/>
      </w:rPr>
    </w:lvl>
    <w:lvl w:ilvl="5" w:tplc="4DF8A1BE">
      <w:start w:val="1"/>
      <w:numFmt w:val="bullet"/>
      <w:lvlText w:val="•"/>
      <w:lvlJc w:val="left"/>
      <w:pPr>
        <w:ind w:left="5275" w:hanging="360"/>
      </w:pPr>
      <w:rPr>
        <w:rFonts w:hint="default"/>
      </w:rPr>
    </w:lvl>
    <w:lvl w:ilvl="6" w:tplc="61E055E2">
      <w:start w:val="1"/>
      <w:numFmt w:val="bullet"/>
      <w:lvlText w:val="•"/>
      <w:lvlJc w:val="left"/>
      <w:pPr>
        <w:ind w:left="6165" w:hanging="360"/>
      </w:pPr>
      <w:rPr>
        <w:rFonts w:hint="default"/>
      </w:rPr>
    </w:lvl>
    <w:lvl w:ilvl="7" w:tplc="33406EE2">
      <w:start w:val="1"/>
      <w:numFmt w:val="bullet"/>
      <w:lvlText w:val="•"/>
      <w:lvlJc w:val="left"/>
      <w:pPr>
        <w:ind w:left="7056" w:hanging="360"/>
      </w:pPr>
      <w:rPr>
        <w:rFonts w:hint="default"/>
      </w:rPr>
    </w:lvl>
    <w:lvl w:ilvl="8" w:tplc="46849466">
      <w:start w:val="1"/>
      <w:numFmt w:val="bullet"/>
      <w:lvlText w:val="•"/>
      <w:lvlJc w:val="left"/>
      <w:pPr>
        <w:ind w:left="7946" w:hanging="360"/>
      </w:pPr>
      <w:rPr>
        <w:rFonts w:hint="default"/>
      </w:rPr>
    </w:lvl>
  </w:abstractNum>
  <w:abstractNum w:abstractNumId="37" w15:restartNumberingAfterBreak="0">
    <w:nsid w:val="47BB24A5"/>
    <w:multiLevelType w:val="hybridMultilevel"/>
    <w:tmpl w:val="1324B8A6"/>
    <w:lvl w:ilvl="0" w:tplc="2E9685A4">
      <w:start w:val="1"/>
      <w:numFmt w:val="decimal"/>
      <w:lvlText w:val="%1."/>
      <w:lvlJc w:val="left"/>
      <w:pPr>
        <w:ind w:left="818" w:hanging="356"/>
      </w:pPr>
      <w:rPr>
        <w:rFonts w:ascii="Times New Roman" w:eastAsia="Times New Roman" w:hAnsi="Times New Roman" w:hint="default"/>
        <w:b/>
        <w:bCs/>
        <w:sz w:val="24"/>
        <w:szCs w:val="24"/>
      </w:rPr>
    </w:lvl>
    <w:lvl w:ilvl="1" w:tplc="5CE064D4">
      <w:start w:val="1"/>
      <w:numFmt w:val="bullet"/>
      <w:lvlText w:val=""/>
      <w:lvlJc w:val="left"/>
      <w:pPr>
        <w:ind w:left="1173" w:hanging="360"/>
      </w:pPr>
      <w:rPr>
        <w:rFonts w:ascii="Symbol" w:eastAsia="Symbol" w:hAnsi="Symbol" w:hint="default"/>
        <w:sz w:val="24"/>
        <w:szCs w:val="24"/>
      </w:rPr>
    </w:lvl>
    <w:lvl w:ilvl="2" w:tplc="93B89624">
      <w:start w:val="1"/>
      <w:numFmt w:val="bullet"/>
      <w:lvlText w:val="•"/>
      <w:lvlJc w:val="left"/>
      <w:pPr>
        <w:ind w:left="1173" w:hanging="360"/>
      </w:pPr>
      <w:rPr>
        <w:rFonts w:hint="default"/>
      </w:rPr>
    </w:lvl>
    <w:lvl w:ilvl="3" w:tplc="5A500DAA">
      <w:start w:val="1"/>
      <w:numFmt w:val="bullet"/>
      <w:lvlText w:val="•"/>
      <w:lvlJc w:val="left"/>
      <w:pPr>
        <w:ind w:left="2242" w:hanging="360"/>
      </w:pPr>
      <w:rPr>
        <w:rFonts w:hint="default"/>
      </w:rPr>
    </w:lvl>
    <w:lvl w:ilvl="4" w:tplc="8214D7C0">
      <w:start w:val="1"/>
      <w:numFmt w:val="bullet"/>
      <w:lvlText w:val="•"/>
      <w:lvlJc w:val="left"/>
      <w:pPr>
        <w:ind w:left="3311" w:hanging="360"/>
      </w:pPr>
      <w:rPr>
        <w:rFonts w:hint="default"/>
      </w:rPr>
    </w:lvl>
    <w:lvl w:ilvl="5" w:tplc="9D3C984A">
      <w:start w:val="1"/>
      <w:numFmt w:val="bullet"/>
      <w:lvlText w:val="•"/>
      <w:lvlJc w:val="left"/>
      <w:pPr>
        <w:ind w:left="4380" w:hanging="360"/>
      </w:pPr>
      <w:rPr>
        <w:rFonts w:hint="default"/>
      </w:rPr>
    </w:lvl>
    <w:lvl w:ilvl="6" w:tplc="F51E345C">
      <w:start w:val="1"/>
      <w:numFmt w:val="bullet"/>
      <w:lvlText w:val="•"/>
      <w:lvlJc w:val="left"/>
      <w:pPr>
        <w:ind w:left="5449" w:hanging="360"/>
      </w:pPr>
      <w:rPr>
        <w:rFonts w:hint="default"/>
      </w:rPr>
    </w:lvl>
    <w:lvl w:ilvl="7" w:tplc="04DCD132">
      <w:start w:val="1"/>
      <w:numFmt w:val="bullet"/>
      <w:lvlText w:val="•"/>
      <w:lvlJc w:val="left"/>
      <w:pPr>
        <w:ind w:left="6518" w:hanging="360"/>
      </w:pPr>
      <w:rPr>
        <w:rFonts w:hint="default"/>
      </w:rPr>
    </w:lvl>
    <w:lvl w:ilvl="8" w:tplc="FF98F156">
      <w:start w:val="1"/>
      <w:numFmt w:val="bullet"/>
      <w:lvlText w:val="•"/>
      <w:lvlJc w:val="left"/>
      <w:pPr>
        <w:ind w:left="7588" w:hanging="360"/>
      </w:pPr>
      <w:rPr>
        <w:rFonts w:hint="default"/>
      </w:rPr>
    </w:lvl>
  </w:abstractNum>
  <w:abstractNum w:abstractNumId="38" w15:restartNumberingAfterBreak="0">
    <w:nsid w:val="498072B4"/>
    <w:multiLevelType w:val="hybridMultilevel"/>
    <w:tmpl w:val="878431E8"/>
    <w:lvl w:ilvl="0" w:tplc="202A2BCE">
      <w:start w:val="1"/>
      <w:numFmt w:val="bullet"/>
      <w:lvlText w:val="-"/>
      <w:lvlJc w:val="left"/>
      <w:pPr>
        <w:ind w:left="1185" w:hanging="360"/>
      </w:pPr>
      <w:rPr>
        <w:rFonts w:ascii="Calibri" w:eastAsia="Calibri" w:hAnsi="Calibri" w:hint="default"/>
        <w:sz w:val="24"/>
        <w:szCs w:val="24"/>
      </w:rPr>
    </w:lvl>
    <w:lvl w:ilvl="1" w:tplc="DD84BBCA">
      <w:start w:val="1"/>
      <w:numFmt w:val="bullet"/>
      <w:lvlText w:val="-"/>
      <w:lvlJc w:val="left"/>
      <w:pPr>
        <w:ind w:left="1905" w:hanging="360"/>
      </w:pPr>
      <w:rPr>
        <w:rFonts w:ascii="Calibri" w:eastAsia="Calibri" w:hAnsi="Calibri" w:hint="default"/>
        <w:sz w:val="24"/>
        <w:szCs w:val="24"/>
      </w:rPr>
    </w:lvl>
    <w:lvl w:ilvl="2" w:tplc="D32CF66E">
      <w:start w:val="1"/>
      <w:numFmt w:val="bullet"/>
      <w:lvlText w:val="•"/>
      <w:lvlJc w:val="left"/>
      <w:pPr>
        <w:ind w:left="2774" w:hanging="360"/>
      </w:pPr>
      <w:rPr>
        <w:rFonts w:hint="default"/>
      </w:rPr>
    </w:lvl>
    <w:lvl w:ilvl="3" w:tplc="65ACD2AC">
      <w:start w:val="1"/>
      <w:numFmt w:val="bullet"/>
      <w:lvlText w:val="•"/>
      <w:lvlJc w:val="left"/>
      <w:pPr>
        <w:ind w:left="3643" w:hanging="360"/>
      </w:pPr>
      <w:rPr>
        <w:rFonts w:hint="default"/>
      </w:rPr>
    </w:lvl>
    <w:lvl w:ilvl="4" w:tplc="D25EEFE4">
      <w:start w:val="1"/>
      <w:numFmt w:val="bullet"/>
      <w:lvlText w:val="•"/>
      <w:lvlJc w:val="left"/>
      <w:pPr>
        <w:ind w:left="4512" w:hanging="360"/>
      </w:pPr>
      <w:rPr>
        <w:rFonts w:hint="default"/>
      </w:rPr>
    </w:lvl>
    <w:lvl w:ilvl="5" w:tplc="B7584796">
      <w:start w:val="1"/>
      <w:numFmt w:val="bullet"/>
      <w:lvlText w:val="•"/>
      <w:lvlJc w:val="left"/>
      <w:pPr>
        <w:ind w:left="5381" w:hanging="360"/>
      </w:pPr>
      <w:rPr>
        <w:rFonts w:hint="default"/>
      </w:rPr>
    </w:lvl>
    <w:lvl w:ilvl="6" w:tplc="B2669234">
      <w:start w:val="1"/>
      <w:numFmt w:val="bullet"/>
      <w:lvlText w:val="•"/>
      <w:lvlJc w:val="left"/>
      <w:pPr>
        <w:ind w:left="6250" w:hanging="360"/>
      </w:pPr>
      <w:rPr>
        <w:rFonts w:hint="default"/>
      </w:rPr>
    </w:lvl>
    <w:lvl w:ilvl="7" w:tplc="7F6A62CC">
      <w:start w:val="1"/>
      <w:numFmt w:val="bullet"/>
      <w:lvlText w:val="•"/>
      <w:lvlJc w:val="left"/>
      <w:pPr>
        <w:ind w:left="7119" w:hanging="360"/>
      </w:pPr>
      <w:rPr>
        <w:rFonts w:hint="default"/>
      </w:rPr>
    </w:lvl>
    <w:lvl w:ilvl="8" w:tplc="A16C5CF4">
      <w:start w:val="1"/>
      <w:numFmt w:val="bullet"/>
      <w:lvlText w:val="•"/>
      <w:lvlJc w:val="left"/>
      <w:pPr>
        <w:ind w:left="7988" w:hanging="360"/>
      </w:pPr>
      <w:rPr>
        <w:rFonts w:hint="default"/>
      </w:rPr>
    </w:lvl>
  </w:abstractNum>
  <w:abstractNum w:abstractNumId="39" w15:restartNumberingAfterBreak="0">
    <w:nsid w:val="4BC209B9"/>
    <w:multiLevelType w:val="hybridMultilevel"/>
    <w:tmpl w:val="6930ACAC"/>
    <w:lvl w:ilvl="0" w:tplc="F5381B34">
      <w:start w:val="2"/>
      <w:numFmt w:val="lowerLetter"/>
      <w:lvlText w:val="(%1)"/>
      <w:lvlJc w:val="left"/>
      <w:pPr>
        <w:ind w:left="458" w:hanging="353"/>
      </w:pPr>
      <w:rPr>
        <w:rFonts w:ascii="Times New Roman" w:eastAsia="Times New Roman" w:hAnsi="Times New Roman" w:hint="default"/>
        <w:b/>
        <w:bCs/>
        <w:sz w:val="24"/>
        <w:szCs w:val="24"/>
      </w:rPr>
    </w:lvl>
    <w:lvl w:ilvl="1" w:tplc="17C410B6">
      <w:start w:val="1"/>
      <w:numFmt w:val="decimal"/>
      <w:lvlText w:val="%2)"/>
      <w:lvlJc w:val="left"/>
      <w:pPr>
        <w:ind w:left="825" w:hanging="360"/>
      </w:pPr>
      <w:rPr>
        <w:rFonts w:ascii="Times New Roman" w:eastAsia="Times New Roman" w:hAnsi="Times New Roman" w:hint="default"/>
        <w:i/>
        <w:sz w:val="24"/>
        <w:szCs w:val="24"/>
      </w:rPr>
    </w:lvl>
    <w:lvl w:ilvl="2" w:tplc="7F381696">
      <w:start w:val="1"/>
      <w:numFmt w:val="bullet"/>
      <w:lvlText w:val="•"/>
      <w:lvlJc w:val="left"/>
      <w:pPr>
        <w:ind w:left="1814" w:hanging="360"/>
      </w:pPr>
      <w:rPr>
        <w:rFonts w:hint="default"/>
      </w:rPr>
    </w:lvl>
    <w:lvl w:ilvl="3" w:tplc="D990E594">
      <w:start w:val="1"/>
      <w:numFmt w:val="bullet"/>
      <w:lvlText w:val="•"/>
      <w:lvlJc w:val="left"/>
      <w:pPr>
        <w:ind w:left="2803" w:hanging="360"/>
      </w:pPr>
      <w:rPr>
        <w:rFonts w:hint="default"/>
      </w:rPr>
    </w:lvl>
    <w:lvl w:ilvl="4" w:tplc="E632A1C4">
      <w:start w:val="1"/>
      <w:numFmt w:val="bullet"/>
      <w:lvlText w:val="•"/>
      <w:lvlJc w:val="left"/>
      <w:pPr>
        <w:ind w:left="3792" w:hanging="360"/>
      </w:pPr>
      <w:rPr>
        <w:rFonts w:hint="default"/>
      </w:rPr>
    </w:lvl>
    <w:lvl w:ilvl="5" w:tplc="7A2423B0">
      <w:start w:val="1"/>
      <w:numFmt w:val="bullet"/>
      <w:lvlText w:val="•"/>
      <w:lvlJc w:val="left"/>
      <w:pPr>
        <w:ind w:left="4781" w:hanging="360"/>
      </w:pPr>
      <w:rPr>
        <w:rFonts w:hint="default"/>
      </w:rPr>
    </w:lvl>
    <w:lvl w:ilvl="6" w:tplc="816CA54E">
      <w:start w:val="1"/>
      <w:numFmt w:val="bullet"/>
      <w:lvlText w:val="•"/>
      <w:lvlJc w:val="left"/>
      <w:pPr>
        <w:ind w:left="5770" w:hanging="360"/>
      </w:pPr>
      <w:rPr>
        <w:rFonts w:hint="default"/>
      </w:rPr>
    </w:lvl>
    <w:lvl w:ilvl="7" w:tplc="17B82E28">
      <w:start w:val="1"/>
      <w:numFmt w:val="bullet"/>
      <w:lvlText w:val="•"/>
      <w:lvlJc w:val="left"/>
      <w:pPr>
        <w:ind w:left="6759" w:hanging="360"/>
      </w:pPr>
      <w:rPr>
        <w:rFonts w:hint="default"/>
      </w:rPr>
    </w:lvl>
    <w:lvl w:ilvl="8" w:tplc="2F30B96C">
      <w:start w:val="1"/>
      <w:numFmt w:val="bullet"/>
      <w:lvlText w:val="•"/>
      <w:lvlJc w:val="left"/>
      <w:pPr>
        <w:ind w:left="7748" w:hanging="360"/>
      </w:pPr>
      <w:rPr>
        <w:rFonts w:hint="default"/>
      </w:rPr>
    </w:lvl>
  </w:abstractNum>
  <w:abstractNum w:abstractNumId="40" w15:restartNumberingAfterBreak="0">
    <w:nsid w:val="4E8A3CE9"/>
    <w:multiLevelType w:val="hybridMultilevel"/>
    <w:tmpl w:val="F5AA0BF8"/>
    <w:lvl w:ilvl="0" w:tplc="AA7E425A">
      <w:start w:val="1"/>
      <w:numFmt w:val="bullet"/>
      <w:lvlText w:val="-"/>
      <w:lvlJc w:val="left"/>
      <w:pPr>
        <w:ind w:left="825" w:hanging="360"/>
      </w:pPr>
      <w:rPr>
        <w:rFonts w:ascii="Calibri" w:eastAsia="Calibri" w:hAnsi="Calibri" w:hint="default"/>
        <w:sz w:val="24"/>
        <w:szCs w:val="24"/>
      </w:rPr>
    </w:lvl>
    <w:lvl w:ilvl="1" w:tplc="DC564CEC">
      <w:start w:val="1"/>
      <w:numFmt w:val="bullet"/>
      <w:lvlText w:val="•"/>
      <w:lvlJc w:val="left"/>
      <w:pPr>
        <w:ind w:left="1715" w:hanging="360"/>
      </w:pPr>
      <w:rPr>
        <w:rFonts w:hint="default"/>
      </w:rPr>
    </w:lvl>
    <w:lvl w:ilvl="2" w:tplc="5BA66CFE">
      <w:start w:val="1"/>
      <w:numFmt w:val="bullet"/>
      <w:lvlText w:val="•"/>
      <w:lvlJc w:val="left"/>
      <w:pPr>
        <w:ind w:left="2605" w:hanging="360"/>
      </w:pPr>
      <w:rPr>
        <w:rFonts w:hint="default"/>
      </w:rPr>
    </w:lvl>
    <w:lvl w:ilvl="3" w:tplc="B1FED63C">
      <w:start w:val="1"/>
      <w:numFmt w:val="bullet"/>
      <w:lvlText w:val="•"/>
      <w:lvlJc w:val="left"/>
      <w:pPr>
        <w:ind w:left="3495" w:hanging="360"/>
      </w:pPr>
      <w:rPr>
        <w:rFonts w:hint="default"/>
      </w:rPr>
    </w:lvl>
    <w:lvl w:ilvl="4" w:tplc="3846255E">
      <w:start w:val="1"/>
      <w:numFmt w:val="bullet"/>
      <w:lvlText w:val="•"/>
      <w:lvlJc w:val="left"/>
      <w:pPr>
        <w:ind w:left="4385" w:hanging="360"/>
      </w:pPr>
      <w:rPr>
        <w:rFonts w:hint="default"/>
      </w:rPr>
    </w:lvl>
    <w:lvl w:ilvl="5" w:tplc="F80454D2">
      <w:start w:val="1"/>
      <w:numFmt w:val="bullet"/>
      <w:lvlText w:val="•"/>
      <w:lvlJc w:val="left"/>
      <w:pPr>
        <w:ind w:left="5275" w:hanging="360"/>
      </w:pPr>
      <w:rPr>
        <w:rFonts w:hint="default"/>
      </w:rPr>
    </w:lvl>
    <w:lvl w:ilvl="6" w:tplc="7310BA32">
      <w:start w:val="1"/>
      <w:numFmt w:val="bullet"/>
      <w:lvlText w:val="•"/>
      <w:lvlJc w:val="left"/>
      <w:pPr>
        <w:ind w:left="6165" w:hanging="360"/>
      </w:pPr>
      <w:rPr>
        <w:rFonts w:hint="default"/>
      </w:rPr>
    </w:lvl>
    <w:lvl w:ilvl="7" w:tplc="9B6E3AC8">
      <w:start w:val="1"/>
      <w:numFmt w:val="bullet"/>
      <w:lvlText w:val="•"/>
      <w:lvlJc w:val="left"/>
      <w:pPr>
        <w:ind w:left="7056" w:hanging="360"/>
      </w:pPr>
      <w:rPr>
        <w:rFonts w:hint="default"/>
      </w:rPr>
    </w:lvl>
    <w:lvl w:ilvl="8" w:tplc="53208294">
      <w:start w:val="1"/>
      <w:numFmt w:val="bullet"/>
      <w:lvlText w:val="•"/>
      <w:lvlJc w:val="left"/>
      <w:pPr>
        <w:ind w:left="7946" w:hanging="360"/>
      </w:pPr>
      <w:rPr>
        <w:rFonts w:hint="default"/>
      </w:rPr>
    </w:lvl>
  </w:abstractNum>
  <w:abstractNum w:abstractNumId="41" w15:restartNumberingAfterBreak="0">
    <w:nsid w:val="54B01DCF"/>
    <w:multiLevelType w:val="hybridMultilevel"/>
    <w:tmpl w:val="A4E8E710"/>
    <w:lvl w:ilvl="0" w:tplc="CF5A55D6">
      <w:start w:val="1"/>
      <w:numFmt w:val="decimal"/>
      <w:lvlText w:val="%1)"/>
      <w:lvlJc w:val="left"/>
      <w:pPr>
        <w:ind w:left="825" w:hanging="360"/>
      </w:pPr>
      <w:rPr>
        <w:rFonts w:ascii="Times New Roman" w:eastAsia="Times New Roman" w:hAnsi="Times New Roman" w:hint="default"/>
        <w:sz w:val="24"/>
        <w:szCs w:val="24"/>
      </w:rPr>
    </w:lvl>
    <w:lvl w:ilvl="1" w:tplc="522E3FA6">
      <w:start w:val="1"/>
      <w:numFmt w:val="bullet"/>
      <w:lvlText w:val="•"/>
      <w:lvlJc w:val="left"/>
      <w:pPr>
        <w:ind w:left="1717" w:hanging="360"/>
      </w:pPr>
      <w:rPr>
        <w:rFonts w:hint="default"/>
      </w:rPr>
    </w:lvl>
    <w:lvl w:ilvl="2" w:tplc="4288BD40">
      <w:start w:val="1"/>
      <w:numFmt w:val="bullet"/>
      <w:lvlText w:val="•"/>
      <w:lvlJc w:val="left"/>
      <w:pPr>
        <w:ind w:left="2609" w:hanging="360"/>
      </w:pPr>
      <w:rPr>
        <w:rFonts w:hint="default"/>
      </w:rPr>
    </w:lvl>
    <w:lvl w:ilvl="3" w:tplc="F7D08470">
      <w:start w:val="1"/>
      <w:numFmt w:val="bullet"/>
      <w:lvlText w:val="•"/>
      <w:lvlJc w:val="left"/>
      <w:pPr>
        <w:ind w:left="3501" w:hanging="360"/>
      </w:pPr>
      <w:rPr>
        <w:rFonts w:hint="default"/>
      </w:rPr>
    </w:lvl>
    <w:lvl w:ilvl="4" w:tplc="3A84518E">
      <w:start w:val="1"/>
      <w:numFmt w:val="bullet"/>
      <w:lvlText w:val="•"/>
      <w:lvlJc w:val="left"/>
      <w:pPr>
        <w:ind w:left="4393" w:hanging="360"/>
      </w:pPr>
      <w:rPr>
        <w:rFonts w:hint="default"/>
      </w:rPr>
    </w:lvl>
    <w:lvl w:ilvl="5" w:tplc="1312E94E">
      <w:start w:val="1"/>
      <w:numFmt w:val="bullet"/>
      <w:lvlText w:val="•"/>
      <w:lvlJc w:val="left"/>
      <w:pPr>
        <w:ind w:left="5285" w:hanging="360"/>
      </w:pPr>
      <w:rPr>
        <w:rFonts w:hint="default"/>
      </w:rPr>
    </w:lvl>
    <w:lvl w:ilvl="6" w:tplc="1A906C40">
      <w:start w:val="1"/>
      <w:numFmt w:val="bullet"/>
      <w:lvlText w:val="•"/>
      <w:lvlJc w:val="left"/>
      <w:pPr>
        <w:ind w:left="6177" w:hanging="360"/>
      </w:pPr>
      <w:rPr>
        <w:rFonts w:hint="default"/>
      </w:rPr>
    </w:lvl>
    <w:lvl w:ilvl="7" w:tplc="33C22700">
      <w:start w:val="1"/>
      <w:numFmt w:val="bullet"/>
      <w:lvlText w:val="•"/>
      <w:lvlJc w:val="left"/>
      <w:pPr>
        <w:ind w:left="7070" w:hanging="360"/>
      </w:pPr>
      <w:rPr>
        <w:rFonts w:hint="default"/>
      </w:rPr>
    </w:lvl>
    <w:lvl w:ilvl="8" w:tplc="798C59C4">
      <w:start w:val="1"/>
      <w:numFmt w:val="bullet"/>
      <w:lvlText w:val="•"/>
      <w:lvlJc w:val="left"/>
      <w:pPr>
        <w:ind w:left="7962" w:hanging="360"/>
      </w:pPr>
      <w:rPr>
        <w:rFonts w:hint="default"/>
      </w:rPr>
    </w:lvl>
  </w:abstractNum>
  <w:abstractNum w:abstractNumId="42" w15:restartNumberingAfterBreak="0">
    <w:nsid w:val="55804BCD"/>
    <w:multiLevelType w:val="multilevel"/>
    <w:tmpl w:val="68D4F632"/>
    <w:lvl w:ilvl="0">
      <w:start w:val="5"/>
      <w:numFmt w:val="upperRoman"/>
      <w:lvlText w:val="%1"/>
      <w:lvlJc w:val="left"/>
      <w:pPr>
        <w:ind w:left="758" w:hanging="653"/>
      </w:pPr>
      <w:rPr>
        <w:rFonts w:hint="default"/>
      </w:rPr>
    </w:lvl>
    <w:lvl w:ilvl="1">
      <w:start w:val="2"/>
      <w:numFmt w:val="decimal"/>
      <w:lvlText w:val="%1.%2"/>
      <w:lvlJc w:val="left"/>
      <w:pPr>
        <w:ind w:left="758" w:hanging="653"/>
      </w:pPr>
      <w:rPr>
        <w:rFonts w:hint="default"/>
      </w:rPr>
    </w:lvl>
    <w:lvl w:ilvl="2">
      <w:start w:val="5"/>
      <w:numFmt w:val="decimal"/>
      <w:lvlText w:val="%1.%2.%3."/>
      <w:lvlJc w:val="left"/>
      <w:pPr>
        <w:ind w:left="758" w:hanging="653"/>
      </w:pPr>
      <w:rPr>
        <w:rFonts w:ascii="Times New Roman" w:eastAsia="Times New Roman" w:hAnsi="Times New Roman" w:hint="default"/>
        <w:b/>
        <w:bCs/>
        <w:sz w:val="24"/>
        <w:szCs w:val="24"/>
      </w:rPr>
    </w:lvl>
    <w:lvl w:ilvl="3">
      <w:start w:val="1"/>
      <w:numFmt w:val="decimal"/>
      <w:lvlText w:val="%1.%2.%3.%4."/>
      <w:lvlJc w:val="left"/>
      <w:pPr>
        <w:ind w:left="938" w:hanging="833"/>
      </w:pPr>
      <w:rPr>
        <w:rFonts w:ascii="Times New Roman" w:eastAsia="Times New Roman" w:hAnsi="Times New Roman" w:hint="default"/>
        <w:b/>
        <w:bCs/>
        <w:spacing w:val="-1"/>
        <w:sz w:val="24"/>
        <w:szCs w:val="24"/>
      </w:rPr>
    </w:lvl>
    <w:lvl w:ilvl="4">
      <w:start w:val="1"/>
      <w:numFmt w:val="bullet"/>
      <w:lvlText w:val="-"/>
      <w:lvlJc w:val="left"/>
      <w:pPr>
        <w:ind w:left="825" w:hanging="360"/>
      </w:pPr>
      <w:rPr>
        <w:rFonts w:ascii="Calibri" w:eastAsia="Calibri" w:hAnsi="Calibri" w:hint="default"/>
        <w:sz w:val="24"/>
        <w:szCs w:val="24"/>
      </w:rPr>
    </w:lvl>
    <w:lvl w:ilvl="5">
      <w:start w:val="1"/>
      <w:numFmt w:val="bullet"/>
      <w:lvlText w:val="•"/>
      <w:lvlJc w:val="left"/>
      <w:pPr>
        <w:ind w:left="3448" w:hanging="360"/>
      </w:pPr>
      <w:rPr>
        <w:rFonts w:hint="default"/>
      </w:rPr>
    </w:lvl>
    <w:lvl w:ilvl="6">
      <w:start w:val="1"/>
      <w:numFmt w:val="bullet"/>
      <w:lvlText w:val="•"/>
      <w:lvlJc w:val="left"/>
      <w:pPr>
        <w:ind w:left="4704" w:hanging="360"/>
      </w:pPr>
      <w:rPr>
        <w:rFonts w:hint="default"/>
      </w:rPr>
    </w:lvl>
    <w:lvl w:ilvl="7">
      <w:start w:val="1"/>
      <w:numFmt w:val="bullet"/>
      <w:lvlText w:val="•"/>
      <w:lvlJc w:val="left"/>
      <w:pPr>
        <w:ind w:left="5959" w:hanging="360"/>
      </w:pPr>
      <w:rPr>
        <w:rFonts w:hint="default"/>
      </w:rPr>
    </w:lvl>
    <w:lvl w:ilvl="8">
      <w:start w:val="1"/>
      <w:numFmt w:val="bullet"/>
      <w:lvlText w:val="•"/>
      <w:lvlJc w:val="left"/>
      <w:pPr>
        <w:ind w:left="7215" w:hanging="360"/>
      </w:pPr>
      <w:rPr>
        <w:rFonts w:hint="default"/>
      </w:rPr>
    </w:lvl>
  </w:abstractNum>
  <w:abstractNum w:abstractNumId="43" w15:restartNumberingAfterBreak="0">
    <w:nsid w:val="55F9098A"/>
    <w:multiLevelType w:val="hybridMultilevel"/>
    <w:tmpl w:val="29AC36F2"/>
    <w:lvl w:ilvl="0" w:tplc="4D88C4FC">
      <w:start w:val="1"/>
      <w:numFmt w:val="bullet"/>
      <w:lvlText w:val="-"/>
      <w:lvlJc w:val="left"/>
      <w:pPr>
        <w:ind w:left="1245" w:hanging="360"/>
      </w:pPr>
      <w:rPr>
        <w:rFonts w:ascii="Times New Roman" w:eastAsia="Times New Roman" w:hAnsi="Times New Roman" w:hint="default"/>
        <w:sz w:val="24"/>
        <w:szCs w:val="24"/>
      </w:rPr>
    </w:lvl>
    <w:lvl w:ilvl="1" w:tplc="9FE8F95E">
      <w:start w:val="1"/>
      <w:numFmt w:val="bullet"/>
      <w:lvlText w:val="•"/>
      <w:lvlJc w:val="left"/>
      <w:pPr>
        <w:ind w:left="2093" w:hanging="360"/>
      </w:pPr>
      <w:rPr>
        <w:rFonts w:hint="default"/>
      </w:rPr>
    </w:lvl>
    <w:lvl w:ilvl="2" w:tplc="3104E218">
      <w:start w:val="1"/>
      <w:numFmt w:val="bullet"/>
      <w:lvlText w:val="•"/>
      <w:lvlJc w:val="left"/>
      <w:pPr>
        <w:ind w:left="2941" w:hanging="360"/>
      </w:pPr>
      <w:rPr>
        <w:rFonts w:hint="default"/>
      </w:rPr>
    </w:lvl>
    <w:lvl w:ilvl="3" w:tplc="626A15D2">
      <w:start w:val="1"/>
      <w:numFmt w:val="bullet"/>
      <w:lvlText w:val="•"/>
      <w:lvlJc w:val="left"/>
      <w:pPr>
        <w:ind w:left="3789" w:hanging="360"/>
      </w:pPr>
      <w:rPr>
        <w:rFonts w:hint="default"/>
      </w:rPr>
    </w:lvl>
    <w:lvl w:ilvl="4" w:tplc="584011FE">
      <w:start w:val="1"/>
      <w:numFmt w:val="bullet"/>
      <w:lvlText w:val="•"/>
      <w:lvlJc w:val="left"/>
      <w:pPr>
        <w:ind w:left="4637" w:hanging="360"/>
      </w:pPr>
      <w:rPr>
        <w:rFonts w:hint="default"/>
      </w:rPr>
    </w:lvl>
    <w:lvl w:ilvl="5" w:tplc="8568653C">
      <w:start w:val="1"/>
      <w:numFmt w:val="bullet"/>
      <w:lvlText w:val="•"/>
      <w:lvlJc w:val="left"/>
      <w:pPr>
        <w:ind w:left="5485" w:hanging="360"/>
      </w:pPr>
      <w:rPr>
        <w:rFonts w:hint="default"/>
      </w:rPr>
    </w:lvl>
    <w:lvl w:ilvl="6" w:tplc="1F705CE4">
      <w:start w:val="1"/>
      <w:numFmt w:val="bullet"/>
      <w:lvlText w:val="•"/>
      <w:lvlJc w:val="left"/>
      <w:pPr>
        <w:ind w:left="6333" w:hanging="360"/>
      </w:pPr>
      <w:rPr>
        <w:rFonts w:hint="default"/>
      </w:rPr>
    </w:lvl>
    <w:lvl w:ilvl="7" w:tplc="2C76F312">
      <w:start w:val="1"/>
      <w:numFmt w:val="bullet"/>
      <w:lvlText w:val="•"/>
      <w:lvlJc w:val="left"/>
      <w:pPr>
        <w:ind w:left="7182" w:hanging="360"/>
      </w:pPr>
      <w:rPr>
        <w:rFonts w:hint="default"/>
      </w:rPr>
    </w:lvl>
    <w:lvl w:ilvl="8" w:tplc="AB24F024">
      <w:start w:val="1"/>
      <w:numFmt w:val="bullet"/>
      <w:lvlText w:val="•"/>
      <w:lvlJc w:val="left"/>
      <w:pPr>
        <w:ind w:left="8030" w:hanging="360"/>
      </w:pPr>
      <w:rPr>
        <w:rFonts w:hint="default"/>
      </w:rPr>
    </w:lvl>
  </w:abstractNum>
  <w:abstractNum w:abstractNumId="44" w15:restartNumberingAfterBreak="0">
    <w:nsid w:val="56EA0F1A"/>
    <w:multiLevelType w:val="hybridMultilevel"/>
    <w:tmpl w:val="33104C30"/>
    <w:lvl w:ilvl="0" w:tplc="2D321FDE">
      <w:start w:val="1"/>
      <w:numFmt w:val="bullet"/>
      <w:lvlText w:val="-"/>
      <w:lvlJc w:val="left"/>
      <w:pPr>
        <w:ind w:left="825" w:hanging="214"/>
      </w:pPr>
      <w:rPr>
        <w:rFonts w:ascii="Times New Roman" w:eastAsia="Times New Roman" w:hAnsi="Times New Roman" w:hint="default"/>
        <w:sz w:val="24"/>
        <w:szCs w:val="24"/>
      </w:rPr>
    </w:lvl>
    <w:lvl w:ilvl="1" w:tplc="FC1090B8">
      <w:start w:val="1"/>
      <w:numFmt w:val="bullet"/>
      <w:lvlText w:val="•"/>
      <w:lvlJc w:val="left"/>
      <w:pPr>
        <w:ind w:left="1715" w:hanging="214"/>
      </w:pPr>
      <w:rPr>
        <w:rFonts w:hint="default"/>
      </w:rPr>
    </w:lvl>
    <w:lvl w:ilvl="2" w:tplc="6CAED232">
      <w:start w:val="1"/>
      <w:numFmt w:val="bullet"/>
      <w:lvlText w:val="•"/>
      <w:lvlJc w:val="left"/>
      <w:pPr>
        <w:ind w:left="2605" w:hanging="214"/>
      </w:pPr>
      <w:rPr>
        <w:rFonts w:hint="default"/>
      </w:rPr>
    </w:lvl>
    <w:lvl w:ilvl="3" w:tplc="7E086FBC">
      <w:start w:val="1"/>
      <w:numFmt w:val="bullet"/>
      <w:lvlText w:val="•"/>
      <w:lvlJc w:val="left"/>
      <w:pPr>
        <w:ind w:left="3495" w:hanging="214"/>
      </w:pPr>
      <w:rPr>
        <w:rFonts w:hint="default"/>
      </w:rPr>
    </w:lvl>
    <w:lvl w:ilvl="4" w:tplc="0088B838">
      <w:start w:val="1"/>
      <w:numFmt w:val="bullet"/>
      <w:lvlText w:val="•"/>
      <w:lvlJc w:val="left"/>
      <w:pPr>
        <w:ind w:left="4385" w:hanging="214"/>
      </w:pPr>
      <w:rPr>
        <w:rFonts w:hint="default"/>
      </w:rPr>
    </w:lvl>
    <w:lvl w:ilvl="5" w:tplc="E3FA9280">
      <w:start w:val="1"/>
      <w:numFmt w:val="bullet"/>
      <w:lvlText w:val="•"/>
      <w:lvlJc w:val="left"/>
      <w:pPr>
        <w:ind w:left="5275" w:hanging="214"/>
      </w:pPr>
      <w:rPr>
        <w:rFonts w:hint="default"/>
      </w:rPr>
    </w:lvl>
    <w:lvl w:ilvl="6" w:tplc="CFD6F2BA">
      <w:start w:val="1"/>
      <w:numFmt w:val="bullet"/>
      <w:lvlText w:val="•"/>
      <w:lvlJc w:val="left"/>
      <w:pPr>
        <w:ind w:left="6165" w:hanging="214"/>
      </w:pPr>
      <w:rPr>
        <w:rFonts w:hint="default"/>
      </w:rPr>
    </w:lvl>
    <w:lvl w:ilvl="7" w:tplc="5A108BC4">
      <w:start w:val="1"/>
      <w:numFmt w:val="bullet"/>
      <w:lvlText w:val="•"/>
      <w:lvlJc w:val="left"/>
      <w:pPr>
        <w:ind w:left="7056" w:hanging="214"/>
      </w:pPr>
      <w:rPr>
        <w:rFonts w:hint="default"/>
      </w:rPr>
    </w:lvl>
    <w:lvl w:ilvl="8" w:tplc="70D06446">
      <w:start w:val="1"/>
      <w:numFmt w:val="bullet"/>
      <w:lvlText w:val="•"/>
      <w:lvlJc w:val="left"/>
      <w:pPr>
        <w:ind w:left="7946" w:hanging="214"/>
      </w:pPr>
      <w:rPr>
        <w:rFonts w:hint="default"/>
      </w:rPr>
    </w:lvl>
  </w:abstractNum>
  <w:abstractNum w:abstractNumId="45" w15:restartNumberingAfterBreak="0">
    <w:nsid w:val="57233491"/>
    <w:multiLevelType w:val="multilevel"/>
    <w:tmpl w:val="ACA6D70A"/>
    <w:lvl w:ilvl="0">
      <w:start w:val="5"/>
      <w:numFmt w:val="upperRoman"/>
      <w:lvlText w:val="%1"/>
      <w:lvlJc w:val="left"/>
      <w:pPr>
        <w:ind w:left="758" w:hanging="653"/>
      </w:pPr>
      <w:rPr>
        <w:rFonts w:hint="default"/>
      </w:rPr>
    </w:lvl>
    <w:lvl w:ilvl="1">
      <w:start w:val="2"/>
      <w:numFmt w:val="decimal"/>
      <w:lvlText w:val="%1.%2"/>
      <w:lvlJc w:val="left"/>
      <w:pPr>
        <w:ind w:left="758" w:hanging="653"/>
      </w:pPr>
      <w:rPr>
        <w:rFonts w:hint="default"/>
      </w:rPr>
    </w:lvl>
    <w:lvl w:ilvl="2">
      <w:start w:val="4"/>
      <w:numFmt w:val="decimal"/>
      <w:lvlText w:val="%1.%2.%3."/>
      <w:lvlJc w:val="left"/>
      <w:pPr>
        <w:ind w:left="758" w:hanging="653"/>
      </w:pPr>
      <w:rPr>
        <w:rFonts w:ascii="Times New Roman" w:eastAsia="Times New Roman" w:hAnsi="Times New Roman" w:hint="default"/>
        <w:b/>
        <w:bCs/>
        <w:sz w:val="24"/>
        <w:szCs w:val="24"/>
      </w:rPr>
    </w:lvl>
    <w:lvl w:ilvl="3">
      <w:start w:val="1"/>
      <w:numFmt w:val="decimal"/>
      <w:lvlText w:val="%1.%2.%3.%4."/>
      <w:lvlJc w:val="left"/>
      <w:pPr>
        <w:ind w:left="105" w:hanging="828"/>
      </w:pPr>
      <w:rPr>
        <w:rFonts w:ascii="Times New Roman" w:eastAsia="Times New Roman" w:hAnsi="Times New Roman" w:hint="default"/>
        <w:b/>
        <w:bCs/>
        <w:sz w:val="24"/>
        <w:szCs w:val="24"/>
      </w:rPr>
    </w:lvl>
    <w:lvl w:ilvl="4">
      <w:start w:val="1"/>
      <w:numFmt w:val="bullet"/>
      <w:lvlText w:val=""/>
      <w:lvlJc w:val="left"/>
      <w:pPr>
        <w:ind w:left="1185" w:hanging="360"/>
      </w:pPr>
      <w:rPr>
        <w:rFonts w:ascii="Symbol" w:eastAsia="Symbol" w:hAnsi="Symbol" w:hint="default"/>
        <w:sz w:val="24"/>
        <w:szCs w:val="24"/>
      </w:rPr>
    </w:lvl>
    <w:lvl w:ilvl="5">
      <w:start w:val="1"/>
      <w:numFmt w:val="bullet"/>
      <w:lvlText w:val="•"/>
      <w:lvlJc w:val="left"/>
      <w:pPr>
        <w:ind w:left="4388" w:hanging="360"/>
      </w:pPr>
      <w:rPr>
        <w:rFonts w:hint="default"/>
      </w:rPr>
    </w:lvl>
    <w:lvl w:ilvl="6">
      <w:start w:val="1"/>
      <w:numFmt w:val="bullet"/>
      <w:lvlText w:val="•"/>
      <w:lvlJc w:val="left"/>
      <w:pPr>
        <w:ind w:left="5455" w:hanging="360"/>
      </w:pPr>
      <w:rPr>
        <w:rFonts w:hint="default"/>
      </w:rPr>
    </w:lvl>
    <w:lvl w:ilvl="7">
      <w:start w:val="1"/>
      <w:numFmt w:val="bullet"/>
      <w:lvlText w:val="•"/>
      <w:lvlJc w:val="left"/>
      <w:pPr>
        <w:ind w:left="6523" w:hanging="360"/>
      </w:pPr>
      <w:rPr>
        <w:rFonts w:hint="default"/>
      </w:rPr>
    </w:lvl>
    <w:lvl w:ilvl="8">
      <w:start w:val="1"/>
      <w:numFmt w:val="bullet"/>
      <w:lvlText w:val="•"/>
      <w:lvlJc w:val="left"/>
      <w:pPr>
        <w:ind w:left="7591" w:hanging="360"/>
      </w:pPr>
      <w:rPr>
        <w:rFonts w:hint="default"/>
      </w:rPr>
    </w:lvl>
  </w:abstractNum>
  <w:abstractNum w:abstractNumId="46" w15:restartNumberingAfterBreak="0">
    <w:nsid w:val="5F435AE2"/>
    <w:multiLevelType w:val="multilevel"/>
    <w:tmpl w:val="AD2C02A0"/>
    <w:lvl w:ilvl="0">
      <w:start w:val="6"/>
      <w:numFmt w:val="upperRoman"/>
      <w:lvlText w:val="%1"/>
      <w:lvlJc w:val="left"/>
      <w:pPr>
        <w:ind w:left="871" w:hanging="747"/>
      </w:pPr>
      <w:rPr>
        <w:rFonts w:hint="default"/>
      </w:rPr>
    </w:lvl>
    <w:lvl w:ilvl="1">
      <w:start w:val="2"/>
      <w:numFmt w:val="decimal"/>
      <w:lvlText w:val="%1.%2"/>
      <w:lvlJc w:val="left"/>
      <w:pPr>
        <w:ind w:left="871" w:hanging="747"/>
      </w:pPr>
      <w:rPr>
        <w:rFonts w:hint="default"/>
      </w:rPr>
    </w:lvl>
    <w:lvl w:ilvl="2">
      <w:start w:val="2"/>
      <w:numFmt w:val="decimal"/>
      <w:lvlText w:val="%1.%2.%3."/>
      <w:lvlJc w:val="left"/>
      <w:pPr>
        <w:ind w:left="871" w:hanging="747"/>
      </w:pPr>
      <w:rPr>
        <w:rFonts w:ascii="Times New Roman" w:eastAsia="Times New Roman" w:hAnsi="Times New Roman" w:hint="default"/>
        <w:b/>
        <w:bCs/>
        <w:sz w:val="24"/>
        <w:szCs w:val="24"/>
      </w:rPr>
    </w:lvl>
    <w:lvl w:ilvl="3">
      <w:start w:val="1"/>
      <w:numFmt w:val="bullet"/>
      <w:lvlText w:val="-"/>
      <w:lvlJc w:val="left"/>
      <w:pPr>
        <w:ind w:left="845" w:hanging="360"/>
      </w:pPr>
      <w:rPr>
        <w:rFonts w:ascii="Calibri" w:eastAsia="Calibri" w:hAnsi="Calibri" w:hint="default"/>
        <w:sz w:val="24"/>
        <w:szCs w:val="24"/>
      </w:rPr>
    </w:lvl>
    <w:lvl w:ilvl="4">
      <w:start w:val="1"/>
      <w:numFmt w:val="bullet"/>
      <w:lvlText w:val="•"/>
      <w:lvlJc w:val="left"/>
      <w:pPr>
        <w:ind w:left="3829" w:hanging="360"/>
      </w:pPr>
      <w:rPr>
        <w:rFonts w:hint="default"/>
      </w:rPr>
    </w:lvl>
    <w:lvl w:ilvl="5">
      <w:start w:val="1"/>
      <w:numFmt w:val="bullet"/>
      <w:lvlText w:val="•"/>
      <w:lvlJc w:val="left"/>
      <w:pPr>
        <w:ind w:left="4815" w:hanging="360"/>
      </w:pPr>
      <w:rPr>
        <w:rFonts w:hint="default"/>
      </w:rPr>
    </w:lvl>
    <w:lvl w:ilvl="6">
      <w:start w:val="1"/>
      <w:numFmt w:val="bullet"/>
      <w:lvlText w:val="•"/>
      <w:lvlJc w:val="left"/>
      <w:pPr>
        <w:ind w:left="5802" w:hanging="360"/>
      </w:pPr>
      <w:rPr>
        <w:rFonts w:hint="default"/>
      </w:rPr>
    </w:lvl>
    <w:lvl w:ilvl="7">
      <w:start w:val="1"/>
      <w:numFmt w:val="bullet"/>
      <w:lvlText w:val="•"/>
      <w:lvlJc w:val="left"/>
      <w:pPr>
        <w:ind w:left="6788" w:hanging="360"/>
      </w:pPr>
      <w:rPr>
        <w:rFonts w:hint="default"/>
      </w:rPr>
    </w:lvl>
    <w:lvl w:ilvl="8">
      <w:start w:val="1"/>
      <w:numFmt w:val="bullet"/>
      <w:lvlText w:val="•"/>
      <w:lvlJc w:val="left"/>
      <w:pPr>
        <w:ind w:left="7774" w:hanging="360"/>
      </w:pPr>
      <w:rPr>
        <w:rFonts w:hint="default"/>
      </w:rPr>
    </w:lvl>
  </w:abstractNum>
  <w:abstractNum w:abstractNumId="47" w15:restartNumberingAfterBreak="0">
    <w:nsid w:val="61BC2204"/>
    <w:multiLevelType w:val="multilevel"/>
    <w:tmpl w:val="67A6C47A"/>
    <w:lvl w:ilvl="0">
      <w:start w:val="5"/>
      <w:numFmt w:val="upperRoman"/>
      <w:lvlText w:val="%1"/>
      <w:lvlJc w:val="left"/>
      <w:pPr>
        <w:ind w:left="758" w:hanging="653"/>
      </w:pPr>
      <w:rPr>
        <w:rFonts w:hint="default"/>
      </w:rPr>
    </w:lvl>
    <w:lvl w:ilvl="1">
      <w:start w:val="2"/>
      <w:numFmt w:val="decimal"/>
      <w:lvlText w:val="%1.%2"/>
      <w:lvlJc w:val="left"/>
      <w:pPr>
        <w:ind w:left="758" w:hanging="653"/>
      </w:pPr>
      <w:rPr>
        <w:rFonts w:hint="default"/>
      </w:rPr>
    </w:lvl>
    <w:lvl w:ilvl="2">
      <w:start w:val="3"/>
      <w:numFmt w:val="decimal"/>
      <w:lvlText w:val="%1.%2.%3."/>
      <w:lvlJc w:val="left"/>
      <w:pPr>
        <w:ind w:left="758" w:hanging="653"/>
      </w:pPr>
      <w:rPr>
        <w:rFonts w:ascii="Times New Roman" w:eastAsia="Times New Roman" w:hAnsi="Times New Roman" w:hint="default"/>
        <w:b/>
        <w:bCs/>
        <w:spacing w:val="-1"/>
        <w:sz w:val="24"/>
        <w:szCs w:val="24"/>
      </w:rPr>
    </w:lvl>
    <w:lvl w:ilvl="3">
      <w:start w:val="1"/>
      <w:numFmt w:val="decimal"/>
      <w:lvlText w:val="%1.%2.%3.%4."/>
      <w:lvlJc w:val="left"/>
      <w:pPr>
        <w:ind w:left="938" w:hanging="833"/>
      </w:pPr>
      <w:rPr>
        <w:rFonts w:ascii="Times New Roman" w:eastAsia="Times New Roman" w:hAnsi="Times New Roman" w:hint="default"/>
        <w:b/>
        <w:bCs/>
        <w:spacing w:val="-1"/>
        <w:sz w:val="24"/>
        <w:szCs w:val="24"/>
      </w:rPr>
    </w:lvl>
    <w:lvl w:ilvl="4">
      <w:start w:val="1"/>
      <w:numFmt w:val="bullet"/>
      <w:lvlText w:val="•"/>
      <w:lvlJc w:val="left"/>
      <w:pPr>
        <w:ind w:left="3867" w:hanging="833"/>
      </w:pPr>
      <w:rPr>
        <w:rFonts w:hint="default"/>
      </w:rPr>
    </w:lvl>
    <w:lvl w:ilvl="5">
      <w:start w:val="1"/>
      <w:numFmt w:val="bullet"/>
      <w:lvlText w:val="•"/>
      <w:lvlJc w:val="left"/>
      <w:pPr>
        <w:ind w:left="4843" w:hanging="833"/>
      </w:pPr>
      <w:rPr>
        <w:rFonts w:hint="default"/>
      </w:rPr>
    </w:lvl>
    <w:lvl w:ilvl="6">
      <w:start w:val="1"/>
      <w:numFmt w:val="bullet"/>
      <w:lvlText w:val="•"/>
      <w:lvlJc w:val="left"/>
      <w:pPr>
        <w:ind w:left="5820" w:hanging="833"/>
      </w:pPr>
      <w:rPr>
        <w:rFonts w:hint="default"/>
      </w:rPr>
    </w:lvl>
    <w:lvl w:ilvl="7">
      <w:start w:val="1"/>
      <w:numFmt w:val="bullet"/>
      <w:lvlText w:val="•"/>
      <w:lvlJc w:val="left"/>
      <w:pPr>
        <w:ind w:left="6796" w:hanging="833"/>
      </w:pPr>
      <w:rPr>
        <w:rFonts w:hint="default"/>
      </w:rPr>
    </w:lvl>
    <w:lvl w:ilvl="8">
      <w:start w:val="1"/>
      <w:numFmt w:val="bullet"/>
      <w:lvlText w:val="•"/>
      <w:lvlJc w:val="left"/>
      <w:pPr>
        <w:ind w:left="7773" w:hanging="833"/>
      </w:pPr>
      <w:rPr>
        <w:rFonts w:hint="default"/>
      </w:rPr>
    </w:lvl>
  </w:abstractNum>
  <w:abstractNum w:abstractNumId="48" w15:restartNumberingAfterBreak="0">
    <w:nsid w:val="63213A02"/>
    <w:multiLevelType w:val="hybridMultilevel"/>
    <w:tmpl w:val="566E493A"/>
    <w:lvl w:ilvl="0" w:tplc="9ED28C5C">
      <w:start w:val="1"/>
      <w:numFmt w:val="decimal"/>
      <w:lvlText w:val="%1."/>
      <w:lvlJc w:val="left"/>
      <w:pPr>
        <w:ind w:left="825" w:hanging="360"/>
      </w:pPr>
      <w:rPr>
        <w:rFonts w:ascii="Times New Roman" w:eastAsia="Times New Roman" w:hAnsi="Times New Roman" w:hint="default"/>
        <w:sz w:val="24"/>
        <w:szCs w:val="24"/>
      </w:rPr>
    </w:lvl>
    <w:lvl w:ilvl="1" w:tplc="3E360456">
      <w:start w:val="1"/>
      <w:numFmt w:val="bullet"/>
      <w:lvlText w:val="•"/>
      <w:lvlJc w:val="left"/>
      <w:pPr>
        <w:ind w:left="1715" w:hanging="360"/>
      </w:pPr>
      <w:rPr>
        <w:rFonts w:hint="default"/>
      </w:rPr>
    </w:lvl>
    <w:lvl w:ilvl="2" w:tplc="B36A8076">
      <w:start w:val="1"/>
      <w:numFmt w:val="bullet"/>
      <w:lvlText w:val="•"/>
      <w:lvlJc w:val="left"/>
      <w:pPr>
        <w:ind w:left="2605" w:hanging="360"/>
      </w:pPr>
      <w:rPr>
        <w:rFonts w:hint="default"/>
      </w:rPr>
    </w:lvl>
    <w:lvl w:ilvl="3" w:tplc="BDDEA364">
      <w:start w:val="1"/>
      <w:numFmt w:val="bullet"/>
      <w:lvlText w:val="•"/>
      <w:lvlJc w:val="left"/>
      <w:pPr>
        <w:ind w:left="3495" w:hanging="360"/>
      </w:pPr>
      <w:rPr>
        <w:rFonts w:hint="default"/>
      </w:rPr>
    </w:lvl>
    <w:lvl w:ilvl="4" w:tplc="DDB4F9CE">
      <w:start w:val="1"/>
      <w:numFmt w:val="bullet"/>
      <w:lvlText w:val="•"/>
      <w:lvlJc w:val="left"/>
      <w:pPr>
        <w:ind w:left="4385" w:hanging="360"/>
      </w:pPr>
      <w:rPr>
        <w:rFonts w:hint="default"/>
      </w:rPr>
    </w:lvl>
    <w:lvl w:ilvl="5" w:tplc="F0C67B88">
      <w:start w:val="1"/>
      <w:numFmt w:val="bullet"/>
      <w:lvlText w:val="•"/>
      <w:lvlJc w:val="left"/>
      <w:pPr>
        <w:ind w:left="5275" w:hanging="360"/>
      </w:pPr>
      <w:rPr>
        <w:rFonts w:hint="default"/>
      </w:rPr>
    </w:lvl>
    <w:lvl w:ilvl="6" w:tplc="A398A1E4">
      <w:start w:val="1"/>
      <w:numFmt w:val="bullet"/>
      <w:lvlText w:val="•"/>
      <w:lvlJc w:val="left"/>
      <w:pPr>
        <w:ind w:left="6165" w:hanging="360"/>
      </w:pPr>
      <w:rPr>
        <w:rFonts w:hint="default"/>
      </w:rPr>
    </w:lvl>
    <w:lvl w:ilvl="7" w:tplc="37366706">
      <w:start w:val="1"/>
      <w:numFmt w:val="bullet"/>
      <w:lvlText w:val="•"/>
      <w:lvlJc w:val="left"/>
      <w:pPr>
        <w:ind w:left="7056" w:hanging="360"/>
      </w:pPr>
      <w:rPr>
        <w:rFonts w:hint="default"/>
      </w:rPr>
    </w:lvl>
    <w:lvl w:ilvl="8" w:tplc="E7AE7BEC">
      <w:start w:val="1"/>
      <w:numFmt w:val="bullet"/>
      <w:lvlText w:val="•"/>
      <w:lvlJc w:val="left"/>
      <w:pPr>
        <w:ind w:left="7946" w:hanging="360"/>
      </w:pPr>
      <w:rPr>
        <w:rFonts w:hint="default"/>
      </w:rPr>
    </w:lvl>
  </w:abstractNum>
  <w:abstractNum w:abstractNumId="49" w15:restartNumberingAfterBreak="0">
    <w:nsid w:val="667C7026"/>
    <w:multiLevelType w:val="hybridMultilevel"/>
    <w:tmpl w:val="70EA4414"/>
    <w:lvl w:ilvl="0" w:tplc="11400A72">
      <w:start w:val="1"/>
      <w:numFmt w:val="bullet"/>
      <w:lvlText w:val="-"/>
      <w:lvlJc w:val="left"/>
      <w:pPr>
        <w:ind w:left="825" w:hanging="360"/>
      </w:pPr>
      <w:rPr>
        <w:rFonts w:ascii="Times New Roman" w:eastAsia="Times New Roman" w:hAnsi="Times New Roman" w:hint="default"/>
        <w:sz w:val="24"/>
        <w:szCs w:val="24"/>
      </w:rPr>
    </w:lvl>
    <w:lvl w:ilvl="1" w:tplc="20E43350">
      <w:start w:val="1"/>
      <w:numFmt w:val="bullet"/>
      <w:lvlText w:val="•"/>
      <w:lvlJc w:val="left"/>
      <w:pPr>
        <w:ind w:left="1715" w:hanging="360"/>
      </w:pPr>
      <w:rPr>
        <w:rFonts w:hint="default"/>
      </w:rPr>
    </w:lvl>
    <w:lvl w:ilvl="2" w:tplc="F0928FA4">
      <w:start w:val="1"/>
      <w:numFmt w:val="bullet"/>
      <w:lvlText w:val="•"/>
      <w:lvlJc w:val="left"/>
      <w:pPr>
        <w:ind w:left="2605" w:hanging="360"/>
      </w:pPr>
      <w:rPr>
        <w:rFonts w:hint="default"/>
      </w:rPr>
    </w:lvl>
    <w:lvl w:ilvl="3" w:tplc="1E889E22">
      <w:start w:val="1"/>
      <w:numFmt w:val="bullet"/>
      <w:lvlText w:val="•"/>
      <w:lvlJc w:val="left"/>
      <w:pPr>
        <w:ind w:left="3495" w:hanging="360"/>
      </w:pPr>
      <w:rPr>
        <w:rFonts w:hint="default"/>
      </w:rPr>
    </w:lvl>
    <w:lvl w:ilvl="4" w:tplc="2A683A38">
      <w:start w:val="1"/>
      <w:numFmt w:val="bullet"/>
      <w:lvlText w:val="•"/>
      <w:lvlJc w:val="left"/>
      <w:pPr>
        <w:ind w:left="4385" w:hanging="360"/>
      </w:pPr>
      <w:rPr>
        <w:rFonts w:hint="default"/>
      </w:rPr>
    </w:lvl>
    <w:lvl w:ilvl="5" w:tplc="FC1454E4">
      <w:start w:val="1"/>
      <w:numFmt w:val="bullet"/>
      <w:lvlText w:val="•"/>
      <w:lvlJc w:val="left"/>
      <w:pPr>
        <w:ind w:left="5275" w:hanging="360"/>
      </w:pPr>
      <w:rPr>
        <w:rFonts w:hint="default"/>
      </w:rPr>
    </w:lvl>
    <w:lvl w:ilvl="6" w:tplc="094AC7B4">
      <w:start w:val="1"/>
      <w:numFmt w:val="bullet"/>
      <w:lvlText w:val="•"/>
      <w:lvlJc w:val="left"/>
      <w:pPr>
        <w:ind w:left="6165" w:hanging="360"/>
      </w:pPr>
      <w:rPr>
        <w:rFonts w:hint="default"/>
      </w:rPr>
    </w:lvl>
    <w:lvl w:ilvl="7" w:tplc="F6EEB13A">
      <w:start w:val="1"/>
      <w:numFmt w:val="bullet"/>
      <w:lvlText w:val="•"/>
      <w:lvlJc w:val="left"/>
      <w:pPr>
        <w:ind w:left="7056" w:hanging="360"/>
      </w:pPr>
      <w:rPr>
        <w:rFonts w:hint="default"/>
      </w:rPr>
    </w:lvl>
    <w:lvl w:ilvl="8" w:tplc="8ADC7E64">
      <w:start w:val="1"/>
      <w:numFmt w:val="bullet"/>
      <w:lvlText w:val="•"/>
      <w:lvlJc w:val="left"/>
      <w:pPr>
        <w:ind w:left="7946" w:hanging="360"/>
      </w:pPr>
      <w:rPr>
        <w:rFonts w:hint="default"/>
      </w:rPr>
    </w:lvl>
  </w:abstractNum>
  <w:abstractNum w:abstractNumId="50" w15:restartNumberingAfterBreak="0">
    <w:nsid w:val="66B02FE8"/>
    <w:multiLevelType w:val="multilevel"/>
    <w:tmpl w:val="3E1E4EE2"/>
    <w:lvl w:ilvl="0">
      <w:start w:val="3"/>
      <w:numFmt w:val="upperRoman"/>
      <w:lvlText w:val="%1"/>
      <w:lvlJc w:val="left"/>
      <w:pPr>
        <w:ind w:left="1226" w:hanging="1121"/>
      </w:pPr>
      <w:rPr>
        <w:rFonts w:hint="default"/>
      </w:rPr>
    </w:lvl>
    <w:lvl w:ilvl="1">
      <w:start w:val="2"/>
      <w:numFmt w:val="decimal"/>
      <w:lvlText w:val="%1.%2"/>
      <w:lvlJc w:val="left"/>
      <w:pPr>
        <w:ind w:left="1226" w:hanging="1121"/>
      </w:pPr>
      <w:rPr>
        <w:rFonts w:hint="default"/>
      </w:rPr>
    </w:lvl>
    <w:lvl w:ilvl="2">
      <w:start w:val="2"/>
      <w:numFmt w:val="decimal"/>
      <w:lvlText w:val="%1.%2.%3"/>
      <w:lvlJc w:val="left"/>
      <w:pPr>
        <w:ind w:left="1226" w:hanging="1121"/>
      </w:pPr>
      <w:rPr>
        <w:rFonts w:hint="default"/>
      </w:rPr>
    </w:lvl>
    <w:lvl w:ilvl="3">
      <w:start w:val="1"/>
      <w:numFmt w:val="decimal"/>
      <w:lvlText w:val="%1.%2.%3.%4"/>
      <w:lvlJc w:val="left"/>
      <w:pPr>
        <w:ind w:left="1226" w:hanging="1121"/>
      </w:pPr>
      <w:rPr>
        <w:rFonts w:hint="default"/>
      </w:rPr>
    </w:lvl>
    <w:lvl w:ilvl="4">
      <w:start w:val="2"/>
      <w:numFmt w:val="decimal"/>
      <w:lvlText w:val="%1.%2.%3.%4.%5."/>
      <w:lvlJc w:val="left"/>
      <w:pPr>
        <w:ind w:left="1226" w:hanging="1121"/>
      </w:pPr>
      <w:rPr>
        <w:rFonts w:ascii="Times New Roman" w:eastAsia="Times New Roman" w:hAnsi="Times New Roman" w:hint="default"/>
        <w:b/>
        <w:bCs/>
        <w:sz w:val="24"/>
        <w:szCs w:val="24"/>
      </w:rPr>
    </w:lvl>
    <w:lvl w:ilvl="5">
      <w:start w:val="1"/>
      <w:numFmt w:val="bullet"/>
      <w:lvlText w:val=""/>
      <w:lvlJc w:val="left"/>
      <w:pPr>
        <w:ind w:left="825" w:hanging="360"/>
      </w:pPr>
      <w:rPr>
        <w:rFonts w:ascii="Wingdings" w:eastAsia="Wingdings" w:hAnsi="Wingdings" w:hint="default"/>
        <w:w w:val="99"/>
        <w:sz w:val="20"/>
        <w:szCs w:val="20"/>
      </w:rPr>
    </w:lvl>
    <w:lvl w:ilvl="6">
      <w:start w:val="1"/>
      <w:numFmt w:val="bullet"/>
      <w:lvlText w:val="•"/>
      <w:lvlJc w:val="left"/>
      <w:pPr>
        <w:ind w:left="5948" w:hanging="360"/>
      </w:pPr>
      <w:rPr>
        <w:rFonts w:hint="default"/>
      </w:rPr>
    </w:lvl>
    <w:lvl w:ilvl="7">
      <w:start w:val="1"/>
      <w:numFmt w:val="bullet"/>
      <w:lvlText w:val="•"/>
      <w:lvlJc w:val="left"/>
      <w:pPr>
        <w:ind w:left="6892" w:hanging="360"/>
      </w:pPr>
      <w:rPr>
        <w:rFonts w:hint="default"/>
      </w:rPr>
    </w:lvl>
    <w:lvl w:ilvl="8">
      <w:start w:val="1"/>
      <w:numFmt w:val="bullet"/>
      <w:lvlText w:val="•"/>
      <w:lvlJc w:val="left"/>
      <w:pPr>
        <w:ind w:left="7837" w:hanging="360"/>
      </w:pPr>
      <w:rPr>
        <w:rFonts w:hint="default"/>
      </w:rPr>
    </w:lvl>
  </w:abstractNum>
  <w:abstractNum w:abstractNumId="51" w15:restartNumberingAfterBreak="0">
    <w:nsid w:val="67476DF5"/>
    <w:multiLevelType w:val="hybridMultilevel"/>
    <w:tmpl w:val="2626F990"/>
    <w:lvl w:ilvl="0" w:tplc="97288434">
      <w:start w:val="1"/>
      <w:numFmt w:val="bullet"/>
      <w:lvlText w:val="-"/>
      <w:lvlJc w:val="left"/>
      <w:pPr>
        <w:ind w:left="845" w:hanging="360"/>
      </w:pPr>
      <w:rPr>
        <w:rFonts w:ascii="Times New Roman" w:eastAsia="Times New Roman" w:hAnsi="Times New Roman" w:hint="default"/>
        <w:sz w:val="24"/>
        <w:szCs w:val="24"/>
      </w:rPr>
    </w:lvl>
    <w:lvl w:ilvl="1" w:tplc="3ED85DBA">
      <w:start w:val="1"/>
      <w:numFmt w:val="bullet"/>
      <w:lvlText w:val="•"/>
      <w:lvlJc w:val="left"/>
      <w:pPr>
        <w:ind w:left="1735" w:hanging="360"/>
      </w:pPr>
      <w:rPr>
        <w:rFonts w:hint="default"/>
      </w:rPr>
    </w:lvl>
    <w:lvl w:ilvl="2" w:tplc="FCD895D0">
      <w:start w:val="1"/>
      <w:numFmt w:val="bullet"/>
      <w:lvlText w:val="•"/>
      <w:lvlJc w:val="left"/>
      <w:pPr>
        <w:ind w:left="2625" w:hanging="360"/>
      </w:pPr>
      <w:rPr>
        <w:rFonts w:hint="default"/>
      </w:rPr>
    </w:lvl>
    <w:lvl w:ilvl="3" w:tplc="D3B45EEA">
      <w:start w:val="1"/>
      <w:numFmt w:val="bullet"/>
      <w:lvlText w:val="•"/>
      <w:lvlJc w:val="left"/>
      <w:pPr>
        <w:ind w:left="3515" w:hanging="360"/>
      </w:pPr>
      <w:rPr>
        <w:rFonts w:hint="default"/>
      </w:rPr>
    </w:lvl>
    <w:lvl w:ilvl="4" w:tplc="D06A02A6">
      <w:start w:val="1"/>
      <w:numFmt w:val="bullet"/>
      <w:lvlText w:val="•"/>
      <w:lvlJc w:val="left"/>
      <w:pPr>
        <w:ind w:left="4405" w:hanging="360"/>
      </w:pPr>
      <w:rPr>
        <w:rFonts w:hint="default"/>
      </w:rPr>
    </w:lvl>
    <w:lvl w:ilvl="5" w:tplc="06F2B4AA">
      <w:start w:val="1"/>
      <w:numFmt w:val="bullet"/>
      <w:lvlText w:val="•"/>
      <w:lvlJc w:val="left"/>
      <w:pPr>
        <w:ind w:left="5295" w:hanging="360"/>
      </w:pPr>
      <w:rPr>
        <w:rFonts w:hint="default"/>
      </w:rPr>
    </w:lvl>
    <w:lvl w:ilvl="6" w:tplc="6C766642">
      <w:start w:val="1"/>
      <w:numFmt w:val="bullet"/>
      <w:lvlText w:val="•"/>
      <w:lvlJc w:val="left"/>
      <w:pPr>
        <w:ind w:left="6185" w:hanging="360"/>
      </w:pPr>
      <w:rPr>
        <w:rFonts w:hint="default"/>
      </w:rPr>
    </w:lvl>
    <w:lvl w:ilvl="7" w:tplc="489E3DA0">
      <w:start w:val="1"/>
      <w:numFmt w:val="bullet"/>
      <w:lvlText w:val="•"/>
      <w:lvlJc w:val="left"/>
      <w:pPr>
        <w:ind w:left="7076" w:hanging="360"/>
      </w:pPr>
      <w:rPr>
        <w:rFonts w:hint="default"/>
      </w:rPr>
    </w:lvl>
    <w:lvl w:ilvl="8" w:tplc="7CE02F88">
      <w:start w:val="1"/>
      <w:numFmt w:val="bullet"/>
      <w:lvlText w:val="•"/>
      <w:lvlJc w:val="left"/>
      <w:pPr>
        <w:ind w:left="7966" w:hanging="360"/>
      </w:pPr>
      <w:rPr>
        <w:rFonts w:hint="default"/>
      </w:rPr>
    </w:lvl>
  </w:abstractNum>
  <w:abstractNum w:abstractNumId="52" w15:restartNumberingAfterBreak="0">
    <w:nsid w:val="677E104C"/>
    <w:multiLevelType w:val="hybridMultilevel"/>
    <w:tmpl w:val="DCBEE00E"/>
    <w:lvl w:ilvl="0" w:tplc="39D4D95C">
      <w:start w:val="1"/>
      <w:numFmt w:val="bullet"/>
      <w:lvlText w:val="-"/>
      <w:lvlJc w:val="left"/>
      <w:pPr>
        <w:ind w:left="485" w:hanging="360"/>
      </w:pPr>
      <w:rPr>
        <w:rFonts w:ascii="Calibri" w:eastAsia="Calibri" w:hAnsi="Calibri" w:hint="default"/>
        <w:sz w:val="24"/>
        <w:szCs w:val="24"/>
      </w:rPr>
    </w:lvl>
    <w:lvl w:ilvl="1" w:tplc="2E7812AC">
      <w:start w:val="1"/>
      <w:numFmt w:val="bullet"/>
      <w:lvlText w:val="•"/>
      <w:lvlJc w:val="left"/>
      <w:pPr>
        <w:ind w:left="1411" w:hanging="360"/>
      </w:pPr>
      <w:rPr>
        <w:rFonts w:hint="default"/>
      </w:rPr>
    </w:lvl>
    <w:lvl w:ilvl="2" w:tplc="A4502696">
      <w:start w:val="1"/>
      <w:numFmt w:val="bullet"/>
      <w:lvlText w:val="•"/>
      <w:lvlJc w:val="left"/>
      <w:pPr>
        <w:ind w:left="2337" w:hanging="360"/>
      </w:pPr>
      <w:rPr>
        <w:rFonts w:hint="default"/>
      </w:rPr>
    </w:lvl>
    <w:lvl w:ilvl="3" w:tplc="B2B083DE">
      <w:start w:val="1"/>
      <w:numFmt w:val="bullet"/>
      <w:lvlText w:val="•"/>
      <w:lvlJc w:val="left"/>
      <w:pPr>
        <w:ind w:left="3263" w:hanging="360"/>
      </w:pPr>
      <w:rPr>
        <w:rFonts w:hint="default"/>
      </w:rPr>
    </w:lvl>
    <w:lvl w:ilvl="4" w:tplc="3A0A1D48">
      <w:start w:val="1"/>
      <w:numFmt w:val="bullet"/>
      <w:lvlText w:val="•"/>
      <w:lvlJc w:val="left"/>
      <w:pPr>
        <w:ind w:left="4189" w:hanging="360"/>
      </w:pPr>
      <w:rPr>
        <w:rFonts w:hint="default"/>
      </w:rPr>
    </w:lvl>
    <w:lvl w:ilvl="5" w:tplc="CAE2FB84">
      <w:start w:val="1"/>
      <w:numFmt w:val="bullet"/>
      <w:lvlText w:val="•"/>
      <w:lvlJc w:val="left"/>
      <w:pPr>
        <w:ind w:left="5115" w:hanging="360"/>
      </w:pPr>
      <w:rPr>
        <w:rFonts w:hint="default"/>
      </w:rPr>
    </w:lvl>
    <w:lvl w:ilvl="6" w:tplc="839A4362">
      <w:start w:val="1"/>
      <w:numFmt w:val="bullet"/>
      <w:lvlText w:val="•"/>
      <w:lvlJc w:val="left"/>
      <w:pPr>
        <w:ind w:left="6041" w:hanging="360"/>
      </w:pPr>
      <w:rPr>
        <w:rFonts w:hint="default"/>
      </w:rPr>
    </w:lvl>
    <w:lvl w:ilvl="7" w:tplc="5F3C157C">
      <w:start w:val="1"/>
      <w:numFmt w:val="bullet"/>
      <w:lvlText w:val="•"/>
      <w:lvlJc w:val="left"/>
      <w:pPr>
        <w:ind w:left="6968" w:hanging="360"/>
      </w:pPr>
      <w:rPr>
        <w:rFonts w:hint="default"/>
      </w:rPr>
    </w:lvl>
    <w:lvl w:ilvl="8" w:tplc="A2AC2424">
      <w:start w:val="1"/>
      <w:numFmt w:val="bullet"/>
      <w:lvlText w:val="•"/>
      <w:lvlJc w:val="left"/>
      <w:pPr>
        <w:ind w:left="7894" w:hanging="360"/>
      </w:pPr>
      <w:rPr>
        <w:rFonts w:hint="default"/>
      </w:rPr>
    </w:lvl>
  </w:abstractNum>
  <w:abstractNum w:abstractNumId="53" w15:restartNumberingAfterBreak="0">
    <w:nsid w:val="6C4608CB"/>
    <w:multiLevelType w:val="multilevel"/>
    <w:tmpl w:val="0D1A18D0"/>
    <w:lvl w:ilvl="0">
      <w:start w:val="6"/>
      <w:numFmt w:val="upperRoman"/>
      <w:lvlText w:val="%1"/>
      <w:lvlJc w:val="left"/>
      <w:pPr>
        <w:ind w:left="691" w:hanging="567"/>
      </w:pPr>
      <w:rPr>
        <w:rFonts w:hint="default"/>
      </w:rPr>
    </w:lvl>
    <w:lvl w:ilvl="1">
      <w:start w:val="3"/>
      <w:numFmt w:val="decimal"/>
      <w:lvlText w:val="%1.%2."/>
      <w:lvlJc w:val="left"/>
      <w:pPr>
        <w:ind w:left="691" w:hanging="567"/>
      </w:pPr>
      <w:rPr>
        <w:rFonts w:ascii="Times New Roman" w:eastAsia="Times New Roman" w:hAnsi="Times New Roman" w:hint="default"/>
        <w:b/>
        <w:bCs/>
        <w:sz w:val="24"/>
        <w:szCs w:val="24"/>
      </w:rPr>
    </w:lvl>
    <w:lvl w:ilvl="2">
      <w:start w:val="1"/>
      <w:numFmt w:val="lowerLetter"/>
      <w:lvlText w:val="%3)"/>
      <w:lvlJc w:val="left"/>
      <w:pPr>
        <w:ind w:left="845" w:hanging="286"/>
      </w:pPr>
      <w:rPr>
        <w:rFonts w:ascii="Times New Roman" w:eastAsia="Times New Roman" w:hAnsi="Times New Roman" w:hint="default"/>
        <w:spacing w:val="-1"/>
        <w:sz w:val="24"/>
        <w:szCs w:val="24"/>
      </w:rPr>
    </w:lvl>
    <w:lvl w:ilvl="3">
      <w:start w:val="1"/>
      <w:numFmt w:val="bullet"/>
      <w:lvlText w:val="•"/>
      <w:lvlJc w:val="left"/>
      <w:pPr>
        <w:ind w:left="2823" w:hanging="286"/>
      </w:pPr>
      <w:rPr>
        <w:rFonts w:hint="default"/>
      </w:rPr>
    </w:lvl>
    <w:lvl w:ilvl="4">
      <w:start w:val="1"/>
      <w:numFmt w:val="bullet"/>
      <w:lvlText w:val="•"/>
      <w:lvlJc w:val="left"/>
      <w:pPr>
        <w:ind w:left="3812" w:hanging="286"/>
      </w:pPr>
      <w:rPr>
        <w:rFonts w:hint="default"/>
      </w:rPr>
    </w:lvl>
    <w:lvl w:ilvl="5">
      <w:start w:val="1"/>
      <w:numFmt w:val="bullet"/>
      <w:lvlText w:val="•"/>
      <w:lvlJc w:val="left"/>
      <w:pPr>
        <w:ind w:left="4801" w:hanging="286"/>
      </w:pPr>
      <w:rPr>
        <w:rFonts w:hint="default"/>
      </w:rPr>
    </w:lvl>
    <w:lvl w:ilvl="6">
      <w:start w:val="1"/>
      <w:numFmt w:val="bullet"/>
      <w:lvlText w:val="•"/>
      <w:lvlJc w:val="left"/>
      <w:pPr>
        <w:ind w:left="5790" w:hanging="286"/>
      </w:pPr>
      <w:rPr>
        <w:rFonts w:hint="default"/>
      </w:rPr>
    </w:lvl>
    <w:lvl w:ilvl="7">
      <w:start w:val="1"/>
      <w:numFmt w:val="bullet"/>
      <w:lvlText w:val="•"/>
      <w:lvlJc w:val="left"/>
      <w:pPr>
        <w:ind w:left="6779" w:hanging="286"/>
      </w:pPr>
      <w:rPr>
        <w:rFonts w:hint="default"/>
      </w:rPr>
    </w:lvl>
    <w:lvl w:ilvl="8">
      <w:start w:val="1"/>
      <w:numFmt w:val="bullet"/>
      <w:lvlText w:val="•"/>
      <w:lvlJc w:val="left"/>
      <w:pPr>
        <w:ind w:left="7768" w:hanging="286"/>
      </w:pPr>
      <w:rPr>
        <w:rFonts w:hint="default"/>
      </w:rPr>
    </w:lvl>
  </w:abstractNum>
  <w:abstractNum w:abstractNumId="54" w15:restartNumberingAfterBreak="0">
    <w:nsid w:val="73711180"/>
    <w:multiLevelType w:val="hybridMultilevel"/>
    <w:tmpl w:val="16DA1252"/>
    <w:lvl w:ilvl="0" w:tplc="564C3AF2">
      <w:start w:val="1"/>
      <w:numFmt w:val="bullet"/>
      <w:lvlText w:val="-"/>
      <w:lvlJc w:val="left"/>
      <w:pPr>
        <w:ind w:left="825" w:hanging="360"/>
      </w:pPr>
      <w:rPr>
        <w:rFonts w:ascii="Times New Roman" w:eastAsia="Times New Roman" w:hAnsi="Times New Roman" w:hint="default"/>
        <w:sz w:val="24"/>
        <w:szCs w:val="24"/>
      </w:rPr>
    </w:lvl>
    <w:lvl w:ilvl="1" w:tplc="E3F270EA">
      <w:start w:val="1"/>
      <w:numFmt w:val="bullet"/>
      <w:lvlText w:val="•"/>
      <w:lvlJc w:val="left"/>
      <w:pPr>
        <w:ind w:left="1715" w:hanging="360"/>
      </w:pPr>
      <w:rPr>
        <w:rFonts w:hint="default"/>
      </w:rPr>
    </w:lvl>
    <w:lvl w:ilvl="2" w:tplc="632641B8">
      <w:start w:val="1"/>
      <w:numFmt w:val="bullet"/>
      <w:lvlText w:val="•"/>
      <w:lvlJc w:val="left"/>
      <w:pPr>
        <w:ind w:left="2605" w:hanging="360"/>
      </w:pPr>
      <w:rPr>
        <w:rFonts w:hint="default"/>
      </w:rPr>
    </w:lvl>
    <w:lvl w:ilvl="3" w:tplc="BA62E6E6">
      <w:start w:val="1"/>
      <w:numFmt w:val="bullet"/>
      <w:lvlText w:val="•"/>
      <w:lvlJc w:val="left"/>
      <w:pPr>
        <w:ind w:left="3495" w:hanging="360"/>
      </w:pPr>
      <w:rPr>
        <w:rFonts w:hint="default"/>
      </w:rPr>
    </w:lvl>
    <w:lvl w:ilvl="4" w:tplc="C60C52E8">
      <w:start w:val="1"/>
      <w:numFmt w:val="bullet"/>
      <w:lvlText w:val="•"/>
      <w:lvlJc w:val="left"/>
      <w:pPr>
        <w:ind w:left="4385" w:hanging="360"/>
      </w:pPr>
      <w:rPr>
        <w:rFonts w:hint="default"/>
      </w:rPr>
    </w:lvl>
    <w:lvl w:ilvl="5" w:tplc="1A1C20A6">
      <w:start w:val="1"/>
      <w:numFmt w:val="bullet"/>
      <w:lvlText w:val="•"/>
      <w:lvlJc w:val="left"/>
      <w:pPr>
        <w:ind w:left="5275" w:hanging="360"/>
      </w:pPr>
      <w:rPr>
        <w:rFonts w:hint="default"/>
      </w:rPr>
    </w:lvl>
    <w:lvl w:ilvl="6" w:tplc="F464590C">
      <w:start w:val="1"/>
      <w:numFmt w:val="bullet"/>
      <w:lvlText w:val="•"/>
      <w:lvlJc w:val="left"/>
      <w:pPr>
        <w:ind w:left="6165" w:hanging="360"/>
      </w:pPr>
      <w:rPr>
        <w:rFonts w:hint="default"/>
      </w:rPr>
    </w:lvl>
    <w:lvl w:ilvl="7" w:tplc="7E0621F4">
      <w:start w:val="1"/>
      <w:numFmt w:val="bullet"/>
      <w:lvlText w:val="•"/>
      <w:lvlJc w:val="left"/>
      <w:pPr>
        <w:ind w:left="7056" w:hanging="360"/>
      </w:pPr>
      <w:rPr>
        <w:rFonts w:hint="default"/>
      </w:rPr>
    </w:lvl>
    <w:lvl w:ilvl="8" w:tplc="D098070E">
      <w:start w:val="1"/>
      <w:numFmt w:val="bullet"/>
      <w:lvlText w:val="•"/>
      <w:lvlJc w:val="left"/>
      <w:pPr>
        <w:ind w:left="7946" w:hanging="360"/>
      </w:pPr>
      <w:rPr>
        <w:rFonts w:hint="default"/>
      </w:rPr>
    </w:lvl>
  </w:abstractNum>
  <w:abstractNum w:abstractNumId="55" w15:restartNumberingAfterBreak="0">
    <w:nsid w:val="75006180"/>
    <w:multiLevelType w:val="multilevel"/>
    <w:tmpl w:val="4D0E87C8"/>
    <w:lvl w:ilvl="0">
      <w:start w:val="3"/>
      <w:numFmt w:val="upperRoman"/>
      <w:lvlText w:val="%1"/>
      <w:lvlJc w:val="left"/>
      <w:pPr>
        <w:ind w:left="1379" w:hanging="992"/>
      </w:pPr>
      <w:rPr>
        <w:rFonts w:hint="default"/>
      </w:rPr>
    </w:lvl>
    <w:lvl w:ilvl="1">
      <w:start w:val="2"/>
      <w:numFmt w:val="decimal"/>
      <w:lvlText w:val="%1.%2"/>
      <w:lvlJc w:val="left"/>
      <w:pPr>
        <w:ind w:left="1379" w:hanging="992"/>
      </w:pPr>
      <w:rPr>
        <w:rFonts w:hint="default"/>
      </w:rPr>
    </w:lvl>
    <w:lvl w:ilvl="2">
      <w:start w:val="2"/>
      <w:numFmt w:val="decimal"/>
      <w:lvlText w:val="%1.%2.%3"/>
      <w:lvlJc w:val="left"/>
      <w:pPr>
        <w:ind w:left="1379" w:hanging="992"/>
      </w:pPr>
      <w:rPr>
        <w:rFonts w:hint="default"/>
      </w:rPr>
    </w:lvl>
    <w:lvl w:ilvl="3">
      <w:start w:val="1"/>
      <w:numFmt w:val="decimal"/>
      <w:lvlText w:val="%1.%2.%3.%4"/>
      <w:lvlJc w:val="left"/>
      <w:pPr>
        <w:ind w:left="1379" w:hanging="992"/>
      </w:pPr>
      <w:rPr>
        <w:rFonts w:hint="default"/>
      </w:rPr>
    </w:lvl>
    <w:lvl w:ilvl="4">
      <w:start w:val="1"/>
      <w:numFmt w:val="decimal"/>
      <w:lvlText w:val="%1.%2.%3.%4.%5."/>
      <w:lvlJc w:val="left"/>
      <w:pPr>
        <w:ind w:left="1379" w:hanging="992"/>
      </w:pPr>
      <w:rPr>
        <w:rFonts w:ascii="Times New Roman" w:eastAsia="Times New Roman" w:hAnsi="Times New Roman" w:hint="default"/>
        <w:spacing w:val="-2"/>
        <w:sz w:val="22"/>
        <w:szCs w:val="22"/>
      </w:rPr>
    </w:lvl>
    <w:lvl w:ilvl="5">
      <w:start w:val="1"/>
      <w:numFmt w:val="decimal"/>
      <w:lvlText w:val="%1.%2.%3.%4.%5.%6."/>
      <w:lvlJc w:val="left"/>
      <w:pPr>
        <w:ind w:left="1545" w:hanging="1157"/>
      </w:pPr>
      <w:rPr>
        <w:rFonts w:ascii="Times New Roman" w:eastAsia="Times New Roman" w:hAnsi="Times New Roman" w:hint="default"/>
        <w:spacing w:val="-2"/>
        <w:sz w:val="22"/>
        <w:szCs w:val="22"/>
      </w:rPr>
    </w:lvl>
    <w:lvl w:ilvl="6">
      <w:start w:val="1"/>
      <w:numFmt w:val="bullet"/>
      <w:lvlText w:val="•"/>
      <w:lvlJc w:val="left"/>
      <w:pPr>
        <w:ind w:left="6134" w:hanging="1157"/>
      </w:pPr>
      <w:rPr>
        <w:rFonts w:hint="default"/>
      </w:rPr>
    </w:lvl>
    <w:lvl w:ilvl="7">
      <w:start w:val="1"/>
      <w:numFmt w:val="bullet"/>
      <w:lvlText w:val="•"/>
      <w:lvlJc w:val="left"/>
      <w:pPr>
        <w:ind w:left="7052" w:hanging="1157"/>
      </w:pPr>
      <w:rPr>
        <w:rFonts w:hint="default"/>
      </w:rPr>
    </w:lvl>
    <w:lvl w:ilvl="8">
      <w:start w:val="1"/>
      <w:numFmt w:val="bullet"/>
      <w:lvlText w:val="•"/>
      <w:lvlJc w:val="left"/>
      <w:pPr>
        <w:ind w:left="7970" w:hanging="1157"/>
      </w:pPr>
      <w:rPr>
        <w:rFonts w:hint="default"/>
      </w:rPr>
    </w:lvl>
  </w:abstractNum>
  <w:abstractNum w:abstractNumId="56" w15:restartNumberingAfterBreak="0">
    <w:nsid w:val="78714E1B"/>
    <w:multiLevelType w:val="multilevel"/>
    <w:tmpl w:val="45309B48"/>
    <w:lvl w:ilvl="0">
      <w:start w:val="4"/>
      <w:numFmt w:val="upperRoman"/>
      <w:lvlText w:val="%1"/>
      <w:lvlJc w:val="left"/>
      <w:pPr>
        <w:ind w:left="691" w:hanging="567"/>
      </w:pPr>
      <w:rPr>
        <w:rFonts w:hint="default"/>
      </w:rPr>
    </w:lvl>
    <w:lvl w:ilvl="1">
      <w:start w:val="4"/>
      <w:numFmt w:val="decimal"/>
      <w:lvlText w:val="%1.%2."/>
      <w:lvlJc w:val="left"/>
      <w:pPr>
        <w:ind w:left="691" w:hanging="567"/>
      </w:pPr>
      <w:rPr>
        <w:rFonts w:ascii="Times New Roman" w:eastAsia="Times New Roman" w:hAnsi="Times New Roman" w:hint="default"/>
        <w:b/>
        <w:bCs/>
        <w:sz w:val="24"/>
        <w:szCs w:val="24"/>
      </w:rPr>
    </w:lvl>
    <w:lvl w:ilvl="2">
      <w:start w:val="1"/>
      <w:numFmt w:val="lowerRoman"/>
      <w:lvlText w:val="%3."/>
      <w:lvlJc w:val="left"/>
      <w:pPr>
        <w:ind w:left="845" w:hanging="488"/>
        <w:jc w:val="right"/>
      </w:pPr>
      <w:rPr>
        <w:rFonts w:ascii="Times New Roman" w:eastAsia="Times New Roman" w:hAnsi="Times New Roman" w:hint="default"/>
        <w:sz w:val="24"/>
        <w:szCs w:val="24"/>
      </w:rPr>
    </w:lvl>
    <w:lvl w:ilvl="3">
      <w:start w:val="1"/>
      <w:numFmt w:val="bullet"/>
      <w:lvlText w:val="•"/>
      <w:lvlJc w:val="left"/>
      <w:pPr>
        <w:ind w:left="2912" w:hanging="488"/>
      </w:pPr>
      <w:rPr>
        <w:rFonts w:hint="default"/>
      </w:rPr>
    </w:lvl>
    <w:lvl w:ilvl="4">
      <w:start w:val="1"/>
      <w:numFmt w:val="bullet"/>
      <w:lvlText w:val="•"/>
      <w:lvlJc w:val="left"/>
      <w:pPr>
        <w:ind w:left="3945" w:hanging="488"/>
      </w:pPr>
      <w:rPr>
        <w:rFonts w:hint="default"/>
      </w:rPr>
    </w:lvl>
    <w:lvl w:ilvl="5">
      <w:start w:val="1"/>
      <w:numFmt w:val="bullet"/>
      <w:lvlText w:val="•"/>
      <w:lvlJc w:val="left"/>
      <w:pPr>
        <w:ind w:left="4979" w:hanging="488"/>
      </w:pPr>
      <w:rPr>
        <w:rFonts w:hint="default"/>
      </w:rPr>
    </w:lvl>
    <w:lvl w:ilvl="6">
      <w:start w:val="1"/>
      <w:numFmt w:val="bullet"/>
      <w:lvlText w:val="•"/>
      <w:lvlJc w:val="left"/>
      <w:pPr>
        <w:ind w:left="6012" w:hanging="488"/>
      </w:pPr>
      <w:rPr>
        <w:rFonts w:hint="default"/>
      </w:rPr>
    </w:lvl>
    <w:lvl w:ilvl="7">
      <w:start w:val="1"/>
      <w:numFmt w:val="bullet"/>
      <w:lvlText w:val="•"/>
      <w:lvlJc w:val="left"/>
      <w:pPr>
        <w:ind w:left="7046" w:hanging="488"/>
      </w:pPr>
      <w:rPr>
        <w:rFonts w:hint="default"/>
      </w:rPr>
    </w:lvl>
    <w:lvl w:ilvl="8">
      <w:start w:val="1"/>
      <w:numFmt w:val="bullet"/>
      <w:lvlText w:val="•"/>
      <w:lvlJc w:val="left"/>
      <w:pPr>
        <w:ind w:left="8079" w:hanging="488"/>
      </w:pPr>
      <w:rPr>
        <w:rFonts w:hint="default"/>
      </w:rPr>
    </w:lvl>
  </w:abstractNum>
  <w:abstractNum w:abstractNumId="57" w15:restartNumberingAfterBreak="0">
    <w:nsid w:val="78CA2660"/>
    <w:multiLevelType w:val="multilevel"/>
    <w:tmpl w:val="C62C09F2"/>
    <w:lvl w:ilvl="0">
      <w:start w:val="5"/>
      <w:numFmt w:val="upperRoman"/>
      <w:lvlText w:val="%1"/>
      <w:lvlJc w:val="left"/>
      <w:pPr>
        <w:ind w:left="1118" w:hanging="1013"/>
      </w:pPr>
      <w:rPr>
        <w:rFonts w:hint="default"/>
      </w:rPr>
    </w:lvl>
    <w:lvl w:ilvl="1">
      <w:start w:val="2"/>
      <w:numFmt w:val="decimal"/>
      <w:lvlText w:val="%1.%2"/>
      <w:lvlJc w:val="left"/>
      <w:pPr>
        <w:ind w:left="1118" w:hanging="1013"/>
      </w:pPr>
      <w:rPr>
        <w:rFonts w:hint="default"/>
      </w:rPr>
    </w:lvl>
    <w:lvl w:ilvl="2">
      <w:start w:val="4"/>
      <w:numFmt w:val="decimal"/>
      <w:lvlText w:val="%1.%2.%3"/>
      <w:lvlJc w:val="left"/>
      <w:pPr>
        <w:ind w:left="1118" w:hanging="1013"/>
      </w:pPr>
      <w:rPr>
        <w:rFonts w:hint="default"/>
      </w:rPr>
    </w:lvl>
    <w:lvl w:ilvl="3">
      <w:start w:val="2"/>
      <w:numFmt w:val="decimal"/>
      <w:lvlText w:val="%1.%2.%3.%4"/>
      <w:lvlJc w:val="left"/>
      <w:pPr>
        <w:ind w:left="1118" w:hanging="1013"/>
      </w:pPr>
      <w:rPr>
        <w:rFonts w:hint="default"/>
      </w:rPr>
    </w:lvl>
    <w:lvl w:ilvl="4">
      <w:start w:val="1"/>
      <w:numFmt w:val="decimal"/>
      <w:lvlText w:val="%1.%2.%3.%4.%5."/>
      <w:lvlJc w:val="left"/>
      <w:pPr>
        <w:ind w:left="105" w:hanging="1013"/>
      </w:pPr>
      <w:rPr>
        <w:rFonts w:ascii="Times New Roman" w:eastAsia="Times New Roman" w:hAnsi="Times New Roman" w:hint="default"/>
        <w:b/>
        <w:bCs/>
        <w:sz w:val="24"/>
        <w:szCs w:val="24"/>
      </w:rPr>
    </w:lvl>
    <w:lvl w:ilvl="5">
      <w:start w:val="1"/>
      <w:numFmt w:val="bullet"/>
      <w:lvlText w:val="-"/>
      <w:lvlJc w:val="left"/>
      <w:pPr>
        <w:ind w:left="1173" w:hanging="360"/>
      </w:pPr>
      <w:rPr>
        <w:rFonts w:ascii="Times New Roman" w:eastAsia="Times New Roman" w:hAnsi="Times New Roman" w:hint="default"/>
        <w:sz w:val="24"/>
        <w:szCs w:val="24"/>
      </w:rPr>
    </w:lvl>
    <w:lvl w:ilvl="6">
      <w:start w:val="1"/>
      <w:numFmt w:val="bullet"/>
      <w:lvlText w:val="•"/>
      <w:lvlJc w:val="left"/>
      <w:pPr>
        <w:ind w:left="5449" w:hanging="360"/>
      </w:pPr>
      <w:rPr>
        <w:rFonts w:hint="default"/>
      </w:rPr>
    </w:lvl>
    <w:lvl w:ilvl="7">
      <w:start w:val="1"/>
      <w:numFmt w:val="bullet"/>
      <w:lvlText w:val="•"/>
      <w:lvlJc w:val="left"/>
      <w:pPr>
        <w:ind w:left="6518" w:hanging="360"/>
      </w:pPr>
      <w:rPr>
        <w:rFonts w:hint="default"/>
      </w:rPr>
    </w:lvl>
    <w:lvl w:ilvl="8">
      <w:start w:val="1"/>
      <w:numFmt w:val="bullet"/>
      <w:lvlText w:val="•"/>
      <w:lvlJc w:val="left"/>
      <w:pPr>
        <w:ind w:left="7588" w:hanging="360"/>
      </w:pPr>
      <w:rPr>
        <w:rFonts w:hint="default"/>
      </w:rPr>
    </w:lvl>
  </w:abstractNum>
  <w:abstractNum w:abstractNumId="58" w15:restartNumberingAfterBreak="0">
    <w:nsid w:val="7D725DFE"/>
    <w:multiLevelType w:val="hybridMultilevel"/>
    <w:tmpl w:val="5268F3BC"/>
    <w:lvl w:ilvl="0" w:tplc="2C0AF818">
      <w:start w:val="1"/>
      <w:numFmt w:val="bullet"/>
      <w:lvlText w:val="-"/>
      <w:lvlJc w:val="left"/>
      <w:pPr>
        <w:ind w:left="825" w:hanging="360"/>
      </w:pPr>
      <w:rPr>
        <w:rFonts w:ascii="Times New Roman" w:eastAsia="Times New Roman" w:hAnsi="Times New Roman" w:hint="default"/>
        <w:sz w:val="24"/>
        <w:szCs w:val="24"/>
      </w:rPr>
    </w:lvl>
    <w:lvl w:ilvl="1" w:tplc="683646B0">
      <w:start w:val="1"/>
      <w:numFmt w:val="bullet"/>
      <w:lvlText w:val="•"/>
      <w:lvlJc w:val="left"/>
      <w:pPr>
        <w:ind w:left="1715" w:hanging="360"/>
      </w:pPr>
      <w:rPr>
        <w:rFonts w:hint="default"/>
      </w:rPr>
    </w:lvl>
    <w:lvl w:ilvl="2" w:tplc="26B41414">
      <w:start w:val="1"/>
      <w:numFmt w:val="bullet"/>
      <w:lvlText w:val="•"/>
      <w:lvlJc w:val="left"/>
      <w:pPr>
        <w:ind w:left="2605" w:hanging="360"/>
      </w:pPr>
      <w:rPr>
        <w:rFonts w:hint="default"/>
      </w:rPr>
    </w:lvl>
    <w:lvl w:ilvl="3" w:tplc="9ED82DC4">
      <w:start w:val="1"/>
      <w:numFmt w:val="bullet"/>
      <w:lvlText w:val="•"/>
      <w:lvlJc w:val="left"/>
      <w:pPr>
        <w:ind w:left="3495" w:hanging="360"/>
      </w:pPr>
      <w:rPr>
        <w:rFonts w:hint="default"/>
      </w:rPr>
    </w:lvl>
    <w:lvl w:ilvl="4" w:tplc="0076F8B0">
      <w:start w:val="1"/>
      <w:numFmt w:val="bullet"/>
      <w:lvlText w:val="•"/>
      <w:lvlJc w:val="left"/>
      <w:pPr>
        <w:ind w:left="4385" w:hanging="360"/>
      </w:pPr>
      <w:rPr>
        <w:rFonts w:hint="default"/>
      </w:rPr>
    </w:lvl>
    <w:lvl w:ilvl="5" w:tplc="00FAD9CA">
      <w:start w:val="1"/>
      <w:numFmt w:val="bullet"/>
      <w:lvlText w:val="•"/>
      <w:lvlJc w:val="left"/>
      <w:pPr>
        <w:ind w:left="5275" w:hanging="360"/>
      </w:pPr>
      <w:rPr>
        <w:rFonts w:hint="default"/>
      </w:rPr>
    </w:lvl>
    <w:lvl w:ilvl="6" w:tplc="B9765BF6">
      <w:start w:val="1"/>
      <w:numFmt w:val="bullet"/>
      <w:lvlText w:val="•"/>
      <w:lvlJc w:val="left"/>
      <w:pPr>
        <w:ind w:left="6165" w:hanging="360"/>
      </w:pPr>
      <w:rPr>
        <w:rFonts w:hint="default"/>
      </w:rPr>
    </w:lvl>
    <w:lvl w:ilvl="7" w:tplc="5072893E">
      <w:start w:val="1"/>
      <w:numFmt w:val="bullet"/>
      <w:lvlText w:val="•"/>
      <w:lvlJc w:val="left"/>
      <w:pPr>
        <w:ind w:left="7056" w:hanging="360"/>
      </w:pPr>
      <w:rPr>
        <w:rFonts w:hint="default"/>
      </w:rPr>
    </w:lvl>
    <w:lvl w:ilvl="8" w:tplc="A3BABF62">
      <w:start w:val="1"/>
      <w:numFmt w:val="bullet"/>
      <w:lvlText w:val="•"/>
      <w:lvlJc w:val="left"/>
      <w:pPr>
        <w:ind w:left="7946" w:hanging="360"/>
      </w:pPr>
      <w:rPr>
        <w:rFonts w:hint="default"/>
      </w:rPr>
    </w:lvl>
  </w:abstractNum>
  <w:abstractNum w:abstractNumId="59" w15:restartNumberingAfterBreak="0">
    <w:nsid w:val="7D9B77F7"/>
    <w:multiLevelType w:val="hybridMultilevel"/>
    <w:tmpl w:val="2DEE8E84"/>
    <w:lvl w:ilvl="0" w:tplc="025492D2">
      <w:start w:val="22"/>
      <w:numFmt w:val="decimal"/>
      <w:lvlText w:val="%1"/>
      <w:lvlJc w:val="left"/>
      <w:pPr>
        <w:ind w:left="125" w:hanging="180"/>
      </w:pPr>
      <w:rPr>
        <w:rFonts w:ascii="Times New Roman" w:eastAsia="Times New Roman" w:hAnsi="Times New Roman" w:hint="default"/>
        <w:w w:val="99"/>
        <w:position w:val="7"/>
        <w:sz w:val="13"/>
        <w:szCs w:val="13"/>
      </w:rPr>
    </w:lvl>
    <w:lvl w:ilvl="1" w:tplc="08223B62">
      <w:start w:val="1"/>
      <w:numFmt w:val="bullet"/>
      <w:lvlText w:val="-"/>
      <w:lvlJc w:val="left"/>
      <w:pPr>
        <w:ind w:left="845" w:hanging="360"/>
      </w:pPr>
      <w:rPr>
        <w:rFonts w:ascii="Calibri" w:eastAsia="Calibri" w:hAnsi="Calibri" w:hint="default"/>
        <w:sz w:val="24"/>
        <w:szCs w:val="24"/>
      </w:rPr>
    </w:lvl>
    <w:lvl w:ilvl="2" w:tplc="AFCCC1AA">
      <w:start w:val="1"/>
      <w:numFmt w:val="bullet"/>
      <w:lvlText w:val="•"/>
      <w:lvlJc w:val="left"/>
      <w:pPr>
        <w:ind w:left="1834" w:hanging="360"/>
      </w:pPr>
      <w:rPr>
        <w:rFonts w:hint="default"/>
      </w:rPr>
    </w:lvl>
    <w:lvl w:ilvl="3" w:tplc="292009FE">
      <w:start w:val="1"/>
      <w:numFmt w:val="bullet"/>
      <w:lvlText w:val="•"/>
      <w:lvlJc w:val="left"/>
      <w:pPr>
        <w:ind w:left="2823" w:hanging="360"/>
      </w:pPr>
      <w:rPr>
        <w:rFonts w:hint="default"/>
      </w:rPr>
    </w:lvl>
    <w:lvl w:ilvl="4" w:tplc="B6B49040">
      <w:start w:val="1"/>
      <w:numFmt w:val="bullet"/>
      <w:lvlText w:val="•"/>
      <w:lvlJc w:val="left"/>
      <w:pPr>
        <w:ind w:left="3812" w:hanging="360"/>
      </w:pPr>
      <w:rPr>
        <w:rFonts w:hint="default"/>
      </w:rPr>
    </w:lvl>
    <w:lvl w:ilvl="5" w:tplc="7C8ED3CE">
      <w:start w:val="1"/>
      <w:numFmt w:val="bullet"/>
      <w:lvlText w:val="•"/>
      <w:lvlJc w:val="left"/>
      <w:pPr>
        <w:ind w:left="4801" w:hanging="360"/>
      </w:pPr>
      <w:rPr>
        <w:rFonts w:hint="default"/>
      </w:rPr>
    </w:lvl>
    <w:lvl w:ilvl="6" w:tplc="1944BE9A">
      <w:start w:val="1"/>
      <w:numFmt w:val="bullet"/>
      <w:lvlText w:val="•"/>
      <w:lvlJc w:val="left"/>
      <w:pPr>
        <w:ind w:left="5790" w:hanging="360"/>
      </w:pPr>
      <w:rPr>
        <w:rFonts w:hint="default"/>
      </w:rPr>
    </w:lvl>
    <w:lvl w:ilvl="7" w:tplc="B92698B0">
      <w:start w:val="1"/>
      <w:numFmt w:val="bullet"/>
      <w:lvlText w:val="•"/>
      <w:lvlJc w:val="left"/>
      <w:pPr>
        <w:ind w:left="6779" w:hanging="360"/>
      </w:pPr>
      <w:rPr>
        <w:rFonts w:hint="default"/>
      </w:rPr>
    </w:lvl>
    <w:lvl w:ilvl="8" w:tplc="08983218">
      <w:start w:val="1"/>
      <w:numFmt w:val="bullet"/>
      <w:lvlText w:val="•"/>
      <w:lvlJc w:val="left"/>
      <w:pPr>
        <w:ind w:left="7768" w:hanging="360"/>
      </w:pPr>
      <w:rPr>
        <w:rFonts w:hint="default"/>
      </w:rPr>
    </w:lvl>
  </w:abstractNum>
  <w:abstractNum w:abstractNumId="60" w15:restartNumberingAfterBreak="0">
    <w:nsid w:val="7EC8225B"/>
    <w:multiLevelType w:val="multilevel"/>
    <w:tmpl w:val="8166CD62"/>
    <w:lvl w:ilvl="0">
      <w:start w:val="1"/>
      <w:numFmt w:val="upperRoman"/>
      <w:lvlText w:val="%1."/>
      <w:lvlJc w:val="left"/>
      <w:pPr>
        <w:ind w:left="358" w:hanging="214"/>
      </w:pPr>
      <w:rPr>
        <w:rFonts w:ascii="Times New Roman" w:eastAsia="Times New Roman" w:hAnsi="Times New Roman" w:hint="default"/>
        <w:b/>
        <w:bCs/>
        <w:sz w:val="24"/>
        <w:szCs w:val="24"/>
      </w:rPr>
    </w:lvl>
    <w:lvl w:ilvl="1">
      <w:start w:val="1"/>
      <w:numFmt w:val="decimal"/>
      <w:lvlText w:val="%1.%2."/>
      <w:lvlJc w:val="left"/>
      <w:pPr>
        <w:ind w:left="538" w:hanging="394"/>
        <w:jc w:val="right"/>
      </w:pPr>
      <w:rPr>
        <w:rFonts w:ascii="Times New Roman" w:eastAsia="Times New Roman" w:hAnsi="Times New Roman" w:hint="default"/>
        <w:b/>
        <w:bCs/>
        <w:sz w:val="24"/>
        <w:szCs w:val="24"/>
      </w:rPr>
    </w:lvl>
    <w:lvl w:ilvl="2">
      <w:start w:val="1"/>
      <w:numFmt w:val="decimal"/>
      <w:lvlText w:val="%1.%2.%3."/>
      <w:lvlJc w:val="left"/>
      <w:pPr>
        <w:ind w:left="792" w:hanging="668"/>
      </w:pPr>
      <w:rPr>
        <w:rFonts w:ascii="Times New Roman" w:eastAsia="Times New Roman" w:hAnsi="Times New Roman" w:hint="default"/>
        <w:b/>
        <w:bCs/>
        <w:sz w:val="24"/>
        <w:szCs w:val="24"/>
      </w:rPr>
    </w:lvl>
    <w:lvl w:ilvl="3">
      <w:start w:val="1"/>
      <w:numFmt w:val="bullet"/>
      <w:lvlText w:val="-"/>
      <w:lvlJc w:val="left"/>
      <w:pPr>
        <w:ind w:left="818" w:hanging="356"/>
      </w:pPr>
      <w:rPr>
        <w:rFonts w:ascii="Times New Roman" w:eastAsia="Times New Roman" w:hAnsi="Times New Roman" w:hint="default"/>
        <w:sz w:val="24"/>
        <w:szCs w:val="24"/>
      </w:rPr>
    </w:lvl>
    <w:lvl w:ilvl="4">
      <w:start w:val="1"/>
      <w:numFmt w:val="bullet"/>
      <w:lvlText w:val="•"/>
      <w:lvlJc w:val="left"/>
      <w:pPr>
        <w:ind w:left="686" w:hanging="356"/>
      </w:pPr>
      <w:rPr>
        <w:rFonts w:hint="default"/>
      </w:rPr>
    </w:lvl>
    <w:lvl w:ilvl="5">
      <w:start w:val="1"/>
      <w:numFmt w:val="bullet"/>
      <w:lvlText w:val="•"/>
      <w:lvlJc w:val="left"/>
      <w:pPr>
        <w:ind w:left="691" w:hanging="356"/>
      </w:pPr>
      <w:rPr>
        <w:rFonts w:hint="default"/>
      </w:rPr>
    </w:lvl>
    <w:lvl w:ilvl="6">
      <w:start w:val="1"/>
      <w:numFmt w:val="bullet"/>
      <w:lvlText w:val="•"/>
      <w:lvlJc w:val="left"/>
      <w:pPr>
        <w:ind w:left="758" w:hanging="356"/>
      </w:pPr>
      <w:rPr>
        <w:rFonts w:hint="default"/>
      </w:rPr>
    </w:lvl>
    <w:lvl w:ilvl="7">
      <w:start w:val="1"/>
      <w:numFmt w:val="bullet"/>
      <w:lvlText w:val="•"/>
      <w:lvlJc w:val="left"/>
      <w:pPr>
        <w:ind w:left="792" w:hanging="356"/>
      </w:pPr>
      <w:rPr>
        <w:rFonts w:hint="default"/>
      </w:rPr>
    </w:lvl>
    <w:lvl w:ilvl="8">
      <w:start w:val="1"/>
      <w:numFmt w:val="bullet"/>
      <w:lvlText w:val="•"/>
      <w:lvlJc w:val="left"/>
      <w:pPr>
        <w:ind w:left="818" w:hanging="356"/>
      </w:pPr>
      <w:rPr>
        <w:rFonts w:hint="default"/>
      </w:rPr>
    </w:lvl>
  </w:abstractNum>
  <w:abstractNum w:abstractNumId="61" w15:restartNumberingAfterBreak="0">
    <w:nsid w:val="7ED03376"/>
    <w:multiLevelType w:val="hybridMultilevel"/>
    <w:tmpl w:val="D1427BE8"/>
    <w:lvl w:ilvl="0" w:tplc="DE8E70FE">
      <w:start w:val="1"/>
      <w:numFmt w:val="bullet"/>
      <w:lvlText w:val="-"/>
      <w:lvlJc w:val="left"/>
      <w:pPr>
        <w:ind w:left="1545" w:hanging="720"/>
      </w:pPr>
      <w:rPr>
        <w:rFonts w:ascii="Times New Roman" w:eastAsia="Times New Roman" w:hAnsi="Times New Roman" w:hint="default"/>
        <w:sz w:val="24"/>
        <w:szCs w:val="24"/>
      </w:rPr>
    </w:lvl>
    <w:lvl w:ilvl="1" w:tplc="431042A0">
      <w:start w:val="1"/>
      <w:numFmt w:val="bullet"/>
      <w:lvlText w:val="•"/>
      <w:lvlJc w:val="left"/>
      <w:pPr>
        <w:ind w:left="2363" w:hanging="720"/>
      </w:pPr>
      <w:rPr>
        <w:rFonts w:hint="default"/>
      </w:rPr>
    </w:lvl>
    <w:lvl w:ilvl="2" w:tplc="4CB8BBC2">
      <w:start w:val="1"/>
      <w:numFmt w:val="bullet"/>
      <w:lvlText w:val="•"/>
      <w:lvlJc w:val="left"/>
      <w:pPr>
        <w:ind w:left="3181" w:hanging="720"/>
      </w:pPr>
      <w:rPr>
        <w:rFonts w:hint="default"/>
      </w:rPr>
    </w:lvl>
    <w:lvl w:ilvl="3" w:tplc="8F1462A2">
      <w:start w:val="1"/>
      <w:numFmt w:val="bullet"/>
      <w:lvlText w:val="•"/>
      <w:lvlJc w:val="left"/>
      <w:pPr>
        <w:ind w:left="3999" w:hanging="720"/>
      </w:pPr>
      <w:rPr>
        <w:rFonts w:hint="default"/>
      </w:rPr>
    </w:lvl>
    <w:lvl w:ilvl="4" w:tplc="492A5D72">
      <w:start w:val="1"/>
      <w:numFmt w:val="bullet"/>
      <w:lvlText w:val="•"/>
      <w:lvlJc w:val="left"/>
      <w:pPr>
        <w:ind w:left="4817" w:hanging="720"/>
      </w:pPr>
      <w:rPr>
        <w:rFonts w:hint="default"/>
      </w:rPr>
    </w:lvl>
    <w:lvl w:ilvl="5" w:tplc="5C00FEEA">
      <w:start w:val="1"/>
      <w:numFmt w:val="bullet"/>
      <w:lvlText w:val="•"/>
      <w:lvlJc w:val="left"/>
      <w:pPr>
        <w:ind w:left="5635" w:hanging="720"/>
      </w:pPr>
      <w:rPr>
        <w:rFonts w:hint="default"/>
      </w:rPr>
    </w:lvl>
    <w:lvl w:ilvl="6" w:tplc="0D0E3140">
      <w:start w:val="1"/>
      <w:numFmt w:val="bullet"/>
      <w:lvlText w:val="•"/>
      <w:lvlJc w:val="left"/>
      <w:pPr>
        <w:ind w:left="6453" w:hanging="720"/>
      </w:pPr>
      <w:rPr>
        <w:rFonts w:hint="default"/>
      </w:rPr>
    </w:lvl>
    <w:lvl w:ilvl="7" w:tplc="D8CCBD00">
      <w:start w:val="1"/>
      <w:numFmt w:val="bullet"/>
      <w:lvlText w:val="•"/>
      <w:lvlJc w:val="left"/>
      <w:pPr>
        <w:ind w:left="7272" w:hanging="720"/>
      </w:pPr>
      <w:rPr>
        <w:rFonts w:hint="default"/>
      </w:rPr>
    </w:lvl>
    <w:lvl w:ilvl="8" w:tplc="1C7AF02C">
      <w:start w:val="1"/>
      <w:numFmt w:val="bullet"/>
      <w:lvlText w:val="•"/>
      <w:lvlJc w:val="left"/>
      <w:pPr>
        <w:ind w:left="8090" w:hanging="720"/>
      </w:pPr>
      <w:rPr>
        <w:rFonts w:hint="default"/>
      </w:rPr>
    </w:lvl>
  </w:abstractNum>
  <w:num w:numId="1" w16cid:durableId="1881357936">
    <w:abstractNumId w:val="39"/>
  </w:num>
  <w:num w:numId="2" w16cid:durableId="1807120367">
    <w:abstractNumId w:val="0"/>
  </w:num>
  <w:num w:numId="3" w16cid:durableId="1842810539">
    <w:abstractNumId w:val="18"/>
  </w:num>
  <w:num w:numId="4" w16cid:durableId="223294632">
    <w:abstractNumId w:val="38"/>
  </w:num>
  <w:num w:numId="5" w16cid:durableId="637763516">
    <w:abstractNumId w:val="26"/>
  </w:num>
  <w:num w:numId="6" w16cid:durableId="737290692">
    <w:abstractNumId w:val="37"/>
  </w:num>
  <w:num w:numId="7" w16cid:durableId="2128893829">
    <w:abstractNumId w:val="6"/>
  </w:num>
  <w:num w:numId="8" w16cid:durableId="275018465">
    <w:abstractNumId w:val="40"/>
  </w:num>
  <w:num w:numId="9" w16cid:durableId="1956786391">
    <w:abstractNumId w:val="48"/>
  </w:num>
  <w:num w:numId="10" w16cid:durableId="1858084251">
    <w:abstractNumId w:val="33"/>
  </w:num>
  <w:num w:numId="11" w16cid:durableId="1200633154">
    <w:abstractNumId w:val="32"/>
  </w:num>
  <w:num w:numId="12" w16cid:durableId="1835998578">
    <w:abstractNumId w:val="53"/>
  </w:num>
  <w:num w:numId="13" w16cid:durableId="2059893696">
    <w:abstractNumId w:val="13"/>
  </w:num>
  <w:num w:numId="14" w16cid:durableId="1414936141">
    <w:abstractNumId w:val="46"/>
  </w:num>
  <w:num w:numId="15" w16cid:durableId="673146641">
    <w:abstractNumId w:val="61"/>
  </w:num>
  <w:num w:numId="16" w16cid:durableId="1397894089">
    <w:abstractNumId w:val="24"/>
  </w:num>
  <w:num w:numId="17" w16cid:durableId="1377657724">
    <w:abstractNumId w:val="30"/>
  </w:num>
  <w:num w:numId="18" w16cid:durableId="1891577085">
    <w:abstractNumId w:val="59"/>
  </w:num>
  <w:num w:numId="19" w16cid:durableId="2053575890">
    <w:abstractNumId w:val="21"/>
  </w:num>
  <w:num w:numId="20" w16cid:durableId="1552577479">
    <w:abstractNumId w:val="17"/>
  </w:num>
  <w:num w:numId="21" w16cid:durableId="1957104666">
    <w:abstractNumId w:val="27"/>
  </w:num>
  <w:num w:numId="22" w16cid:durableId="1018576770">
    <w:abstractNumId w:val="4"/>
  </w:num>
  <w:num w:numId="23" w16cid:durableId="11732721">
    <w:abstractNumId w:val="35"/>
  </w:num>
  <w:num w:numId="24" w16cid:durableId="791561024">
    <w:abstractNumId w:val="42"/>
  </w:num>
  <w:num w:numId="25" w16cid:durableId="77093330">
    <w:abstractNumId w:val="57"/>
  </w:num>
  <w:num w:numId="26" w16cid:durableId="2146073386">
    <w:abstractNumId w:val="36"/>
  </w:num>
  <w:num w:numId="27" w16cid:durableId="1252931314">
    <w:abstractNumId w:val="45"/>
  </w:num>
  <w:num w:numId="28" w16cid:durableId="538788721">
    <w:abstractNumId w:val="23"/>
  </w:num>
  <w:num w:numId="29" w16cid:durableId="2001540207">
    <w:abstractNumId w:val="25"/>
  </w:num>
  <w:num w:numId="30" w16cid:durableId="341205714">
    <w:abstractNumId w:val="19"/>
  </w:num>
  <w:num w:numId="31" w16cid:durableId="1072502436">
    <w:abstractNumId w:val="51"/>
  </w:num>
  <w:num w:numId="32" w16cid:durableId="817115026">
    <w:abstractNumId w:val="47"/>
  </w:num>
  <w:num w:numId="33" w16cid:durableId="1052655007">
    <w:abstractNumId w:val="16"/>
  </w:num>
  <w:num w:numId="34" w16cid:durableId="1450860166">
    <w:abstractNumId w:val="58"/>
  </w:num>
  <w:num w:numId="35" w16cid:durableId="1851412863">
    <w:abstractNumId w:val="43"/>
  </w:num>
  <w:num w:numId="36" w16cid:durableId="2008509774">
    <w:abstractNumId w:val="15"/>
  </w:num>
  <w:num w:numId="37" w16cid:durableId="548079552">
    <w:abstractNumId w:val="41"/>
  </w:num>
  <w:num w:numId="38" w16cid:durableId="89130746">
    <w:abstractNumId w:val="12"/>
  </w:num>
  <w:num w:numId="39" w16cid:durableId="1257445322">
    <w:abstractNumId w:val="44"/>
  </w:num>
  <w:num w:numId="40" w16cid:durableId="1911692083">
    <w:abstractNumId w:val="29"/>
  </w:num>
  <w:num w:numId="41" w16cid:durableId="224996184">
    <w:abstractNumId w:val="2"/>
  </w:num>
  <w:num w:numId="42" w16cid:durableId="1080299490">
    <w:abstractNumId w:val="49"/>
  </w:num>
  <w:num w:numId="43" w16cid:durableId="1705708391">
    <w:abstractNumId w:val="31"/>
  </w:num>
  <w:num w:numId="44" w16cid:durableId="1291402020">
    <w:abstractNumId w:val="56"/>
  </w:num>
  <w:num w:numId="45" w16cid:durableId="29769651">
    <w:abstractNumId w:val="10"/>
  </w:num>
  <w:num w:numId="46" w16cid:durableId="1980498451">
    <w:abstractNumId w:val="3"/>
  </w:num>
  <w:num w:numId="47" w16cid:durableId="401417462">
    <w:abstractNumId w:val="34"/>
  </w:num>
  <w:num w:numId="48" w16cid:durableId="937106597">
    <w:abstractNumId w:val="11"/>
  </w:num>
  <w:num w:numId="49" w16cid:durableId="1780055836">
    <w:abstractNumId w:val="50"/>
  </w:num>
  <w:num w:numId="50" w16cid:durableId="2015917206">
    <w:abstractNumId w:val="22"/>
  </w:num>
  <w:num w:numId="51" w16cid:durableId="2027628894">
    <w:abstractNumId w:val="9"/>
  </w:num>
  <w:num w:numId="52" w16cid:durableId="100801012">
    <w:abstractNumId w:val="20"/>
  </w:num>
  <w:num w:numId="53" w16cid:durableId="1723093657">
    <w:abstractNumId w:val="54"/>
  </w:num>
  <w:num w:numId="54" w16cid:durableId="1703478099">
    <w:abstractNumId w:val="8"/>
  </w:num>
  <w:num w:numId="55" w16cid:durableId="385641087">
    <w:abstractNumId w:val="5"/>
  </w:num>
  <w:num w:numId="56" w16cid:durableId="1165633672">
    <w:abstractNumId w:val="28"/>
  </w:num>
  <w:num w:numId="57" w16cid:durableId="1798985785">
    <w:abstractNumId w:val="14"/>
  </w:num>
  <w:num w:numId="58" w16cid:durableId="1463419720">
    <w:abstractNumId w:val="52"/>
  </w:num>
  <w:num w:numId="59" w16cid:durableId="458185413">
    <w:abstractNumId w:val="60"/>
  </w:num>
  <w:num w:numId="60" w16cid:durableId="328678221">
    <w:abstractNumId w:val="7"/>
  </w:num>
  <w:num w:numId="61" w16cid:durableId="931166848">
    <w:abstractNumId w:val="55"/>
  </w:num>
  <w:num w:numId="62" w16cid:durableId="1300915786">
    <w:abstractNumId w:val="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7E24CD"/>
    <w:rsid w:val="00016917"/>
    <w:rsid w:val="00020093"/>
    <w:rsid w:val="0002063A"/>
    <w:rsid w:val="00026CA5"/>
    <w:rsid w:val="00031F94"/>
    <w:rsid w:val="00032384"/>
    <w:rsid w:val="00033A4B"/>
    <w:rsid w:val="00045AE4"/>
    <w:rsid w:val="000700B1"/>
    <w:rsid w:val="00072BE6"/>
    <w:rsid w:val="00090EED"/>
    <w:rsid w:val="00096EFD"/>
    <w:rsid w:val="000A1503"/>
    <w:rsid w:val="000C27C2"/>
    <w:rsid w:val="000C50B2"/>
    <w:rsid w:val="00104D74"/>
    <w:rsid w:val="001100CB"/>
    <w:rsid w:val="00110D31"/>
    <w:rsid w:val="00112219"/>
    <w:rsid w:val="001150C1"/>
    <w:rsid w:val="00121109"/>
    <w:rsid w:val="001221ED"/>
    <w:rsid w:val="00123EDB"/>
    <w:rsid w:val="00124079"/>
    <w:rsid w:val="00127986"/>
    <w:rsid w:val="00143D4E"/>
    <w:rsid w:val="001578A1"/>
    <w:rsid w:val="00160356"/>
    <w:rsid w:val="00171647"/>
    <w:rsid w:val="00185D95"/>
    <w:rsid w:val="00192202"/>
    <w:rsid w:val="0019254B"/>
    <w:rsid w:val="001A0EE0"/>
    <w:rsid w:val="001A4E80"/>
    <w:rsid w:val="001B304B"/>
    <w:rsid w:val="001C2CEB"/>
    <w:rsid w:val="001C7537"/>
    <w:rsid w:val="001E1CF0"/>
    <w:rsid w:val="001E7D38"/>
    <w:rsid w:val="00200DB9"/>
    <w:rsid w:val="002112E1"/>
    <w:rsid w:val="002155F0"/>
    <w:rsid w:val="00221833"/>
    <w:rsid w:val="00227D9F"/>
    <w:rsid w:val="002313A1"/>
    <w:rsid w:val="00244E9E"/>
    <w:rsid w:val="002477AA"/>
    <w:rsid w:val="00251D95"/>
    <w:rsid w:val="0025799A"/>
    <w:rsid w:val="00267FAA"/>
    <w:rsid w:val="00271A27"/>
    <w:rsid w:val="00273E08"/>
    <w:rsid w:val="00281883"/>
    <w:rsid w:val="002830A9"/>
    <w:rsid w:val="002859D7"/>
    <w:rsid w:val="002B4A26"/>
    <w:rsid w:val="002C3577"/>
    <w:rsid w:val="002D67B8"/>
    <w:rsid w:val="002E2FC6"/>
    <w:rsid w:val="002F05D2"/>
    <w:rsid w:val="002F0690"/>
    <w:rsid w:val="00305029"/>
    <w:rsid w:val="00307C74"/>
    <w:rsid w:val="003174CE"/>
    <w:rsid w:val="0032471D"/>
    <w:rsid w:val="00346AA7"/>
    <w:rsid w:val="00354D4B"/>
    <w:rsid w:val="003570FC"/>
    <w:rsid w:val="00360924"/>
    <w:rsid w:val="00381A93"/>
    <w:rsid w:val="0039201A"/>
    <w:rsid w:val="003A5925"/>
    <w:rsid w:val="003C2D7F"/>
    <w:rsid w:val="003C6157"/>
    <w:rsid w:val="003C74A7"/>
    <w:rsid w:val="003E0F9C"/>
    <w:rsid w:val="003F3B95"/>
    <w:rsid w:val="004128CD"/>
    <w:rsid w:val="0041431E"/>
    <w:rsid w:val="00420924"/>
    <w:rsid w:val="004210BA"/>
    <w:rsid w:val="00422A38"/>
    <w:rsid w:val="00441BA4"/>
    <w:rsid w:val="00445F57"/>
    <w:rsid w:val="004529A7"/>
    <w:rsid w:val="004600DA"/>
    <w:rsid w:val="0046653B"/>
    <w:rsid w:val="004723D9"/>
    <w:rsid w:val="00491851"/>
    <w:rsid w:val="00497D6F"/>
    <w:rsid w:val="004A1823"/>
    <w:rsid w:val="004A5198"/>
    <w:rsid w:val="004B070F"/>
    <w:rsid w:val="004B5DE6"/>
    <w:rsid w:val="004B75E3"/>
    <w:rsid w:val="004C073E"/>
    <w:rsid w:val="004D2D13"/>
    <w:rsid w:val="004F2B0E"/>
    <w:rsid w:val="004F67F5"/>
    <w:rsid w:val="005206CD"/>
    <w:rsid w:val="00524D1E"/>
    <w:rsid w:val="00527AC2"/>
    <w:rsid w:val="00543626"/>
    <w:rsid w:val="005470BC"/>
    <w:rsid w:val="005479B0"/>
    <w:rsid w:val="00563B5C"/>
    <w:rsid w:val="005676F8"/>
    <w:rsid w:val="00571EE7"/>
    <w:rsid w:val="00583C8C"/>
    <w:rsid w:val="0058503F"/>
    <w:rsid w:val="0059347B"/>
    <w:rsid w:val="005A2D50"/>
    <w:rsid w:val="005E3C98"/>
    <w:rsid w:val="005E5699"/>
    <w:rsid w:val="00612E7B"/>
    <w:rsid w:val="006133AA"/>
    <w:rsid w:val="00622A53"/>
    <w:rsid w:val="0063129D"/>
    <w:rsid w:val="00631CBA"/>
    <w:rsid w:val="00642C09"/>
    <w:rsid w:val="006477B0"/>
    <w:rsid w:val="006641A6"/>
    <w:rsid w:val="0066616A"/>
    <w:rsid w:val="00666387"/>
    <w:rsid w:val="00680A98"/>
    <w:rsid w:val="00681F55"/>
    <w:rsid w:val="00687DB5"/>
    <w:rsid w:val="00690E6D"/>
    <w:rsid w:val="006A1BD9"/>
    <w:rsid w:val="006A4FC8"/>
    <w:rsid w:val="006B4372"/>
    <w:rsid w:val="006D4302"/>
    <w:rsid w:val="006D46E5"/>
    <w:rsid w:val="006E2F11"/>
    <w:rsid w:val="006E636B"/>
    <w:rsid w:val="007057DA"/>
    <w:rsid w:val="007302AC"/>
    <w:rsid w:val="00747EE3"/>
    <w:rsid w:val="00796DF1"/>
    <w:rsid w:val="007B25E8"/>
    <w:rsid w:val="007B7992"/>
    <w:rsid w:val="007C1F3F"/>
    <w:rsid w:val="007C56C9"/>
    <w:rsid w:val="007E24CD"/>
    <w:rsid w:val="007F2AB0"/>
    <w:rsid w:val="00804F08"/>
    <w:rsid w:val="00807663"/>
    <w:rsid w:val="00817511"/>
    <w:rsid w:val="00854584"/>
    <w:rsid w:val="00861D15"/>
    <w:rsid w:val="00871930"/>
    <w:rsid w:val="0089015D"/>
    <w:rsid w:val="00893857"/>
    <w:rsid w:val="008A151F"/>
    <w:rsid w:val="008C132C"/>
    <w:rsid w:val="008C2220"/>
    <w:rsid w:val="008C3215"/>
    <w:rsid w:val="008D70C9"/>
    <w:rsid w:val="008E1BD6"/>
    <w:rsid w:val="00906F06"/>
    <w:rsid w:val="00916598"/>
    <w:rsid w:val="00924372"/>
    <w:rsid w:val="00932CEB"/>
    <w:rsid w:val="00953DB0"/>
    <w:rsid w:val="00953FAC"/>
    <w:rsid w:val="009731E6"/>
    <w:rsid w:val="00975CDC"/>
    <w:rsid w:val="009853FB"/>
    <w:rsid w:val="00992075"/>
    <w:rsid w:val="009A01FA"/>
    <w:rsid w:val="009B5122"/>
    <w:rsid w:val="009B7384"/>
    <w:rsid w:val="009D2BA0"/>
    <w:rsid w:val="009D2DD6"/>
    <w:rsid w:val="00A0037E"/>
    <w:rsid w:val="00A00CEA"/>
    <w:rsid w:val="00A01DD8"/>
    <w:rsid w:val="00A03BE3"/>
    <w:rsid w:val="00A1436E"/>
    <w:rsid w:val="00A42FBE"/>
    <w:rsid w:val="00A50566"/>
    <w:rsid w:val="00A626D4"/>
    <w:rsid w:val="00A86388"/>
    <w:rsid w:val="00A937BE"/>
    <w:rsid w:val="00AC0522"/>
    <w:rsid w:val="00AC1CE8"/>
    <w:rsid w:val="00AF571A"/>
    <w:rsid w:val="00B473B6"/>
    <w:rsid w:val="00B5035B"/>
    <w:rsid w:val="00B64E0C"/>
    <w:rsid w:val="00B843CC"/>
    <w:rsid w:val="00BB109B"/>
    <w:rsid w:val="00BB1C9D"/>
    <w:rsid w:val="00BD67D9"/>
    <w:rsid w:val="00BF4224"/>
    <w:rsid w:val="00BF61E6"/>
    <w:rsid w:val="00BF7786"/>
    <w:rsid w:val="00C036B2"/>
    <w:rsid w:val="00C04339"/>
    <w:rsid w:val="00C24CFD"/>
    <w:rsid w:val="00C27A23"/>
    <w:rsid w:val="00C30F19"/>
    <w:rsid w:val="00C35FFD"/>
    <w:rsid w:val="00C4227A"/>
    <w:rsid w:val="00C433D2"/>
    <w:rsid w:val="00C439D9"/>
    <w:rsid w:val="00C537CA"/>
    <w:rsid w:val="00C61A97"/>
    <w:rsid w:val="00C7056C"/>
    <w:rsid w:val="00C77535"/>
    <w:rsid w:val="00C80186"/>
    <w:rsid w:val="00C9524D"/>
    <w:rsid w:val="00C97D81"/>
    <w:rsid w:val="00CC262D"/>
    <w:rsid w:val="00CD1A52"/>
    <w:rsid w:val="00CE3608"/>
    <w:rsid w:val="00D119F7"/>
    <w:rsid w:val="00D2063E"/>
    <w:rsid w:val="00D20BBE"/>
    <w:rsid w:val="00D3699F"/>
    <w:rsid w:val="00D61108"/>
    <w:rsid w:val="00D70C1C"/>
    <w:rsid w:val="00D77A4C"/>
    <w:rsid w:val="00DA7F35"/>
    <w:rsid w:val="00DB5812"/>
    <w:rsid w:val="00DD781B"/>
    <w:rsid w:val="00DF5E00"/>
    <w:rsid w:val="00E00FAB"/>
    <w:rsid w:val="00E10FED"/>
    <w:rsid w:val="00E356F7"/>
    <w:rsid w:val="00E40CBD"/>
    <w:rsid w:val="00E55215"/>
    <w:rsid w:val="00E64DF5"/>
    <w:rsid w:val="00E661CF"/>
    <w:rsid w:val="00E77A27"/>
    <w:rsid w:val="00E961CB"/>
    <w:rsid w:val="00E96B0B"/>
    <w:rsid w:val="00EA55C0"/>
    <w:rsid w:val="00EB0502"/>
    <w:rsid w:val="00EB55AD"/>
    <w:rsid w:val="00EB5CE4"/>
    <w:rsid w:val="00ED66B4"/>
    <w:rsid w:val="00F155F7"/>
    <w:rsid w:val="00F368AA"/>
    <w:rsid w:val="00F41D72"/>
    <w:rsid w:val="00F52A17"/>
    <w:rsid w:val="00F57DE0"/>
    <w:rsid w:val="00F758DD"/>
    <w:rsid w:val="00F86D76"/>
    <w:rsid w:val="00F92F49"/>
    <w:rsid w:val="00FA4C68"/>
    <w:rsid w:val="00FB3146"/>
    <w:rsid w:val="00FB4329"/>
    <w:rsid w:val="00FC0C0C"/>
    <w:rsid w:val="00FD09D8"/>
    <w:rsid w:val="00FE038F"/>
    <w:rsid w:val="00FE707E"/>
    <w:rsid w:val="00FF52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FD34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C036B2"/>
    <w:pPr>
      <w:tabs>
        <w:tab w:val="left" w:pos="359"/>
      </w:tabs>
      <w:jc w:val="both"/>
      <w:outlineLvl w:val="0"/>
    </w:pPr>
    <w:rPr>
      <w:rFonts w:ascii="Times New Roman" w:hAnsi="Times New Roman"/>
      <w:b/>
      <w:sz w:val="24"/>
    </w:rPr>
  </w:style>
  <w:style w:type="paragraph" w:styleId="Heading2">
    <w:name w:val="heading 2"/>
    <w:basedOn w:val="Heading1"/>
    <w:uiPriority w:val="9"/>
    <w:unhideWhenUsed/>
    <w:qFormat/>
    <w:rsid w:val="00C036B2"/>
    <w:pPr>
      <w:outlineLvl w:val="1"/>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00"/>
    </w:pPr>
    <w:rPr>
      <w:rFonts w:ascii="Times New Roman" w:eastAsia="Times New Roman" w:hAnsi="Times New Roman"/>
    </w:rPr>
  </w:style>
  <w:style w:type="paragraph" w:styleId="TOC2">
    <w:name w:val="toc 2"/>
    <w:basedOn w:val="Normal"/>
    <w:uiPriority w:val="39"/>
    <w:qFormat/>
    <w:pPr>
      <w:spacing w:before="100"/>
      <w:ind w:left="611" w:hanging="506"/>
    </w:pPr>
    <w:rPr>
      <w:rFonts w:ascii="Times New Roman" w:eastAsia="Times New Roman" w:hAnsi="Times New Roman"/>
    </w:rPr>
  </w:style>
  <w:style w:type="paragraph" w:styleId="TOC3">
    <w:name w:val="toc 3"/>
    <w:basedOn w:val="Normal"/>
    <w:uiPriority w:val="1"/>
    <w:qFormat/>
    <w:pPr>
      <w:spacing w:before="100"/>
      <w:ind w:left="287" w:hanging="341"/>
    </w:pPr>
    <w:rPr>
      <w:rFonts w:ascii="Times New Roman" w:eastAsia="Times New Roman" w:hAnsi="Times New Roman"/>
      <w:sz w:val="18"/>
      <w:szCs w:val="18"/>
    </w:rPr>
  </w:style>
  <w:style w:type="paragraph" w:styleId="TOC4">
    <w:name w:val="toc 4"/>
    <w:basedOn w:val="Normal"/>
    <w:uiPriority w:val="1"/>
    <w:qFormat/>
    <w:pPr>
      <w:spacing w:before="100"/>
      <w:ind w:left="436" w:hanging="331"/>
    </w:pPr>
    <w:rPr>
      <w:rFonts w:ascii="Times New Roman" w:eastAsia="Times New Roman" w:hAnsi="Times New Roman"/>
      <w:b/>
      <w:bCs/>
      <w:i/>
    </w:rPr>
  </w:style>
  <w:style w:type="paragraph" w:styleId="TOC5">
    <w:name w:val="toc 5"/>
    <w:basedOn w:val="Normal"/>
    <w:uiPriority w:val="1"/>
    <w:qFormat/>
    <w:pPr>
      <w:spacing w:before="102"/>
      <w:ind w:left="198"/>
    </w:pPr>
    <w:rPr>
      <w:rFonts w:ascii="Times New Roman" w:eastAsia="Times New Roman" w:hAnsi="Times New Roman"/>
    </w:rPr>
  </w:style>
  <w:style w:type="paragraph" w:styleId="TOC6">
    <w:name w:val="toc 6"/>
    <w:basedOn w:val="Normal"/>
    <w:uiPriority w:val="1"/>
    <w:qFormat/>
    <w:pPr>
      <w:spacing w:before="100"/>
      <w:ind w:left="388"/>
    </w:pPr>
    <w:rPr>
      <w:rFonts w:ascii="Times New Roman" w:eastAsia="Times New Roman" w:hAnsi="Times New Roman"/>
    </w:rPr>
  </w:style>
  <w:style w:type="paragraph" w:styleId="BodyText">
    <w:name w:val="Body Text"/>
    <w:basedOn w:val="Normal"/>
    <w:uiPriority w:val="1"/>
    <w:qFormat/>
    <w:rsid w:val="00D70C1C"/>
    <w:pPr>
      <w:jc w:val="both"/>
    </w:pPr>
    <w:rPr>
      <w:rFonts w:ascii="Times New Roman" w:eastAsia="Arial" w:hAnsi="Times New Roman" w:cs="Times New Roman"/>
      <w:noProof/>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2313A1"/>
    <w:pPr>
      <w:tabs>
        <w:tab w:val="center" w:pos="4513"/>
        <w:tab w:val="right" w:pos="9026"/>
      </w:tabs>
    </w:pPr>
  </w:style>
  <w:style w:type="character" w:customStyle="1" w:styleId="HeaderChar">
    <w:name w:val="Header Char"/>
    <w:basedOn w:val="DefaultParagraphFont"/>
    <w:link w:val="Header"/>
    <w:rsid w:val="002313A1"/>
  </w:style>
  <w:style w:type="paragraph" w:styleId="Footer">
    <w:name w:val="footer"/>
    <w:basedOn w:val="Normal"/>
    <w:link w:val="FooterChar"/>
    <w:unhideWhenUsed/>
    <w:rsid w:val="002313A1"/>
    <w:pPr>
      <w:tabs>
        <w:tab w:val="center" w:pos="4513"/>
        <w:tab w:val="right" w:pos="9026"/>
      </w:tabs>
    </w:pPr>
  </w:style>
  <w:style w:type="character" w:customStyle="1" w:styleId="FooterChar">
    <w:name w:val="Footer Char"/>
    <w:basedOn w:val="DefaultParagraphFont"/>
    <w:link w:val="Footer"/>
    <w:rsid w:val="002313A1"/>
  </w:style>
  <w:style w:type="table" w:styleId="TableGrid">
    <w:name w:val="Table Grid"/>
    <w:basedOn w:val="TableNormal"/>
    <w:uiPriority w:val="39"/>
    <w:rsid w:val="002859D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160356"/>
    <w:rPr>
      <w:sz w:val="20"/>
      <w:szCs w:val="20"/>
    </w:rPr>
  </w:style>
  <w:style w:type="character" w:customStyle="1" w:styleId="FootnoteTextChar">
    <w:name w:val="Footnote Text Char"/>
    <w:basedOn w:val="DefaultParagraphFont"/>
    <w:link w:val="FootnoteText"/>
    <w:uiPriority w:val="99"/>
    <w:semiHidden/>
    <w:rsid w:val="00160356"/>
    <w:rPr>
      <w:sz w:val="20"/>
      <w:szCs w:val="20"/>
    </w:rPr>
  </w:style>
  <w:style w:type="character" w:styleId="FootnoteReference">
    <w:name w:val="footnote reference"/>
    <w:basedOn w:val="DefaultParagraphFont"/>
    <w:uiPriority w:val="99"/>
    <w:semiHidden/>
    <w:unhideWhenUsed/>
    <w:rsid w:val="00160356"/>
    <w:rPr>
      <w:vertAlign w:val="superscript"/>
    </w:rPr>
  </w:style>
  <w:style w:type="character" w:styleId="CommentReference">
    <w:name w:val="annotation reference"/>
    <w:basedOn w:val="DefaultParagraphFont"/>
    <w:uiPriority w:val="99"/>
    <w:semiHidden/>
    <w:unhideWhenUsed/>
    <w:rsid w:val="00C439D9"/>
    <w:rPr>
      <w:sz w:val="16"/>
      <w:szCs w:val="16"/>
    </w:rPr>
  </w:style>
  <w:style w:type="paragraph" w:styleId="CommentText">
    <w:name w:val="annotation text"/>
    <w:basedOn w:val="Normal"/>
    <w:link w:val="CommentTextChar"/>
    <w:uiPriority w:val="99"/>
    <w:unhideWhenUsed/>
    <w:rsid w:val="00C439D9"/>
    <w:rPr>
      <w:sz w:val="20"/>
      <w:szCs w:val="20"/>
    </w:rPr>
  </w:style>
  <w:style w:type="character" w:customStyle="1" w:styleId="CommentTextChar">
    <w:name w:val="Comment Text Char"/>
    <w:basedOn w:val="DefaultParagraphFont"/>
    <w:link w:val="CommentText"/>
    <w:uiPriority w:val="99"/>
    <w:rsid w:val="00C439D9"/>
    <w:rPr>
      <w:sz w:val="20"/>
      <w:szCs w:val="20"/>
    </w:rPr>
  </w:style>
  <w:style w:type="paragraph" w:styleId="CommentSubject">
    <w:name w:val="annotation subject"/>
    <w:basedOn w:val="CommentText"/>
    <w:next w:val="CommentText"/>
    <w:link w:val="CommentSubjectChar"/>
    <w:uiPriority w:val="99"/>
    <w:semiHidden/>
    <w:unhideWhenUsed/>
    <w:rsid w:val="00C439D9"/>
    <w:rPr>
      <w:b/>
      <w:bCs/>
    </w:rPr>
  </w:style>
  <w:style w:type="character" w:customStyle="1" w:styleId="CommentSubjectChar">
    <w:name w:val="Comment Subject Char"/>
    <w:basedOn w:val="CommentTextChar"/>
    <w:link w:val="CommentSubject"/>
    <w:uiPriority w:val="99"/>
    <w:semiHidden/>
    <w:rsid w:val="00C439D9"/>
    <w:rPr>
      <w:b/>
      <w:bCs/>
      <w:sz w:val="20"/>
      <w:szCs w:val="20"/>
    </w:rPr>
  </w:style>
  <w:style w:type="paragraph" w:styleId="Revision">
    <w:name w:val="Revision"/>
    <w:hidden/>
    <w:uiPriority w:val="99"/>
    <w:semiHidden/>
    <w:rsid w:val="00C439D9"/>
    <w:pPr>
      <w:widowControl/>
    </w:pPr>
  </w:style>
  <w:style w:type="character" w:styleId="PageNumber">
    <w:name w:val="page number"/>
    <w:basedOn w:val="DefaultParagraphFont"/>
    <w:semiHidden/>
    <w:rsid w:val="00C24CFD"/>
  </w:style>
  <w:style w:type="paragraph" w:styleId="TOCHeading">
    <w:name w:val="TOC Heading"/>
    <w:basedOn w:val="Heading1"/>
    <w:next w:val="Normal"/>
    <w:uiPriority w:val="39"/>
    <w:unhideWhenUsed/>
    <w:qFormat/>
    <w:rsid w:val="00C30F19"/>
    <w:pPr>
      <w:keepNext/>
      <w:keepLines/>
      <w:widowControl/>
      <w:tabs>
        <w:tab w:val="clear" w:pos="359"/>
      </w:tabs>
      <w:spacing w:before="240" w:line="259" w:lineRule="auto"/>
      <w:jc w:val="left"/>
      <w:outlineLvl w:val="9"/>
    </w:pPr>
    <w:rPr>
      <w:rFonts w:asciiTheme="majorHAnsi" w:eastAsiaTheme="majorEastAsia" w:hAnsiTheme="majorHAnsi" w:cstheme="majorBidi"/>
      <w:b w:val="0"/>
      <w:color w:val="365F91" w:themeColor="accent1" w:themeShade="BF"/>
      <w:sz w:val="32"/>
      <w:szCs w:val="32"/>
      <w:lang w:val="en-US"/>
    </w:rPr>
  </w:style>
  <w:style w:type="character" w:styleId="Hyperlink">
    <w:name w:val="Hyperlink"/>
    <w:basedOn w:val="DefaultParagraphFont"/>
    <w:uiPriority w:val="99"/>
    <w:unhideWhenUsed/>
    <w:rsid w:val="00C30F19"/>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11" ma:contentTypeDescription="Izveidot jaunu dokumentu." ma:contentTypeScope="" ma:versionID="4b15588af3af4cc144dbf2adab711082">
  <xsd:schema xmlns:xsd="http://www.w3.org/2001/XMLSchema" xmlns:xs="http://www.w3.org/2001/XMLSchema" xmlns:p="http://schemas.microsoft.com/office/2006/metadata/properties" xmlns:ns2="1d57a815-79e8-498e-8f04-9c2e9221b678" xmlns:ns3="05fc81c9-325d-42ab-a312-d2989bc4c6c1" targetNamespace="http://schemas.microsoft.com/office/2006/metadata/properties" ma:root="true" ma:fieldsID="d495083fa836ab9ea1a4f0f1daa4a03b" ns2:_="" ns3:_="">
    <xsd:import namespace="1d57a815-79e8-498e-8f04-9c2e9221b678"/>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d57a815-79e8-498e-8f04-9c2e9221b678">
      <Terms xmlns="http://schemas.microsoft.com/office/infopath/2007/PartnerControls"/>
    </lcf76f155ced4ddcb4097134ff3c332f>
    <TaxCatchAll xmlns="05fc81c9-325d-42ab-a312-d2989bc4c6c1"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805580B-2499-4902-BC26-988818236440}">
  <ds:schemaRefs>
    <ds:schemaRef ds:uri="http://schemas.openxmlformats.org/officeDocument/2006/bibliography"/>
  </ds:schemaRefs>
</ds:datastoreItem>
</file>

<file path=customXml/itemProps2.xml><?xml version="1.0" encoding="utf-8"?>
<ds:datastoreItem xmlns:ds="http://schemas.openxmlformats.org/officeDocument/2006/customXml" ds:itemID="{B68D6647-B649-48DC-8A52-10C646A00C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57a815-79e8-498e-8f04-9c2e9221b678"/>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DDDCAEF-46E7-477C-9BF5-DF32D1104CD1}">
  <ds:schemaRefs>
    <ds:schemaRef ds:uri="http://schemas.microsoft.com/office/2006/metadata/properties"/>
    <ds:schemaRef ds:uri="http://schemas.microsoft.com/office/infopath/2007/PartnerControls"/>
    <ds:schemaRef ds:uri="1d57a815-79e8-498e-8f04-9c2e9221b678"/>
    <ds:schemaRef ds:uri="05fc81c9-325d-42ab-a312-d2989bc4c6c1"/>
  </ds:schemaRefs>
</ds:datastoreItem>
</file>

<file path=customXml/itemProps4.xml><?xml version="1.0" encoding="utf-8"?>
<ds:datastoreItem xmlns:ds="http://schemas.openxmlformats.org/officeDocument/2006/customXml" ds:itemID="{721D8897-1A70-46E5-B70E-301FAB6C53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130976</Words>
  <Characters>74657</Characters>
  <Application>Microsoft Office Word</Application>
  <DocSecurity>0</DocSecurity>
  <Lines>622</Lines>
  <Paragraphs>410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2022-03-29T07:51:00Z</dcterms:created>
  <dcterms:modified xsi:type="dcterms:W3CDTF">2022-08-16T11:51:00Z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y fmtid="{D5CDD505-2E9C-101B-9397-08002B2CF9AE}" pid="3" name="MediaServiceImageTags">
    <vt:lpwstr/>
  </property>
</Properties>
</file>