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C583A" w14:textId="77777777" w:rsidR="005A2D50" w:rsidRPr="005A2D50" w:rsidRDefault="005A2D50" w:rsidP="005A2D50">
      <w:pPr>
        <w:jc w:val="both"/>
        <w:rPr>
          <w:rFonts w:ascii="Times New Roman" w:eastAsia="Times New Roman" w:hAnsi="Times New Roman" w:cs="Times New Roman"/>
          <w:noProof/>
          <w:sz w:val="24"/>
          <w:szCs w:val="24"/>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166"/>
        <w:gridCol w:w="2730"/>
        <w:gridCol w:w="1370"/>
        <w:gridCol w:w="2865"/>
      </w:tblGrid>
      <w:tr w:rsidR="005A2D50" w:rsidRPr="005A2D50" w14:paraId="068F6B50" w14:textId="77777777" w:rsidTr="00F14166">
        <w:tc>
          <w:tcPr>
            <w:tcW w:w="1186" w:type="pct"/>
          </w:tcPr>
          <w:p w14:paraId="05B177D3" w14:textId="77777777" w:rsidR="005A2D50" w:rsidRPr="005A2D50" w:rsidRDefault="005A2D50" w:rsidP="00F14166">
            <w:pPr>
              <w:jc w:val="both"/>
              <w:rPr>
                <w:rFonts w:ascii="Times New Roman" w:eastAsia="Times New Roman" w:hAnsi="Times New Roman" w:cs="Times New Roman"/>
                <w:noProof/>
                <w:sz w:val="20"/>
                <w:szCs w:val="20"/>
                <w:lang w:val="en-US"/>
              </w:rPr>
            </w:pPr>
          </w:p>
        </w:tc>
        <w:tc>
          <w:tcPr>
            <w:tcW w:w="1495" w:type="pct"/>
          </w:tcPr>
          <w:p w14:paraId="044E8976" w14:textId="77777777" w:rsidR="005A2D50" w:rsidRPr="005A2D50" w:rsidRDefault="005A2D50" w:rsidP="00F14166">
            <w:pPr>
              <w:jc w:val="both"/>
              <w:rPr>
                <w:rFonts w:ascii="Times New Roman" w:eastAsia="Times New Roman" w:hAnsi="Times New Roman" w:cs="Times New Roman"/>
                <w:noProof/>
                <w:sz w:val="20"/>
                <w:szCs w:val="20"/>
                <w:lang w:val="en-US"/>
              </w:rPr>
            </w:pPr>
          </w:p>
        </w:tc>
        <w:tc>
          <w:tcPr>
            <w:tcW w:w="750" w:type="pct"/>
          </w:tcPr>
          <w:p w14:paraId="53FC22FF" w14:textId="77777777" w:rsidR="005A2D50" w:rsidRPr="005A2D50" w:rsidRDefault="005A2D50" w:rsidP="00F14166">
            <w:pPr>
              <w:jc w:val="right"/>
              <w:rPr>
                <w:rFonts w:ascii="Times New Roman" w:eastAsia="Times New Roman" w:hAnsi="Times New Roman" w:cs="Times New Roman"/>
                <w:noProof/>
                <w:sz w:val="20"/>
                <w:szCs w:val="20"/>
                <w:lang w:val="en-US"/>
              </w:rPr>
            </w:pPr>
            <w:r w:rsidRPr="005A2D50">
              <w:rPr>
                <w:rFonts w:ascii="Times New Roman" w:eastAsia="Times New Roman" w:hAnsi="Times New Roman" w:cs="Times New Roman"/>
                <w:noProof/>
                <w:sz w:val="20"/>
                <w:szCs w:val="20"/>
                <w:lang w:val="en-US"/>
              </w:rPr>
              <w:drawing>
                <wp:inline distT="0" distB="0" distL="0" distR="0" wp14:anchorId="626D376F" wp14:editId="12F499A2">
                  <wp:extent cx="323895" cy="2476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23895" cy="247685"/>
                          </a:xfrm>
                          <a:prstGeom prst="rect">
                            <a:avLst/>
                          </a:prstGeom>
                        </pic:spPr>
                      </pic:pic>
                    </a:graphicData>
                  </a:graphic>
                </wp:inline>
              </w:drawing>
            </w:r>
          </w:p>
        </w:tc>
        <w:tc>
          <w:tcPr>
            <w:tcW w:w="1569" w:type="pct"/>
            <w:vAlign w:val="center"/>
          </w:tcPr>
          <w:p w14:paraId="0AD77425" w14:textId="77777777" w:rsidR="005A2D50" w:rsidRPr="005A2D50" w:rsidRDefault="005A2D50" w:rsidP="00F14166">
            <w:pPr>
              <w:rPr>
                <w:rFonts w:ascii="Times New Roman" w:hAnsi="Times New Roman"/>
                <w:noProof/>
                <w:sz w:val="18"/>
                <w:lang w:val="en-US"/>
              </w:rPr>
            </w:pPr>
            <w:r w:rsidRPr="005A2D50">
              <w:rPr>
                <w:rFonts w:ascii="Times New Roman" w:hAnsi="Times New Roman"/>
                <w:noProof/>
                <w:sz w:val="18"/>
                <w:lang w:val="en-US"/>
              </w:rPr>
              <w:t>Nr. Ares(2021)7909700 – 21/12/2021</w:t>
            </w:r>
          </w:p>
        </w:tc>
      </w:tr>
      <w:tr w:rsidR="005A2D50" w:rsidRPr="005A2D50" w14:paraId="024CC63F" w14:textId="77777777" w:rsidTr="00F14166">
        <w:tc>
          <w:tcPr>
            <w:tcW w:w="1186" w:type="pct"/>
            <w:vAlign w:val="bottom"/>
          </w:tcPr>
          <w:p w14:paraId="4714948F" w14:textId="77777777" w:rsidR="005A2D50" w:rsidRPr="005A2D50" w:rsidRDefault="005A2D50" w:rsidP="00F14166">
            <w:pPr>
              <w:jc w:val="center"/>
              <w:rPr>
                <w:rFonts w:ascii="Times New Roman" w:eastAsia="Times New Roman" w:hAnsi="Times New Roman" w:cs="Times New Roman"/>
                <w:noProof/>
                <w:sz w:val="20"/>
                <w:szCs w:val="20"/>
                <w:lang w:val="en-US"/>
              </w:rPr>
            </w:pPr>
            <w:r w:rsidRPr="005A2D50">
              <w:rPr>
                <w:rFonts w:ascii="Times New Roman" w:eastAsia="Times New Roman" w:hAnsi="Times New Roman" w:cs="Times New Roman"/>
                <w:noProof/>
                <w:sz w:val="20"/>
                <w:szCs w:val="20"/>
                <w:lang w:val="en-US"/>
              </w:rPr>
              <w:drawing>
                <wp:inline distT="0" distB="0" distL="0" distR="0" wp14:anchorId="4CB69C70" wp14:editId="149C648F">
                  <wp:extent cx="1339702" cy="681467"/>
                  <wp:effectExtent l="0" t="0" r="0" b="0"/>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2"/>
                          <a:stretch>
                            <a:fillRect/>
                          </a:stretch>
                        </pic:blipFill>
                        <pic:spPr>
                          <a:xfrm>
                            <a:off x="0" y="0"/>
                            <a:ext cx="1350757" cy="687090"/>
                          </a:xfrm>
                          <a:prstGeom prst="rect">
                            <a:avLst/>
                          </a:prstGeom>
                        </pic:spPr>
                      </pic:pic>
                    </a:graphicData>
                  </a:graphic>
                </wp:inline>
              </w:drawing>
            </w:r>
          </w:p>
        </w:tc>
        <w:tc>
          <w:tcPr>
            <w:tcW w:w="1495" w:type="pct"/>
          </w:tcPr>
          <w:p w14:paraId="7B940A23" w14:textId="77777777" w:rsidR="005A2D50" w:rsidRPr="005A2D50" w:rsidRDefault="005A2D50" w:rsidP="00F14166">
            <w:pPr>
              <w:pStyle w:val="BodyText"/>
              <w:rPr>
                <w:sz w:val="20"/>
                <w:lang w:val="en-US"/>
              </w:rPr>
            </w:pPr>
            <w:r w:rsidRPr="005A2D50">
              <w:rPr>
                <w:sz w:val="20"/>
                <w:lang w:val="en-US"/>
              </w:rPr>
              <w:t>EIROPAS KOMISIJA</w:t>
            </w:r>
          </w:p>
          <w:p w14:paraId="7955D8E6" w14:textId="77777777" w:rsidR="005A2D50" w:rsidRPr="005A2D50" w:rsidRDefault="005A2D50" w:rsidP="00F14166">
            <w:pPr>
              <w:jc w:val="both"/>
              <w:rPr>
                <w:rFonts w:ascii="Times New Roman" w:hAnsi="Times New Roman"/>
                <w:noProof/>
                <w:sz w:val="20"/>
                <w:lang w:val="en-US"/>
              </w:rPr>
            </w:pPr>
            <w:r w:rsidRPr="005A2D50">
              <w:rPr>
                <w:rFonts w:ascii="Times New Roman" w:hAnsi="Times New Roman"/>
                <w:noProof/>
                <w:sz w:val="20"/>
                <w:lang w:val="en-US"/>
              </w:rPr>
              <w:t>NODOKĻU POLITIKAS UN MUITAS SAVIENĪBAS ĢENERĀLDIREKTORĀTS</w:t>
            </w:r>
          </w:p>
          <w:p w14:paraId="6D6ED6E1" w14:textId="77777777" w:rsidR="005A2D50" w:rsidRPr="005A2D50" w:rsidRDefault="005A2D50" w:rsidP="00F14166">
            <w:pPr>
              <w:jc w:val="both"/>
              <w:rPr>
                <w:rFonts w:ascii="Times New Roman" w:hAnsi="Times New Roman" w:cs="Times New Roman"/>
                <w:noProof/>
                <w:sz w:val="20"/>
                <w:szCs w:val="20"/>
                <w:lang w:val="en-US"/>
              </w:rPr>
            </w:pPr>
          </w:p>
          <w:p w14:paraId="50366229" w14:textId="77777777" w:rsidR="005A2D50" w:rsidRPr="005A2D50" w:rsidRDefault="005A2D50" w:rsidP="00F14166">
            <w:pPr>
              <w:jc w:val="both"/>
              <w:rPr>
                <w:rFonts w:ascii="Times New Roman" w:hAnsi="Times New Roman"/>
                <w:noProof/>
                <w:sz w:val="20"/>
                <w:lang w:val="en-US"/>
              </w:rPr>
            </w:pPr>
            <w:r w:rsidRPr="005A2D50">
              <w:rPr>
                <w:rFonts w:ascii="Times New Roman" w:hAnsi="Times New Roman"/>
                <w:noProof/>
                <w:sz w:val="20"/>
                <w:lang w:val="en-US"/>
              </w:rPr>
              <w:t>Muita</w:t>
            </w:r>
          </w:p>
          <w:p w14:paraId="51609270" w14:textId="77777777" w:rsidR="005A2D50" w:rsidRPr="005A2D50" w:rsidRDefault="005A2D50" w:rsidP="00F14166">
            <w:pPr>
              <w:jc w:val="both"/>
              <w:rPr>
                <w:rFonts w:ascii="Times New Roman" w:hAnsi="Times New Roman"/>
                <w:b/>
                <w:noProof/>
                <w:sz w:val="20"/>
                <w:lang w:val="en-US"/>
              </w:rPr>
            </w:pPr>
            <w:r w:rsidRPr="005A2D50">
              <w:rPr>
                <w:rFonts w:ascii="Times New Roman" w:hAnsi="Times New Roman"/>
                <w:b/>
                <w:noProof/>
                <w:sz w:val="20"/>
                <w:lang w:val="en-US"/>
              </w:rPr>
              <w:t>Muitas tiesību akti</w:t>
            </w:r>
          </w:p>
        </w:tc>
        <w:tc>
          <w:tcPr>
            <w:tcW w:w="750" w:type="pct"/>
          </w:tcPr>
          <w:p w14:paraId="00DEC0D6" w14:textId="77777777" w:rsidR="005A2D50" w:rsidRPr="005A2D50" w:rsidRDefault="005A2D50" w:rsidP="00F14166">
            <w:pPr>
              <w:jc w:val="both"/>
              <w:rPr>
                <w:rFonts w:ascii="Times New Roman" w:eastAsia="Times New Roman" w:hAnsi="Times New Roman" w:cs="Times New Roman"/>
                <w:noProof/>
                <w:sz w:val="20"/>
                <w:szCs w:val="20"/>
                <w:lang w:val="en-US"/>
              </w:rPr>
            </w:pPr>
          </w:p>
        </w:tc>
        <w:tc>
          <w:tcPr>
            <w:tcW w:w="1569" w:type="pct"/>
          </w:tcPr>
          <w:p w14:paraId="7C9885AA" w14:textId="77777777" w:rsidR="005A2D50" w:rsidRPr="005A2D50" w:rsidRDefault="005A2D50" w:rsidP="00F14166">
            <w:pPr>
              <w:jc w:val="both"/>
              <w:rPr>
                <w:rFonts w:ascii="Times New Roman" w:eastAsia="Times New Roman" w:hAnsi="Times New Roman" w:cs="Times New Roman"/>
                <w:noProof/>
                <w:sz w:val="20"/>
                <w:szCs w:val="20"/>
                <w:lang w:val="en-US"/>
              </w:rPr>
            </w:pPr>
          </w:p>
        </w:tc>
      </w:tr>
    </w:tbl>
    <w:p w14:paraId="565E04B9" w14:textId="77777777" w:rsidR="005A2D50" w:rsidRPr="005A2D50" w:rsidRDefault="005A2D50" w:rsidP="005A2D50">
      <w:pPr>
        <w:jc w:val="both"/>
        <w:rPr>
          <w:rFonts w:ascii="Times New Roman" w:eastAsia="Times New Roman" w:hAnsi="Times New Roman" w:cs="Times New Roman"/>
          <w:noProof/>
          <w:sz w:val="24"/>
          <w:szCs w:val="24"/>
          <w:lang w:val="en-US"/>
        </w:rPr>
      </w:pPr>
    </w:p>
    <w:p w14:paraId="6FE822FE" w14:textId="77777777" w:rsidR="005A2D50" w:rsidRPr="005A2D50" w:rsidRDefault="005A2D50" w:rsidP="005A2D50">
      <w:pPr>
        <w:jc w:val="both"/>
        <w:rPr>
          <w:rFonts w:ascii="Times New Roman" w:eastAsia="Arial" w:hAnsi="Times New Roman" w:cs="Times New Roman"/>
          <w:b/>
          <w:bCs/>
          <w:noProof/>
          <w:sz w:val="24"/>
          <w:szCs w:val="24"/>
          <w:lang w:val="en-US"/>
        </w:rPr>
      </w:pPr>
    </w:p>
    <w:p w14:paraId="37936FCC" w14:textId="77777777" w:rsidR="005A2D50" w:rsidRPr="005A2D50" w:rsidRDefault="005A2D50" w:rsidP="005A2D50">
      <w:pPr>
        <w:jc w:val="both"/>
        <w:rPr>
          <w:rFonts w:ascii="Times New Roman" w:eastAsia="Arial" w:hAnsi="Times New Roman" w:cs="Times New Roman"/>
          <w:b/>
          <w:bCs/>
          <w:noProof/>
          <w:sz w:val="24"/>
          <w:szCs w:val="24"/>
          <w:lang w:val="en-US"/>
        </w:rPr>
      </w:pPr>
    </w:p>
    <w:p w14:paraId="2E34B2F6" w14:textId="77777777" w:rsidR="005A2D50" w:rsidRPr="005A2D50" w:rsidRDefault="005A2D50" w:rsidP="005A2D50">
      <w:pPr>
        <w:pStyle w:val="BodyText"/>
        <w:ind w:left="4962"/>
        <w:rPr>
          <w:lang w:val="en-US"/>
        </w:rPr>
      </w:pPr>
      <w:r w:rsidRPr="005A2D50">
        <w:rPr>
          <w:lang w:val="en-US"/>
        </w:rPr>
        <w:t>Briselē</w:t>
      </w:r>
    </w:p>
    <w:p w14:paraId="36C256A4" w14:textId="77777777" w:rsidR="005A2D50" w:rsidRPr="005A2D50" w:rsidRDefault="005A2D50" w:rsidP="005A2D50">
      <w:pPr>
        <w:ind w:left="4962"/>
        <w:jc w:val="both"/>
        <w:rPr>
          <w:rFonts w:ascii="Times New Roman" w:hAnsi="Times New Roman"/>
          <w:noProof/>
          <w:sz w:val="24"/>
          <w:lang w:val="en-US"/>
        </w:rPr>
      </w:pPr>
      <w:r w:rsidRPr="005A2D50">
        <w:rPr>
          <w:rFonts w:ascii="Times New Roman" w:hAnsi="Times New Roman"/>
          <w:noProof/>
          <w:sz w:val="24"/>
          <w:lang w:val="en-US"/>
        </w:rPr>
        <w:t>TAXUD/A2</w:t>
      </w:r>
    </w:p>
    <w:p w14:paraId="5882B229" w14:textId="77777777" w:rsidR="005A2D50" w:rsidRPr="005A2D50" w:rsidRDefault="005A2D50" w:rsidP="005A2D50">
      <w:pPr>
        <w:jc w:val="both"/>
        <w:rPr>
          <w:rFonts w:ascii="Times New Roman" w:eastAsia="Times New Roman" w:hAnsi="Times New Roman" w:cs="Times New Roman"/>
          <w:noProof/>
          <w:sz w:val="24"/>
          <w:szCs w:val="24"/>
          <w:lang w:val="en-US"/>
        </w:rPr>
      </w:pPr>
    </w:p>
    <w:p w14:paraId="28F9ADE8" w14:textId="77777777" w:rsidR="005A2D50" w:rsidRPr="005A2D50" w:rsidRDefault="005A2D50" w:rsidP="005A2D50">
      <w:pPr>
        <w:jc w:val="both"/>
        <w:rPr>
          <w:rFonts w:ascii="Times New Roman" w:eastAsia="Times New Roman" w:hAnsi="Times New Roman" w:cs="Times New Roman"/>
          <w:noProof/>
          <w:sz w:val="24"/>
          <w:szCs w:val="24"/>
          <w:lang w:val="en-US"/>
        </w:rPr>
      </w:pPr>
    </w:p>
    <w:p w14:paraId="0D915D0C" w14:textId="77777777" w:rsidR="005A2D50" w:rsidRPr="005A2D50" w:rsidRDefault="005A2D50" w:rsidP="005A2D50">
      <w:pPr>
        <w:jc w:val="both"/>
        <w:rPr>
          <w:rFonts w:ascii="Times New Roman" w:eastAsia="Times New Roman" w:hAnsi="Times New Roman" w:cs="Times New Roman"/>
          <w:noProof/>
          <w:sz w:val="24"/>
          <w:szCs w:val="24"/>
          <w:lang w:val="en-US"/>
        </w:rPr>
      </w:pPr>
    </w:p>
    <w:p w14:paraId="1CAB5EF1" w14:textId="77777777" w:rsidR="005A2D50" w:rsidRPr="005A2D50" w:rsidRDefault="005A2D50" w:rsidP="005A2D50">
      <w:pPr>
        <w:jc w:val="both"/>
        <w:rPr>
          <w:rFonts w:ascii="Times New Roman" w:eastAsia="Times New Roman" w:hAnsi="Times New Roman" w:cs="Times New Roman"/>
          <w:noProof/>
          <w:sz w:val="24"/>
          <w:szCs w:val="24"/>
          <w:lang w:val="en-US"/>
        </w:rPr>
      </w:pPr>
    </w:p>
    <w:p w14:paraId="75660543" w14:textId="77777777" w:rsidR="005A2D50" w:rsidRPr="005A2D50" w:rsidRDefault="005A2D50" w:rsidP="005A2D50">
      <w:pPr>
        <w:jc w:val="both"/>
        <w:rPr>
          <w:rFonts w:ascii="Times New Roman" w:eastAsia="Times New Roman" w:hAnsi="Times New Roman" w:cs="Times New Roman"/>
          <w:noProof/>
          <w:sz w:val="24"/>
          <w:szCs w:val="24"/>
          <w:lang w:val="en-US"/>
        </w:rPr>
      </w:pPr>
    </w:p>
    <w:p w14:paraId="65E4C0A4" w14:textId="77777777" w:rsidR="005A2D50" w:rsidRPr="005A2D50" w:rsidRDefault="005A2D50" w:rsidP="005A2D50">
      <w:pPr>
        <w:jc w:val="both"/>
        <w:rPr>
          <w:rFonts w:ascii="Times New Roman" w:eastAsia="Times New Roman" w:hAnsi="Times New Roman" w:cs="Times New Roman"/>
          <w:noProof/>
          <w:sz w:val="24"/>
          <w:szCs w:val="24"/>
          <w:lang w:val="en-US"/>
        </w:rPr>
      </w:pPr>
    </w:p>
    <w:p w14:paraId="13BF4399" w14:textId="77777777" w:rsidR="005A2D50" w:rsidRPr="005A2D50" w:rsidRDefault="005A2D50" w:rsidP="005A2D50">
      <w:pPr>
        <w:pStyle w:val="BodyText"/>
        <w:jc w:val="center"/>
        <w:rPr>
          <w:b/>
          <w:sz w:val="28"/>
          <w:lang w:val="en-US"/>
        </w:rPr>
      </w:pPr>
      <w:r w:rsidRPr="005A2D50">
        <w:rPr>
          <w:b/>
          <w:sz w:val="28"/>
          <w:lang w:val="en-US"/>
        </w:rPr>
        <w:t>Galvojumi iespējamam vai esošam muitas parādam. SMK III sadaļa</w:t>
      </w:r>
    </w:p>
    <w:p w14:paraId="2B910D44" w14:textId="77777777" w:rsidR="005A2D50" w:rsidRPr="005A2D50" w:rsidRDefault="005A2D50" w:rsidP="005A2D50">
      <w:pPr>
        <w:pStyle w:val="BodyText"/>
        <w:jc w:val="center"/>
        <w:rPr>
          <w:b/>
          <w:bCs/>
          <w:sz w:val="28"/>
          <w:szCs w:val="28"/>
          <w:lang w:val="en-US"/>
        </w:rPr>
      </w:pPr>
    </w:p>
    <w:p w14:paraId="76B6A485" w14:textId="77777777" w:rsidR="005A2D50" w:rsidRPr="005A2D50" w:rsidRDefault="005A2D50" w:rsidP="005A2D50">
      <w:pPr>
        <w:pStyle w:val="BodyText"/>
        <w:jc w:val="center"/>
        <w:rPr>
          <w:b/>
          <w:sz w:val="28"/>
          <w:lang w:val="en-US"/>
        </w:rPr>
      </w:pPr>
      <w:r w:rsidRPr="005A2D50">
        <w:rPr>
          <w:b/>
          <w:sz w:val="28"/>
          <w:lang w:val="en-US"/>
        </w:rPr>
        <w:t>3. pārskatītā redakcija EN</w:t>
      </w:r>
    </w:p>
    <w:p w14:paraId="57D272B5" w14:textId="77777777" w:rsidR="005A2D50" w:rsidRPr="005A2D50" w:rsidRDefault="005A2D50" w:rsidP="005A2D50">
      <w:pPr>
        <w:pStyle w:val="BodyText"/>
        <w:jc w:val="center"/>
        <w:rPr>
          <w:b/>
          <w:bCs/>
          <w:sz w:val="28"/>
          <w:szCs w:val="28"/>
          <w:lang w:val="en-US"/>
        </w:rPr>
      </w:pPr>
    </w:p>
    <w:p w14:paraId="3F877547" w14:textId="77777777" w:rsidR="005A2D50" w:rsidRPr="005A2D50" w:rsidRDefault="005A2D50" w:rsidP="005A2D50">
      <w:pPr>
        <w:pStyle w:val="BodyText"/>
        <w:jc w:val="center"/>
        <w:rPr>
          <w:b/>
          <w:sz w:val="28"/>
          <w:lang w:val="en-US"/>
        </w:rPr>
      </w:pPr>
      <w:r w:rsidRPr="005A2D50">
        <w:rPr>
          <w:b/>
          <w:sz w:val="28"/>
          <w:lang w:val="en-US"/>
        </w:rPr>
        <w:t>Vadlīnijas dalībvalstīm un uzņēmējiem</w:t>
      </w:r>
    </w:p>
    <w:p w14:paraId="4AAAF15F"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1AFA956B"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1A42DD6D"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123550E1"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226C76A5"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3610668B"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2E3AAABA" w14:textId="77777777" w:rsidR="005A2D50" w:rsidRPr="005A2D50" w:rsidRDefault="005A2D50" w:rsidP="005A2D50">
      <w:pPr>
        <w:jc w:val="both"/>
        <w:rPr>
          <w:rFonts w:ascii="Times New Roman" w:hAnsi="Times New Roman"/>
          <w:i/>
          <w:noProof/>
          <w:sz w:val="24"/>
          <w:lang w:val="en-US"/>
        </w:rPr>
      </w:pPr>
      <w:r w:rsidRPr="005A2D50">
        <w:rPr>
          <w:rFonts w:ascii="Times New Roman" w:hAnsi="Times New Roman"/>
          <w:i/>
          <w:noProof/>
          <w:sz w:val="24"/>
          <w:lang w:val="en-US"/>
        </w:rPr>
        <w:t>Atruna. Jāņem vērā, ka šīs vadlīnijas nav juridiski saistošs dokuments un ir paredzētas vienīgi skaidrojuma sniegšanai. Muitas tiesību aktu normas prevalē pār šo vadlīniju saturu, un vienmēr jāiepazīstas ar minētajām tiesību normām. ES tiesību aktu autentiskās redakcijas ir publicētas Eiropas Savienības Oficiālajā Vēstnesī. Papildus šīm vadlīnijām var būt izstrādātas arī valsts instrukcijas vai paskaidrojuma raksti.</w:t>
      </w:r>
    </w:p>
    <w:p w14:paraId="1BB47F4F" w14:textId="77777777" w:rsidR="005A2D50" w:rsidRPr="005A2D50" w:rsidRDefault="005A2D50" w:rsidP="005A2D50">
      <w:pPr>
        <w:jc w:val="both"/>
        <w:rPr>
          <w:rFonts w:ascii="Times New Roman" w:hAnsi="Times New Roman"/>
          <w:i/>
          <w:noProof/>
          <w:sz w:val="24"/>
          <w:lang w:val="en-US"/>
        </w:rPr>
      </w:pPr>
    </w:p>
    <w:p w14:paraId="7684B617" w14:textId="77777777" w:rsidR="005A2D50" w:rsidRPr="005A2D50" w:rsidRDefault="005A2D50" w:rsidP="005A2D50">
      <w:pPr>
        <w:jc w:val="both"/>
        <w:rPr>
          <w:rFonts w:ascii="Times New Roman" w:hAnsi="Times New Roman"/>
          <w:i/>
          <w:noProof/>
          <w:sz w:val="24"/>
          <w:lang w:val="en-US"/>
        </w:rPr>
      </w:pPr>
    </w:p>
    <w:p w14:paraId="5C4A79A1" w14:textId="77777777" w:rsidR="005A2D50" w:rsidRPr="005A2D50" w:rsidRDefault="005A2D50" w:rsidP="005A2D50">
      <w:pPr>
        <w:jc w:val="both"/>
        <w:rPr>
          <w:rFonts w:ascii="Times New Roman" w:hAnsi="Times New Roman"/>
          <w:i/>
          <w:noProof/>
          <w:sz w:val="24"/>
          <w:lang w:val="en-US"/>
        </w:rPr>
      </w:pPr>
    </w:p>
    <w:p w14:paraId="3028F745" w14:textId="77777777" w:rsidR="005A2D50" w:rsidRPr="005A2D50" w:rsidRDefault="005A2D50" w:rsidP="005A2D50">
      <w:pPr>
        <w:jc w:val="both"/>
        <w:rPr>
          <w:rFonts w:ascii="Times New Roman" w:hAnsi="Times New Roman"/>
          <w:i/>
          <w:noProof/>
          <w:sz w:val="24"/>
          <w:lang w:val="en-US"/>
        </w:rPr>
      </w:pPr>
    </w:p>
    <w:p w14:paraId="2EA2ED7B" w14:textId="77777777" w:rsidR="005A2D50" w:rsidRPr="005A2D50" w:rsidRDefault="005A2D50" w:rsidP="005A2D50">
      <w:pPr>
        <w:jc w:val="both"/>
        <w:rPr>
          <w:rFonts w:ascii="Times New Roman" w:hAnsi="Times New Roman"/>
          <w:i/>
          <w:noProof/>
          <w:sz w:val="24"/>
          <w:lang w:val="en-US"/>
        </w:rPr>
      </w:pPr>
    </w:p>
    <w:p w14:paraId="3B7D523D" w14:textId="77777777" w:rsidR="005A2D50" w:rsidRPr="005A2D50" w:rsidRDefault="005A2D50" w:rsidP="005A2D50">
      <w:pPr>
        <w:jc w:val="both"/>
        <w:rPr>
          <w:rFonts w:ascii="Times New Roman" w:hAnsi="Times New Roman"/>
          <w:i/>
          <w:noProof/>
          <w:sz w:val="24"/>
          <w:lang w:val="en-US"/>
        </w:rPr>
      </w:pPr>
    </w:p>
    <w:p w14:paraId="51C8BDBC" w14:textId="77777777" w:rsidR="005A2D50" w:rsidRPr="005A2D50" w:rsidRDefault="005A2D50" w:rsidP="005A2D50">
      <w:pPr>
        <w:jc w:val="both"/>
        <w:rPr>
          <w:rFonts w:ascii="Times New Roman" w:hAnsi="Times New Roman"/>
          <w:i/>
          <w:noProof/>
          <w:sz w:val="24"/>
          <w:lang w:val="en-US"/>
        </w:rPr>
      </w:pPr>
    </w:p>
    <w:p w14:paraId="1D23AB64" w14:textId="77777777" w:rsidR="005A2D50" w:rsidRPr="005A2D50" w:rsidRDefault="005A2D50" w:rsidP="005A2D50">
      <w:pPr>
        <w:jc w:val="both"/>
        <w:rPr>
          <w:rFonts w:ascii="Times New Roman" w:hAnsi="Times New Roman"/>
          <w:i/>
          <w:noProof/>
          <w:sz w:val="24"/>
          <w:lang w:val="en-US"/>
        </w:rPr>
      </w:pPr>
    </w:p>
    <w:p w14:paraId="7C72E9DA" w14:textId="77777777" w:rsidR="005A2D50" w:rsidRPr="005A2D50" w:rsidRDefault="005A2D50" w:rsidP="005A2D50">
      <w:pPr>
        <w:jc w:val="both"/>
        <w:rPr>
          <w:rFonts w:ascii="Times New Roman" w:hAnsi="Times New Roman"/>
          <w:i/>
          <w:noProof/>
          <w:sz w:val="24"/>
          <w:lang w:val="en-US"/>
        </w:rPr>
      </w:pPr>
    </w:p>
    <w:p w14:paraId="5F8237D2" w14:textId="77777777" w:rsidR="005A2D50" w:rsidRPr="005A2D50" w:rsidRDefault="005A2D50" w:rsidP="005A2D50">
      <w:pPr>
        <w:jc w:val="both"/>
        <w:rPr>
          <w:rFonts w:ascii="Times New Roman" w:hAnsi="Times New Roman"/>
          <w:i/>
          <w:noProof/>
          <w:sz w:val="24"/>
          <w:lang w:val="en-US"/>
        </w:rPr>
      </w:pPr>
    </w:p>
    <w:p w14:paraId="21A45539" w14:textId="77777777" w:rsidR="005A2D50" w:rsidRPr="005A2D50" w:rsidRDefault="005A2D50" w:rsidP="005A2D50">
      <w:pPr>
        <w:jc w:val="both"/>
        <w:rPr>
          <w:rFonts w:ascii="Times New Roman" w:hAnsi="Times New Roman"/>
          <w:i/>
          <w:noProof/>
          <w:sz w:val="24"/>
          <w:lang w:val="en-US"/>
        </w:rPr>
      </w:pPr>
    </w:p>
    <w:p w14:paraId="38662EB2" w14:textId="77777777" w:rsidR="005A2D50" w:rsidRPr="005A2D50" w:rsidRDefault="005A2D50" w:rsidP="005A2D50">
      <w:pPr>
        <w:pStyle w:val="BodyText"/>
        <w:rPr>
          <w:sz w:val="22"/>
          <w:lang w:val="en-US"/>
        </w:rPr>
      </w:pPr>
      <w:r w:rsidRPr="005A2D50">
        <w:rPr>
          <w:sz w:val="22"/>
          <w:lang w:val="en-US"/>
        </w:rPr>
        <w:t>Commission européenne/Europese Commissie, 1049 Bruxelles/Brussel, BELGIQUE/BELGIË — Tel. +32 22991111</w:t>
      </w:r>
    </w:p>
    <w:p w14:paraId="431A24FA" w14:textId="77777777" w:rsidR="005A2D50" w:rsidRPr="005A2D50" w:rsidRDefault="005A2D50" w:rsidP="005A2D50">
      <w:pPr>
        <w:rPr>
          <w:noProof/>
          <w:lang w:val="en-US"/>
        </w:rPr>
      </w:pPr>
      <w:r w:rsidRPr="005A2D50">
        <w:rPr>
          <w:noProof/>
          <w:lang w:val="en-US"/>
        </w:rPr>
        <w:br w:type="page"/>
      </w:r>
    </w:p>
    <w:p w14:paraId="5D095B24" w14:textId="77777777" w:rsidR="005A2D50" w:rsidRPr="005A2D50" w:rsidRDefault="005A2D50" w:rsidP="005A2D50">
      <w:pPr>
        <w:jc w:val="both"/>
        <w:rPr>
          <w:rFonts w:ascii="Times New Roman" w:eastAsia="Arial" w:hAnsi="Times New Roman" w:cs="Times New Roman"/>
          <w:noProof/>
          <w:sz w:val="24"/>
          <w:szCs w:val="24"/>
          <w:lang w:val="en-US"/>
        </w:rPr>
      </w:pPr>
    </w:p>
    <w:p w14:paraId="4AFA697E" w14:textId="77777777" w:rsidR="005A2D50" w:rsidRPr="005A2D50" w:rsidRDefault="005A2D50" w:rsidP="005A2D50">
      <w:pPr>
        <w:jc w:val="center"/>
        <w:rPr>
          <w:rFonts w:ascii="Times New Roman" w:hAnsi="Times New Roman"/>
          <w:noProof/>
          <w:sz w:val="24"/>
          <w:u w:val="single" w:color="000000"/>
          <w:lang w:val="en-US"/>
        </w:rPr>
      </w:pPr>
      <w:r w:rsidRPr="005A2D50">
        <w:rPr>
          <w:rFonts w:ascii="Times New Roman" w:hAnsi="Times New Roman"/>
          <w:noProof/>
          <w:sz w:val="24"/>
          <w:u w:val="single" w:color="000000"/>
          <w:lang w:val="en-US"/>
        </w:rPr>
        <w:t>Saturs</w:t>
      </w:r>
    </w:p>
    <w:sdt>
      <w:sdtPr>
        <w:rPr>
          <w:rFonts w:asciiTheme="minorHAnsi" w:eastAsiaTheme="minorHAnsi" w:hAnsiTheme="minorHAnsi" w:cstheme="minorBidi"/>
          <w:noProof/>
          <w:color w:val="auto"/>
          <w:sz w:val="22"/>
          <w:szCs w:val="22"/>
        </w:rPr>
        <w:id w:val="-1345469969"/>
        <w:docPartObj>
          <w:docPartGallery w:val="Table of Contents"/>
          <w:docPartUnique/>
        </w:docPartObj>
      </w:sdtPr>
      <w:sdtEndPr>
        <w:rPr>
          <w:b/>
          <w:bCs/>
        </w:rPr>
      </w:sdtEndPr>
      <w:sdtContent>
        <w:p w14:paraId="03ADD274" w14:textId="77777777" w:rsidR="005A2D50" w:rsidRPr="005A2D50" w:rsidRDefault="005A2D50" w:rsidP="005A2D50">
          <w:pPr>
            <w:pStyle w:val="TOCHeading"/>
            <w:spacing w:before="0" w:line="240" w:lineRule="auto"/>
            <w:jc w:val="both"/>
            <w:rPr>
              <w:noProof/>
              <w:color w:val="auto"/>
              <w:sz w:val="24"/>
              <w:szCs w:val="24"/>
            </w:rPr>
          </w:pPr>
        </w:p>
        <w:bookmarkStart w:id="0" w:name="TOCPosition"/>
        <w:p w14:paraId="3E6F7126" w14:textId="72983426" w:rsidR="005A2D50" w:rsidRPr="005A2D50" w:rsidRDefault="005A2D50" w:rsidP="005A2D50">
          <w:pPr>
            <w:pStyle w:val="TOC1"/>
            <w:tabs>
              <w:tab w:val="right" w:leader="dot" w:pos="9065"/>
            </w:tabs>
            <w:spacing w:before="0"/>
            <w:jc w:val="both"/>
            <w:rPr>
              <w:rFonts w:asciiTheme="minorHAnsi" w:eastAsiaTheme="minorEastAsia" w:hAnsiTheme="minorHAnsi"/>
              <w:noProof/>
              <w:sz w:val="24"/>
              <w:szCs w:val="24"/>
              <w:lang w:val="en-US" w:eastAsia="lv-LV"/>
            </w:rPr>
          </w:pPr>
          <w:r w:rsidRPr="005A2D50">
            <w:rPr>
              <w:noProof/>
              <w:sz w:val="24"/>
              <w:szCs w:val="24"/>
              <w:lang w:val="en-US"/>
            </w:rPr>
            <w:fldChar w:fldCharType="begin"/>
          </w:r>
          <w:r w:rsidRPr="005A2D50">
            <w:rPr>
              <w:noProof/>
              <w:sz w:val="24"/>
              <w:szCs w:val="24"/>
              <w:lang w:val="en-US"/>
            </w:rPr>
            <w:instrText xml:space="preserve"> TOC \o "1-3" \h \z \u </w:instrText>
          </w:r>
          <w:r w:rsidRPr="005A2D50">
            <w:rPr>
              <w:noProof/>
              <w:sz w:val="24"/>
              <w:szCs w:val="24"/>
              <w:lang w:val="en-US"/>
            </w:rPr>
            <w:fldChar w:fldCharType="separate"/>
          </w:r>
          <w:hyperlink w:anchor="_Toc104982758" w:history="1">
            <w:r w:rsidRPr="005A2D50">
              <w:rPr>
                <w:rStyle w:val="Hyperlink"/>
                <w:noProof/>
                <w:color w:val="auto"/>
                <w:sz w:val="24"/>
                <w:szCs w:val="24"/>
                <w:lang w:val="en-US"/>
              </w:rPr>
              <w:t>I. SAĪSINĀJUMI, FRĀZES UN DEFINĪCIJAS</w:t>
            </w:r>
            <w:r w:rsidRPr="005A2D50">
              <w:rPr>
                <w:noProof/>
                <w:webHidden/>
                <w:sz w:val="24"/>
                <w:szCs w:val="24"/>
                <w:lang w:val="en-US"/>
              </w:rPr>
              <w:tab/>
            </w:r>
            <w:r w:rsidRPr="005A2D50">
              <w:rPr>
                <w:noProof/>
                <w:webHidden/>
                <w:sz w:val="24"/>
                <w:szCs w:val="24"/>
                <w:lang w:val="en-US"/>
              </w:rPr>
              <w:fldChar w:fldCharType="begin"/>
            </w:r>
            <w:r w:rsidRPr="005A2D50">
              <w:rPr>
                <w:noProof/>
                <w:webHidden/>
                <w:sz w:val="24"/>
                <w:szCs w:val="24"/>
                <w:lang w:val="en-US"/>
              </w:rPr>
              <w:instrText xml:space="preserve"> PAGEREF _Toc104982758 \h </w:instrText>
            </w:r>
            <w:r w:rsidRPr="005A2D50">
              <w:rPr>
                <w:noProof/>
                <w:webHidden/>
                <w:sz w:val="24"/>
                <w:szCs w:val="24"/>
                <w:lang w:val="en-US"/>
              </w:rPr>
            </w:r>
            <w:r w:rsidRPr="005A2D50">
              <w:rPr>
                <w:noProof/>
                <w:webHidden/>
                <w:sz w:val="24"/>
                <w:szCs w:val="24"/>
                <w:lang w:val="en-US"/>
              </w:rPr>
              <w:fldChar w:fldCharType="separate"/>
            </w:r>
            <w:r>
              <w:rPr>
                <w:noProof/>
                <w:webHidden/>
                <w:sz w:val="24"/>
                <w:szCs w:val="24"/>
                <w:lang w:val="en-US"/>
              </w:rPr>
              <w:t>4</w:t>
            </w:r>
            <w:r w:rsidRPr="005A2D50">
              <w:rPr>
                <w:noProof/>
                <w:webHidden/>
                <w:sz w:val="24"/>
                <w:szCs w:val="24"/>
                <w:lang w:val="en-US"/>
              </w:rPr>
              <w:fldChar w:fldCharType="end"/>
            </w:r>
          </w:hyperlink>
        </w:p>
        <w:p w14:paraId="5454A3CF" w14:textId="59E98AC1" w:rsidR="005A2D50" w:rsidRPr="005A2D50" w:rsidRDefault="005A2D50" w:rsidP="005A2D50">
          <w:pPr>
            <w:pStyle w:val="TOC1"/>
            <w:tabs>
              <w:tab w:val="right" w:leader="dot" w:pos="9065"/>
            </w:tabs>
            <w:spacing w:before="0"/>
            <w:jc w:val="both"/>
            <w:rPr>
              <w:rFonts w:asciiTheme="minorHAnsi" w:eastAsiaTheme="minorEastAsia" w:hAnsiTheme="minorHAnsi"/>
              <w:noProof/>
              <w:sz w:val="24"/>
              <w:szCs w:val="24"/>
              <w:lang w:val="en-US" w:eastAsia="lv-LV"/>
            </w:rPr>
          </w:pPr>
          <w:hyperlink w:anchor="_Toc104982759" w:history="1">
            <w:r w:rsidRPr="005A2D50">
              <w:rPr>
                <w:rStyle w:val="Hyperlink"/>
                <w:noProof/>
                <w:color w:val="auto"/>
                <w:sz w:val="24"/>
                <w:szCs w:val="24"/>
                <w:lang w:val="en-US"/>
              </w:rPr>
              <w:t>I.1. Saīsinājumi</w:t>
            </w:r>
            <w:r w:rsidRPr="005A2D50">
              <w:rPr>
                <w:noProof/>
                <w:webHidden/>
                <w:sz w:val="24"/>
                <w:szCs w:val="24"/>
                <w:lang w:val="en-US"/>
              </w:rPr>
              <w:tab/>
            </w:r>
            <w:r w:rsidRPr="005A2D50">
              <w:rPr>
                <w:noProof/>
                <w:webHidden/>
                <w:sz w:val="24"/>
                <w:szCs w:val="24"/>
                <w:lang w:val="en-US"/>
              </w:rPr>
              <w:fldChar w:fldCharType="begin"/>
            </w:r>
            <w:r w:rsidRPr="005A2D50">
              <w:rPr>
                <w:noProof/>
                <w:webHidden/>
                <w:sz w:val="24"/>
                <w:szCs w:val="24"/>
                <w:lang w:val="en-US"/>
              </w:rPr>
              <w:instrText xml:space="preserve"> PAGEREF _Toc104982759 \h </w:instrText>
            </w:r>
            <w:r w:rsidRPr="005A2D50">
              <w:rPr>
                <w:noProof/>
                <w:webHidden/>
                <w:sz w:val="24"/>
                <w:szCs w:val="24"/>
                <w:lang w:val="en-US"/>
              </w:rPr>
            </w:r>
            <w:r w:rsidRPr="005A2D50">
              <w:rPr>
                <w:noProof/>
                <w:webHidden/>
                <w:sz w:val="24"/>
                <w:szCs w:val="24"/>
                <w:lang w:val="en-US"/>
              </w:rPr>
              <w:fldChar w:fldCharType="separate"/>
            </w:r>
            <w:r>
              <w:rPr>
                <w:noProof/>
                <w:webHidden/>
                <w:sz w:val="24"/>
                <w:szCs w:val="24"/>
                <w:lang w:val="en-US"/>
              </w:rPr>
              <w:t>4</w:t>
            </w:r>
            <w:r w:rsidRPr="005A2D50">
              <w:rPr>
                <w:noProof/>
                <w:webHidden/>
                <w:sz w:val="24"/>
                <w:szCs w:val="24"/>
                <w:lang w:val="en-US"/>
              </w:rPr>
              <w:fldChar w:fldCharType="end"/>
            </w:r>
          </w:hyperlink>
        </w:p>
        <w:p w14:paraId="4E1D1058" w14:textId="2559F322" w:rsidR="005A2D50" w:rsidRPr="005A2D50" w:rsidRDefault="005A2D50" w:rsidP="005A2D50">
          <w:pPr>
            <w:pStyle w:val="TOC1"/>
            <w:tabs>
              <w:tab w:val="right" w:leader="dot" w:pos="9065"/>
            </w:tabs>
            <w:spacing w:before="0"/>
            <w:jc w:val="both"/>
            <w:rPr>
              <w:rStyle w:val="Hyperlink"/>
              <w:noProof/>
              <w:color w:val="auto"/>
              <w:sz w:val="24"/>
              <w:szCs w:val="24"/>
              <w:lang w:val="en-US"/>
            </w:rPr>
          </w:pPr>
          <w:hyperlink w:anchor="_Toc104982760" w:history="1">
            <w:r w:rsidRPr="005A2D50">
              <w:rPr>
                <w:rStyle w:val="Hyperlink"/>
                <w:noProof/>
                <w:color w:val="auto"/>
                <w:sz w:val="24"/>
                <w:szCs w:val="24"/>
                <w:lang w:val="en-US"/>
              </w:rPr>
              <w:t>I.2. Frāzes un definīcijas</w:t>
            </w:r>
            <w:r w:rsidRPr="005A2D50">
              <w:rPr>
                <w:noProof/>
                <w:webHidden/>
                <w:sz w:val="24"/>
                <w:szCs w:val="24"/>
                <w:lang w:val="en-US"/>
              </w:rPr>
              <w:tab/>
            </w:r>
            <w:r w:rsidRPr="005A2D50">
              <w:rPr>
                <w:noProof/>
                <w:webHidden/>
                <w:sz w:val="24"/>
                <w:szCs w:val="24"/>
                <w:lang w:val="en-US"/>
              </w:rPr>
              <w:fldChar w:fldCharType="begin"/>
            </w:r>
            <w:r w:rsidRPr="005A2D50">
              <w:rPr>
                <w:noProof/>
                <w:webHidden/>
                <w:sz w:val="24"/>
                <w:szCs w:val="24"/>
                <w:lang w:val="en-US"/>
              </w:rPr>
              <w:instrText xml:space="preserve"> PAGEREF _Toc104982760 \h </w:instrText>
            </w:r>
            <w:r w:rsidRPr="005A2D50">
              <w:rPr>
                <w:noProof/>
                <w:webHidden/>
                <w:sz w:val="24"/>
                <w:szCs w:val="24"/>
                <w:lang w:val="en-US"/>
              </w:rPr>
            </w:r>
            <w:r w:rsidRPr="005A2D50">
              <w:rPr>
                <w:noProof/>
                <w:webHidden/>
                <w:sz w:val="24"/>
                <w:szCs w:val="24"/>
                <w:lang w:val="en-US"/>
              </w:rPr>
              <w:fldChar w:fldCharType="separate"/>
            </w:r>
            <w:r>
              <w:rPr>
                <w:noProof/>
                <w:webHidden/>
                <w:sz w:val="24"/>
                <w:szCs w:val="24"/>
                <w:lang w:val="en-US"/>
              </w:rPr>
              <w:t>5</w:t>
            </w:r>
            <w:r w:rsidRPr="005A2D50">
              <w:rPr>
                <w:noProof/>
                <w:webHidden/>
                <w:sz w:val="24"/>
                <w:szCs w:val="24"/>
                <w:lang w:val="en-US"/>
              </w:rPr>
              <w:fldChar w:fldCharType="end"/>
            </w:r>
          </w:hyperlink>
        </w:p>
        <w:p w14:paraId="4C08D922" w14:textId="77777777" w:rsidR="005A2D50" w:rsidRPr="005A2D50" w:rsidRDefault="005A2D50" w:rsidP="005A2D50">
          <w:pPr>
            <w:pStyle w:val="TOC1"/>
            <w:tabs>
              <w:tab w:val="right" w:leader="dot" w:pos="9065"/>
            </w:tabs>
            <w:spacing w:before="0"/>
            <w:jc w:val="both"/>
            <w:rPr>
              <w:rFonts w:asciiTheme="minorHAnsi" w:eastAsiaTheme="minorEastAsia" w:hAnsiTheme="minorHAnsi"/>
              <w:noProof/>
              <w:sz w:val="24"/>
              <w:szCs w:val="24"/>
              <w:lang w:val="en-US" w:eastAsia="lv-LV"/>
            </w:rPr>
          </w:pPr>
        </w:p>
        <w:p w14:paraId="0A7ECD0A" w14:textId="22892A1D" w:rsidR="005A2D50" w:rsidRPr="005A2D50" w:rsidRDefault="005A2D50" w:rsidP="005A2D50">
          <w:pPr>
            <w:pStyle w:val="TOC1"/>
            <w:tabs>
              <w:tab w:val="right" w:leader="dot" w:pos="9065"/>
            </w:tabs>
            <w:spacing w:before="0"/>
            <w:jc w:val="both"/>
            <w:rPr>
              <w:rFonts w:asciiTheme="minorHAnsi" w:eastAsiaTheme="minorEastAsia" w:hAnsiTheme="minorHAnsi"/>
              <w:noProof/>
              <w:sz w:val="24"/>
              <w:szCs w:val="24"/>
              <w:lang w:val="en-US" w:eastAsia="lv-LV"/>
            </w:rPr>
          </w:pPr>
          <w:hyperlink w:anchor="_Toc104982761" w:history="1">
            <w:r w:rsidRPr="005A2D50">
              <w:rPr>
                <w:rStyle w:val="Hyperlink"/>
                <w:noProof/>
                <w:color w:val="auto"/>
                <w:sz w:val="24"/>
                <w:szCs w:val="24"/>
                <w:lang w:val="en-US"/>
              </w:rPr>
              <w:t>II. VISPĀRĒJĀS TIESĪBU NORMAS, KAS REGLAMENTĒ GALVOJUMUS</w:t>
            </w:r>
            <w:r w:rsidRPr="005A2D50">
              <w:rPr>
                <w:noProof/>
                <w:webHidden/>
                <w:sz w:val="24"/>
                <w:szCs w:val="24"/>
                <w:lang w:val="en-US"/>
              </w:rPr>
              <w:tab/>
            </w:r>
            <w:r w:rsidRPr="005A2D50">
              <w:rPr>
                <w:noProof/>
                <w:webHidden/>
                <w:sz w:val="24"/>
                <w:szCs w:val="24"/>
                <w:lang w:val="en-US"/>
              </w:rPr>
              <w:fldChar w:fldCharType="begin"/>
            </w:r>
            <w:r w:rsidRPr="005A2D50">
              <w:rPr>
                <w:noProof/>
                <w:webHidden/>
                <w:sz w:val="24"/>
                <w:szCs w:val="24"/>
                <w:lang w:val="en-US"/>
              </w:rPr>
              <w:instrText xml:space="preserve"> PAGEREF _Toc104982761 \h </w:instrText>
            </w:r>
            <w:r w:rsidRPr="005A2D50">
              <w:rPr>
                <w:noProof/>
                <w:webHidden/>
                <w:sz w:val="24"/>
                <w:szCs w:val="24"/>
                <w:lang w:val="en-US"/>
              </w:rPr>
            </w:r>
            <w:r w:rsidRPr="005A2D50">
              <w:rPr>
                <w:noProof/>
                <w:webHidden/>
                <w:sz w:val="24"/>
                <w:szCs w:val="24"/>
                <w:lang w:val="en-US"/>
              </w:rPr>
              <w:fldChar w:fldCharType="separate"/>
            </w:r>
            <w:r>
              <w:rPr>
                <w:noProof/>
                <w:webHidden/>
                <w:sz w:val="24"/>
                <w:szCs w:val="24"/>
                <w:lang w:val="en-US"/>
              </w:rPr>
              <w:t>6</w:t>
            </w:r>
            <w:r w:rsidRPr="005A2D50">
              <w:rPr>
                <w:noProof/>
                <w:webHidden/>
                <w:sz w:val="24"/>
                <w:szCs w:val="24"/>
                <w:lang w:val="en-US"/>
              </w:rPr>
              <w:fldChar w:fldCharType="end"/>
            </w:r>
          </w:hyperlink>
        </w:p>
        <w:p w14:paraId="3D8CAA63" w14:textId="33806F4F" w:rsidR="005A2D50" w:rsidRPr="005A2D50" w:rsidRDefault="005A2D50" w:rsidP="005A2D50">
          <w:pPr>
            <w:pStyle w:val="TOC1"/>
            <w:tabs>
              <w:tab w:val="right" w:leader="dot" w:pos="9065"/>
            </w:tabs>
            <w:spacing w:before="0"/>
            <w:jc w:val="both"/>
            <w:rPr>
              <w:rFonts w:asciiTheme="minorHAnsi" w:eastAsiaTheme="minorEastAsia" w:hAnsiTheme="minorHAnsi"/>
              <w:noProof/>
              <w:sz w:val="24"/>
              <w:szCs w:val="24"/>
              <w:lang w:val="en-US" w:eastAsia="lv-LV"/>
            </w:rPr>
          </w:pPr>
          <w:hyperlink w:anchor="_Toc104982762" w:history="1">
            <w:r w:rsidRPr="005A2D50">
              <w:rPr>
                <w:rStyle w:val="Hyperlink"/>
                <w:noProof/>
                <w:color w:val="auto"/>
                <w:sz w:val="24"/>
                <w:szCs w:val="24"/>
                <w:lang w:val="en-US"/>
              </w:rPr>
              <w:t>II.1. Situācijas, kad galvojums nav jāsniedz</w:t>
            </w:r>
            <w:r w:rsidRPr="005A2D50">
              <w:rPr>
                <w:noProof/>
                <w:webHidden/>
                <w:sz w:val="24"/>
                <w:szCs w:val="24"/>
                <w:lang w:val="en-US"/>
              </w:rPr>
              <w:tab/>
            </w:r>
            <w:r w:rsidRPr="005A2D50">
              <w:rPr>
                <w:noProof/>
                <w:webHidden/>
                <w:sz w:val="24"/>
                <w:szCs w:val="24"/>
                <w:lang w:val="en-US"/>
              </w:rPr>
              <w:fldChar w:fldCharType="begin"/>
            </w:r>
            <w:r w:rsidRPr="005A2D50">
              <w:rPr>
                <w:noProof/>
                <w:webHidden/>
                <w:sz w:val="24"/>
                <w:szCs w:val="24"/>
                <w:lang w:val="en-US"/>
              </w:rPr>
              <w:instrText xml:space="preserve"> PAGEREF _Toc104982762 \h </w:instrText>
            </w:r>
            <w:r w:rsidRPr="005A2D50">
              <w:rPr>
                <w:noProof/>
                <w:webHidden/>
                <w:sz w:val="24"/>
                <w:szCs w:val="24"/>
                <w:lang w:val="en-US"/>
              </w:rPr>
            </w:r>
            <w:r w:rsidRPr="005A2D50">
              <w:rPr>
                <w:noProof/>
                <w:webHidden/>
                <w:sz w:val="24"/>
                <w:szCs w:val="24"/>
                <w:lang w:val="en-US"/>
              </w:rPr>
              <w:fldChar w:fldCharType="separate"/>
            </w:r>
            <w:r>
              <w:rPr>
                <w:noProof/>
                <w:webHidden/>
                <w:sz w:val="24"/>
                <w:szCs w:val="24"/>
                <w:lang w:val="en-US"/>
              </w:rPr>
              <w:t>6</w:t>
            </w:r>
            <w:r w:rsidRPr="005A2D50">
              <w:rPr>
                <w:noProof/>
                <w:webHidden/>
                <w:sz w:val="24"/>
                <w:szCs w:val="24"/>
                <w:lang w:val="en-US"/>
              </w:rPr>
              <w:fldChar w:fldCharType="end"/>
            </w:r>
          </w:hyperlink>
        </w:p>
        <w:p w14:paraId="587162D1" w14:textId="2F6874CB" w:rsidR="005A2D50" w:rsidRPr="005A2D50" w:rsidRDefault="005A2D50" w:rsidP="005A2D50">
          <w:pPr>
            <w:pStyle w:val="TOC1"/>
            <w:tabs>
              <w:tab w:val="right" w:leader="dot" w:pos="9065"/>
            </w:tabs>
            <w:spacing w:before="0"/>
            <w:jc w:val="both"/>
            <w:rPr>
              <w:rFonts w:asciiTheme="minorHAnsi" w:eastAsiaTheme="minorEastAsia" w:hAnsiTheme="minorHAnsi"/>
              <w:noProof/>
              <w:sz w:val="24"/>
              <w:szCs w:val="24"/>
              <w:lang w:val="en-US" w:eastAsia="lv-LV"/>
            </w:rPr>
          </w:pPr>
          <w:hyperlink w:anchor="_Toc104982763" w:history="1">
            <w:r w:rsidRPr="005A2D50">
              <w:rPr>
                <w:rStyle w:val="Hyperlink"/>
                <w:noProof/>
                <w:color w:val="auto"/>
                <w:sz w:val="24"/>
                <w:szCs w:val="24"/>
                <w:lang w:val="en-US"/>
              </w:rPr>
              <w:t>II.2. Neobligāts galvojums</w:t>
            </w:r>
            <w:r w:rsidRPr="005A2D50">
              <w:rPr>
                <w:noProof/>
                <w:webHidden/>
                <w:sz w:val="24"/>
                <w:szCs w:val="24"/>
                <w:lang w:val="en-US"/>
              </w:rPr>
              <w:tab/>
            </w:r>
            <w:r w:rsidRPr="005A2D50">
              <w:rPr>
                <w:noProof/>
                <w:webHidden/>
                <w:sz w:val="24"/>
                <w:szCs w:val="24"/>
                <w:lang w:val="en-US"/>
              </w:rPr>
              <w:fldChar w:fldCharType="begin"/>
            </w:r>
            <w:r w:rsidRPr="005A2D50">
              <w:rPr>
                <w:noProof/>
                <w:webHidden/>
                <w:sz w:val="24"/>
                <w:szCs w:val="24"/>
                <w:lang w:val="en-US"/>
              </w:rPr>
              <w:instrText xml:space="preserve"> PAGEREF _Toc104982763 \h </w:instrText>
            </w:r>
            <w:r w:rsidRPr="005A2D50">
              <w:rPr>
                <w:noProof/>
                <w:webHidden/>
                <w:sz w:val="24"/>
                <w:szCs w:val="24"/>
                <w:lang w:val="en-US"/>
              </w:rPr>
            </w:r>
            <w:r w:rsidRPr="005A2D50">
              <w:rPr>
                <w:noProof/>
                <w:webHidden/>
                <w:sz w:val="24"/>
                <w:szCs w:val="24"/>
                <w:lang w:val="en-US"/>
              </w:rPr>
              <w:fldChar w:fldCharType="separate"/>
            </w:r>
            <w:r>
              <w:rPr>
                <w:noProof/>
                <w:webHidden/>
                <w:sz w:val="24"/>
                <w:szCs w:val="24"/>
                <w:lang w:val="en-US"/>
              </w:rPr>
              <w:t>6</w:t>
            </w:r>
            <w:r w:rsidRPr="005A2D50">
              <w:rPr>
                <w:noProof/>
                <w:webHidden/>
                <w:sz w:val="24"/>
                <w:szCs w:val="24"/>
                <w:lang w:val="en-US"/>
              </w:rPr>
              <w:fldChar w:fldCharType="end"/>
            </w:r>
          </w:hyperlink>
        </w:p>
        <w:p w14:paraId="10E8D760" w14:textId="462E2EC8" w:rsidR="005A2D50" w:rsidRPr="005A2D50" w:rsidRDefault="005A2D50" w:rsidP="005A2D50">
          <w:pPr>
            <w:pStyle w:val="TOC1"/>
            <w:tabs>
              <w:tab w:val="right" w:leader="dot" w:pos="9065"/>
            </w:tabs>
            <w:spacing w:before="0"/>
            <w:jc w:val="both"/>
            <w:rPr>
              <w:rFonts w:asciiTheme="minorHAnsi" w:eastAsiaTheme="minorEastAsia" w:hAnsiTheme="minorHAnsi"/>
              <w:noProof/>
              <w:sz w:val="24"/>
              <w:szCs w:val="24"/>
              <w:lang w:val="en-US" w:eastAsia="lv-LV"/>
            </w:rPr>
          </w:pPr>
          <w:hyperlink w:anchor="_Toc104982764" w:history="1">
            <w:r w:rsidRPr="005A2D50">
              <w:rPr>
                <w:rStyle w:val="Hyperlink"/>
                <w:noProof/>
                <w:color w:val="auto"/>
                <w:sz w:val="24"/>
                <w:szCs w:val="24"/>
                <w:lang w:val="en-US"/>
              </w:rPr>
              <w:t>II.3. Vispārīgi noteikumi, kas piemērojami gadījumā, ja galvojums ir nepieciešams</w:t>
            </w:r>
            <w:r w:rsidRPr="005A2D50">
              <w:rPr>
                <w:noProof/>
                <w:webHidden/>
                <w:sz w:val="24"/>
                <w:szCs w:val="24"/>
                <w:lang w:val="en-US"/>
              </w:rPr>
              <w:tab/>
            </w:r>
            <w:r w:rsidRPr="005A2D50">
              <w:rPr>
                <w:noProof/>
                <w:webHidden/>
                <w:sz w:val="24"/>
                <w:szCs w:val="24"/>
                <w:lang w:val="en-US"/>
              </w:rPr>
              <w:fldChar w:fldCharType="begin"/>
            </w:r>
            <w:r w:rsidRPr="005A2D50">
              <w:rPr>
                <w:noProof/>
                <w:webHidden/>
                <w:sz w:val="24"/>
                <w:szCs w:val="24"/>
                <w:lang w:val="en-US"/>
              </w:rPr>
              <w:instrText xml:space="preserve"> PAGEREF _Toc104982764 \h </w:instrText>
            </w:r>
            <w:r w:rsidRPr="005A2D50">
              <w:rPr>
                <w:noProof/>
                <w:webHidden/>
                <w:sz w:val="24"/>
                <w:szCs w:val="24"/>
                <w:lang w:val="en-US"/>
              </w:rPr>
            </w:r>
            <w:r w:rsidRPr="005A2D50">
              <w:rPr>
                <w:noProof/>
                <w:webHidden/>
                <w:sz w:val="24"/>
                <w:szCs w:val="24"/>
                <w:lang w:val="en-US"/>
              </w:rPr>
              <w:fldChar w:fldCharType="separate"/>
            </w:r>
            <w:r>
              <w:rPr>
                <w:noProof/>
                <w:webHidden/>
                <w:sz w:val="24"/>
                <w:szCs w:val="24"/>
                <w:lang w:val="en-US"/>
              </w:rPr>
              <w:t>6</w:t>
            </w:r>
            <w:r w:rsidRPr="005A2D50">
              <w:rPr>
                <w:noProof/>
                <w:webHidden/>
                <w:sz w:val="24"/>
                <w:szCs w:val="24"/>
                <w:lang w:val="en-US"/>
              </w:rPr>
              <w:fldChar w:fldCharType="end"/>
            </w:r>
          </w:hyperlink>
        </w:p>
        <w:p w14:paraId="4F9B437C" w14:textId="56B3BD18" w:rsidR="005A2D50" w:rsidRPr="005A2D50" w:rsidRDefault="005A2D50" w:rsidP="005A2D50">
          <w:pPr>
            <w:pStyle w:val="TOC1"/>
            <w:tabs>
              <w:tab w:val="right" w:leader="dot" w:pos="9065"/>
            </w:tabs>
            <w:spacing w:before="0"/>
            <w:jc w:val="both"/>
            <w:rPr>
              <w:rFonts w:asciiTheme="minorHAnsi" w:eastAsiaTheme="minorEastAsia" w:hAnsiTheme="minorHAnsi"/>
              <w:noProof/>
              <w:sz w:val="24"/>
              <w:szCs w:val="24"/>
              <w:lang w:val="en-US" w:eastAsia="lv-LV"/>
            </w:rPr>
          </w:pPr>
          <w:hyperlink w:anchor="_Toc104982765" w:history="1">
            <w:r w:rsidRPr="005A2D50">
              <w:rPr>
                <w:rStyle w:val="Hyperlink"/>
                <w:noProof/>
                <w:color w:val="auto"/>
                <w:sz w:val="24"/>
                <w:szCs w:val="24"/>
                <w:lang w:val="en-US"/>
              </w:rPr>
              <w:t>II.3.1. Galvojuma derīguma ģeogrāfiskais areāls</w:t>
            </w:r>
            <w:r w:rsidRPr="005A2D50">
              <w:rPr>
                <w:noProof/>
                <w:webHidden/>
                <w:sz w:val="24"/>
                <w:szCs w:val="24"/>
                <w:lang w:val="en-US"/>
              </w:rPr>
              <w:tab/>
            </w:r>
            <w:r w:rsidRPr="005A2D50">
              <w:rPr>
                <w:noProof/>
                <w:webHidden/>
                <w:sz w:val="24"/>
                <w:szCs w:val="24"/>
                <w:lang w:val="en-US"/>
              </w:rPr>
              <w:fldChar w:fldCharType="begin"/>
            </w:r>
            <w:r w:rsidRPr="005A2D50">
              <w:rPr>
                <w:noProof/>
                <w:webHidden/>
                <w:sz w:val="24"/>
                <w:szCs w:val="24"/>
                <w:lang w:val="en-US"/>
              </w:rPr>
              <w:instrText xml:space="preserve"> PAGEREF _Toc104982765 \h </w:instrText>
            </w:r>
            <w:r w:rsidRPr="005A2D50">
              <w:rPr>
                <w:noProof/>
                <w:webHidden/>
                <w:sz w:val="24"/>
                <w:szCs w:val="24"/>
                <w:lang w:val="en-US"/>
              </w:rPr>
            </w:r>
            <w:r w:rsidRPr="005A2D50">
              <w:rPr>
                <w:noProof/>
                <w:webHidden/>
                <w:sz w:val="24"/>
                <w:szCs w:val="24"/>
                <w:lang w:val="en-US"/>
              </w:rPr>
              <w:fldChar w:fldCharType="separate"/>
            </w:r>
            <w:r>
              <w:rPr>
                <w:noProof/>
                <w:webHidden/>
                <w:sz w:val="24"/>
                <w:szCs w:val="24"/>
                <w:lang w:val="en-US"/>
              </w:rPr>
              <w:t>7</w:t>
            </w:r>
            <w:r w:rsidRPr="005A2D50">
              <w:rPr>
                <w:noProof/>
                <w:webHidden/>
                <w:sz w:val="24"/>
                <w:szCs w:val="24"/>
                <w:lang w:val="en-US"/>
              </w:rPr>
              <w:fldChar w:fldCharType="end"/>
            </w:r>
          </w:hyperlink>
        </w:p>
        <w:p w14:paraId="1278BC13" w14:textId="2D75E32B" w:rsidR="005A2D50" w:rsidRPr="005A2D50" w:rsidRDefault="005A2D50" w:rsidP="005A2D50">
          <w:pPr>
            <w:pStyle w:val="TOC2"/>
            <w:tabs>
              <w:tab w:val="right" w:leader="dot" w:pos="9065"/>
            </w:tabs>
            <w:spacing w:before="0"/>
            <w:ind w:left="284" w:firstLine="0"/>
            <w:jc w:val="both"/>
            <w:rPr>
              <w:rFonts w:asciiTheme="minorHAnsi" w:eastAsiaTheme="minorEastAsia" w:hAnsiTheme="minorHAnsi"/>
              <w:noProof/>
              <w:sz w:val="24"/>
              <w:szCs w:val="24"/>
              <w:lang w:val="en-US" w:eastAsia="lv-LV"/>
            </w:rPr>
          </w:pPr>
          <w:hyperlink w:anchor="_Toc104982766" w:history="1">
            <w:r w:rsidRPr="005A2D50">
              <w:rPr>
                <w:rStyle w:val="Hyperlink"/>
                <w:noProof/>
                <w:color w:val="auto"/>
                <w:sz w:val="24"/>
                <w:szCs w:val="24"/>
                <w:lang w:val="en-US"/>
              </w:rPr>
              <w:t>II.3.2. Galvojuma muitas iestāde (COG)</w:t>
            </w:r>
            <w:r w:rsidRPr="005A2D50">
              <w:rPr>
                <w:noProof/>
                <w:webHidden/>
                <w:sz w:val="24"/>
                <w:szCs w:val="24"/>
                <w:lang w:val="en-US"/>
              </w:rPr>
              <w:tab/>
            </w:r>
            <w:r w:rsidRPr="005A2D50">
              <w:rPr>
                <w:noProof/>
                <w:webHidden/>
                <w:sz w:val="24"/>
                <w:szCs w:val="24"/>
                <w:lang w:val="en-US"/>
              </w:rPr>
              <w:fldChar w:fldCharType="begin"/>
            </w:r>
            <w:r w:rsidRPr="005A2D50">
              <w:rPr>
                <w:noProof/>
                <w:webHidden/>
                <w:sz w:val="24"/>
                <w:szCs w:val="24"/>
                <w:lang w:val="en-US"/>
              </w:rPr>
              <w:instrText xml:space="preserve"> PAGEREF _Toc104982766 \h </w:instrText>
            </w:r>
            <w:r w:rsidRPr="005A2D50">
              <w:rPr>
                <w:noProof/>
                <w:webHidden/>
                <w:sz w:val="24"/>
                <w:szCs w:val="24"/>
                <w:lang w:val="en-US"/>
              </w:rPr>
            </w:r>
            <w:r w:rsidRPr="005A2D50">
              <w:rPr>
                <w:noProof/>
                <w:webHidden/>
                <w:sz w:val="24"/>
                <w:szCs w:val="24"/>
                <w:lang w:val="en-US"/>
              </w:rPr>
              <w:fldChar w:fldCharType="separate"/>
            </w:r>
            <w:r>
              <w:rPr>
                <w:noProof/>
                <w:webHidden/>
                <w:sz w:val="24"/>
                <w:szCs w:val="24"/>
                <w:lang w:val="en-US"/>
              </w:rPr>
              <w:t>8</w:t>
            </w:r>
            <w:r w:rsidRPr="005A2D50">
              <w:rPr>
                <w:noProof/>
                <w:webHidden/>
                <w:sz w:val="24"/>
                <w:szCs w:val="24"/>
                <w:lang w:val="en-US"/>
              </w:rPr>
              <w:fldChar w:fldCharType="end"/>
            </w:r>
          </w:hyperlink>
        </w:p>
        <w:p w14:paraId="3CD3D814" w14:textId="64CDC185" w:rsidR="005A2D50" w:rsidRPr="005A2D50" w:rsidRDefault="005A2D50" w:rsidP="005A2D50">
          <w:pPr>
            <w:pStyle w:val="TOC2"/>
            <w:tabs>
              <w:tab w:val="right" w:leader="dot" w:pos="9065"/>
            </w:tabs>
            <w:spacing w:before="0"/>
            <w:ind w:left="284" w:firstLine="0"/>
            <w:jc w:val="both"/>
            <w:rPr>
              <w:rFonts w:asciiTheme="minorHAnsi" w:eastAsiaTheme="minorEastAsia" w:hAnsiTheme="minorHAnsi"/>
              <w:noProof/>
              <w:sz w:val="24"/>
              <w:szCs w:val="24"/>
              <w:lang w:val="en-US" w:eastAsia="lv-LV"/>
            </w:rPr>
          </w:pPr>
          <w:hyperlink w:anchor="_Toc104982767" w:history="1">
            <w:r w:rsidRPr="005A2D50">
              <w:rPr>
                <w:rStyle w:val="Hyperlink"/>
                <w:noProof/>
                <w:color w:val="auto"/>
                <w:sz w:val="24"/>
                <w:szCs w:val="24"/>
                <w:lang w:val="en-US"/>
              </w:rPr>
              <w:t>II.3.3. Galvojuma tvērums</w:t>
            </w:r>
            <w:r w:rsidRPr="005A2D50">
              <w:rPr>
                <w:noProof/>
                <w:webHidden/>
                <w:sz w:val="24"/>
                <w:szCs w:val="24"/>
                <w:lang w:val="en-US"/>
              </w:rPr>
              <w:tab/>
            </w:r>
            <w:r w:rsidRPr="005A2D50">
              <w:rPr>
                <w:noProof/>
                <w:webHidden/>
                <w:sz w:val="24"/>
                <w:szCs w:val="24"/>
                <w:lang w:val="en-US"/>
              </w:rPr>
              <w:fldChar w:fldCharType="begin"/>
            </w:r>
            <w:r w:rsidRPr="005A2D50">
              <w:rPr>
                <w:noProof/>
                <w:webHidden/>
                <w:sz w:val="24"/>
                <w:szCs w:val="24"/>
                <w:lang w:val="en-US"/>
              </w:rPr>
              <w:instrText xml:space="preserve"> PAGEREF _Toc104982767 \h </w:instrText>
            </w:r>
            <w:r w:rsidRPr="005A2D50">
              <w:rPr>
                <w:noProof/>
                <w:webHidden/>
                <w:sz w:val="24"/>
                <w:szCs w:val="24"/>
                <w:lang w:val="en-US"/>
              </w:rPr>
            </w:r>
            <w:r w:rsidRPr="005A2D50">
              <w:rPr>
                <w:noProof/>
                <w:webHidden/>
                <w:sz w:val="24"/>
                <w:szCs w:val="24"/>
                <w:lang w:val="en-US"/>
              </w:rPr>
              <w:fldChar w:fldCharType="separate"/>
            </w:r>
            <w:r>
              <w:rPr>
                <w:noProof/>
                <w:webHidden/>
                <w:sz w:val="24"/>
                <w:szCs w:val="24"/>
                <w:lang w:val="en-US"/>
              </w:rPr>
              <w:t>8</w:t>
            </w:r>
            <w:r w:rsidRPr="005A2D50">
              <w:rPr>
                <w:noProof/>
                <w:webHidden/>
                <w:sz w:val="24"/>
                <w:szCs w:val="24"/>
                <w:lang w:val="en-US"/>
              </w:rPr>
              <w:fldChar w:fldCharType="end"/>
            </w:r>
          </w:hyperlink>
        </w:p>
        <w:p w14:paraId="2615536E" w14:textId="643E4CF4" w:rsidR="005A2D50" w:rsidRPr="005A2D50" w:rsidRDefault="005A2D50" w:rsidP="005A2D50">
          <w:pPr>
            <w:pStyle w:val="TOC2"/>
            <w:tabs>
              <w:tab w:val="right" w:leader="dot" w:pos="9065"/>
            </w:tabs>
            <w:spacing w:before="0"/>
            <w:ind w:left="284" w:firstLine="0"/>
            <w:jc w:val="both"/>
            <w:rPr>
              <w:rFonts w:asciiTheme="minorHAnsi" w:eastAsiaTheme="minorEastAsia" w:hAnsiTheme="minorHAnsi"/>
              <w:noProof/>
              <w:sz w:val="24"/>
              <w:szCs w:val="24"/>
              <w:lang w:val="en-US" w:eastAsia="lv-LV"/>
            </w:rPr>
          </w:pPr>
          <w:hyperlink w:anchor="_Toc104982768" w:history="1">
            <w:r w:rsidRPr="005A2D50">
              <w:rPr>
                <w:rStyle w:val="Hyperlink"/>
                <w:noProof/>
                <w:color w:val="auto"/>
                <w:sz w:val="24"/>
                <w:szCs w:val="24"/>
                <w:lang w:val="en-US"/>
              </w:rPr>
              <w:t>II.3.4. Persona, kura sniedz galvojumu</w:t>
            </w:r>
            <w:r w:rsidRPr="005A2D50">
              <w:rPr>
                <w:noProof/>
                <w:webHidden/>
                <w:sz w:val="24"/>
                <w:szCs w:val="24"/>
                <w:lang w:val="en-US"/>
              </w:rPr>
              <w:tab/>
            </w:r>
            <w:r w:rsidRPr="005A2D50">
              <w:rPr>
                <w:noProof/>
                <w:webHidden/>
                <w:sz w:val="24"/>
                <w:szCs w:val="24"/>
                <w:lang w:val="en-US"/>
              </w:rPr>
              <w:fldChar w:fldCharType="begin"/>
            </w:r>
            <w:r w:rsidRPr="005A2D50">
              <w:rPr>
                <w:noProof/>
                <w:webHidden/>
                <w:sz w:val="24"/>
                <w:szCs w:val="24"/>
                <w:lang w:val="en-US"/>
              </w:rPr>
              <w:instrText xml:space="preserve"> PAGEREF _Toc104982768 \h </w:instrText>
            </w:r>
            <w:r w:rsidRPr="005A2D50">
              <w:rPr>
                <w:noProof/>
                <w:webHidden/>
                <w:sz w:val="24"/>
                <w:szCs w:val="24"/>
                <w:lang w:val="en-US"/>
              </w:rPr>
            </w:r>
            <w:r w:rsidRPr="005A2D50">
              <w:rPr>
                <w:noProof/>
                <w:webHidden/>
                <w:sz w:val="24"/>
                <w:szCs w:val="24"/>
                <w:lang w:val="en-US"/>
              </w:rPr>
              <w:fldChar w:fldCharType="separate"/>
            </w:r>
            <w:r>
              <w:rPr>
                <w:noProof/>
                <w:webHidden/>
                <w:sz w:val="24"/>
                <w:szCs w:val="24"/>
                <w:lang w:val="en-US"/>
              </w:rPr>
              <w:t>9</w:t>
            </w:r>
            <w:r w:rsidRPr="005A2D50">
              <w:rPr>
                <w:noProof/>
                <w:webHidden/>
                <w:sz w:val="24"/>
                <w:szCs w:val="24"/>
                <w:lang w:val="en-US"/>
              </w:rPr>
              <w:fldChar w:fldCharType="end"/>
            </w:r>
          </w:hyperlink>
        </w:p>
        <w:p w14:paraId="1B2E6679" w14:textId="3C38874D" w:rsidR="005A2D50" w:rsidRPr="005A2D50" w:rsidRDefault="005A2D50" w:rsidP="005A2D50">
          <w:pPr>
            <w:pStyle w:val="TOC2"/>
            <w:tabs>
              <w:tab w:val="right" w:leader="dot" w:pos="9065"/>
            </w:tabs>
            <w:spacing w:before="0"/>
            <w:ind w:left="284" w:firstLine="0"/>
            <w:jc w:val="both"/>
            <w:rPr>
              <w:rFonts w:asciiTheme="minorHAnsi" w:eastAsiaTheme="minorEastAsia" w:hAnsiTheme="minorHAnsi"/>
              <w:noProof/>
              <w:sz w:val="24"/>
              <w:szCs w:val="24"/>
              <w:lang w:val="en-US" w:eastAsia="lv-LV"/>
            </w:rPr>
          </w:pPr>
          <w:hyperlink w:anchor="_Toc104982769" w:history="1">
            <w:r w:rsidRPr="005A2D50">
              <w:rPr>
                <w:rStyle w:val="Hyperlink"/>
                <w:noProof/>
                <w:color w:val="auto"/>
                <w:sz w:val="24"/>
                <w:szCs w:val="24"/>
                <w:lang w:val="en-US"/>
              </w:rPr>
              <w:t>II.3.5. Valūtas konvertācija galvojumiem (SMK 53. pants)</w:t>
            </w:r>
            <w:r w:rsidRPr="005A2D50">
              <w:rPr>
                <w:noProof/>
                <w:webHidden/>
                <w:sz w:val="24"/>
                <w:szCs w:val="24"/>
                <w:lang w:val="en-US"/>
              </w:rPr>
              <w:tab/>
            </w:r>
            <w:r w:rsidRPr="005A2D50">
              <w:rPr>
                <w:noProof/>
                <w:webHidden/>
                <w:sz w:val="24"/>
                <w:szCs w:val="24"/>
                <w:lang w:val="en-US"/>
              </w:rPr>
              <w:fldChar w:fldCharType="begin"/>
            </w:r>
            <w:r w:rsidRPr="005A2D50">
              <w:rPr>
                <w:noProof/>
                <w:webHidden/>
                <w:sz w:val="24"/>
                <w:szCs w:val="24"/>
                <w:lang w:val="en-US"/>
              </w:rPr>
              <w:instrText xml:space="preserve"> PAGEREF _Toc104982769 \h </w:instrText>
            </w:r>
            <w:r w:rsidRPr="005A2D50">
              <w:rPr>
                <w:noProof/>
                <w:webHidden/>
                <w:sz w:val="24"/>
                <w:szCs w:val="24"/>
                <w:lang w:val="en-US"/>
              </w:rPr>
            </w:r>
            <w:r w:rsidRPr="005A2D50">
              <w:rPr>
                <w:noProof/>
                <w:webHidden/>
                <w:sz w:val="24"/>
                <w:szCs w:val="24"/>
                <w:lang w:val="en-US"/>
              </w:rPr>
              <w:fldChar w:fldCharType="separate"/>
            </w:r>
            <w:r>
              <w:rPr>
                <w:noProof/>
                <w:webHidden/>
                <w:sz w:val="24"/>
                <w:szCs w:val="24"/>
                <w:lang w:val="en-US"/>
              </w:rPr>
              <w:t>10</w:t>
            </w:r>
            <w:r w:rsidRPr="005A2D50">
              <w:rPr>
                <w:noProof/>
                <w:webHidden/>
                <w:sz w:val="24"/>
                <w:szCs w:val="24"/>
                <w:lang w:val="en-US"/>
              </w:rPr>
              <w:fldChar w:fldCharType="end"/>
            </w:r>
          </w:hyperlink>
        </w:p>
        <w:p w14:paraId="5E1DFCAF" w14:textId="4C2C113D" w:rsidR="005A2D50" w:rsidRPr="005A2D50" w:rsidRDefault="005A2D50" w:rsidP="005A2D50">
          <w:pPr>
            <w:pStyle w:val="TOC2"/>
            <w:tabs>
              <w:tab w:val="right" w:leader="dot" w:pos="9065"/>
            </w:tabs>
            <w:spacing w:before="0"/>
            <w:ind w:left="284" w:firstLine="0"/>
            <w:jc w:val="both"/>
            <w:rPr>
              <w:rFonts w:asciiTheme="minorHAnsi" w:eastAsiaTheme="minorEastAsia" w:hAnsiTheme="minorHAnsi"/>
              <w:noProof/>
              <w:sz w:val="24"/>
              <w:szCs w:val="24"/>
              <w:lang w:val="en-US" w:eastAsia="lv-LV"/>
            </w:rPr>
          </w:pPr>
          <w:hyperlink w:anchor="_Toc104982770" w:history="1">
            <w:r w:rsidRPr="005A2D50">
              <w:rPr>
                <w:rStyle w:val="Hyperlink"/>
                <w:noProof/>
                <w:color w:val="auto"/>
                <w:sz w:val="24"/>
                <w:szCs w:val="24"/>
                <w:lang w:val="en-US"/>
              </w:rPr>
              <w:t>II.3.6. Galvojuma atbrīvošana (SMK 98. pants)</w:t>
            </w:r>
            <w:r w:rsidRPr="005A2D50">
              <w:rPr>
                <w:noProof/>
                <w:webHidden/>
                <w:sz w:val="24"/>
                <w:szCs w:val="24"/>
                <w:lang w:val="en-US"/>
              </w:rPr>
              <w:tab/>
            </w:r>
            <w:r w:rsidRPr="005A2D50">
              <w:rPr>
                <w:noProof/>
                <w:webHidden/>
                <w:sz w:val="24"/>
                <w:szCs w:val="24"/>
                <w:lang w:val="en-US"/>
              </w:rPr>
              <w:fldChar w:fldCharType="begin"/>
            </w:r>
            <w:r w:rsidRPr="005A2D50">
              <w:rPr>
                <w:noProof/>
                <w:webHidden/>
                <w:sz w:val="24"/>
                <w:szCs w:val="24"/>
                <w:lang w:val="en-US"/>
              </w:rPr>
              <w:instrText xml:space="preserve"> PAGEREF _Toc104982770 \h </w:instrText>
            </w:r>
            <w:r w:rsidRPr="005A2D50">
              <w:rPr>
                <w:noProof/>
                <w:webHidden/>
                <w:sz w:val="24"/>
                <w:szCs w:val="24"/>
                <w:lang w:val="en-US"/>
              </w:rPr>
            </w:r>
            <w:r w:rsidRPr="005A2D50">
              <w:rPr>
                <w:noProof/>
                <w:webHidden/>
                <w:sz w:val="24"/>
                <w:szCs w:val="24"/>
                <w:lang w:val="en-US"/>
              </w:rPr>
              <w:fldChar w:fldCharType="separate"/>
            </w:r>
            <w:r>
              <w:rPr>
                <w:noProof/>
                <w:webHidden/>
                <w:sz w:val="24"/>
                <w:szCs w:val="24"/>
                <w:lang w:val="en-US"/>
              </w:rPr>
              <w:t>10</w:t>
            </w:r>
            <w:r w:rsidRPr="005A2D50">
              <w:rPr>
                <w:noProof/>
                <w:webHidden/>
                <w:sz w:val="24"/>
                <w:szCs w:val="24"/>
                <w:lang w:val="en-US"/>
              </w:rPr>
              <w:fldChar w:fldCharType="end"/>
            </w:r>
          </w:hyperlink>
        </w:p>
        <w:p w14:paraId="3F739F6A" w14:textId="3B60369F" w:rsidR="005A2D50" w:rsidRPr="005A2D50" w:rsidRDefault="005A2D50" w:rsidP="005A2D50">
          <w:pPr>
            <w:pStyle w:val="TOC2"/>
            <w:tabs>
              <w:tab w:val="right" w:leader="dot" w:pos="9065"/>
            </w:tabs>
            <w:spacing w:before="0"/>
            <w:ind w:left="284" w:firstLine="0"/>
            <w:jc w:val="both"/>
            <w:rPr>
              <w:rStyle w:val="Hyperlink"/>
              <w:noProof/>
              <w:color w:val="auto"/>
              <w:sz w:val="24"/>
              <w:szCs w:val="24"/>
              <w:lang w:val="en-US"/>
            </w:rPr>
          </w:pPr>
          <w:hyperlink w:anchor="_Toc104982771" w:history="1">
            <w:r w:rsidRPr="005A2D50">
              <w:rPr>
                <w:rStyle w:val="Hyperlink"/>
                <w:noProof/>
                <w:color w:val="auto"/>
                <w:sz w:val="24"/>
                <w:szCs w:val="24"/>
                <w:lang w:val="en-US"/>
              </w:rPr>
              <w:t>II.3.6.3. Atbrīvošanas brīdis</w:t>
            </w:r>
            <w:r w:rsidRPr="005A2D50">
              <w:rPr>
                <w:noProof/>
                <w:webHidden/>
                <w:sz w:val="24"/>
                <w:szCs w:val="24"/>
                <w:lang w:val="en-US"/>
              </w:rPr>
              <w:tab/>
            </w:r>
            <w:r w:rsidRPr="005A2D50">
              <w:rPr>
                <w:noProof/>
                <w:webHidden/>
                <w:sz w:val="24"/>
                <w:szCs w:val="24"/>
                <w:lang w:val="en-US"/>
              </w:rPr>
              <w:fldChar w:fldCharType="begin"/>
            </w:r>
            <w:r w:rsidRPr="005A2D50">
              <w:rPr>
                <w:noProof/>
                <w:webHidden/>
                <w:sz w:val="24"/>
                <w:szCs w:val="24"/>
                <w:lang w:val="en-US"/>
              </w:rPr>
              <w:instrText xml:space="preserve"> PAGEREF _Toc104982771 \h </w:instrText>
            </w:r>
            <w:r w:rsidRPr="005A2D50">
              <w:rPr>
                <w:noProof/>
                <w:webHidden/>
                <w:sz w:val="24"/>
                <w:szCs w:val="24"/>
                <w:lang w:val="en-US"/>
              </w:rPr>
            </w:r>
            <w:r w:rsidRPr="005A2D50">
              <w:rPr>
                <w:noProof/>
                <w:webHidden/>
                <w:sz w:val="24"/>
                <w:szCs w:val="24"/>
                <w:lang w:val="en-US"/>
              </w:rPr>
              <w:fldChar w:fldCharType="separate"/>
            </w:r>
            <w:r>
              <w:rPr>
                <w:noProof/>
                <w:webHidden/>
                <w:sz w:val="24"/>
                <w:szCs w:val="24"/>
                <w:lang w:val="en-US"/>
              </w:rPr>
              <w:t>11</w:t>
            </w:r>
            <w:r w:rsidRPr="005A2D50">
              <w:rPr>
                <w:noProof/>
                <w:webHidden/>
                <w:sz w:val="24"/>
                <w:szCs w:val="24"/>
                <w:lang w:val="en-US"/>
              </w:rPr>
              <w:fldChar w:fldCharType="end"/>
            </w:r>
          </w:hyperlink>
        </w:p>
        <w:p w14:paraId="51B7772E" w14:textId="77777777" w:rsidR="005A2D50" w:rsidRPr="005A2D50" w:rsidRDefault="005A2D50" w:rsidP="005A2D50">
          <w:pPr>
            <w:pStyle w:val="TOC2"/>
            <w:tabs>
              <w:tab w:val="right" w:leader="dot" w:pos="9065"/>
            </w:tabs>
            <w:spacing w:before="0"/>
            <w:ind w:left="284" w:firstLine="0"/>
            <w:jc w:val="both"/>
            <w:rPr>
              <w:rFonts w:asciiTheme="minorHAnsi" w:eastAsiaTheme="minorEastAsia" w:hAnsiTheme="minorHAnsi"/>
              <w:noProof/>
              <w:sz w:val="24"/>
              <w:szCs w:val="24"/>
              <w:lang w:val="en-US" w:eastAsia="lv-LV"/>
            </w:rPr>
          </w:pPr>
        </w:p>
        <w:p w14:paraId="0663F91B" w14:textId="5925A946" w:rsidR="005A2D50" w:rsidRPr="005A2D50" w:rsidRDefault="005A2D50" w:rsidP="005A2D50">
          <w:pPr>
            <w:pStyle w:val="TOC1"/>
            <w:tabs>
              <w:tab w:val="right" w:leader="dot" w:pos="9065"/>
            </w:tabs>
            <w:spacing w:before="0"/>
            <w:jc w:val="both"/>
            <w:rPr>
              <w:rFonts w:asciiTheme="minorHAnsi" w:eastAsiaTheme="minorEastAsia" w:hAnsiTheme="minorHAnsi"/>
              <w:noProof/>
              <w:sz w:val="24"/>
              <w:szCs w:val="24"/>
              <w:lang w:val="en-US" w:eastAsia="lv-LV"/>
            </w:rPr>
          </w:pPr>
          <w:hyperlink w:anchor="_Toc104982772" w:history="1">
            <w:r w:rsidRPr="005A2D50">
              <w:rPr>
                <w:rStyle w:val="Hyperlink"/>
                <w:noProof/>
                <w:color w:val="auto"/>
                <w:sz w:val="24"/>
                <w:szCs w:val="24"/>
                <w:lang w:val="en-US"/>
              </w:rPr>
              <w:t>III. GALVOJUMA VEIDI</w:t>
            </w:r>
            <w:r w:rsidRPr="005A2D50">
              <w:rPr>
                <w:noProof/>
                <w:webHidden/>
                <w:sz w:val="24"/>
                <w:szCs w:val="24"/>
                <w:lang w:val="en-US"/>
              </w:rPr>
              <w:tab/>
            </w:r>
            <w:r w:rsidRPr="005A2D50">
              <w:rPr>
                <w:noProof/>
                <w:webHidden/>
                <w:sz w:val="24"/>
                <w:szCs w:val="24"/>
                <w:lang w:val="en-US"/>
              </w:rPr>
              <w:fldChar w:fldCharType="begin"/>
            </w:r>
            <w:r w:rsidRPr="005A2D50">
              <w:rPr>
                <w:noProof/>
                <w:webHidden/>
                <w:sz w:val="24"/>
                <w:szCs w:val="24"/>
                <w:lang w:val="en-US"/>
              </w:rPr>
              <w:instrText xml:space="preserve"> PAGEREF _Toc104982772 \h </w:instrText>
            </w:r>
            <w:r w:rsidRPr="005A2D50">
              <w:rPr>
                <w:noProof/>
                <w:webHidden/>
                <w:sz w:val="24"/>
                <w:szCs w:val="24"/>
                <w:lang w:val="en-US"/>
              </w:rPr>
            </w:r>
            <w:r w:rsidRPr="005A2D50">
              <w:rPr>
                <w:noProof/>
                <w:webHidden/>
                <w:sz w:val="24"/>
                <w:szCs w:val="24"/>
                <w:lang w:val="en-US"/>
              </w:rPr>
              <w:fldChar w:fldCharType="separate"/>
            </w:r>
            <w:r>
              <w:rPr>
                <w:noProof/>
                <w:webHidden/>
                <w:sz w:val="24"/>
                <w:szCs w:val="24"/>
                <w:lang w:val="en-US"/>
              </w:rPr>
              <w:t>11</w:t>
            </w:r>
            <w:r w:rsidRPr="005A2D50">
              <w:rPr>
                <w:noProof/>
                <w:webHidden/>
                <w:sz w:val="24"/>
                <w:szCs w:val="24"/>
                <w:lang w:val="en-US"/>
              </w:rPr>
              <w:fldChar w:fldCharType="end"/>
            </w:r>
          </w:hyperlink>
        </w:p>
        <w:p w14:paraId="445828AC" w14:textId="4C037E0D" w:rsidR="005A2D50" w:rsidRPr="005A2D50" w:rsidRDefault="005A2D50" w:rsidP="005A2D50">
          <w:pPr>
            <w:pStyle w:val="TOC1"/>
            <w:tabs>
              <w:tab w:val="right" w:leader="dot" w:pos="9065"/>
            </w:tabs>
            <w:spacing w:before="0"/>
            <w:jc w:val="both"/>
            <w:rPr>
              <w:rFonts w:asciiTheme="minorHAnsi" w:eastAsiaTheme="minorEastAsia" w:hAnsiTheme="minorHAnsi"/>
              <w:noProof/>
              <w:sz w:val="24"/>
              <w:szCs w:val="24"/>
              <w:lang w:val="en-US" w:eastAsia="lv-LV"/>
            </w:rPr>
          </w:pPr>
          <w:hyperlink w:anchor="_Toc104982773" w:history="1">
            <w:r w:rsidRPr="005A2D50">
              <w:rPr>
                <w:rStyle w:val="Hyperlink"/>
                <w:noProof/>
                <w:color w:val="auto"/>
                <w:sz w:val="24"/>
                <w:szCs w:val="24"/>
                <w:lang w:val="en-US"/>
              </w:rPr>
              <w:t>III.1. Skaidras naudas iemaksa</w:t>
            </w:r>
            <w:r w:rsidRPr="005A2D50">
              <w:rPr>
                <w:noProof/>
                <w:webHidden/>
                <w:sz w:val="24"/>
                <w:szCs w:val="24"/>
                <w:lang w:val="en-US"/>
              </w:rPr>
              <w:tab/>
            </w:r>
            <w:r w:rsidRPr="005A2D50">
              <w:rPr>
                <w:noProof/>
                <w:webHidden/>
                <w:sz w:val="24"/>
                <w:szCs w:val="24"/>
                <w:lang w:val="en-US"/>
              </w:rPr>
              <w:fldChar w:fldCharType="begin"/>
            </w:r>
            <w:r w:rsidRPr="005A2D50">
              <w:rPr>
                <w:noProof/>
                <w:webHidden/>
                <w:sz w:val="24"/>
                <w:szCs w:val="24"/>
                <w:lang w:val="en-US"/>
              </w:rPr>
              <w:instrText xml:space="preserve"> PAGEREF _Toc104982773 \h </w:instrText>
            </w:r>
            <w:r w:rsidRPr="005A2D50">
              <w:rPr>
                <w:noProof/>
                <w:webHidden/>
                <w:sz w:val="24"/>
                <w:szCs w:val="24"/>
                <w:lang w:val="en-US"/>
              </w:rPr>
            </w:r>
            <w:r w:rsidRPr="005A2D50">
              <w:rPr>
                <w:noProof/>
                <w:webHidden/>
                <w:sz w:val="24"/>
                <w:szCs w:val="24"/>
                <w:lang w:val="en-US"/>
              </w:rPr>
              <w:fldChar w:fldCharType="separate"/>
            </w:r>
            <w:r>
              <w:rPr>
                <w:noProof/>
                <w:webHidden/>
                <w:sz w:val="24"/>
                <w:szCs w:val="24"/>
                <w:lang w:val="en-US"/>
              </w:rPr>
              <w:t>12</w:t>
            </w:r>
            <w:r w:rsidRPr="005A2D50">
              <w:rPr>
                <w:noProof/>
                <w:webHidden/>
                <w:sz w:val="24"/>
                <w:szCs w:val="24"/>
                <w:lang w:val="en-US"/>
              </w:rPr>
              <w:fldChar w:fldCharType="end"/>
            </w:r>
          </w:hyperlink>
        </w:p>
        <w:p w14:paraId="051D1A3E" w14:textId="64F64259" w:rsidR="005A2D50" w:rsidRPr="005A2D50" w:rsidRDefault="005A2D50" w:rsidP="005A2D50">
          <w:pPr>
            <w:pStyle w:val="TOC1"/>
            <w:tabs>
              <w:tab w:val="right" w:leader="dot" w:pos="9065"/>
            </w:tabs>
            <w:spacing w:before="0"/>
            <w:jc w:val="both"/>
            <w:rPr>
              <w:rFonts w:asciiTheme="minorHAnsi" w:eastAsiaTheme="minorEastAsia" w:hAnsiTheme="minorHAnsi"/>
              <w:noProof/>
              <w:sz w:val="24"/>
              <w:szCs w:val="24"/>
              <w:lang w:val="en-US" w:eastAsia="lv-LV"/>
            </w:rPr>
          </w:pPr>
          <w:hyperlink w:anchor="_Toc104982774" w:history="1">
            <w:r w:rsidRPr="005A2D50">
              <w:rPr>
                <w:rStyle w:val="Hyperlink"/>
                <w:noProof/>
                <w:color w:val="auto"/>
                <w:sz w:val="24"/>
                <w:szCs w:val="24"/>
                <w:lang w:val="en-US"/>
              </w:rPr>
              <w:t>III.2. Galvinieka saistības</w:t>
            </w:r>
            <w:r w:rsidRPr="005A2D50">
              <w:rPr>
                <w:noProof/>
                <w:webHidden/>
                <w:sz w:val="24"/>
                <w:szCs w:val="24"/>
                <w:lang w:val="en-US"/>
              </w:rPr>
              <w:tab/>
            </w:r>
            <w:r w:rsidRPr="005A2D50">
              <w:rPr>
                <w:noProof/>
                <w:webHidden/>
                <w:sz w:val="24"/>
                <w:szCs w:val="24"/>
                <w:lang w:val="en-US"/>
              </w:rPr>
              <w:fldChar w:fldCharType="begin"/>
            </w:r>
            <w:r w:rsidRPr="005A2D50">
              <w:rPr>
                <w:noProof/>
                <w:webHidden/>
                <w:sz w:val="24"/>
                <w:szCs w:val="24"/>
                <w:lang w:val="en-US"/>
              </w:rPr>
              <w:instrText xml:space="preserve"> PAGEREF _Toc104982774 \h </w:instrText>
            </w:r>
            <w:r w:rsidRPr="005A2D50">
              <w:rPr>
                <w:noProof/>
                <w:webHidden/>
                <w:sz w:val="24"/>
                <w:szCs w:val="24"/>
                <w:lang w:val="en-US"/>
              </w:rPr>
            </w:r>
            <w:r w:rsidRPr="005A2D50">
              <w:rPr>
                <w:noProof/>
                <w:webHidden/>
                <w:sz w:val="24"/>
                <w:szCs w:val="24"/>
                <w:lang w:val="en-US"/>
              </w:rPr>
              <w:fldChar w:fldCharType="separate"/>
            </w:r>
            <w:r>
              <w:rPr>
                <w:noProof/>
                <w:webHidden/>
                <w:sz w:val="24"/>
                <w:szCs w:val="24"/>
                <w:lang w:val="en-US"/>
              </w:rPr>
              <w:t>12</w:t>
            </w:r>
            <w:r w:rsidRPr="005A2D50">
              <w:rPr>
                <w:noProof/>
                <w:webHidden/>
                <w:sz w:val="24"/>
                <w:szCs w:val="24"/>
                <w:lang w:val="en-US"/>
              </w:rPr>
              <w:fldChar w:fldCharType="end"/>
            </w:r>
          </w:hyperlink>
        </w:p>
        <w:p w14:paraId="48846223" w14:textId="2A2F1B9F" w:rsidR="005A2D50" w:rsidRPr="005A2D50" w:rsidRDefault="005A2D50" w:rsidP="005A2D50">
          <w:pPr>
            <w:pStyle w:val="TOC2"/>
            <w:tabs>
              <w:tab w:val="right" w:leader="dot" w:pos="9065"/>
            </w:tabs>
            <w:spacing w:before="0"/>
            <w:ind w:left="284" w:firstLine="0"/>
            <w:jc w:val="both"/>
            <w:rPr>
              <w:rFonts w:asciiTheme="minorHAnsi" w:eastAsiaTheme="minorEastAsia" w:hAnsiTheme="minorHAnsi"/>
              <w:noProof/>
              <w:sz w:val="24"/>
              <w:szCs w:val="24"/>
              <w:lang w:val="en-US" w:eastAsia="lv-LV"/>
            </w:rPr>
          </w:pPr>
          <w:hyperlink w:anchor="_Toc104982775" w:history="1">
            <w:r w:rsidRPr="005A2D50">
              <w:rPr>
                <w:rStyle w:val="Hyperlink"/>
                <w:noProof/>
                <w:color w:val="auto"/>
                <w:sz w:val="24"/>
                <w:szCs w:val="24"/>
                <w:lang w:val="en-US"/>
              </w:rPr>
              <w:t>III.2.1. Galvinieka saistību veidlapas</w:t>
            </w:r>
            <w:r w:rsidRPr="005A2D50">
              <w:rPr>
                <w:noProof/>
                <w:webHidden/>
                <w:sz w:val="24"/>
                <w:szCs w:val="24"/>
                <w:lang w:val="en-US"/>
              </w:rPr>
              <w:tab/>
            </w:r>
            <w:r w:rsidRPr="005A2D50">
              <w:rPr>
                <w:noProof/>
                <w:webHidden/>
                <w:sz w:val="24"/>
                <w:szCs w:val="24"/>
                <w:lang w:val="en-US"/>
              </w:rPr>
              <w:fldChar w:fldCharType="begin"/>
            </w:r>
            <w:r w:rsidRPr="005A2D50">
              <w:rPr>
                <w:noProof/>
                <w:webHidden/>
                <w:sz w:val="24"/>
                <w:szCs w:val="24"/>
                <w:lang w:val="en-US"/>
              </w:rPr>
              <w:instrText xml:space="preserve"> PAGEREF _Toc104982775 \h </w:instrText>
            </w:r>
            <w:r w:rsidRPr="005A2D50">
              <w:rPr>
                <w:noProof/>
                <w:webHidden/>
                <w:sz w:val="24"/>
                <w:szCs w:val="24"/>
                <w:lang w:val="en-US"/>
              </w:rPr>
            </w:r>
            <w:r w:rsidRPr="005A2D50">
              <w:rPr>
                <w:noProof/>
                <w:webHidden/>
                <w:sz w:val="24"/>
                <w:szCs w:val="24"/>
                <w:lang w:val="en-US"/>
              </w:rPr>
              <w:fldChar w:fldCharType="separate"/>
            </w:r>
            <w:r>
              <w:rPr>
                <w:noProof/>
                <w:webHidden/>
                <w:sz w:val="24"/>
                <w:szCs w:val="24"/>
                <w:lang w:val="en-US"/>
              </w:rPr>
              <w:t>12</w:t>
            </w:r>
            <w:r w:rsidRPr="005A2D50">
              <w:rPr>
                <w:noProof/>
                <w:webHidden/>
                <w:sz w:val="24"/>
                <w:szCs w:val="24"/>
                <w:lang w:val="en-US"/>
              </w:rPr>
              <w:fldChar w:fldCharType="end"/>
            </w:r>
          </w:hyperlink>
        </w:p>
        <w:p w14:paraId="19B5B99A" w14:textId="7227479A" w:rsidR="005A2D50" w:rsidRPr="005A2D50" w:rsidRDefault="005A2D50" w:rsidP="005A2D50">
          <w:pPr>
            <w:pStyle w:val="TOC2"/>
            <w:tabs>
              <w:tab w:val="right" w:leader="dot" w:pos="9065"/>
            </w:tabs>
            <w:spacing w:before="0"/>
            <w:ind w:left="284" w:firstLine="0"/>
            <w:jc w:val="both"/>
            <w:rPr>
              <w:rFonts w:asciiTheme="minorHAnsi" w:eastAsiaTheme="minorEastAsia" w:hAnsiTheme="minorHAnsi"/>
              <w:noProof/>
              <w:sz w:val="24"/>
              <w:szCs w:val="24"/>
              <w:lang w:val="en-US" w:eastAsia="lv-LV"/>
            </w:rPr>
          </w:pPr>
          <w:hyperlink w:anchor="_Toc104982776" w:history="1">
            <w:r w:rsidRPr="005A2D50">
              <w:rPr>
                <w:rStyle w:val="Hyperlink"/>
                <w:noProof/>
                <w:color w:val="auto"/>
                <w:sz w:val="24"/>
                <w:szCs w:val="24"/>
                <w:lang w:val="en-US"/>
              </w:rPr>
              <w:t>III.2.2. Galvinieks (SMK 94. pants)</w:t>
            </w:r>
            <w:r w:rsidRPr="005A2D50">
              <w:rPr>
                <w:noProof/>
                <w:webHidden/>
                <w:sz w:val="24"/>
                <w:szCs w:val="24"/>
                <w:lang w:val="en-US"/>
              </w:rPr>
              <w:tab/>
            </w:r>
            <w:r w:rsidRPr="005A2D50">
              <w:rPr>
                <w:noProof/>
                <w:webHidden/>
                <w:sz w:val="24"/>
                <w:szCs w:val="24"/>
                <w:lang w:val="en-US"/>
              </w:rPr>
              <w:fldChar w:fldCharType="begin"/>
            </w:r>
            <w:r w:rsidRPr="005A2D50">
              <w:rPr>
                <w:noProof/>
                <w:webHidden/>
                <w:sz w:val="24"/>
                <w:szCs w:val="24"/>
                <w:lang w:val="en-US"/>
              </w:rPr>
              <w:instrText xml:space="preserve"> PAGEREF _Toc104982776 \h </w:instrText>
            </w:r>
            <w:r w:rsidRPr="005A2D50">
              <w:rPr>
                <w:noProof/>
                <w:webHidden/>
                <w:sz w:val="24"/>
                <w:szCs w:val="24"/>
                <w:lang w:val="en-US"/>
              </w:rPr>
            </w:r>
            <w:r w:rsidRPr="005A2D50">
              <w:rPr>
                <w:noProof/>
                <w:webHidden/>
                <w:sz w:val="24"/>
                <w:szCs w:val="24"/>
                <w:lang w:val="en-US"/>
              </w:rPr>
              <w:fldChar w:fldCharType="separate"/>
            </w:r>
            <w:r>
              <w:rPr>
                <w:noProof/>
                <w:webHidden/>
                <w:sz w:val="24"/>
                <w:szCs w:val="24"/>
                <w:lang w:val="en-US"/>
              </w:rPr>
              <w:t>13</w:t>
            </w:r>
            <w:r w:rsidRPr="005A2D50">
              <w:rPr>
                <w:noProof/>
                <w:webHidden/>
                <w:sz w:val="24"/>
                <w:szCs w:val="24"/>
                <w:lang w:val="en-US"/>
              </w:rPr>
              <w:fldChar w:fldCharType="end"/>
            </w:r>
          </w:hyperlink>
        </w:p>
        <w:p w14:paraId="6B9DF719" w14:textId="6717B836" w:rsidR="005A2D50" w:rsidRPr="005A2D50" w:rsidRDefault="005A2D50" w:rsidP="005A2D50">
          <w:pPr>
            <w:pStyle w:val="TOC2"/>
            <w:tabs>
              <w:tab w:val="right" w:leader="dot" w:pos="9065"/>
            </w:tabs>
            <w:spacing w:before="0"/>
            <w:ind w:left="284" w:firstLine="0"/>
            <w:jc w:val="both"/>
            <w:rPr>
              <w:rFonts w:asciiTheme="minorHAnsi" w:eastAsiaTheme="minorEastAsia" w:hAnsiTheme="minorHAnsi"/>
              <w:noProof/>
              <w:sz w:val="24"/>
              <w:szCs w:val="24"/>
              <w:lang w:val="en-US" w:eastAsia="lv-LV"/>
            </w:rPr>
          </w:pPr>
          <w:hyperlink w:anchor="_Toc104982777" w:history="1">
            <w:r w:rsidRPr="005A2D50">
              <w:rPr>
                <w:rStyle w:val="Hyperlink"/>
                <w:noProof/>
                <w:color w:val="auto"/>
                <w:sz w:val="24"/>
                <w:szCs w:val="24"/>
                <w:lang w:val="en-US"/>
              </w:rPr>
              <w:t>III.2.2.1.1. Kredītiestāžu reģistrs</w:t>
            </w:r>
            <w:r w:rsidRPr="005A2D50">
              <w:rPr>
                <w:noProof/>
                <w:webHidden/>
                <w:sz w:val="24"/>
                <w:szCs w:val="24"/>
                <w:lang w:val="en-US"/>
              </w:rPr>
              <w:tab/>
            </w:r>
            <w:r w:rsidRPr="005A2D50">
              <w:rPr>
                <w:noProof/>
                <w:webHidden/>
                <w:sz w:val="24"/>
                <w:szCs w:val="24"/>
                <w:lang w:val="en-US"/>
              </w:rPr>
              <w:fldChar w:fldCharType="begin"/>
            </w:r>
            <w:r w:rsidRPr="005A2D50">
              <w:rPr>
                <w:noProof/>
                <w:webHidden/>
                <w:sz w:val="24"/>
                <w:szCs w:val="24"/>
                <w:lang w:val="en-US"/>
              </w:rPr>
              <w:instrText xml:space="preserve"> PAGEREF _Toc104982777 \h </w:instrText>
            </w:r>
            <w:r w:rsidRPr="005A2D50">
              <w:rPr>
                <w:noProof/>
                <w:webHidden/>
                <w:sz w:val="24"/>
                <w:szCs w:val="24"/>
                <w:lang w:val="en-US"/>
              </w:rPr>
            </w:r>
            <w:r w:rsidRPr="005A2D50">
              <w:rPr>
                <w:noProof/>
                <w:webHidden/>
                <w:sz w:val="24"/>
                <w:szCs w:val="24"/>
                <w:lang w:val="en-US"/>
              </w:rPr>
              <w:fldChar w:fldCharType="separate"/>
            </w:r>
            <w:r>
              <w:rPr>
                <w:noProof/>
                <w:webHidden/>
                <w:sz w:val="24"/>
                <w:szCs w:val="24"/>
                <w:lang w:val="en-US"/>
              </w:rPr>
              <w:t>15</w:t>
            </w:r>
            <w:r w:rsidRPr="005A2D50">
              <w:rPr>
                <w:noProof/>
                <w:webHidden/>
                <w:sz w:val="24"/>
                <w:szCs w:val="24"/>
                <w:lang w:val="en-US"/>
              </w:rPr>
              <w:fldChar w:fldCharType="end"/>
            </w:r>
          </w:hyperlink>
        </w:p>
        <w:p w14:paraId="261D7617" w14:textId="4C61635F" w:rsidR="005A2D50" w:rsidRPr="005A2D50" w:rsidRDefault="005A2D50" w:rsidP="005A2D50">
          <w:pPr>
            <w:pStyle w:val="TOC2"/>
            <w:tabs>
              <w:tab w:val="right" w:leader="dot" w:pos="9065"/>
            </w:tabs>
            <w:spacing w:before="0"/>
            <w:ind w:left="284" w:firstLine="0"/>
            <w:jc w:val="both"/>
            <w:rPr>
              <w:rFonts w:asciiTheme="minorHAnsi" w:eastAsiaTheme="minorEastAsia" w:hAnsiTheme="minorHAnsi"/>
              <w:noProof/>
              <w:sz w:val="24"/>
              <w:szCs w:val="24"/>
              <w:lang w:val="en-US" w:eastAsia="lv-LV"/>
            </w:rPr>
          </w:pPr>
          <w:hyperlink w:anchor="_Toc104982778" w:history="1">
            <w:r w:rsidRPr="005A2D50">
              <w:rPr>
                <w:rStyle w:val="Hyperlink"/>
                <w:noProof/>
                <w:color w:val="auto"/>
                <w:sz w:val="24"/>
                <w:szCs w:val="24"/>
                <w:lang w:val="en-US"/>
              </w:rPr>
              <w:t>III.2.2.1.1.1. Licencēto kredītiestāžu valsts reģistri</w:t>
            </w:r>
            <w:r w:rsidRPr="005A2D50">
              <w:rPr>
                <w:noProof/>
                <w:webHidden/>
                <w:sz w:val="24"/>
                <w:szCs w:val="24"/>
                <w:lang w:val="en-US"/>
              </w:rPr>
              <w:tab/>
            </w:r>
            <w:r w:rsidRPr="005A2D50">
              <w:rPr>
                <w:noProof/>
                <w:webHidden/>
                <w:sz w:val="24"/>
                <w:szCs w:val="24"/>
                <w:lang w:val="en-US"/>
              </w:rPr>
              <w:fldChar w:fldCharType="begin"/>
            </w:r>
            <w:r w:rsidRPr="005A2D50">
              <w:rPr>
                <w:noProof/>
                <w:webHidden/>
                <w:sz w:val="24"/>
                <w:szCs w:val="24"/>
                <w:lang w:val="en-US"/>
              </w:rPr>
              <w:instrText xml:space="preserve"> PAGEREF _Toc104982778 \h </w:instrText>
            </w:r>
            <w:r w:rsidRPr="005A2D50">
              <w:rPr>
                <w:noProof/>
                <w:webHidden/>
                <w:sz w:val="24"/>
                <w:szCs w:val="24"/>
                <w:lang w:val="en-US"/>
              </w:rPr>
            </w:r>
            <w:r w:rsidRPr="005A2D50">
              <w:rPr>
                <w:noProof/>
                <w:webHidden/>
                <w:sz w:val="24"/>
                <w:szCs w:val="24"/>
                <w:lang w:val="en-US"/>
              </w:rPr>
              <w:fldChar w:fldCharType="separate"/>
            </w:r>
            <w:r>
              <w:rPr>
                <w:noProof/>
                <w:webHidden/>
                <w:sz w:val="24"/>
                <w:szCs w:val="24"/>
                <w:lang w:val="en-US"/>
              </w:rPr>
              <w:t>15</w:t>
            </w:r>
            <w:r w:rsidRPr="005A2D50">
              <w:rPr>
                <w:noProof/>
                <w:webHidden/>
                <w:sz w:val="24"/>
                <w:szCs w:val="24"/>
                <w:lang w:val="en-US"/>
              </w:rPr>
              <w:fldChar w:fldCharType="end"/>
            </w:r>
          </w:hyperlink>
        </w:p>
        <w:p w14:paraId="53481B82" w14:textId="3424EE7B" w:rsidR="005A2D50" w:rsidRPr="005A2D50" w:rsidRDefault="005A2D50" w:rsidP="005A2D50">
          <w:pPr>
            <w:pStyle w:val="TOC2"/>
            <w:tabs>
              <w:tab w:val="right" w:leader="dot" w:pos="9065"/>
            </w:tabs>
            <w:spacing w:before="0"/>
            <w:ind w:left="284" w:firstLine="0"/>
            <w:jc w:val="both"/>
            <w:rPr>
              <w:rFonts w:asciiTheme="minorHAnsi" w:eastAsiaTheme="minorEastAsia" w:hAnsiTheme="minorHAnsi"/>
              <w:noProof/>
              <w:sz w:val="24"/>
              <w:szCs w:val="24"/>
              <w:lang w:val="en-US" w:eastAsia="lv-LV"/>
            </w:rPr>
          </w:pPr>
          <w:hyperlink w:anchor="_Toc104982779" w:history="1">
            <w:r w:rsidRPr="005A2D50">
              <w:rPr>
                <w:rStyle w:val="Hyperlink"/>
                <w:noProof/>
                <w:color w:val="auto"/>
                <w:sz w:val="24"/>
                <w:szCs w:val="24"/>
                <w:lang w:val="en-US"/>
              </w:rPr>
              <w:t>III.2.2.1.2. Citi reģistri</w:t>
            </w:r>
            <w:r w:rsidRPr="005A2D50">
              <w:rPr>
                <w:noProof/>
                <w:webHidden/>
                <w:sz w:val="24"/>
                <w:szCs w:val="24"/>
                <w:lang w:val="en-US"/>
              </w:rPr>
              <w:tab/>
            </w:r>
            <w:r w:rsidRPr="005A2D50">
              <w:rPr>
                <w:noProof/>
                <w:webHidden/>
                <w:sz w:val="24"/>
                <w:szCs w:val="24"/>
                <w:lang w:val="en-US"/>
              </w:rPr>
              <w:fldChar w:fldCharType="begin"/>
            </w:r>
            <w:r w:rsidRPr="005A2D50">
              <w:rPr>
                <w:noProof/>
                <w:webHidden/>
                <w:sz w:val="24"/>
                <w:szCs w:val="24"/>
                <w:lang w:val="en-US"/>
              </w:rPr>
              <w:instrText xml:space="preserve"> PAGEREF _Toc104982779 \h </w:instrText>
            </w:r>
            <w:r w:rsidRPr="005A2D50">
              <w:rPr>
                <w:noProof/>
                <w:webHidden/>
                <w:sz w:val="24"/>
                <w:szCs w:val="24"/>
                <w:lang w:val="en-US"/>
              </w:rPr>
            </w:r>
            <w:r w:rsidRPr="005A2D50">
              <w:rPr>
                <w:noProof/>
                <w:webHidden/>
                <w:sz w:val="24"/>
                <w:szCs w:val="24"/>
                <w:lang w:val="en-US"/>
              </w:rPr>
              <w:fldChar w:fldCharType="separate"/>
            </w:r>
            <w:r>
              <w:rPr>
                <w:noProof/>
                <w:webHidden/>
                <w:sz w:val="24"/>
                <w:szCs w:val="24"/>
                <w:lang w:val="en-US"/>
              </w:rPr>
              <w:t>16</w:t>
            </w:r>
            <w:r w:rsidRPr="005A2D50">
              <w:rPr>
                <w:noProof/>
                <w:webHidden/>
                <w:sz w:val="24"/>
                <w:szCs w:val="24"/>
                <w:lang w:val="en-US"/>
              </w:rPr>
              <w:fldChar w:fldCharType="end"/>
            </w:r>
          </w:hyperlink>
        </w:p>
        <w:p w14:paraId="10542B30" w14:textId="604A9334" w:rsidR="005A2D50" w:rsidRPr="005A2D50" w:rsidRDefault="005A2D50" w:rsidP="005A2D50">
          <w:pPr>
            <w:pStyle w:val="TOC1"/>
            <w:tabs>
              <w:tab w:val="right" w:leader="dot" w:pos="9065"/>
            </w:tabs>
            <w:spacing w:before="0"/>
            <w:jc w:val="both"/>
            <w:rPr>
              <w:rStyle w:val="Hyperlink"/>
              <w:noProof/>
              <w:color w:val="auto"/>
              <w:sz w:val="24"/>
              <w:szCs w:val="24"/>
              <w:lang w:val="en-US"/>
            </w:rPr>
          </w:pPr>
          <w:hyperlink w:anchor="_Toc104982780" w:history="1">
            <w:r w:rsidRPr="005A2D50">
              <w:rPr>
                <w:rStyle w:val="Hyperlink"/>
                <w:noProof/>
                <w:color w:val="auto"/>
                <w:sz w:val="24"/>
                <w:szCs w:val="24"/>
                <w:lang w:val="en-US"/>
              </w:rPr>
              <w:t>III.3. Citi galvojuma veidi, kas nodrošina līdzvērtīgu garantiju (SMK 92. panta 1. punkta c) apakšpunkts)</w:t>
            </w:r>
            <w:r w:rsidRPr="005A2D50">
              <w:rPr>
                <w:noProof/>
                <w:webHidden/>
                <w:sz w:val="24"/>
                <w:szCs w:val="24"/>
                <w:lang w:val="en-US"/>
              </w:rPr>
              <w:tab/>
            </w:r>
            <w:r w:rsidRPr="005A2D50">
              <w:rPr>
                <w:noProof/>
                <w:webHidden/>
                <w:sz w:val="24"/>
                <w:szCs w:val="24"/>
                <w:lang w:val="en-US"/>
              </w:rPr>
              <w:fldChar w:fldCharType="begin"/>
            </w:r>
            <w:r w:rsidRPr="005A2D50">
              <w:rPr>
                <w:noProof/>
                <w:webHidden/>
                <w:sz w:val="24"/>
                <w:szCs w:val="24"/>
                <w:lang w:val="en-US"/>
              </w:rPr>
              <w:instrText xml:space="preserve"> PAGEREF _Toc104982780 \h </w:instrText>
            </w:r>
            <w:r w:rsidRPr="005A2D50">
              <w:rPr>
                <w:noProof/>
                <w:webHidden/>
                <w:sz w:val="24"/>
                <w:szCs w:val="24"/>
                <w:lang w:val="en-US"/>
              </w:rPr>
            </w:r>
            <w:r w:rsidRPr="005A2D50">
              <w:rPr>
                <w:noProof/>
                <w:webHidden/>
                <w:sz w:val="24"/>
                <w:szCs w:val="24"/>
                <w:lang w:val="en-US"/>
              </w:rPr>
              <w:fldChar w:fldCharType="separate"/>
            </w:r>
            <w:r>
              <w:rPr>
                <w:noProof/>
                <w:webHidden/>
                <w:sz w:val="24"/>
                <w:szCs w:val="24"/>
                <w:lang w:val="en-US"/>
              </w:rPr>
              <w:t>16</w:t>
            </w:r>
            <w:r w:rsidRPr="005A2D50">
              <w:rPr>
                <w:noProof/>
                <w:webHidden/>
                <w:sz w:val="24"/>
                <w:szCs w:val="24"/>
                <w:lang w:val="en-US"/>
              </w:rPr>
              <w:fldChar w:fldCharType="end"/>
            </w:r>
          </w:hyperlink>
        </w:p>
        <w:p w14:paraId="08098591" w14:textId="77777777" w:rsidR="005A2D50" w:rsidRPr="005A2D50" w:rsidRDefault="005A2D50" w:rsidP="005A2D50">
          <w:pPr>
            <w:pStyle w:val="TOC1"/>
            <w:tabs>
              <w:tab w:val="right" w:leader="dot" w:pos="9065"/>
            </w:tabs>
            <w:spacing w:before="0"/>
            <w:jc w:val="both"/>
            <w:rPr>
              <w:rFonts w:asciiTheme="minorHAnsi" w:eastAsiaTheme="minorEastAsia" w:hAnsiTheme="minorHAnsi"/>
              <w:noProof/>
              <w:sz w:val="24"/>
              <w:szCs w:val="24"/>
              <w:lang w:val="en-US" w:eastAsia="lv-LV"/>
            </w:rPr>
          </w:pPr>
        </w:p>
        <w:p w14:paraId="7055B6D5" w14:textId="5C000978" w:rsidR="005A2D50" w:rsidRPr="005A2D50" w:rsidRDefault="005A2D50" w:rsidP="005A2D50">
          <w:pPr>
            <w:pStyle w:val="TOC1"/>
            <w:tabs>
              <w:tab w:val="right" w:leader="dot" w:pos="9065"/>
            </w:tabs>
            <w:spacing w:before="0"/>
            <w:jc w:val="both"/>
            <w:rPr>
              <w:rFonts w:asciiTheme="minorHAnsi" w:eastAsiaTheme="minorEastAsia" w:hAnsiTheme="minorHAnsi"/>
              <w:noProof/>
              <w:sz w:val="24"/>
              <w:szCs w:val="24"/>
              <w:lang w:val="en-US" w:eastAsia="lv-LV"/>
            </w:rPr>
          </w:pPr>
          <w:hyperlink w:anchor="_Toc104982781" w:history="1">
            <w:r w:rsidRPr="005A2D50">
              <w:rPr>
                <w:rStyle w:val="Hyperlink"/>
                <w:noProof/>
                <w:color w:val="auto"/>
                <w:sz w:val="24"/>
                <w:szCs w:val="24"/>
                <w:lang w:val="en-US"/>
              </w:rPr>
              <w:t>IV. ĪPAŠI NOTEIKUMI GADĪJUMIEM, KAD SMK PAREDZ GALVOJUMA SNIEGŠANU</w:t>
            </w:r>
            <w:r w:rsidRPr="005A2D50">
              <w:rPr>
                <w:noProof/>
                <w:webHidden/>
                <w:sz w:val="24"/>
                <w:szCs w:val="24"/>
                <w:lang w:val="en-US"/>
              </w:rPr>
              <w:tab/>
            </w:r>
            <w:r w:rsidRPr="005A2D50">
              <w:rPr>
                <w:noProof/>
                <w:webHidden/>
                <w:sz w:val="24"/>
                <w:szCs w:val="24"/>
                <w:lang w:val="en-US"/>
              </w:rPr>
              <w:fldChar w:fldCharType="begin"/>
            </w:r>
            <w:r w:rsidRPr="005A2D50">
              <w:rPr>
                <w:noProof/>
                <w:webHidden/>
                <w:sz w:val="24"/>
                <w:szCs w:val="24"/>
                <w:lang w:val="en-US"/>
              </w:rPr>
              <w:instrText xml:space="preserve"> PAGEREF _Toc104982781 \h </w:instrText>
            </w:r>
            <w:r w:rsidRPr="005A2D50">
              <w:rPr>
                <w:noProof/>
                <w:webHidden/>
                <w:sz w:val="24"/>
                <w:szCs w:val="24"/>
                <w:lang w:val="en-US"/>
              </w:rPr>
            </w:r>
            <w:r w:rsidRPr="005A2D50">
              <w:rPr>
                <w:noProof/>
                <w:webHidden/>
                <w:sz w:val="24"/>
                <w:szCs w:val="24"/>
                <w:lang w:val="en-US"/>
              </w:rPr>
              <w:fldChar w:fldCharType="separate"/>
            </w:r>
            <w:r>
              <w:rPr>
                <w:noProof/>
                <w:webHidden/>
                <w:sz w:val="24"/>
                <w:szCs w:val="24"/>
                <w:lang w:val="en-US"/>
              </w:rPr>
              <w:t>17</w:t>
            </w:r>
            <w:r w:rsidRPr="005A2D50">
              <w:rPr>
                <w:noProof/>
                <w:webHidden/>
                <w:sz w:val="24"/>
                <w:szCs w:val="24"/>
                <w:lang w:val="en-US"/>
              </w:rPr>
              <w:fldChar w:fldCharType="end"/>
            </w:r>
          </w:hyperlink>
        </w:p>
        <w:p w14:paraId="2353FB32" w14:textId="0577E506" w:rsidR="005A2D50" w:rsidRPr="005A2D50" w:rsidRDefault="005A2D50" w:rsidP="005A2D50">
          <w:pPr>
            <w:pStyle w:val="TOC1"/>
            <w:tabs>
              <w:tab w:val="right" w:leader="dot" w:pos="9065"/>
            </w:tabs>
            <w:spacing w:before="0"/>
            <w:jc w:val="both"/>
            <w:rPr>
              <w:rFonts w:asciiTheme="minorHAnsi" w:eastAsiaTheme="minorEastAsia" w:hAnsiTheme="minorHAnsi"/>
              <w:noProof/>
              <w:sz w:val="24"/>
              <w:szCs w:val="24"/>
              <w:lang w:val="en-US" w:eastAsia="lv-LV"/>
            </w:rPr>
          </w:pPr>
          <w:hyperlink w:anchor="_Toc104982782" w:history="1">
            <w:r w:rsidRPr="005A2D50">
              <w:rPr>
                <w:rStyle w:val="Hyperlink"/>
                <w:noProof/>
                <w:color w:val="auto"/>
                <w:sz w:val="24"/>
                <w:szCs w:val="24"/>
                <w:lang w:val="en-US"/>
              </w:rPr>
              <w:t>IV.1. Pagaidu uzglabāšana</w:t>
            </w:r>
            <w:r w:rsidRPr="005A2D50">
              <w:rPr>
                <w:noProof/>
                <w:webHidden/>
                <w:sz w:val="24"/>
                <w:szCs w:val="24"/>
                <w:lang w:val="en-US"/>
              </w:rPr>
              <w:tab/>
            </w:r>
            <w:r w:rsidRPr="005A2D50">
              <w:rPr>
                <w:noProof/>
                <w:webHidden/>
                <w:sz w:val="24"/>
                <w:szCs w:val="24"/>
                <w:lang w:val="en-US"/>
              </w:rPr>
              <w:fldChar w:fldCharType="begin"/>
            </w:r>
            <w:r w:rsidRPr="005A2D50">
              <w:rPr>
                <w:noProof/>
                <w:webHidden/>
                <w:sz w:val="24"/>
                <w:szCs w:val="24"/>
                <w:lang w:val="en-US"/>
              </w:rPr>
              <w:instrText xml:space="preserve"> PAGEREF _Toc104982782 \h </w:instrText>
            </w:r>
            <w:r w:rsidRPr="005A2D50">
              <w:rPr>
                <w:noProof/>
                <w:webHidden/>
                <w:sz w:val="24"/>
                <w:szCs w:val="24"/>
                <w:lang w:val="en-US"/>
              </w:rPr>
            </w:r>
            <w:r w:rsidRPr="005A2D50">
              <w:rPr>
                <w:noProof/>
                <w:webHidden/>
                <w:sz w:val="24"/>
                <w:szCs w:val="24"/>
                <w:lang w:val="en-US"/>
              </w:rPr>
              <w:fldChar w:fldCharType="separate"/>
            </w:r>
            <w:r>
              <w:rPr>
                <w:noProof/>
                <w:webHidden/>
                <w:sz w:val="24"/>
                <w:szCs w:val="24"/>
                <w:lang w:val="en-US"/>
              </w:rPr>
              <w:t>17</w:t>
            </w:r>
            <w:r w:rsidRPr="005A2D50">
              <w:rPr>
                <w:noProof/>
                <w:webHidden/>
                <w:sz w:val="24"/>
                <w:szCs w:val="24"/>
                <w:lang w:val="en-US"/>
              </w:rPr>
              <w:fldChar w:fldCharType="end"/>
            </w:r>
          </w:hyperlink>
        </w:p>
        <w:p w14:paraId="67D883B4" w14:textId="1BAD5B7A" w:rsidR="005A2D50" w:rsidRPr="005A2D50" w:rsidRDefault="005A2D50" w:rsidP="005A2D50">
          <w:pPr>
            <w:pStyle w:val="TOC1"/>
            <w:tabs>
              <w:tab w:val="right" w:leader="dot" w:pos="9065"/>
            </w:tabs>
            <w:spacing w:before="0"/>
            <w:jc w:val="both"/>
            <w:rPr>
              <w:rFonts w:asciiTheme="minorHAnsi" w:eastAsiaTheme="minorEastAsia" w:hAnsiTheme="minorHAnsi"/>
              <w:noProof/>
              <w:sz w:val="24"/>
              <w:szCs w:val="24"/>
              <w:lang w:val="en-US" w:eastAsia="lv-LV"/>
            </w:rPr>
          </w:pPr>
          <w:hyperlink w:anchor="_Toc104982783" w:history="1">
            <w:r w:rsidRPr="005A2D50">
              <w:rPr>
                <w:rStyle w:val="Hyperlink"/>
                <w:noProof/>
                <w:color w:val="auto"/>
                <w:sz w:val="24"/>
                <w:szCs w:val="24"/>
                <w:lang w:val="en-US"/>
              </w:rPr>
              <w:t>IV.2. Laišana brīvā apgrozībā</w:t>
            </w:r>
            <w:r w:rsidRPr="005A2D50">
              <w:rPr>
                <w:noProof/>
                <w:webHidden/>
                <w:sz w:val="24"/>
                <w:szCs w:val="24"/>
                <w:lang w:val="en-US"/>
              </w:rPr>
              <w:tab/>
            </w:r>
            <w:r w:rsidRPr="005A2D50">
              <w:rPr>
                <w:noProof/>
                <w:webHidden/>
                <w:sz w:val="24"/>
                <w:szCs w:val="24"/>
                <w:lang w:val="en-US"/>
              </w:rPr>
              <w:fldChar w:fldCharType="begin"/>
            </w:r>
            <w:r w:rsidRPr="005A2D50">
              <w:rPr>
                <w:noProof/>
                <w:webHidden/>
                <w:sz w:val="24"/>
                <w:szCs w:val="24"/>
                <w:lang w:val="en-US"/>
              </w:rPr>
              <w:instrText xml:space="preserve"> PAGEREF _Toc104982783 \h </w:instrText>
            </w:r>
            <w:r w:rsidRPr="005A2D50">
              <w:rPr>
                <w:noProof/>
                <w:webHidden/>
                <w:sz w:val="24"/>
                <w:szCs w:val="24"/>
                <w:lang w:val="en-US"/>
              </w:rPr>
            </w:r>
            <w:r w:rsidRPr="005A2D50">
              <w:rPr>
                <w:noProof/>
                <w:webHidden/>
                <w:sz w:val="24"/>
                <w:szCs w:val="24"/>
                <w:lang w:val="en-US"/>
              </w:rPr>
              <w:fldChar w:fldCharType="separate"/>
            </w:r>
            <w:r>
              <w:rPr>
                <w:noProof/>
                <w:webHidden/>
                <w:sz w:val="24"/>
                <w:szCs w:val="24"/>
                <w:lang w:val="en-US"/>
              </w:rPr>
              <w:t>17</w:t>
            </w:r>
            <w:r w:rsidRPr="005A2D50">
              <w:rPr>
                <w:noProof/>
                <w:webHidden/>
                <w:sz w:val="24"/>
                <w:szCs w:val="24"/>
                <w:lang w:val="en-US"/>
              </w:rPr>
              <w:fldChar w:fldCharType="end"/>
            </w:r>
          </w:hyperlink>
        </w:p>
        <w:p w14:paraId="784188B9" w14:textId="2C4496E9" w:rsidR="005A2D50" w:rsidRPr="005A2D50" w:rsidRDefault="005A2D50" w:rsidP="005A2D50">
          <w:pPr>
            <w:pStyle w:val="TOC1"/>
            <w:tabs>
              <w:tab w:val="right" w:leader="dot" w:pos="9065"/>
            </w:tabs>
            <w:spacing w:before="0"/>
            <w:jc w:val="both"/>
            <w:rPr>
              <w:rFonts w:asciiTheme="minorHAnsi" w:eastAsiaTheme="minorEastAsia" w:hAnsiTheme="minorHAnsi"/>
              <w:noProof/>
              <w:sz w:val="24"/>
              <w:szCs w:val="24"/>
              <w:lang w:val="en-US" w:eastAsia="lv-LV"/>
            </w:rPr>
          </w:pPr>
          <w:hyperlink w:anchor="_Toc104982784" w:history="1">
            <w:r w:rsidRPr="005A2D50">
              <w:rPr>
                <w:rStyle w:val="Hyperlink"/>
                <w:noProof/>
                <w:color w:val="auto"/>
                <w:sz w:val="24"/>
                <w:szCs w:val="24"/>
                <w:lang w:val="en-US"/>
              </w:rPr>
              <w:t>IV.3. Īpašas procedūras, kas nav tranzīts</w:t>
            </w:r>
            <w:r w:rsidRPr="005A2D50">
              <w:rPr>
                <w:noProof/>
                <w:webHidden/>
                <w:sz w:val="24"/>
                <w:szCs w:val="24"/>
                <w:lang w:val="en-US"/>
              </w:rPr>
              <w:tab/>
            </w:r>
            <w:r w:rsidRPr="005A2D50">
              <w:rPr>
                <w:noProof/>
                <w:webHidden/>
                <w:sz w:val="24"/>
                <w:szCs w:val="24"/>
                <w:lang w:val="en-US"/>
              </w:rPr>
              <w:fldChar w:fldCharType="begin"/>
            </w:r>
            <w:r w:rsidRPr="005A2D50">
              <w:rPr>
                <w:noProof/>
                <w:webHidden/>
                <w:sz w:val="24"/>
                <w:szCs w:val="24"/>
                <w:lang w:val="en-US"/>
              </w:rPr>
              <w:instrText xml:space="preserve"> PAGEREF _Toc104982784 \h </w:instrText>
            </w:r>
            <w:r w:rsidRPr="005A2D50">
              <w:rPr>
                <w:noProof/>
                <w:webHidden/>
                <w:sz w:val="24"/>
                <w:szCs w:val="24"/>
                <w:lang w:val="en-US"/>
              </w:rPr>
            </w:r>
            <w:r w:rsidRPr="005A2D50">
              <w:rPr>
                <w:noProof/>
                <w:webHidden/>
                <w:sz w:val="24"/>
                <w:szCs w:val="24"/>
                <w:lang w:val="en-US"/>
              </w:rPr>
              <w:fldChar w:fldCharType="separate"/>
            </w:r>
            <w:r>
              <w:rPr>
                <w:noProof/>
                <w:webHidden/>
                <w:sz w:val="24"/>
                <w:szCs w:val="24"/>
                <w:lang w:val="en-US"/>
              </w:rPr>
              <w:t>17</w:t>
            </w:r>
            <w:r w:rsidRPr="005A2D50">
              <w:rPr>
                <w:noProof/>
                <w:webHidden/>
                <w:sz w:val="24"/>
                <w:szCs w:val="24"/>
                <w:lang w:val="en-US"/>
              </w:rPr>
              <w:fldChar w:fldCharType="end"/>
            </w:r>
          </w:hyperlink>
        </w:p>
        <w:p w14:paraId="05271679" w14:textId="5F0FD8E7" w:rsidR="005A2D50" w:rsidRPr="005A2D50" w:rsidRDefault="005A2D50" w:rsidP="005A2D50">
          <w:pPr>
            <w:pStyle w:val="TOC2"/>
            <w:tabs>
              <w:tab w:val="right" w:leader="dot" w:pos="9065"/>
            </w:tabs>
            <w:spacing w:before="0"/>
            <w:ind w:left="284" w:firstLine="0"/>
            <w:jc w:val="both"/>
            <w:rPr>
              <w:rFonts w:asciiTheme="minorHAnsi" w:eastAsiaTheme="minorEastAsia" w:hAnsiTheme="minorHAnsi"/>
              <w:noProof/>
              <w:sz w:val="24"/>
              <w:szCs w:val="24"/>
              <w:lang w:val="en-US" w:eastAsia="lv-LV"/>
            </w:rPr>
          </w:pPr>
          <w:hyperlink w:anchor="_Toc104982785" w:history="1">
            <w:r w:rsidRPr="005A2D50">
              <w:rPr>
                <w:rStyle w:val="Hyperlink"/>
                <w:noProof/>
                <w:color w:val="auto"/>
                <w:sz w:val="24"/>
                <w:szCs w:val="24"/>
                <w:lang w:val="en-US"/>
              </w:rPr>
              <w:t>IV.3.1. Vispārējie noteikumi</w:t>
            </w:r>
            <w:r w:rsidRPr="005A2D50">
              <w:rPr>
                <w:noProof/>
                <w:webHidden/>
                <w:sz w:val="24"/>
                <w:szCs w:val="24"/>
                <w:lang w:val="en-US"/>
              </w:rPr>
              <w:tab/>
            </w:r>
            <w:r w:rsidRPr="005A2D50">
              <w:rPr>
                <w:noProof/>
                <w:webHidden/>
                <w:sz w:val="24"/>
                <w:szCs w:val="24"/>
                <w:lang w:val="en-US"/>
              </w:rPr>
              <w:fldChar w:fldCharType="begin"/>
            </w:r>
            <w:r w:rsidRPr="005A2D50">
              <w:rPr>
                <w:noProof/>
                <w:webHidden/>
                <w:sz w:val="24"/>
                <w:szCs w:val="24"/>
                <w:lang w:val="en-US"/>
              </w:rPr>
              <w:instrText xml:space="preserve"> PAGEREF _Toc104982785 \h </w:instrText>
            </w:r>
            <w:r w:rsidRPr="005A2D50">
              <w:rPr>
                <w:noProof/>
                <w:webHidden/>
                <w:sz w:val="24"/>
                <w:szCs w:val="24"/>
                <w:lang w:val="en-US"/>
              </w:rPr>
            </w:r>
            <w:r w:rsidRPr="005A2D50">
              <w:rPr>
                <w:noProof/>
                <w:webHidden/>
                <w:sz w:val="24"/>
                <w:szCs w:val="24"/>
                <w:lang w:val="en-US"/>
              </w:rPr>
              <w:fldChar w:fldCharType="separate"/>
            </w:r>
            <w:r>
              <w:rPr>
                <w:noProof/>
                <w:webHidden/>
                <w:sz w:val="24"/>
                <w:szCs w:val="24"/>
                <w:lang w:val="en-US"/>
              </w:rPr>
              <w:t>17</w:t>
            </w:r>
            <w:r w:rsidRPr="005A2D50">
              <w:rPr>
                <w:noProof/>
                <w:webHidden/>
                <w:sz w:val="24"/>
                <w:szCs w:val="24"/>
                <w:lang w:val="en-US"/>
              </w:rPr>
              <w:fldChar w:fldCharType="end"/>
            </w:r>
          </w:hyperlink>
        </w:p>
        <w:p w14:paraId="4795DDC6" w14:textId="056AD21C" w:rsidR="005A2D50" w:rsidRPr="005A2D50" w:rsidRDefault="005A2D50" w:rsidP="005A2D50">
          <w:pPr>
            <w:pStyle w:val="TOC2"/>
            <w:tabs>
              <w:tab w:val="right" w:leader="dot" w:pos="9065"/>
            </w:tabs>
            <w:spacing w:before="0"/>
            <w:ind w:left="284" w:firstLine="0"/>
            <w:jc w:val="both"/>
            <w:rPr>
              <w:rFonts w:asciiTheme="minorHAnsi" w:eastAsiaTheme="minorEastAsia" w:hAnsiTheme="minorHAnsi"/>
              <w:noProof/>
              <w:sz w:val="24"/>
              <w:szCs w:val="24"/>
              <w:lang w:val="en-US" w:eastAsia="lv-LV"/>
            </w:rPr>
          </w:pPr>
          <w:hyperlink w:anchor="_Toc104982786" w:history="1">
            <w:r w:rsidRPr="005A2D50">
              <w:rPr>
                <w:rStyle w:val="Hyperlink"/>
                <w:noProof/>
                <w:color w:val="auto"/>
                <w:sz w:val="24"/>
                <w:szCs w:val="24"/>
                <w:lang w:val="en-US"/>
              </w:rPr>
              <w:t>IV.3.2. Tiesību un pienākumu nodošana (</w:t>
            </w:r>
            <w:r w:rsidRPr="005A2D50">
              <w:rPr>
                <w:rStyle w:val="Hyperlink"/>
                <w:i/>
                <w:iCs/>
                <w:noProof/>
                <w:color w:val="auto"/>
                <w:sz w:val="24"/>
                <w:szCs w:val="24"/>
                <w:lang w:val="en-US"/>
              </w:rPr>
              <w:t>TORO</w:t>
            </w:r>
            <w:r w:rsidRPr="005A2D50">
              <w:rPr>
                <w:rStyle w:val="Hyperlink"/>
                <w:noProof/>
                <w:color w:val="auto"/>
                <w:sz w:val="24"/>
                <w:szCs w:val="24"/>
                <w:lang w:val="en-US"/>
              </w:rPr>
              <w:t>)</w:t>
            </w:r>
            <w:r w:rsidRPr="005A2D50">
              <w:rPr>
                <w:noProof/>
                <w:webHidden/>
                <w:sz w:val="24"/>
                <w:szCs w:val="24"/>
                <w:lang w:val="en-US"/>
              </w:rPr>
              <w:tab/>
            </w:r>
            <w:r w:rsidRPr="005A2D50">
              <w:rPr>
                <w:noProof/>
                <w:webHidden/>
                <w:sz w:val="24"/>
                <w:szCs w:val="24"/>
                <w:lang w:val="en-US"/>
              </w:rPr>
              <w:fldChar w:fldCharType="begin"/>
            </w:r>
            <w:r w:rsidRPr="005A2D50">
              <w:rPr>
                <w:noProof/>
                <w:webHidden/>
                <w:sz w:val="24"/>
                <w:szCs w:val="24"/>
                <w:lang w:val="en-US"/>
              </w:rPr>
              <w:instrText xml:space="preserve"> PAGEREF _Toc104982786 \h </w:instrText>
            </w:r>
            <w:r w:rsidRPr="005A2D50">
              <w:rPr>
                <w:noProof/>
                <w:webHidden/>
                <w:sz w:val="24"/>
                <w:szCs w:val="24"/>
                <w:lang w:val="en-US"/>
              </w:rPr>
            </w:r>
            <w:r w:rsidRPr="005A2D50">
              <w:rPr>
                <w:noProof/>
                <w:webHidden/>
                <w:sz w:val="24"/>
                <w:szCs w:val="24"/>
                <w:lang w:val="en-US"/>
              </w:rPr>
              <w:fldChar w:fldCharType="separate"/>
            </w:r>
            <w:r>
              <w:rPr>
                <w:noProof/>
                <w:webHidden/>
                <w:sz w:val="24"/>
                <w:szCs w:val="24"/>
                <w:lang w:val="en-US"/>
              </w:rPr>
              <w:t>19</w:t>
            </w:r>
            <w:r w:rsidRPr="005A2D50">
              <w:rPr>
                <w:noProof/>
                <w:webHidden/>
                <w:sz w:val="24"/>
                <w:szCs w:val="24"/>
                <w:lang w:val="en-US"/>
              </w:rPr>
              <w:fldChar w:fldCharType="end"/>
            </w:r>
          </w:hyperlink>
        </w:p>
        <w:p w14:paraId="5B69C926" w14:textId="3D0A922B" w:rsidR="005A2D50" w:rsidRPr="005A2D50" w:rsidRDefault="005A2D50" w:rsidP="005A2D50">
          <w:pPr>
            <w:pStyle w:val="TOC1"/>
            <w:tabs>
              <w:tab w:val="right" w:leader="dot" w:pos="9065"/>
            </w:tabs>
            <w:spacing w:before="0"/>
            <w:jc w:val="both"/>
            <w:rPr>
              <w:rFonts w:asciiTheme="minorHAnsi" w:eastAsiaTheme="minorEastAsia" w:hAnsiTheme="minorHAnsi"/>
              <w:noProof/>
              <w:sz w:val="24"/>
              <w:szCs w:val="24"/>
              <w:lang w:val="en-US" w:eastAsia="lv-LV"/>
            </w:rPr>
          </w:pPr>
          <w:hyperlink w:anchor="_Toc104982787" w:history="1">
            <w:r w:rsidRPr="005A2D50">
              <w:rPr>
                <w:rStyle w:val="Hyperlink"/>
                <w:noProof/>
                <w:color w:val="auto"/>
                <w:sz w:val="24"/>
                <w:szCs w:val="24"/>
                <w:lang w:val="en-US"/>
              </w:rPr>
              <w:t>IV.4. Maksājumu atlikšana un citi maksājumu atvieglojumi</w:t>
            </w:r>
            <w:r w:rsidRPr="005A2D50">
              <w:rPr>
                <w:noProof/>
                <w:webHidden/>
                <w:sz w:val="24"/>
                <w:szCs w:val="24"/>
                <w:lang w:val="en-US"/>
              </w:rPr>
              <w:tab/>
            </w:r>
            <w:r w:rsidRPr="005A2D50">
              <w:rPr>
                <w:noProof/>
                <w:webHidden/>
                <w:sz w:val="24"/>
                <w:szCs w:val="24"/>
                <w:lang w:val="en-US"/>
              </w:rPr>
              <w:fldChar w:fldCharType="begin"/>
            </w:r>
            <w:r w:rsidRPr="005A2D50">
              <w:rPr>
                <w:noProof/>
                <w:webHidden/>
                <w:sz w:val="24"/>
                <w:szCs w:val="24"/>
                <w:lang w:val="en-US"/>
              </w:rPr>
              <w:instrText xml:space="preserve"> PAGEREF _Toc104982787 \h </w:instrText>
            </w:r>
            <w:r w:rsidRPr="005A2D50">
              <w:rPr>
                <w:noProof/>
                <w:webHidden/>
                <w:sz w:val="24"/>
                <w:szCs w:val="24"/>
                <w:lang w:val="en-US"/>
              </w:rPr>
            </w:r>
            <w:r w:rsidRPr="005A2D50">
              <w:rPr>
                <w:noProof/>
                <w:webHidden/>
                <w:sz w:val="24"/>
                <w:szCs w:val="24"/>
                <w:lang w:val="en-US"/>
              </w:rPr>
              <w:fldChar w:fldCharType="separate"/>
            </w:r>
            <w:r>
              <w:rPr>
                <w:noProof/>
                <w:webHidden/>
                <w:sz w:val="24"/>
                <w:szCs w:val="24"/>
                <w:lang w:val="en-US"/>
              </w:rPr>
              <w:t>21</w:t>
            </w:r>
            <w:r w:rsidRPr="005A2D50">
              <w:rPr>
                <w:noProof/>
                <w:webHidden/>
                <w:sz w:val="24"/>
                <w:szCs w:val="24"/>
                <w:lang w:val="en-US"/>
              </w:rPr>
              <w:fldChar w:fldCharType="end"/>
            </w:r>
          </w:hyperlink>
        </w:p>
        <w:p w14:paraId="045696F1" w14:textId="7708E528" w:rsidR="005A2D50" w:rsidRPr="005A2D50" w:rsidRDefault="005A2D50" w:rsidP="005A2D50">
          <w:pPr>
            <w:pStyle w:val="TOC2"/>
            <w:tabs>
              <w:tab w:val="right" w:leader="dot" w:pos="9065"/>
            </w:tabs>
            <w:spacing w:before="0"/>
            <w:ind w:left="284" w:firstLine="0"/>
            <w:jc w:val="both"/>
            <w:rPr>
              <w:rFonts w:asciiTheme="minorHAnsi" w:eastAsiaTheme="minorEastAsia" w:hAnsiTheme="minorHAnsi"/>
              <w:noProof/>
              <w:sz w:val="24"/>
              <w:szCs w:val="24"/>
              <w:lang w:val="en-US" w:eastAsia="lv-LV"/>
            </w:rPr>
          </w:pPr>
          <w:hyperlink w:anchor="_Toc104982788" w:history="1">
            <w:r w:rsidRPr="005A2D50">
              <w:rPr>
                <w:rStyle w:val="Hyperlink"/>
                <w:noProof/>
                <w:color w:val="auto"/>
                <w:sz w:val="24"/>
                <w:szCs w:val="24"/>
                <w:lang w:val="en-US"/>
              </w:rPr>
              <w:t>IV.4.1. Maksājuma atlikšanas termiņa noteikšana</w:t>
            </w:r>
            <w:r w:rsidRPr="005A2D50">
              <w:rPr>
                <w:noProof/>
                <w:webHidden/>
                <w:sz w:val="24"/>
                <w:szCs w:val="24"/>
                <w:lang w:val="en-US"/>
              </w:rPr>
              <w:tab/>
            </w:r>
            <w:r w:rsidRPr="005A2D50">
              <w:rPr>
                <w:noProof/>
                <w:webHidden/>
                <w:sz w:val="24"/>
                <w:szCs w:val="24"/>
                <w:lang w:val="en-US"/>
              </w:rPr>
              <w:fldChar w:fldCharType="begin"/>
            </w:r>
            <w:r w:rsidRPr="005A2D50">
              <w:rPr>
                <w:noProof/>
                <w:webHidden/>
                <w:sz w:val="24"/>
                <w:szCs w:val="24"/>
                <w:lang w:val="en-US"/>
              </w:rPr>
              <w:instrText xml:space="preserve"> PAGEREF _Toc104982788 \h </w:instrText>
            </w:r>
            <w:r w:rsidRPr="005A2D50">
              <w:rPr>
                <w:noProof/>
                <w:webHidden/>
                <w:sz w:val="24"/>
                <w:szCs w:val="24"/>
                <w:lang w:val="en-US"/>
              </w:rPr>
            </w:r>
            <w:r w:rsidRPr="005A2D50">
              <w:rPr>
                <w:noProof/>
                <w:webHidden/>
                <w:sz w:val="24"/>
                <w:szCs w:val="24"/>
                <w:lang w:val="en-US"/>
              </w:rPr>
              <w:fldChar w:fldCharType="separate"/>
            </w:r>
            <w:r>
              <w:rPr>
                <w:noProof/>
                <w:webHidden/>
                <w:sz w:val="24"/>
                <w:szCs w:val="24"/>
                <w:lang w:val="en-US"/>
              </w:rPr>
              <w:t>22</w:t>
            </w:r>
            <w:r w:rsidRPr="005A2D50">
              <w:rPr>
                <w:noProof/>
                <w:webHidden/>
                <w:sz w:val="24"/>
                <w:szCs w:val="24"/>
                <w:lang w:val="en-US"/>
              </w:rPr>
              <w:fldChar w:fldCharType="end"/>
            </w:r>
          </w:hyperlink>
        </w:p>
        <w:p w14:paraId="08E950C1" w14:textId="24CA514E" w:rsidR="005A2D50" w:rsidRPr="005A2D50" w:rsidRDefault="005A2D50" w:rsidP="005A2D50">
          <w:pPr>
            <w:pStyle w:val="TOC1"/>
            <w:tabs>
              <w:tab w:val="right" w:leader="dot" w:pos="9065"/>
            </w:tabs>
            <w:spacing w:before="0"/>
            <w:jc w:val="both"/>
            <w:rPr>
              <w:rStyle w:val="Hyperlink"/>
              <w:noProof/>
              <w:color w:val="auto"/>
              <w:sz w:val="24"/>
              <w:szCs w:val="24"/>
              <w:lang w:val="en-US"/>
            </w:rPr>
          </w:pPr>
          <w:hyperlink w:anchor="_Toc104982789" w:history="1">
            <w:r w:rsidRPr="005A2D50">
              <w:rPr>
                <w:rStyle w:val="Hyperlink"/>
                <w:noProof/>
                <w:color w:val="auto"/>
                <w:sz w:val="24"/>
                <w:szCs w:val="24"/>
                <w:lang w:val="en-US"/>
              </w:rPr>
              <w:t>IV.5. Lēmuma izpildes atlikšana saistībā ar pārsūdzības iesniegšanu (SMK 45. pants)</w:t>
            </w:r>
            <w:r w:rsidRPr="005A2D50">
              <w:rPr>
                <w:noProof/>
                <w:webHidden/>
                <w:sz w:val="24"/>
                <w:szCs w:val="24"/>
                <w:lang w:val="en-US"/>
              </w:rPr>
              <w:tab/>
            </w:r>
            <w:r w:rsidRPr="005A2D50">
              <w:rPr>
                <w:noProof/>
                <w:webHidden/>
                <w:sz w:val="24"/>
                <w:szCs w:val="24"/>
                <w:lang w:val="en-US"/>
              </w:rPr>
              <w:fldChar w:fldCharType="begin"/>
            </w:r>
            <w:r w:rsidRPr="005A2D50">
              <w:rPr>
                <w:noProof/>
                <w:webHidden/>
                <w:sz w:val="24"/>
                <w:szCs w:val="24"/>
                <w:lang w:val="en-US"/>
              </w:rPr>
              <w:instrText xml:space="preserve"> PAGEREF _Toc104982789 \h </w:instrText>
            </w:r>
            <w:r w:rsidRPr="005A2D50">
              <w:rPr>
                <w:noProof/>
                <w:webHidden/>
                <w:sz w:val="24"/>
                <w:szCs w:val="24"/>
                <w:lang w:val="en-US"/>
              </w:rPr>
            </w:r>
            <w:r w:rsidRPr="005A2D50">
              <w:rPr>
                <w:noProof/>
                <w:webHidden/>
                <w:sz w:val="24"/>
                <w:szCs w:val="24"/>
                <w:lang w:val="en-US"/>
              </w:rPr>
              <w:fldChar w:fldCharType="separate"/>
            </w:r>
            <w:r>
              <w:rPr>
                <w:noProof/>
                <w:webHidden/>
                <w:sz w:val="24"/>
                <w:szCs w:val="24"/>
                <w:lang w:val="en-US"/>
              </w:rPr>
              <w:t>23</w:t>
            </w:r>
            <w:r w:rsidRPr="005A2D50">
              <w:rPr>
                <w:noProof/>
                <w:webHidden/>
                <w:sz w:val="24"/>
                <w:szCs w:val="24"/>
                <w:lang w:val="en-US"/>
              </w:rPr>
              <w:fldChar w:fldCharType="end"/>
            </w:r>
          </w:hyperlink>
        </w:p>
        <w:p w14:paraId="79CBAE3D" w14:textId="77777777" w:rsidR="005A2D50" w:rsidRPr="005A2D50" w:rsidRDefault="005A2D50" w:rsidP="005A2D50">
          <w:pPr>
            <w:pStyle w:val="TOC1"/>
            <w:tabs>
              <w:tab w:val="right" w:leader="dot" w:pos="9065"/>
            </w:tabs>
            <w:spacing w:before="0"/>
            <w:jc w:val="both"/>
            <w:rPr>
              <w:rFonts w:asciiTheme="minorHAnsi" w:eastAsiaTheme="minorEastAsia" w:hAnsiTheme="minorHAnsi"/>
              <w:noProof/>
              <w:sz w:val="24"/>
              <w:szCs w:val="24"/>
              <w:lang w:val="en-US" w:eastAsia="lv-LV"/>
            </w:rPr>
          </w:pPr>
        </w:p>
        <w:p w14:paraId="15E847DC" w14:textId="4396D3C2" w:rsidR="005A2D50" w:rsidRPr="005A2D50" w:rsidRDefault="005A2D50" w:rsidP="005A2D50">
          <w:pPr>
            <w:pStyle w:val="TOC1"/>
            <w:tabs>
              <w:tab w:val="right" w:leader="dot" w:pos="9065"/>
            </w:tabs>
            <w:spacing w:before="0"/>
            <w:jc w:val="both"/>
            <w:rPr>
              <w:rFonts w:asciiTheme="minorHAnsi" w:eastAsiaTheme="minorEastAsia" w:hAnsiTheme="minorHAnsi"/>
              <w:noProof/>
              <w:sz w:val="24"/>
              <w:szCs w:val="24"/>
              <w:lang w:val="en-US" w:eastAsia="lv-LV"/>
            </w:rPr>
          </w:pPr>
          <w:hyperlink w:anchor="_Toc104982790" w:history="1">
            <w:r w:rsidRPr="005A2D50">
              <w:rPr>
                <w:rStyle w:val="Hyperlink"/>
                <w:noProof/>
                <w:color w:val="auto"/>
                <w:sz w:val="24"/>
                <w:szCs w:val="24"/>
                <w:lang w:val="en-US"/>
              </w:rPr>
              <w:t>V. VIENREIZĒJIE UN VISPĀRĒJIE GALVOJUMI</w:t>
            </w:r>
            <w:r w:rsidRPr="005A2D50">
              <w:rPr>
                <w:noProof/>
                <w:webHidden/>
                <w:sz w:val="24"/>
                <w:szCs w:val="24"/>
                <w:lang w:val="en-US"/>
              </w:rPr>
              <w:tab/>
            </w:r>
            <w:r w:rsidRPr="005A2D50">
              <w:rPr>
                <w:noProof/>
                <w:webHidden/>
                <w:sz w:val="24"/>
                <w:szCs w:val="24"/>
                <w:lang w:val="en-US"/>
              </w:rPr>
              <w:fldChar w:fldCharType="begin"/>
            </w:r>
            <w:r w:rsidRPr="005A2D50">
              <w:rPr>
                <w:noProof/>
                <w:webHidden/>
                <w:sz w:val="24"/>
                <w:szCs w:val="24"/>
                <w:lang w:val="en-US"/>
              </w:rPr>
              <w:instrText xml:space="preserve"> PAGEREF _Toc104982790 \h </w:instrText>
            </w:r>
            <w:r w:rsidRPr="005A2D50">
              <w:rPr>
                <w:noProof/>
                <w:webHidden/>
                <w:sz w:val="24"/>
                <w:szCs w:val="24"/>
                <w:lang w:val="en-US"/>
              </w:rPr>
            </w:r>
            <w:r w:rsidRPr="005A2D50">
              <w:rPr>
                <w:noProof/>
                <w:webHidden/>
                <w:sz w:val="24"/>
                <w:szCs w:val="24"/>
                <w:lang w:val="en-US"/>
              </w:rPr>
              <w:fldChar w:fldCharType="separate"/>
            </w:r>
            <w:r>
              <w:rPr>
                <w:noProof/>
                <w:webHidden/>
                <w:sz w:val="24"/>
                <w:szCs w:val="24"/>
                <w:lang w:val="en-US"/>
              </w:rPr>
              <w:t>23</w:t>
            </w:r>
            <w:r w:rsidRPr="005A2D50">
              <w:rPr>
                <w:noProof/>
                <w:webHidden/>
                <w:sz w:val="24"/>
                <w:szCs w:val="24"/>
                <w:lang w:val="en-US"/>
              </w:rPr>
              <w:fldChar w:fldCharType="end"/>
            </w:r>
          </w:hyperlink>
        </w:p>
        <w:p w14:paraId="0B197367" w14:textId="098E9313" w:rsidR="005A2D50" w:rsidRPr="005A2D50" w:rsidRDefault="005A2D50" w:rsidP="005A2D50">
          <w:pPr>
            <w:pStyle w:val="TOC1"/>
            <w:tabs>
              <w:tab w:val="right" w:leader="dot" w:pos="9065"/>
            </w:tabs>
            <w:spacing w:before="0"/>
            <w:jc w:val="both"/>
            <w:rPr>
              <w:rFonts w:asciiTheme="minorHAnsi" w:eastAsiaTheme="minorEastAsia" w:hAnsiTheme="minorHAnsi"/>
              <w:noProof/>
              <w:sz w:val="24"/>
              <w:szCs w:val="24"/>
              <w:lang w:val="en-US" w:eastAsia="lv-LV"/>
            </w:rPr>
          </w:pPr>
          <w:hyperlink w:anchor="_Toc104982791" w:history="1">
            <w:r w:rsidRPr="005A2D50">
              <w:rPr>
                <w:rStyle w:val="Hyperlink"/>
                <w:noProof/>
                <w:color w:val="auto"/>
                <w:sz w:val="24"/>
                <w:szCs w:val="24"/>
                <w:lang w:val="en-US"/>
              </w:rPr>
              <w:t>V.1. Vienreizējais galvojums</w:t>
            </w:r>
            <w:r w:rsidRPr="005A2D50">
              <w:rPr>
                <w:noProof/>
                <w:webHidden/>
                <w:sz w:val="24"/>
                <w:szCs w:val="24"/>
                <w:lang w:val="en-US"/>
              </w:rPr>
              <w:tab/>
            </w:r>
            <w:r w:rsidRPr="005A2D50">
              <w:rPr>
                <w:noProof/>
                <w:webHidden/>
                <w:sz w:val="24"/>
                <w:szCs w:val="24"/>
                <w:lang w:val="en-US"/>
              </w:rPr>
              <w:fldChar w:fldCharType="begin"/>
            </w:r>
            <w:r w:rsidRPr="005A2D50">
              <w:rPr>
                <w:noProof/>
                <w:webHidden/>
                <w:sz w:val="24"/>
                <w:szCs w:val="24"/>
                <w:lang w:val="en-US"/>
              </w:rPr>
              <w:instrText xml:space="preserve"> PAGEREF _Toc104982791 \h </w:instrText>
            </w:r>
            <w:r w:rsidRPr="005A2D50">
              <w:rPr>
                <w:noProof/>
                <w:webHidden/>
                <w:sz w:val="24"/>
                <w:szCs w:val="24"/>
                <w:lang w:val="en-US"/>
              </w:rPr>
            </w:r>
            <w:r w:rsidRPr="005A2D50">
              <w:rPr>
                <w:noProof/>
                <w:webHidden/>
                <w:sz w:val="24"/>
                <w:szCs w:val="24"/>
                <w:lang w:val="en-US"/>
              </w:rPr>
              <w:fldChar w:fldCharType="separate"/>
            </w:r>
            <w:r>
              <w:rPr>
                <w:noProof/>
                <w:webHidden/>
                <w:sz w:val="24"/>
                <w:szCs w:val="24"/>
                <w:lang w:val="en-US"/>
              </w:rPr>
              <w:t>24</w:t>
            </w:r>
            <w:r w:rsidRPr="005A2D50">
              <w:rPr>
                <w:noProof/>
                <w:webHidden/>
                <w:sz w:val="24"/>
                <w:szCs w:val="24"/>
                <w:lang w:val="en-US"/>
              </w:rPr>
              <w:fldChar w:fldCharType="end"/>
            </w:r>
          </w:hyperlink>
        </w:p>
        <w:p w14:paraId="6A6CFDE6" w14:textId="30F5CB69" w:rsidR="005A2D50" w:rsidRPr="005A2D50" w:rsidRDefault="005A2D50" w:rsidP="005A2D50">
          <w:pPr>
            <w:pStyle w:val="TOC1"/>
            <w:tabs>
              <w:tab w:val="right" w:leader="dot" w:pos="9065"/>
            </w:tabs>
            <w:spacing w:before="0"/>
            <w:jc w:val="both"/>
            <w:rPr>
              <w:rFonts w:asciiTheme="minorHAnsi" w:eastAsiaTheme="minorEastAsia" w:hAnsiTheme="minorHAnsi"/>
              <w:noProof/>
              <w:sz w:val="24"/>
              <w:szCs w:val="24"/>
              <w:lang w:val="en-US" w:eastAsia="lv-LV"/>
            </w:rPr>
          </w:pPr>
          <w:hyperlink w:anchor="_Toc104982792" w:history="1">
            <w:r w:rsidRPr="005A2D50">
              <w:rPr>
                <w:rStyle w:val="Hyperlink"/>
                <w:noProof/>
                <w:color w:val="auto"/>
                <w:sz w:val="24"/>
                <w:szCs w:val="24"/>
                <w:lang w:val="en-US"/>
              </w:rPr>
              <w:t>V.2. Vispārējais galvojums</w:t>
            </w:r>
            <w:r w:rsidRPr="005A2D50">
              <w:rPr>
                <w:noProof/>
                <w:webHidden/>
                <w:sz w:val="24"/>
                <w:szCs w:val="24"/>
                <w:lang w:val="en-US"/>
              </w:rPr>
              <w:tab/>
            </w:r>
            <w:r w:rsidRPr="005A2D50">
              <w:rPr>
                <w:noProof/>
                <w:webHidden/>
                <w:sz w:val="24"/>
                <w:szCs w:val="24"/>
                <w:lang w:val="en-US"/>
              </w:rPr>
              <w:fldChar w:fldCharType="begin"/>
            </w:r>
            <w:r w:rsidRPr="005A2D50">
              <w:rPr>
                <w:noProof/>
                <w:webHidden/>
                <w:sz w:val="24"/>
                <w:szCs w:val="24"/>
                <w:lang w:val="en-US"/>
              </w:rPr>
              <w:instrText xml:space="preserve"> PAGEREF _Toc104982792 \h </w:instrText>
            </w:r>
            <w:r w:rsidRPr="005A2D50">
              <w:rPr>
                <w:noProof/>
                <w:webHidden/>
                <w:sz w:val="24"/>
                <w:szCs w:val="24"/>
                <w:lang w:val="en-US"/>
              </w:rPr>
            </w:r>
            <w:r w:rsidRPr="005A2D50">
              <w:rPr>
                <w:noProof/>
                <w:webHidden/>
                <w:sz w:val="24"/>
                <w:szCs w:val="24"/>
                <w:lang w:val="en-US"/>
              </w:rPr>
              <w:fldChar w:fldCharType="separate"/>
            </w:r>
            <w:r>
              <w:rPr>
                <w:noProof/>
                <w:webHidden/>
                <w:sz w:val="24"/>
                <w:szCs w:val="24"/>
                <w:lang w:val="en-US"/>
              </w:rPr>
              <w:t>24</w:t>
            </w:r>
            <w:r w:rsidRPr="005A2D50">
              <w:rPr>
                <w:noProof/>
                <w:webHidden/>
                <w:sz w:val="24"/>
                <w:szCs w:val="24"/>
                <w:lang w:val="en-US"/>
              </w:rPr>
              <w:fldChar w:fldCharType="end"/>
            </w:r>
          </w:hyperlink>
        </w:p>
        <w:p w14:paraId="72554555" w14:textId="0B8347C8" w:rsidR="005A2D50" w:rsidRPr="005A2D50" w:rsidRDefault="005A2D50" w:rsidP="005A2D50">
          <w:pPr>
            <w:pStyle w:val="TOC2"/>
            <w:tabs>
              <w:tab w:val="right" w:leader="dot" w:pos="9065"/>
            </w:tabs>
            <w:spacing w:before="0"/>
            <w:ind w:left="284" w:firstLine="0"/>
            <w:jc w:val="both"/>
            <w:rPr>
              <w:rFonts w:asciiTheme="minorHAnsi" w:eastAsiaTheme="minorEastAsia" w:hAnsiTheme="minorHAnsi"/>
              <w:noProof/>
              <w:sz w:val="24"/>
              <w:szCs w:val="24"/>
              <w:lang w:val="en-US" w:eastAsia="lv-LV"/>
            </w:rPr>
          </w:pPr>
          <w:hyperlink w:anchor="_Toc104982793" w:history="1">
            <w:r w:rsidRPr="005A2D50">
              <w:rPr>
                <w:rStyle w:val="Hyperlink"/>
                <w:noProof/>
                <w:color w:val="auto"/>
                <w:sz w:val="24"/>
                <w:szCs w:val="24"/>
                <w:lang w:val="en-US"/>
              </w:rPr>
              <w:t>V.2.1. Vispārējā galvojuma veidi</w:t>
            </w:r>
            <w:r w:rsidRPr="005A2D50">
              <w:rPr>
                <w:noProof/>
                <w:webHidden/>
                <w:sz w:val="24"/>
                <w:szCs w:val="24"/>
                <w:lang w:val="en-US"/>
              </w:rPr>
              <w:tab/>
            </w:r>
            <w:r w:rsidRPr="005A2D50">
              <w:rPr>
                <w:noProof/>
                <w:webHidden/>
                <w:sz w:val="24"/>
                <w:szCs w:val="24"/>
                <w:lang w:val="en-US"/>
              </w:rPr>
              <w:fldChar w:fldCharType="begin"/>
            </w:r>
            <w:r w:rsidRPr="005A2D50">
              <w:rPr>
                <w:noProof/>
                <w:webHidden/>
                <w:sz w:val="24"/>
                <w:szCs w:val="24"/>
                <w:lang w:val="en-US"/>
              </w:rPr>
              <w:instrText xml:space="preserve"> PAGEREF _Toc104982793 \h </w:instrText>
            </w:r>
            <w:r w:rsidRPr="005A2D50">
              <w:rPr>
                <w:noProof/>
                <w:webHidden/>
                <w:sz w:val="24"/>
                <w:szCs w:val="24"/>
                <w:lang w:val="en-US"/>
              </w:rPr>
            </w:r>
            <w:r w:rsidRPr="005A2D50">
              <w:rPr>
                <w:noProof/>
                <w:webHidden/>
                <w:sz w:val="24"/>
                <w:szCs w:val="24"/>
                <w:lang w:val="en-US"/>
              </w:rPr>
              <w:fldChar w:fldCharType="separate"/>
            </w:r>
            <w:r>
              <w:rPr>
                <w:noProof/>
                <w:webHidden/>
                <w:sz w:val="24"/>
                <w:szCs w:val="24"/>
                <w:lang w:val="en-US"/>
              </w:rPr>
              <w:t>25</w:t>
            </w:r>
            <w:r w:rsidRPr="005A2D50">
              <w:rPr>
                <w:noProof/>
                <w:webHidden/>
                <w:sz w:val="24"/>
                <w:szCs w:val="24"/>
                <w:lang w:val="en-US"/>
              </w:rPr>
              <w:fldChar w:fldCharType="end"/>
            </w:r>
          </w:hyperlink>
        </w:p>
        <w:p w14:paraId="4C51B37B" w14:textId="3BA3FB87" w:rsidR="005A2D50" w:rsidRPr="005A2D50" w:rsidRDefault="005A2D50" w:rsidP="005A2D50">
          <w:pPr>
            <w:pStyle w:val="TOC2"/>
            <w:tabs>
              <w:tab w:val="right" w:leader="dot" w:pos="9065"/>
            </w:tabs>
            <w:spacing w:before="0"/>
            <w:ind w:left="284" w:firstLine="0"/>
            <w:jc w:val="both"/>
            <w:rPr>
              <w:rFonts w:asciiTheme="minorHAnsi" w:eastAsiaTheme="minorEastAsia" w:hAnsiTheme="minorHAnsi"/>
              <w:noProof/>
              <w:sz w:val="24"/>
              <w:szCs w:val="24"/>
              <w:lang w:val="en-US" w:eastAsia="lv-LV"/>
            </w:rPr>
          </w:pPr>
          <w:hyperlink w:anchor="_Toc104982794" w:history="1">
            <w:r w:rsidRPr="005A2D50">
              <w:rPr>
                <w:rStyle w:val="Hyperlink"/>
                <w:noProof/>
                <w:color w:val="auto"/>
                <w:sz w:val="24"/>
                <w:szCs w:val="24"/>
                <w:lang w:val="en-US"/>
              </w:rPr>
              <w:t>V.2.2. Atļauja, lai sniegtu vispārējo galvojumu, ieskaitot iespējamu samazinājumu vai atbrīvojumu (</w:t>
            </w:r>
            <w:r w:rsidRPr="005A2D50">
              <w:rPr>
                <w:rStyle w:val="Hyperlink"/>
                <w:i/>
                <w:iCs/>
                <w:noProof/>
                <w:color w:val="auto"/>
                <w:sz w:val="24"/>
                <w:szCs w:val="24"/>
                <w:lang w:val="en-US"/>
              </w:rPr>
              <w:t>CGU</w:t>
            </w:r>
            <w:r w:rsidRPr="005A2D50">
              <w:rPr>
                <w:rStyle w:val="Hyperlink"/>
                <w:noProof/>
                <w:color w:val="auto"/>
                <w:sz w:val="24"/>
                <w:szCs w:val="24"/>
                <w:lang w:val="en-US"/>
              </w:rPr>
              <w:t xml:space="preserve"> atļauja)</w:t>
            </w:r>
            <w:r w:rsidRPr="005A2D50">
              <w:rPr>
                <w:noProof/>
                <w:webHidden/>
                <w:sz w:val="24"/>
                <w:szCs w:val="24"/>
                <w:lang w:val="en-US"/>
              </w:rPr>
              <w:tab/>
            </w:r>
            <w:r w:rsidRPr="005A2D50">
              <w:rPr>
                <w:noProof/>
                <w:webHidden/>
                <w:sz w:val="24"/>
                <w:szCs w:val="24"/>
                <w:lang w:val="en-US"/>
              </w:rPr>
              <w:fldChar w:fldCharType="begin"/>
            </w:r>
            <w:r w:rsidRPr="005A2D50">
              <w:rPr>
                <w:noProof/>
                <w:webHidden/>
                <w:sz w:val="24"/>
                <w:szCs w:val="24"/>
                <w:lang w:val="en-US"/>
              </w:rPr>
              <w:instrText xml:space="preserve"> PAGEREF _Toc104982794 \h </w:instrText>
            </w:r>
            <w:r w:rsidRPr="005A2D50">
              <w:rPr>
                <w:noProof/>
                <w:webHidden/>
                <w:sz w:val="24"/>
                <w:szCs w:val="24"/>
                <w:lang w:val="en-US"/>
              </w:rPr>
            </w:r>
            <w:r w:rsidRPr="005A2D50">
              <w:rPr>
                <w:noProof/>
                <w:webHidden/>
                <w:sz w:val="24"/>
                <w:szCs w:val="24"/>
                <w:lang w:val="en-US"/>
              </w:rPr>
              <w:fldChar w:fldCharType="separate"/>
            </w:r>
            <w:r>
              <w:rPr>
                <w:noProof/>
                <w:webHidden/>
                <w:sz w:val="24"/>
                <w:szCs w:val="24"/>
                <w:lang w:val="en-US"/>
              </w:rPr>
              <w:t>25</w:t>
            </w:r>
            <w:r w:rsidRPr="005A2D50">
              <w:rPr>
                <w:noProof/>
                <w:webHidden/>
                <w:sz w:val="24"/>
                <w:szCs w:val="24"/>
                <w:lang w:val="en-US"/>
              </w:rPr>
              <w:fldChar w:fldCharType="end"/>
            </w:r>
          </w:hyperlink>
        </w:p>
        <w:p w14:paraId="755F5B35" w14:textId="06629BFD" w:rsidR="005A2D50" w:rsidRPr="005A2D50" w:rsidRDefault="005A2D50" w:rsidP="005A2D50">
          <w:pPr>
            <w:pStyle w:val="TOC2"/>
            <w:tabs>
              <w:tab w:val="right" w:leader="dot" w:pos="9065"/>
            </w:tabs>
            <w:spacing w:before="0"/>
            <w:ind w:left="284" w:firstLine="0"/>
            <w:jc w:val="both"/>
            <w:rPr>
              <w:rFonts w:asciiTheme="minorHAnsi" w:eastAsiaTheme="minorEastAsia" w:hAnsiTheme="minorHAnsi"/>
              <w:noProof/>
              <w:sz w:val="24"/>
              <w:szCs w:val="24"/>
              <w:lang w:val="en-US" w:eastAsia="lv-LV"/>
            </w:rPr>
          </w:pPr>
          <w:hyperlink w:anchor="_Toc104982795" w:history="1">
            <w:r w:rsidRPr="005A2D50">
              <w:rPr>
                <w:rStyle w:val="Hyperlink"/>
                <w:noProof/>
                <w:color w:val="auto"/>
                <w:sz w:val="24"/>
                <w:szCs w:val="24"/>
                <w:lang w:val="en-US"/>
              </w:rPr>
              <w:t>V.2.3. Atsauces summas noteikšana</w:t>
            </w:r>
            <w:r w:rsidRPr="005A2D50">
              <w:rPr>
                <w:noProof/>
                <w:webHidden/>
                <w:sz w:val="24"/>
                <w:szCs w:val="24"/>
                <w:lang w:val="en-US"/>
              </w:rPr>
              <w:tab/>
            </w:r>
            <w:r w:rsidRPr="005A2D50">
              <w:rPr>
                <w:noProof/>
                <w:webHidden/>
                <w:sz w:val="24"/>
                <w:szCs w:val="24"/>
                <w:lang w:val="en-US"/>
              </w:rPr>
              <w:fldChar w:fldCharType="begin"/>
            </w:r>
            <w:r w:rsidRPr="005A2D50">
              <w:rPr>
                <w:noProof/>
                <w:webHidden/>
                <w:sz w:val="24"/>
                <w:szCs w:val="24"/>
                <w:lang w:val="en-US"/>
              </w:rPr>
              <w:instrText xml:space="preserve"> PAGEREF _Toc104982795 \h </w:instrText>
            </w:r>
            <w:r w:rsidRPr="005A2D50">
              <w:rPr>
                <w:noProof/>
                <w:webHidden/>
                <w:sz w:val="24"/>
                <w:szCs w:val="24"/>
                <w:lang w:val="en-US"/>
              </w:rPr>
            </w:r>
            <w:r w:rsidRPr="005A2D50">
              <w:rPr>
                <w:noProof/>
                <w:webHidden/>
                <w:sz w:val="24"/>
                <w:szCs w:val="24"/>
                <w:lang w:val="en-US"/>
              </w:rPr>
              <w:fldChar w:fldCharType="separate"/>
            </w:r>
            <w:r>
              <w:rPr>
                <w:noProof/>
                <w:webHidden/>
                <w:sz w:val="24"/>
                <w:szCs w:val="24"/>
                <w:lang w:val="en-US"/>
              </w:rPr>
              <w:t>31</w:t>
            </w:r>
            <w:r w:rsidRPr="005A2D50">
              <w:rPr>
                <w:noProof/>
                <w:webHidden/>
                <w:sz w:val="24"/>
                <w:szCs w:val="24"/>
                <w:lang w:val="en-US"/>
              </w:rPr>
              <w:fldChar w:fldCharType="end"/>
            </w:r>
          </w:hyperlink>
        </w:p>
        <w:p w14:paraId="663B052D" w14:textId="7262BDC2" w:rsidR="005A2D50" w:rsidRPr="005A2D50" w:rsidRDefault="005A2D50" w:rsidP="005A2D50">
          <w:pPr>
            <w:pStyle w:val="TOC2"/>
            <w:tabs>
              <w:tab w:val="right" w:leader="dot" w:pos="9065"/>
            </w:tabs>
            <w:spacing w:before="0"/>
            <w:ind w:left="284" w:firstLine="0"/>
            <w:jc w:val="both"/>
            <w:rPr>
              <w:rFonts w:asciiTheme="minorHAnsi" w:eastAsiaTheme="minorEastAsia" w:hAnsiTheme="minorHAnsi"/>
              <w:noProof/>
              <w:sz w:val="24"/>
              <w:szCs w:val="24"/>
              <w:lang w:val="en-US" w:eastAsia="lv-LV"/>
            </w:rPr>
          </w:pPr>
          <w:hyperlink w:anchor="_Toc104982796" w:history="1">
            <w:r w:rsidRPr="005A2D50">
              <w:rPr>
                <w:rStyle w:val="Hyperlink"/>
                <w:noProof/>
                <w:color w:val="auto"/>
                <w:sz w:val="24"/>
                <w:szCs w:val="24"/>
                <w:lang w:val="en-US"/>
              </w:rPr>
              <w:t>V.2.4. Atsauces summas pārraudzība</w:t>
            </w:r>
            <w:r w:rsidRPr="005A2D50">
              <w:rPr>
                <w:noProof/>
                <w:webHidden/>
                <w:sz w:val="24"/>
                <w:szCs w:val="24"/>
                <w:lang w:val="en-US"/>
              </w:rPr>
              <w:tab/>
            </w:r>
            <w:r w:rsidRPr="005A2D50">
              <w:rPr>
                <w:noProof/>
                <w:webHidden/>
                <w:sz w:val="24"/>
                <w:szCs w:val="24"/>
                <w:lang w:val="en-US"/>
              </w:rPr>
              <w:fldChar w:fldCharType="begin"/>
            </w:r>
            <w:r w:rsidRPr="005A2D50">
              <w:rPr>
                <w:noProof/>
                <w:webHidden/>
                <w:sz w:val="24"/>
                <w:szCs w:val="24"/>
                <w:lang w:val="en-US"/>
              </w:rPr>
              <w:instrText xml:space="preserve"> PAGEREF _Toc104982796 \h </w:instrText>
            </w:r>
            <w:r w:rsidRPr="005A2D50">
              <w:rPr>
                <w:noProof/>
                <w:webHidden/>
                <w:sz w:val="24"/>
                <w:szCs w:val="24"/>
                <w:lang w:val="en-US"/>
              </w:rPr>
            </w:r>
            <w:r w:rsidRPr="005A2D50">
              <w:rPr>
                <w:noProof/>
                <w:webHidden/>
                <w:sz w:val="24"/>
                <w:szCs w:val="24"/>
                <w:lang w:val="en-US"/>
              </w:rPr>
              <w:fldChar w:fldCharType="separate"/>
            </w:r>
            <w:r>
              <w:rPr>
                <w:noProof/>
                <w:webHidden/>
                <w:sz w:val="24"/>
                <w:szCs w:val="24"/>
                <w:lang w:val="en-US"/>
              </w:rPr>
              <w:t>37</w:t>
            </w:r>
            <w:r w:rsidRPr="005A2D50">
              <w:rPr>
                <w:noProof/>
                <w:webHidden/>
                <w:sz w:val="24"/>
                <w:szCs w:val="24"/>
                <w:lang w:val="en-US"/>
              </w:rPr>
              <w:fldChar w:fldCharType="end"/>
            </w:r>
          </w:hyperlink>
        </w:p>
        <w:p w14:paraId="0142722F" w14:textId="6E5EE8A6" w:rsidR="005A2D50" w:rsidRPr="005A2D50" w:rsidRDefault="005A2D50" w:rsidP="005A2D50">
          <w:pPr>
            <w:pStyle w:val="TOC2"/>
            <w:tabs>
              <w:tab w:val="right" w:leader="dot" w:pos="9065"/>
            </w:tabs>
            <w:spacing w:before="0"/>
            <w:ind w:left="284" w:firstLine="0"/>
            <w:jc w:val="both"/>
            <w:rPr>
              <w:rFonts w:asciiTheme="minorHAnsi" w:eastAsiaTheme="minorEastAsia" w:hAnsiTheme="minorHAnsi"/>
              <w:noProof/>
              <w:sz w:val="24"/>
              <w:szCs w:val="24"/>
              <w:lang w:val="en-US" w:eastAsia="lv-LV"/>
            </w:rPr>
          </w:pPr>
          <w:hyperlink w:anchor="_Toc104982797" w:history="1">
            <w:r w:rsidRPr="005A2D50">
              <w:rPr>
                <w:rStyle w:val="Hyperlink"/>
                <w:noProof/>
                <w:color w:val="auto"/>
                <w:sz w:val="24"/>
                <w:szCs w:val="24"/>
                <w:lang w:val="en-US"/>
              </w:rPr>
              <w:t>V.2.5. Atsauces summas izskatīšana</w:t>
            </w:r>
            <w:r w:rsidRPr="005A2D50">
              <w:rPr>
                <w:noProof/>
                <w:webHidden/>
                <w:sz w:val="24"/>
                <w:szCs w:val="24"/>
                <w:lang w:val="en-US"/>
              </w:rPr>
              <w:tab/>
            </w:r>
            <w:r w:rsidRPr="005A2D50">
              <w:rPr>
                <w:noProof/>
                <w:webHidden/>
                <w:sz w:val="24"/>
                <w:szCs w:val="24"/>
                <w:lang w:val="en-US"/>
              </w:rPr>
              <w:fldChar w:fldCharType="begin"/>
            </w:r>
            <w:r w:rsidRPr="005A2D50">
              <w:rPr>
                <w:noProof/>
                <w:webHidden/>
                <w:sz w:val="24"/>
                <w:szCs w:val="24"/>
                <w:lang w:val="en-US"/>
              </w:rPr>
              <w:instrText xml:space="preserve"> PAGEREF _Toc104982797 \h </w:instrText>
            </w:r>
            <w:r w:rsidRPr="005A2D50">
              <w:rPr>
                <w:noProof/>
                <w:webHidden/>
                <w:sz w:val="24"/>
                <w:szCs w:val="24"/>
                <w:lang w:val="en-US"/>
              </w:rPr>
            </w:r>
            <w:r w:rsidRPr="005A2D50">
              <w:rPr>
                <w:noProof/>
                <w:webHidden/>
                <w:sz w:val="24"/>
                <w:szCs w:val="24"/>
                <w:lang w:val="en-US"/>
              </w:rPr>
              <w:fldChar w:fldCharType="separate"/>
            </w:r>
            <w:r>
              <w:rPr>
                <w:noProof/>
                <w:webHidden/>
                <w:sz w:val="24"/>
                <w:szCs w:val="24"/>
                <w:lang w:val="en-US"/>
              </w:rPr>
              <w:t>40</w:t>
            </w:r>
            <w:r w:rsidRPr="005A2D50">
              <w:rPr>
                <w:noProof/>
                <w:webHidden/>
                <w:sz w:val="24"/>
                <w:szCs w:val="24"/>
                <w:lang w:val="en-US"/>
              </w:rPr>
              <w:fldChar w:fldCharType="end"/>
            </w:r>
          </w:hyperlink>
        </w:p>
        <w:p w14:paraId="6D231896" w14:textId="653D1F98" w:rsidR="005A2D50" w:rsidRPr="005A2D50" w:rsidRDefault="005A2D50" w:rsidP="005A2D50">
          <w:pPr>
            <w:pStyle w:val="TOC2"/>
            <w:tabs>
              <w:tab w:val="right" w:leader="dot" w:pos="9065"/>
            </w:tabs>
            <w:spacing w:before="0"/>
            <w:ind w:left="284" w:firstLine="0"/>
            <w:jc w:val="both"/>
            <w:rPr>
              <w:rStyle w:val="Hyperlink"/>
              <w:noProof/>
              <w:color w:val="auto"/>
              <w:sz w:val="24"/>
              <w:szCs w:val="24"/>
              <w:lang w:val="en-US"/>
            </w:rPr>
          </w:pPr>
          <w:hyperlink w:anchor="_Toc104982798" w:history="1">
            <w:r w:rsidRPr="005A2D50">
              <w:rPr>
                <w:rStyle w:val="Hyperlink"/>
                <w:noProof/>
                <w:color w:val="auto"/>
                <w:sz w:val="24"/>
                <w:szCs w:val="24"/>
                <w:lang w:val="en-US"/>
              </w:rPr>
              <w:t>V.2.6. Vispārējā galvojuma samazinājuma apmēri</w:t>
            </w:r>
            <w:r w:rsidRPr="005A2D50">
              <w:rPr>
                <w:noProof/>
                <w:webHidden/>
                <w:sz w:val="24"/>
                <w:szCs w:val="24"/>
                <w:lang w:val="en-US"/>
              </w:rPr>
              <w:tab/>
            </w:r>
            <w:r w:rsidRPr="005A2D50">
              <w:rPr>
                <w:noProof/>
                <w:webHidden/>
                <w:sz w:val="24"/>
                <w:szCs w:val="24"/>
                <w:lang w:val="en-US"/>
              </w:rPr>
              <w:fldChar w:fldCharType="begin"/>
            </w:r>
            <w:r w:rsidRPr="005A2D50">
              <w:rPr>
                <w:noProof/>
                <w:webHidden/>
                <w:sz w:val="24"/>
                <w:szCs w:val="24"/>
                <w:lang w:val="en-US"/>
              </w:rPr>
              <w:instrText xml:space="preserve"> PAGEREF _Toc104982798 \h </w:instrText>
            </w:r>
            <w:r w:rsidRPr="005A2D50">
              <w:rPr>
                <w:noProof/>
                <w:webHidden/>
                <w:sz w:val="24"/>
                <w:szCs w:val="24"/>
                <w:lang w:val="en-US"/>
              </w:rPr>
            </w:r>
            <w:r w:rsidRPr="005A2D50">
              <w:rPr>
                <w:noProof/>
                <w:webHidden/>
                <w:sz w:val="24"/>
                <w:szCs w:val="24"/>
                <w:lang w:val="en-US"/>
              </w:rPr>
              <w:fldChar w:fldCharType="separate"/>
            </w:r>
            <w:r>
              <w:rPr>
                <w:noProof/>
                <w:webHidden/>
                <w:sz w:val="24"/>
                <w:szCs w:val="24"/>
                <w:lang w:val="en-US"/>
              </w:rPr>
              <w:t>40</w:t>
            </w:r>
            <w:r w:rsidRPr="005A2D50">
              <w:rPr>
                <w:noProof/>
                <w:webHidden/>
                <w:sz w:val="24"/>
                <w:szCs w:val="24"/>
                <w:lang w:val="en-US"/>
              </w:rPr>
              <w:fldChar w:fldCharType="end"/>
            </w:r>
          </w:hyperlink>
        </w:p>
        <w:p w14:paraId="76733670" w14:textId="77777777" w:rsidR="005A2D50" w:rsidRPr="005A2D50" w:rsidRDefault="005A2D50" w:rsidP="005A2D50">
          <w:pPr>
            <w:pStyle w:val="TOC2"/>
            <w:tabs>
              <w:tab w:val="right" w:leader="dot" w:pos="9065"/>
            </w:tabs>
            <w:spacing w:before="0"/>
            <w:ind w:left="284" w:firstLine="0"/>
            <w:jc w:val="both"/>
            <w:rPr>
              <w:rFonts w:asciiTheme="minorHAnsi" w:eastAsiaTheme="minorEastAsia" w:hAnsiTheme="minorHAnsi"/>
              <w:noProof/>
              <w:sz w:val="24"/>
              <w:szCs w:val="24"/>
              <w:lang w:val="en-US" w:eastAsia="lv-LV"/>
            </w:rPr>
          </w:pPr>
        </w:p>
        <w:p w14:paraId="3CFC6D7C" w14:textId="02C35737" w:rsidR="005A2D50" w:rsidRPr="005A2D50" w:rsidRDefault="005A2D50" w:rsidP="005A2D50">
          <w:pPr>
            <w:pStyle w:val="TOC1"/>
            <w:tabs>
              <w:tab w:val="right" w:leader="dot" w:pos="9065"/>
            </w:tabs>
            <w:spacing w:before="0"/>
            <w:jc w:val="both"/>
            <w:rPr>
              <w:rFonts w:asciiTheme="minorHAnsi" w:eastAsiaTheme="minorEastAsia" w:hAnsiTheme="minorHAnsi"/>
              <w:noProof/>
              <w:sz w:val="24"/>
              <w:szCs w:val="24"/>
              <w:lang w:val="en-US" w:eastAsia="lv-LV"/>
            </w:rPr>
          </w:pPr>
          <w:hyperlink w:anchor="_Toc104982799" w:history="1">
            <w:r w:rsidRPr="005A2D50">
              <w:rPr>
                <w:rStyle w:val="Hyperlink"/>
                <w:noProof/>
                <w:color w:val="auto"/>
                <w:sz w:val="24"/>
                <w:szCs w:val="24"/>
                <w:lang w:val="en-US"/>
              </w:rPr>
              <w:t>VI. PĀREJAS NOTEIKUMI – SMK TDA 7. UN 8. PANTS</w:t>
            </w:r>
            <w:r w:rsidRPr="005A2D50">
              <w:rPr>
                <w:noProof/>
                <w:webHidden/>
                <w:sz w:val="24"/>
                <w:szCs w:val="24"/>
                <w:lang w:val="en-US"/>
              </w:rPr>
              <w:tab/>
            </w:r>
            <w:r w:rsidRPr="005A2D50">
              <w:rPr>
                <w:noProof/>
                <w:webHidden/>
                <w:sz w:val="24"/>
                <w:szCs w:val="24"/>
                <w:lang w:val="en-US"/>
              </w:rPr>
              <w:fldChar w:fldCharType="begin"/>
            </w:r>
            <w:r w:rsidRPr="005A2D50">
              <w:rPr>
                <w:noProof/>
                <w:webHidden/>
                <w:sz w:val="24"/>
                <w:szCs w:val="24"/>
                <w:lang w:val="en-US"/>
              </w:rPr>
              <w:instrText xml:space="preserve"> PAGEREF _Toc104982799 \h </w:instrText>
            </w:r>
            <w:r w:rsidRPr="005A2D50">
              <w:rPr>
                <w:noProof/>
                <w:webHidden/>
                <w:sz w:val="24"/>
                <w:szCs w:val="24"/>
                <w:lang w:val="en-US"/>
              </w:rPr>
            </w:r>
            <w:r w:rsidRPr="005A2D50">
              <w:rPr>
                <w:noProof/>
                <w:webHidden/>
                <w:sz w:val="24"/>
                <w:szCs w:val="24"/>
                <w:lang w:val="en-US"/>
              </w:rPr>
              <w:fldChar w:fldCharType="separate"/>
            </w:r>
            <w:r>
              <w:rPr>
                <w:noProof/>
                <w:webHidden/>
                <w:sz w:val="24"/>
                <w:szCs w:val="24"/>
                <w:lang w:val="en-US"/>
              </w:rPr>
              <w:t>49</w:t>
            </w:r>
            <w:r w:rsidRPr="005A2D50">
              <w:rPr>
                <w:noProof/>
                <w:webHidden/>
                <w:sz w:val="24"/>
                <w:szCs w:val="24"/>
                <w:lang w:val="en-US"/>
              </w:rPr>
              <w:fldChar w:fldCharType="end"/>
            </w:r>
          </w:hyperlink>
        </w:p>
        <w:p w14:paraId="3B00FF32" w14:textId="58457FBF" w:rsidR="005A2D50" w:rsidRPr="005A2D50" w:rsidRDefault="005A2D50" w:rsidP="005A2D50">
          <w:pPr>
            <w:pStyle w:val="TOC1"/>
            <w:tabs>
              <w:tab w:val="right" w:leader="dot" w:pos="9065"/>
            </w:tabs>
            <w:spacing w:before="0"/>
            <w:jc w:val="both"/>
            <w:rPr>
              <w:rFonts w:asciiTheme="minorHAnsi" w:eastAsiaTheme="minorEastAsia" w:hAnsiTheme="minorHAnsi"/>
              <w:noProof/>
              <w:sz w:val="24"/>
              <w:szCs w:val="24"/>
              <w:lang w:val="en-US" w:eastAsia="lv-LV"/>
            </w:rPr>
          </w:pPr>
          <w:hyperlink w:anchor="_Toc104982800" w:history="1">
            <w:r w:rsidRPr="005A2D50">
              <w:rPr>
                <w:rStyle w:val="Hyperlink"/>
                <w:noProof/>
                <w:color w:val="auto"/>
                <w:sz w:val="24"/>
                <w:szCs w:val="24"/>
                <w:lang w:val="en-US"/>
              </w:rPr>
              <w:t>VI.1. Informācijas uzglabāšana</w:t>
            </w:r>
            <w:r w:rsidRPr="005A2D50">
              <w:rPr>
                <w:noProof/>
                <w:webHidden/>
                <w:sz w:val="24"/>
                <w:szCs w:val="24"/>
                <w:lang w:val="en-US"/>
              </w:rPr>
              <w:tab/>
            </w:r>
            <w:r w:rsidRPr="005A2D50">
              <w:rPr>
                <w:noProof/>
                <w:webHidden/>
                <w:sz w:val="24"/>
                <w:szCs w:val="24"/>
                <w:lang w:val="en-US"/>
              </w:rPr>
              <w:fldChar w:fldCharType="begin"/>
            </w:r>
            <w:r w:rsidRPr="005A2D50">
              <w:rPr>
                <w:noProof/>
                <w:webHidden/>
                <w:sz w:val="24"/>
                <w:szCs w:val="24"/>
                <w:lang w:val="en-US"/>
              </w:rPr>
              <w:instrText xml:space="preserve"> PAGEREF _Toc104982800 \h </w:instrText>
            </w:r>
            <w:r w:rsidRPr="005A2D50">
              <w:rPr>
                <w:noProof/>
                <w:webHidden/>
                <w:sz w:val="24"/>
                <w:szCs w:val="24"/>
                <w:lang w:val="en-US"/>
              </w:rPr>
            </w:r>
            <w:r w:rsidRPr="005A2D50">
              <w:rPr>
                <w:noProof/>
                <w:webHidden/>
                <w:sz w:val="24"/>
                <w:szCs w:val="24"/>
                <w:lang w:val="en-US"/>
              </w:rPr>
              <w:fldChar w:fldCharType="separate"/>
            </w:r>
            <w:r>
              <w:rPr>
                <w:noProof/>
                <w:webHidden/>
                <w:sz w:val="24"/>
                <w:szCs w:val="24"/>
                <w:lang w:val="en-US"/>
              </w:rPr>
              <w:t>49</w:t>
            </w:r>
            <w:r w:rsidRPr="005A2D50">
              <w:rPr>
                <w:noProof/>
                <w:webHidden/>
                <w:sz w:val="24"/>
                <w:szCs w:val="24"/>
                <w:lang w:val="en-US"/>
              </w:rPr>
              <w:fldChar w:fldCharType="end"/>
            </w:r>
          </w:hyperlink>
        </w:p>
        <w:p w14:paraId="304AF024" w14:textId="0286AB2E" w:rsidR="005A2D50" w:rsidRPr="005A2D50" w:rsidRDefault="005A2D50" w:rsidP="005A2D50">
          <w:pPr>
            <w:pStyle w:val="TOC1"/>
            <w:tabs>
              <w:tab w:val="right" w:leader="dot" w:pos="9065"/>
            </w:tabs>
            <w:spacing w:before="0"/>
            <w:jc w:val="both"/>
            <w:rPr>
              <w:rFonts w:asciiTheme="minorHAnsi" w:eastAsiaTheme="minorEastAsia" w:hAnsiTheme="minorHAnsi"/>
              <w:noProof/>
              <w:sz w:val="24"/>
              <w:szCs w:val="24"/>
              <w:lang w:val="en-US" w:eastAsia="lv-LV"/>
            </w:rPr>
          </w:pPr>
          <w:hyperlink w:anchor="_Toc104982801" w:history="1">
            <w:r w:rsidRPr="005A2D50">
              <w:rPr>
                <w:rStyle w:val="Hyperlink"/>
                <w:noProof/>
                <w:color w:val="auto"/>
                <w:sz w:val="24"/>
                <w:szCs w:val="24"/>
                <w:lang w:val="en-US"/>
              </w:rPr>
              <w:t>VI.2. Informācijas apmaiņa</w:t>
            </w:r>
            <w:r w:rsidRPr="005A2D50">
              <w:rPr>
                <w:noProof/>
                <w:webHidden/>
                <w:sz w:val="24"/>
                <w:szCs w:val="24"/>
                <w:lang w:val="en-US"/>
              </w:rPr>
              <w:tab/>
            </w:r>
            <w:r w:rsidRPr="005A2D50">
              <w:rPr>
                <w:noProof/>
                <w:webHidden/>
                <w:sz w:val="24"/>
                <w:szCs w:val="24"/>
                <w:lang w:val="en-US"/>
              </w:rPr>
              <w:fldChar w:fldCharType="begin"/>
            </w:r>
            <w:r w:rsidRPr="005A2D50">
              <w:rPr>
                <w:noProof/>
                <w:webHidden/>
                <w:sz w:val="24"/>
                <w:szCs w:val="24"/>
                <w:lang w:val="en-US"/>
              </w:rPr>
              <w:instrText xml:space="preserve"> PAGEREF _Toc104982801 \h </w:instrText>
            </w:r>
            <w:r w:rsidRPr="005A2D50">
              <w:rPr>
                <w:noProof/>
                <w:webHidden/>
                <w:sz w:val="24"/>
                <w:szCs w:val="24"/>
                <w:lang w:val="en-US"/>
              </w:rPr>
            </w:r>
            <w:r w:rsidRPr="005A2D50">
              <w:rPr>
                <w:noProof/>
                <w:webHidden/>
                <w:sz w:val="24"/>
                <w:szCs w:val="24"/>
                <w:lang w:val="en-US"/>
              </w:rPr>
              <w:fldChar w:fldCharType="separate"/>
            </w:r>
            <w:r>
              <w:rPr>
                <w:noProof/>
                <w:webHidden/>
                <w:sz w:val="24"/>
                <w:szCs w:val="24"/>
                <w:lang w:val="en-US"/>
              </w:rPr>
              <w:t>49</w:t>
            </w:r>
            <w:r w:rsidRPr="005A2D50">
              <w:rPr>
                <w:noProof/>
                <w:webHidden/>
                <w:sz w:val="24"/>
                <w:szCs w:val="24"/>
                <w:lang w:val="en-US"/>
              </w:rPr>
              <w:fldChar w:fldCharType="end"/>
            </w:r>
          </w:hyperlink>
        </w:p>
        <w:p w14:paraId="45EB59CA" w14:textId="5952A05E" w:rsidR="005A2D50" w:rsidRPr="005A2D50" w:rsidRDefault="005A2D50" w:rsidP="005A2D50">
          <w:pPr>
            <w:pStyle w:val="TOC2"/>
            <w:tabs>
              <w:tab w:val="right" w:leader="dot" w:pos="9065"/>
            </w:tabs>
            <w:spacing w:before="0"/>
            <w:ind w:left="284" w:firstLine="0"/>
            <w:jc w:val="both"/>
            <w:rPr>
              <w:rFonts w:asciiTheme="minorHAnsi" w:eastAsiaTheme="minorEastAsia" w:hAnsiTheme="minorHAnsi"/>
              <w:noProof/>
              <w:sz w:val="24"/>
              <w:szCs w:val="24"/>
              <w:lang w:val="en-US" w:eastAsia="lv-LV"/>
            </w:rPr>
          </w:pPr>
          <w:hyperlink w:anchor="_Toc104982802" w:history="1">
            <w:r w:rsidRPr="005A2D50">
              <w:rPr>
                <w:rStyle w:val="Hyperlink"/>
                <w:noProof/>
                <w:color w:val="auto"/>
                <w:sz w:val="24"/>
                <w:szCs w:val="24"/>
                <w:lang w:val="en-US"/>
              </w:rPr>
              <w:t>VI.2.1. Apmaiņas līdzekļi. Līdzekļi, kas nav elektroniskās datu apstrādes metodes</w:t>
            </w:r>
            <w:r w:rsidRPr="005A2D50">
              <w:rPr>
                <w:noProof/>
                <w:webHidden/>
                <w:sz w:val="24"/>
                <w:szCs w:val="24"/>
                <w:lang w:val="en-US"/>
              </w:rPr>
              <w:tab/>
            </w:r>
            <w:r w:rsidRPr="005A2D50">
              <w:rPr>
                <w:noProof/>
                <w:webHidden/>
                <w:sz w:val="24"/>
                <w:szCs w:val="24"/>
                <w:lang w:val="en-US"/>
              </w:rPr>
              <w:fldChar w:fldCharType="begin"/>
            </w:r>
            <w:r w:rsidRPr="005A2D50">
              <w:rPr>
                <w:noProof/>
                <w:webHidden/>
                <w:sz w:val="24"/>
                <w:szCs w:val="24"/>
                <w:lang w:val="en-US"/>
              </w:rPr>
              <w:instrText xml:space="preserve"> PAGEREF _Toc104982802 \h </w:instrText>
            </w:r>
            <w:r w:rsidRPr="005A2D50">
              <w:rPr>
                <w:noProof/>
                <w:webHidden/>
                <w:sz w:val="24"/>
                <w:szCs w:val="24"/>
                <w:lang w:val="en-US"/>
              </w:rPr>
            </w:r>
            <w:r w:rsidRPr="005A2D50">
              <w:rPr>
                <w:noProof/>
                <w:webHidden/>
                <w:sz w:val="24"/>
                <w:szCs w:val="24"/>
                <w:lang w:val="en-US"/>
              </w:rPr>
              <w:fldChar w:fldCharType="separate"/>
            </w:r>
            <w:r>
              <w:rPr>
                <w:noProof/>
                <w:webHidden/>
                <w:sz w:val="24"/>
                <w:szCs w:val="24"/>
                <w:lang w:val="en-US"/>
              </w:rPr>
              <w:t>49</w:t>
            </w:r>
            <w:r w:rsidRPr="005A2D50">
              <w:rPr>
                <w:noProof/>
                <w:webHidden/>
                <w:sz w:val="24"/>
                <w:szCs w:val="24"/>
                <w:lang w:val="en-US"/>
              </w:rPr>
              <w:fldChar w:fldCharType="end"/>
            </w:r>
          </w:hyperlink>
        </w:p>
        <w:p w14:paraId="70E06383" w14:textId="74C57A75" w:rsidR="005A2D50" w:rsidRPr="005A2D50" w:rsidRDefault="005A2D50" w:rsidP="005A2D50">
          <w:pPr>
            <w:pStyle w:val="TOC2"/>
            <w:tabs>
              <w:tab w:val="right" w:leader="dot" w:pos="9065"/>
            </w:tabs>
            <w:spacing w:before="0"/>
            <w:ind w:left="284" w:firstLine="0"/>
            <w:jc w:val="both"/>
            <w:rPr>
              <w:rFonts w:asciiTheme="minorHAnsi" w:eastAsiaTheme="minorEastAsia" w:hAnsiTheme="minorHAnsi"/>
              <w:noProof/>
              <w:sz w:val="24"/>
              <w:szCs w:val="24"/>
              <w:lang w:val="en-US" w:eastAsia="lv-LV"/>
            </w:rPr>
          </w:pPr>
          <w:hyperlink w:anchor="_Toc104982803" w:history="1">
            <w:r w:rsidRPr="005A2D50">
              <w:rPr>
                <w:rStyle w:val="Hyperlink"/>
                <w:noProof/>
                <w:color w:val="auto"/>
                <w:sz w:val="24"/>
                <w:szCs w:val="24"/>
                <w:lang w:val="en-US"/>
              </w:rPr>
              <w:t>VI.2.2. Dati, ar kuriem jāapmainās</w:t>
            </w:r>
            <w:r w:rsidRPr="005A2D50">
              <w:rPr>
                <w:noProof/>
                <w:webHidden/>
                <w:sz w:val="24"/>
                <w:szCs w:val="24"/>
                <w:lang w:val="en-US"/>
              </w:rPr>
              <w:tab/>
            </w:r>
            <w:r w:rsidRPr="005A2D50">
              <w:rPr>
                <w:noProof/>
                <w:webHidden/>
                <w:sz w:val="24"/>
                <w:szCs w:val="24"/>
                <w:lang w:val="en-US"/>
              </w:rPr>
              <w:fldChar w:fldCharType="begin"/>
            </w:r>
            <w:r w:rsidRPr="005A2D50">
              <w:rPr>
                <w:noProof/>
                <w:webHidden/>
                <w:sz w:val="24"/>
                <w:szCs w:val="24"/>
                <w:lang w:val="en-US"/>
              </w:rPr>
              <w:instrText xml:space="preserve"> PAGEREF _Toc104982803 \h </w:instrText>
            </w:r>
            <w:r w:rsidRPr="005A2D50">
              <w:rPr>
                <w:noProof/>
                <w:webHidden/>
                <w:sz w:val="24"/>
                <w:szCs w:val="24"/>
                <w:lang w:val="en-US"/>
              </w:rPr>
            </w:r>
            <w:r w:rsidRPr="005A2D50">
              <w:rPr>
                <w:noProof/>
                <w:webHidden/>
                <w:sz w:val="24"/>
                <w:szCs w:val="24"/>
                <w:lang w:val="en-US"/>
              </w:rPr>
              <w:fldChar w:fldCharType="separate"/>
            </w:r>
            <w:r>
              <w:rPr>
                <w:noProof/>
                <w:webHidden/>
                <w:sz w:val="24"/>
                <w:szCs w:val="24"/>
                <w:lang w:val="en-US"/>
              </w:rPr>
              <w:t>49</w:t>
            </w:r>
            <w:r w:rsidRPr="005A2D50">
              <w:rPr>
                <w:noProof/>
                <w:webHidden/>
                <w:sz w:val="24"/>
                <w:szCs w:val="24"/>
                <w:lang w:val="en-US"/>
              </w:rPr>
              <w:fldChar w:fldCharType="end"/>
            </w:r>
          </w:hyperlink>
        </w:p>
        <w:p w14:paraId="6B567D37" w14:textId="7A9A256F" w:rsidR="005A2D50" w:rsidRPr="005A2D50" w:rsidRDefault="005A2D50" w:rsidP="005A2D50">
          <w:pPr>
            <w:pStyle w:val="TOC1"/>
            <w:tabs>
              <w:tab w:val="right" w:leader="dot" w:pos="9065"/>
            </w:tabs>
            <w:spacing w:before="0"/>
            <w:jc w:val="both"/>
            <w:rPr>
              <w:rFonts w:asciiTheme="minorHAnsi" w:eastAsiaTheme="minorEastAsia" w:hAnsiTheme="minorHAnsi"/>
              <w:noProof/>
              <w:sz w:val="24"/>
              <w:szCs w:val="24"/>
              <w:lang w:val="en-US" w:eastAsia="lv-LV"/>
            </w:rPr>
          </w:pPr>
          <w:hyperlink w:anchor="_Toc104982804" w:history="1">
            <w:r w:rsidRPr="005A2D50">
              <w:rPr>
                <w:rStyle w:val="Hyperlink"/>
                <w:noProof/>
                <w:color w:val="auto"/>
                <w:sz w:val="24"/>
                <w:szCs w:val="24"/>
                <w:lang w:val="en-US"/>
              </w:rPr>
              <w:t>VI.3. Apspriešanās procedūra</w:t>
            </w:r>
            <w:r w:rsidRPr="005A2D50">
              <w:rPr>
                <w:noProof/>
                <w:webHidden/>
                <w:sz w:val="24"/>
                <w:szCs w:val="24"/>
                <w:lang w:val="en-US"/>
              </w:rPr>
              <w:tab/>
            </w:r>
            <w:r w:rsidRPr="005A2D50">
              <w:rPr>
                <w:noProof/>
                <w:webHidden/>
                <w:sz w:val="24"/>
                <w:szCs w:val="24"/>
                <w:lang w:val="en-US"/>
              </w:rPr>
              <w:fldChar w:fldCharType="begin"/>
            </w:r>
            <w:r w:rsidRPr="005A2D50">
              <w:rPr>
                <w:noProof/>
                <w:webHidden/>
                <w:sz w:val="24"/>
                <w:szCs w:val="24"/>
                <w:lang w:val="en-US"/>
              </w:rPr>
              <w:instrText xml:space="preserve"> PAGEREF _Toc104982804 \h </w:instrText>
            </w:r>
            <w:r w:rsidRPr="005A2D50">
              <w:rPr>
                <w:noProof/>
                <w:webHidden/>
                <w:sz w:val="24"/>
                <w:szCs w:val="24"/>
                <w:lang w:val="en-US"/>
              </w:rPr>
            </w:r>
            <w:r w:rsidRPr="005A2D50">
              <w:rPr>
                <w:noProof/>
                <w:webHidden/>
                <w:sz w:val="24"/>
                <w:szCs w:val="24"/>
                <w:lang w:val="en-US"/>
              </w:rPr>
              <w:fldChar w:fldCharType="separate"/>
            </w:r>
            <w:r>
              <w:rPr>
                <w:noProof/>
                <w:webHidden/>
                <w:sz w:val="24"/>
                <w:szCs w:val="24"/>
                <w:lang w:val="en-US"/>
              </w:rPr>
              <w:t>56</w:t>
            </w:r>
            <w:r w:rsidRPr="005A2D50">
              <w:rPr>
                <w:noProof/>
                <w:webHidden/>
                <w:sz w:val="24"/>
                <w:szCs w:val="24"/>
                <w:lang w:val="en-US"/>
              </w:rPr>
              <w:fldChar w:fldCharType="end"/>
            </w:r>
          </w:hyperlink>
        </w:p>
        <w:p w14:paraId="700EA515" w14:textId="07AA83F6" w:rsidR="005A2D50" w:rsidRPr="005A2D50" w:rsidRDefault="005A2D50" w:rsidP="005A2D50">
          <w:pPr>
            <w:pStyle w:val="TOC2"/>
            <w:tabs>
              <w:tab w:val="right" w:leader="dot" w:pos="9065"/>
            </w:tabs>
            <w:spacing w:before="0"/>
            <w:ind w:left="284" w:firstLine="0"/>
            <w:jc w:val="both"/>
            <w:rPr>
              <w:rFonts w:asciiTheme="minorHAnsi" w:eastAsiaTheme="minorEastAsia" w:hAnsiTheme="minorHAnsi"/>
              <w:noProof/>
              <w:sz w:val="24"/>
              <w:szCs w:val="24"/>
              <w:lang w:val="en-US" w:eastAsia="lv-LV"/>
            </w:rPr>
          </w:pPr>
          <w:hyperlink w:anchor="_Toc104982805" w:history="1">
            <w:r w:rsidRPr="005A2D50">
              <w:rPr>
                <w:rStyle w:val="Hyperlink"/>
                <w:noProof/>
                <w:color w:val="auto"/>
                <w:sz w:val="24"/>
                <w:szCs w:val="24"/>
                <w:lang w:val="en-US"/>
              </w:rPr>
              <w:t>VI.3.1. Atsauces summas sadalījuma akceptēšana</w:t>
            </w:r>
            <w:r w:rsidRPr="005A2D50">
              <w:rPr>
                <w:noProof/>
                <w:webHidden/>
                <w:sz w:val="24"/>
                <w:szCs w:val="24"/>
                <w:lang w:val="en-US"/>
              </w:rPr>
              <w:tab/>
            </w:r>
            <w:r w:rsidRPr="005A2D50">
              <w:rPr>
                <w:noProof/>
                <w:webHidden/>
                <w:sz w:val="24"/>
                <w:szCs w:val="24"/>
                <w:lang w:val="en-US"/>
              </w:rPr>
              <w:fldChar w:fldCharType="begin"/>
            </w:r>
            <w:r w:rsidRPr="005A2D50">
              <w:rPr>
                <w:noProof/>
                <w:webHidden/>
                <w:sz w:val="24"/>
                <w:szCs w:val="24"/>
                <w:lang w:val="en-US"/>
              </w:rPr>
              <w:instrText xml:space="preserve"> PAGEREF _Toc104982805 \h </w:instrText>
            </w:r>
            <w:r w:rsidRPr="005A2D50">
              <w:rPr>
                <w:noProof/>
                <w:webHidden/>
                <w:sz w:val="24"/>
                <w:szCs w:val="24"/>
                <w:lang w:val="en-US"/>
              </w:rPr>
            </w:r>
            <w:r w:rsidRPr="005A2D50">
              <w:rPr>
                <w:noProof/>
                <w:webHidden/>
                <w:sz w:val="24"/>
                <w:szCs w:val="24"/>
                <w:lang w:val="en-US"/>
              </w:rPr>
              <w:fldChar w:fldCharType="separate"/>
            </w:r>
            <w:r>
              <w:rPr>
                <w:noProof/>
                <w:webHidden/>
                <w:sz w:val="24"/>
                <w:szCs w:val="24"/>
                <w:lang w:val="en-US"/>
              </w:rPr>
              <w:t>57</w:t>
            </w:r>
            <w:r w:rsidRPr="005A2D50">
              <w:rPr>
                <w:noProof/>
                <w:webHidden/>
                <w:sz w:val="24"/>
                <w:szCs w:val="24"/>
                <w:lang w:val="en-US"/>
              </w:rPr>
              <w:fldChar w:fldCharType="end"/>
            </w:r>
          </w:hyperlink>
        </w:p>
        <w:p w14:paraId="7CE00B70" w14:textId="7CF271F4" w:rsidR="005A2D50" w:rsidRPr="005A2D50" w:rsidRDefault="005A2D50" w:rsidP="005A2D50">
          <w:pPr>
            <w:pStyle w:val="TOC2"/>
            <w:tabs>
              <w:tab w:val="right" w:leader="dot" w:pos="9065"/>
            </w:tabs>
            <w:spacing w:before="0"/>
            <w:ind w:left="284" w:firstLine="0"/>
            <w:jc w:val="both"/>
            <w:rPr>
              <w:rFonts w:asciiTheme="minorHAnsi" w:eastAsiaTheme="minorEastAsia" w:hAnsiTheme="minorHAnsi"/>
              <w:noProof/>
              <w:sz w:val="24"/>
              <w:szCs w:val="24"/>
              <w:lang w:val="en-US" w:eastAsia="lv-LV"/>
            </w:rPr>
          </w:pPr>
          <w:hyperlink w:anchor="_Toc104982806" w:history="1">
            <w:r w:rsidRPr="005A2D50">
              <w:rPr>
                <w:rStyle w:val="Hyperlink"/>
                <w:noProof/>
                <w:color w:val="auto"/>
                <w:sz w:val="24"/>
                <w:szCs w:val="24"/>
                <w:lang w:val="en-US"/>
              </w:rPr>
              <w:t>VI.3.2. Atsauces summas piedāvātā sadalījuma noraidīšana</w:t>
            </w:r>
            <w:r w:rsidRPr="005A2D50">
              <w:rPr>
                <w:noProof/>
                <w:webHidden/>
                <w:sz w:val="24"/>
                <w:szCs w:val="24"/>
                <w:lang w:val="en-US"/>
              </w:rPr>
              <w:tab/>
            </w:r>
            <w:r w:rsidRPr="005A2D50">
              <w:rPr>
                <w:noProof/>
                <w:webHidden/>
                <w:sz w:val="24"/>
                <w:szCs w:val="24"/>
                <w:lang w:val="en-US"/>
              </w:rPr>
              <w:fldChar w:fldCharType="begin"/>
            </w:r>
            <w:r w:rsidRPr="005A2D50">
              <w:rPr>
                <w:noProof/>
                <w:webHidden/>
                <w:sz w:val="24"/>
                <w:szCs w:val="24"/>
                <w:lang w:val="en-US"/>
              </w:rPr>
              <w:instrText xml:space="preserve"> PAGEREF _Toc104982806 \h </w:instrText>
            </w:r>
            <w:r w:rsidRPr="005A2D50">
              <w:rPr>
                <w:noProof/>
                <w:webHidden/>
                <w:sz w:val="24"/>
                <w:szCs w:val="24"/>
                <w:lang w:val="en-US"/>
              </w:rPr>
            </w:r>
            <w:r w:rsidRPr="005A2D50">
              <w:rPr>
                <w:noProof/>
                <w:webHidden/>
                <w:sz w:val="24"/>
                <w:szCs w:val="24"/>
                <w:lang w:val="en-US"/>
              </w:rPr>
              <w:fldChar w:fldCharType="separate"/>
            </w:r>
            <w:r>
              <w:rPr>
                <w:noProof/>
                <w:webHidden/>
                <w:sz w:val="24"/>
                <w:szCs w:val="24"/>
                <w:lang w:val="en-US"/>
              </w:rPr>
              <w:t>57</w:t>
            </w:r>
            <w:r w:rsidRPr="005A2D50">
              <w:rPr>
                <w:noProof/>
                <w:webHidden/>
                <w:sz w:val="24"/>
                <w:szCs w:val="24"/>
                <w:lang w:val="en-US"/>
              </w:rPr>
              <w:fldChar w:fldCharType="end"/>
            </w:r>
          </w:hyperlink>
        </w:p>
        <w:p w14:paraId="3A23CEC9" w14:textId="406A0137" w:rsidR="005A2D50" w:rsidRPr="005A2D50" w:rsidRDefault="005A2D50" w:rsidP="005A2D50">
          <w:pPr>
            <w:pStyle w:val="TOC1"/>
            <w:tabs>
              <w:tab w:val="right" w:leader="dot" w:pos="9065"/>
            </w:tabs>
            <w:spacing w:before="0"/>
            <w:jc w:val="both"/>
            <w:rPr>
              <w:rStyle w:val="Hyperlink"/>
              <w:noProof/>
              <w:color w:val="auto"/>
              <w:sz w:val="24"/>
              <w:szCs w:val="24"/>
              <w:lang w:val="en-US"/>
            </w:rPr>
          </w:pPr>
          <w:hyperlink w:anchor="_Toc104982807" w:history="1">
            <w:r w:rsidRPr="005A2D50">
              <w:rPr>
                <w:rStyle w:val="Hyperlink"/>
                <w:noProof/>
                <w:color w:val="auto"/>
                <w:sz w:val="24"/>
                <w:szCs w:val="24"/>
                <w:lang w:val="en-US"/>
              </w:rPr>
              <w:t>VI.4. Atsauces summas pārraudzība pārejas posmā</w:t>
            </w:r>
            <w:r w:rsidRPr="005A2D50">
              <w:rPr>
                <w:noProof/>
                <w:webHidden/>
                <w:sz w:val="24"/>
                <w:szCs w:val="24"/>
                <w:lang w:val="en-US"/>
              </w:rPr>
              <w:tab/>
            </w:r>
            <w:r w:rsidRPr="005A2D50">
              <w:rPr>
                <w:noProof/>
                <w:webHidden/>
                <w:sz w:val="24"/>
                <w:szCs w:val="24"/>
                <w:lang w:val="en-US"/>
              </w:rPr>
              <w:fldChar w:fldCharType="begin"/>
            </w:r>
            <w:r w:rsidRPr="005A2D50">
              <w:rPr>
                <w:noProof/>
                <w:webHidden/>
                <w:sz w:val="24"/>
                <w:szCs w:val="24"/>
                <w:lang w:val="en-US"/>
              </w:rPr>
              <w:instrText xml:space="preserve"> PAGEREF _Toc104982807 \h </w:instrText>
            </w:r>
            <w:r w:rsidRPr="005A2D50">
              <w:rPr>
                <w:noProof/>
                <w:webHidden/>
                <w:sz w:val="24"/>
                <w:szCs w:val="24"/>
                <w:lang w:val="en-US"/>
              </w:rPr>
            </w:r>
            <w:r w:rsidRPr="005A2D50">
              <w:rPr>
                <w:noProof/>
                <w:webHidden/>
                <w:sz w:val="24"/>
                <w:szCs w:val="24"/>
                <w:lang w:val="en-US"/>
              </w:rPr>
              <w:fldChar w:fldCharType="separate"/>
            </w:r>
            <w:r>
              <w:rPr>
                <w:noProof/>
                <w:webHidden/>
                <w:sz w:val="24"/>
                <w:szCs w:val="24"/>
                <w:lang w:val="en-US"/>
              </w:rPr>
              <w:t>58</w:t>
            </w:r>
            <w:r w:rsidRPr="005A2D50">
              <w:rPr>
                <w:noProof/>
                <w:webHidden/>
                <w:sz w:val="24"/>
                <w:szCs w:val="24"/>
                <w:lang w:val="en-US"/>
              </w:rPr>
              <w:fldChar w:fldCharType="end"/>
            </w:r>
          </w:hyperlink>
        </w:p>
        <w:p w14:paraId="0AC0BBAE" w14:textId="77777777" w:rsidR="005A2D50" w:rsidRPr="005A2D50" w:rsidRDefault="005A2D50" w:rsidP="005A2D50">
          <w:pPr>
            <w:pStyle w:val="TOC1"/>
            <w:tabs>
              <w:tab w:val="right" w:leader="dot" w:pos="9065"/>
            </w:tabs>
            <w:spacing w:before="0"/>
            <w:jc w:val="both"/>
            <w:rPr>
              <w:rFonts w:asciiTheme="minorHAnsi" w:eastAsiaTheme="minorEastAsia" w:hAnsiTheme="minorHAnsi"/>
              <w:noProof/>
              <w:sz w:val="24"/>
              <w:szCs w:val="24"/>
              <w:lang w:val="en-US" w:eastAsia="lv-LV"/>
            </w:rPr>
          </w:pPr>
        </w:p>
        <w:p w14:paraId="1EECC0B4" w14:textId="28E3E634" w:rsidR="005A2D50" w:rsidRPr="005A2D50" w:rsidRDefault="005A2D50" w:rsidP="005A2D50">
          <w:pPr>
            <w:pStyle w:val="TOC1"/>
            <w:tabs>
              <w:tab w:val="right" w:leader="dot" w:pos="9065"/>
            </w:tabs>
            <w:spacing w:before="0"/>
            <w:jc w:val="both"/>
            <w:rPr>
              <w:rFonts w:asciiTheme="minorHAnsi" w:eastAsiaTheme="minorEastAsia" w:hAnsiTheme="minorHAnsi"/>
              <w:noProof/>
              <w:sz w:val="24"/>
              <w:szCs w:val="24"/>
              <w:lang w:val="en-US" w:eastAsia="lv-LV"/>
            </w:rPr>
          </w:pPr>
          <w:hyperlink w:anchor="_Toc104982808" w:history="1">
            <w:r w:rsidRPr="005A2D50">
              <w:rPr>
                <w:rStyle w:val="Hyperlink"/>
                <w:noProof/>
                <w:color w:val="auto"/>
                <w:sz w:val="24"/>
                <w:szCs w:val="24"/>
                <w:lang w:val="en-US"/>
              </w:rPr>
              <w:t>VII. PIELIKUMI</w:t>
            </w:r>
            <w:r w:rsidRPr="005A2D50">
              <w:rPr>
                <w:noProof/>
                <w:webHidden/>
                <w:sz w:val="24"/>
                <w:szCs w:val="24"/>
                <w:lang w:val="en-US"/>
              </w:rPr>
              <w:tab/>
            </w:r>
            <w:r w:rsidRPr="005A2D50">
              <w:rPr>
                <w:noProof/>
                <w:webHidden/>
                <w:sz w:val="24"/>
                <w:szCs w:val="24"/>
                <w:lang w:val="en-US"/>
              </w:rPr>
              <w:fldChar w:fldCharType="begin"/>
            </w:r>
            <w:r w:rsidRPr="005A2D50">
              <w:rPr>
                <w:noProof/>
                <w:webHidden/>
                <w:sz w:val="24"/>
                <w:szCs w:val="24"/>
                <w:lang w:val="en-US"/>
              </w:rPr>
              <w:instrText xml:space="preserve"> PAGEREF _Toc104982808 \h </w:instrText>
            </w:r>
            <w:r w:rsidRPr="005A2D50">
              <w:rPr>
                <w:noProof/>
                <w:webHidden/>
                <w:sz w:val="24"/>
                <w:szCs w:val="24"/>
                <w:lang w:val="en-US"/>
              </w:rPr>
            </w:r>
            <w:r w:rsidRPr="005A2D50">
              <w:rPr>
                <w:noProof/>
                <w:webHidden/>
                <w:sz w:val="24"/>
                <w:szCs w:val="24"/>
                <w:lang w:val="en-US"/>
              </w:rPr>
              <w:fldChar w:fldCharType="separate"/>
            </w:r>
            <w:r>
              <w:rPr>
                <w:noProof/>
                <w:webHidden/>
                <w:sz w:val="24"/>
                <w:szCs w:val="24"/>
                <w:lang w:val="en-US"/>
              </w:rPr>
              <w:t>59</w:t>
            </w:r>
            <w:r w:rsidRPr="005A2D50">
              <w:rPr>
                <w:noProof/>
                <w:webHidden/>
                <w:sz w:val="24"/>
                <w:szCs w:val="24"/>
                <w:lang w:val="en-US"/>
              </w:rPr>
              <w:fldChar w:fldCharType="end"/>
            </w:r>
          </w:hyperlink>
        </w:p>
        <w:p w14:paraId="7BA97F98" w14:textId="751D5FDD" w:rsidR="005A2D50" w:rsidRPr="005A2D50" w:rsidRDefault="005A2D50" w:rsidP="005A2D50">
          <w:pPr>
            <w:pStyle w:val="TOC1"/>
            <w:tabs>
              <w:tab w:val="right" w:leader="dot" w:pos="9065"/>
            </w:tabs>
            <w:spacing w:before="0"/>
            <w:jc w:val="both"/>
            <w:rPr>
              <w:rFonts w:asciiTheme="minorHAnsi" w:eastAsiaTheme="minorEastAsia" w:hAnsiTheme="minorHAnsi"/>
              <w:noProof/>
              <w:sz w:val="24"/>
              <w:szCs w:val="24"/>
              <w:lang w:val="en-US" w:eastAsia="lv-LV"/>
            </w:rPr>
          </w:pPr>
          <w:hyperlink w:anchor="_Toc104982809" w:history="1">
            <w:r w:rsidRPr="005A2D50">
              <w:rPr>
                <w:rStyle w:val="Hyperlink"/>
                <w:noProof/>
                <w:color w:val="auto"/>
                <w:sz w:val="24"/>
                <w:szCs w:val="24"/>
                <w:lang w:val="en-US"/>
              </w:rPr>
              <w:t xml:space="preserve">1. pielikums. Īpašas datu prasības attiecībā uz pieteikumu un </w:t>
            </w:r>
            <w:r w:rsidRPr="005A2D50">
              <w:rPr>
                <w:rStyle w:val="Hyperlink"/>
                <w:i/>
                <w:iCs/>
                <w:noProof/>
                <w:color w:val="auto"/>
                <w:sz w:val="24"/>
                <w:szCs w:val="24"/>
                <w:lang w:val="en-US"/>
              </w:rPr>
              <w:t xml:space="preserve">CGU </w:t>
            </w:r>
            <w:r w:rsidRPr="005A2D50">
              <w:rPr>
                <w:rStyle w:val="Hyperlink"/>
                <w:noProof/>
                <w:color w:val="auto"/>
                <w:sz w:val="24"/>
                <w:szCs w:val="24"/>
                <w:lang w:val="en-US"/>
              </w:rPr>
              <w:t>atļauju, tostarp iespējams samazinājums vai atbrīvojums (SMK DA A pielikums, VI sadaļa)</w:t>
            </w:r>
            <w:r w:rsidRPr="005A2D50">
              <w:rPr>
                <w:noProof/>
                <w:webHidden/>
                <w:sz w:val="24"/>
                <w:szCs w:val="24"/>
                <w:lang w:val="en-US"/>
              </w:rPr>
              <w:tab/>
            </w:r>
            <w:r w:rsidRPr="005A2D50">
              <w:rPr>
                <w:noProof/>
                <w:webHidden/>
                <w:sz w:val="24"/>
                <w:szCs w:val="24"/>
                <w:lang w:val="en-US"/>
              </w:rPr>
              <w:fldChar w:fldCharType="begin"/>
            </w:r>
            <w:r w:rsidRPr="005A2D50">
              <w:rPr>
                <w:noProof/>
                <w:webHidden/>
                <w:sz w:val="24"/>
                <w:szCs w:val="24"/>
                <w:lang w:val="en-US"/>
              </w:rPr>
              <w:instrText xml:space="preserve"> PAGEREF _Toc104982809 \h </w:instrText>
            </w:r>
            <w:r w:rsidRPr="005A2D50">
              <w:rPr>
                <w:noProof/>
                <w:webHidden/>
                <w:sz w:val="24"/>
                <w:szCs w:val="24"/>
                <w:lang w:val="en-US"/>
              </w:rPr>
            </w:r>
            <w:r w:rsidRPr="005A2D50">
              <w:rPr>
                <w:noProof/>
                <w:webHidden/>
                <w:sz w:val="24"/>
                <w:szCs w:val="24"/>
                <w:lang w:val="en-US"/>
              </w:rPr>
              <w:fldChar w:fldCharType="separate"/>
            </w:r>
            <w:r>
              <w:rPr>
                <w:noProof/>
                <w:webHidden/>
                <w:sz w:val="24"/>
                <w:szCs w:val="24"/>
                <w:lang w:val="en-US"/>
              </w:rPr>
              <w:t>59</w:t>
            </w:r>
            <w:r w:rsidRPr="005A2D50">
              <w:rPr>
                <w:noProof/>
                <w:webHidden/>
                <w:sz w:val="24"/>
                <w:szCs w:val="24"/>
                <w:lang w:val="en-US"/>
              </w:rPr>
              <w:fldChar w:fldCharType="end"/>
            </w:r>
          </w:hyperlink>
        </w:p>
        <w:p w14:paraId="3090F1FD" w14:textId="583F01E1" w:rsidR="005A2D50" w:rsidRPr="005A2D50" w:rsidRDefault="005A2D50" w:rsidP="005A2D50">
          <w:pPr>
            <w:pStyle w:val="TOC1"/>
            <w:tabs>
              <w:tab w:val="right" w:leader="dot" w:pos="9065"/>
            </w:tabs>
            <w:spacing w:before="0"/>
            <w:jc w:val="both"/>
            <w:rPr>
              <w:rFonts w:asciiTheme="minorHAnsi" w:eastAsiaTheme="minorEastAsia" w:hAnsiTheme="minorHAnsi"/>
              <w:noProof/>
              <w:sz w:val="24"/>
              <w:szCs w:val="24"/>
              <w:lang w:val="en-US" w:eastAsia="lv-LV"/>
            </w:rPr>
          </w:pPr>
          <w:hyperlink w:anchor="_Toc104982810" w:history="1">
            <w:r w:rsidRPr="005A2D50">
              <w:rPr>
                <w:rStyle w:val="Hyperlink"/>
                <w:noProof/>
                <w:color w:val="auto"/>
                <w:sz w:val="24"/>
                <w:szCs w:val="24"/>
                <w:lang w:val="en-US"/>
              </w:rPr>
              <w:t>SMK DA A pielikums, I sadaļa. Galvojuma atsauces (datu elementi), kas jānorāda citiem pieteikumiem un atļaujām</w:t>
            </w:r>
            <w:r w:rsidRPr="005A2D50">
              <w:rPr>
                <w:noProof/>
                <w:webHidden/>
                <w:sz w:val="24"/>
                <w:szCs w:val="24"/>
                <w:lang w:val="en-US"/>
              </w:rPr>
              <w:tab/>
            </w:r>
            <w:r w:rsidRPr="005A2D50">
              <w:rPr>
                <w:noProof/>
                <w:webHidden/>
                <w:sz w:val="24"/>
                <w:szCs w:val="24"/>
                <w:lang w:val="en-US"/>
              </w:rPr>
              <w:fldChar w:fldCharType="begin"/>
            </w:r>
            <w:r w:rsidRPr="005A2D50">
              <w:rPr>
                <w:noProof/>
                <w:webHidden/>
                <w:sz w:val="24"/>
                <w:szCs w:val="24"/>
                <w:lang w:val="en-US"/>
              </w:rPr>
              <w:instrText xml:space="preserve"> PAGEREF _Toc104982810 \h </w:instrText>
            </w:r>
            <w:r w:rsidRPr="005A2D50">
              <w:rPr>
                <w:noProof/>
                <w:webHidden/>
                <w:sz w:val="24"/>
                <w:szCs w:val="24"/>
                <w:lang w:val="en-US"/>
              </w:rPr>
            </w:r>
            <w:r w:rsidRPr="005A2D50">
              <w:rPr>
                <w:noProof/>
                <w:webHidden/>
                <w:sz w:val="24"/>
                <w:szCs w:val="24"/>
                <w:lang w:val="en-US"/>
              </w:rPr>
              <w:fldChar w:fldCharType="separate"/>
            </w:r>
            <w:r>
              <w:rPr>
                <w:noProof/>
                <w:webHidden/>
                <w:sz w:val="24"/>
                <w:szCs w:val="24"/>
                <w:lang w:val="en-US"/>
              </w:rPr>
              <w:t>60</w:t>
            </w:r>
            <w:r w:rsidRPr="005A2D50">
              <w:rPr>
                <w:noProof/>
                <w:webHidden/>
                <w:sz w:val="24"/>
                <w:szCs w:val="24"/>
                <w:lang w:val="en-US"/>
              </w:rPr>
              <w:fldChar w:fldCharType="end"/>
            </w:r>
          </w:hyperlink>
        </w:p>
        <w:p w14:paraId="43A055D8" w14:textId="727A98E9" w:rsidR="005A2D50" w:rsidRPr="005A2D50" w:rsidRDefault="005A2D50" w:rsidP="005A2D50">
          <w:pPr>
            <w:pStyle w:val="TOC1"/>
            <w:tabs>
              <w:tab w:val="right" w:leader="dot" w:pos="9065"/>
            </w:tabs>
            <w:spacing w:before="0"/>
            <w:jc w:val="both"/>
            <w:rPr>
              <w:rFonts w:asciiTheme="minorHAnsi" w:eastAsiaTheme="minorEastAsia" w:hAnsiTheme="minorHAnsi"/>
              <w:noProof/>
              <w:sz w:val="24"/>
              <w:szCs w:val="24"/>
              <w:lang w:val="en-US" w:eastAsia="lv-LV"/>
            </w:rPr>
          </w:pPr>
          <w:hyperlink w:anchor="_Toc104982811" w:history="1">
            <w:r w:rsidRPr="005A2D50">
              <w:rPr>
                <w:rStyle w:val="Hyperlink"/>
                <w:noProof/>
                <w:color w:val="auto"/>
                <w:sz w:val="24"/>
                <w:szCs w:val="24"/>
                <w:lang w:val="en-US"/>
              </w:rPr>
              <w:t>2. pielikums. Piemēri</w:t>
            </w:r>
            <w:r w:rsidRPr="005A2D50">
              <w:rPr>
                <w:noProof/>
                <w:webHidden/>
                <w:sz w:val="24"/>
                <w:szCs w:val="24"/>
                <w:lang w:val="en-US"/>
              </w:rPr>
              <w:tab/>
            </w:r>
            <w:r w:rsidRPr="005A2D50">
              <w:rPr>
                <w:noProof/>
                <w:webHidden/>
                <w:sz w:val="24"/>
                <w:szCs w:val="24"/>
                <w:lang w:val="en-US"/>
              </w:rPr>
              <w:fldChar w:fldCharType="begin"/>
            </w:r>
            <w:r w:rsidRPr="005A2D50">
              <w:rPr>
                <w:noProof/>
                <w:webHidden/>
                <w:sz w:val="24"/>
                <w:szCs w:val="24"/>
                <w:lang w:val="en-US"/>
              </w:rPr>
              <w:instrText xml:space="preserve"> PAGEREF _Toc104982811 \h </w:instrText>
            </w:r>
            <w:r w:rsidRPr="005A2D50">
              <w:rPr>
                <w:noProof/>
                <w:webHidden/>
                <w:sz w:val="24"/>
                <w:szCs w:val="24"/>
                <w:lang w:val="en-US"/>
              </w:rPr>
            </w:r>
            <w:r w:rsidRPr="005A2D50">
              <w:rPr>
                <w:noProof/>
                <w:webHidden/>
                <w:sz w:val="24"/>
                <w:szCs w:val="24"/>
                <w:lang w:val="en-US"/>
              </w:rPr>
              <w:fldChar w:fldCharType="separate"/>
            </w:r>
            <w:r>
              <w:rPr>
                <w:noProof/>
                <w:webHidden/>
                <w:sz w:val="24"/>
                <w:szCs w:val="24"/>
                <w:lang w:val="en-US"/>
              </w:rPr>
              <w:t>61</w:t>
            </w:r>
            <w:r w:rsidRPr="005A2D50">
              <w:rPr>
                <w:noProof/>
                <w:webHidden/>
                <w:sz w:val="24"/>
                <w:szCs w:val="24"/>
                <w:lang w:val="en-US"/>
              </w:rPr>
              <w:fldChar w:fldCharType="end"/>
            </w:r>
          </w:hyperlink>
        </w:p>
        <w:p w14:paraId="790A1EA0" w14:textId="6218CF9E" w:rsidR="005A2D50" w:rsidRPr="005A2D50" w:rsidRDefault="005A2D50" w:rsidP="005A2D50">
          <w:pPr>
            <w:pStyle w:val="TOC2"/>
            <w:tabs>
              <w:tab w:val="right" w:leader="dot" w:pos="9065"/>
            </w:tabs>
            <w:spacing w:before="0"/>
            <w:ind w:left="284" w:firstLine="0"/>
            <w:jc w:val="both"/>
            <w:rPr>
              <w:rFonts w:asciiTheme="minorHAnsi" w:eastAsiaTheme="minorEastAsia" w:hAnsiTheme="minorHAnsi"/>
              <w:noProof/>
              <w:sz w:val="24"/>
              <w:szCs w:val="24"/>
              <w:lang w:val="en-US" w:eastAsia="lv-LV"/>
            </w:rPr>
          </w:pPr>
          <w:hyperlink w:anchor="_Toc104982812" w:history="1">
            <w:r w:rsidRPr="005A2D50">
              <w:rPr>
                <w:rStyle w:val="Hyperlink"/>
                <w:noProof/>
                <w:color w:val="auto"/>
                <w:sz w:val="24"/>
                <w:szCs w:val="24"/>
                <w:lang w:val="en-US"/>
              </w:rPr>
              <w:t>A2.1. Summas aprēķins vispārējam galvojumam ar iespējamu samazinājumu/atbrīvojumu</w:t>
            </w:r>
            <w:r w:rsidRPr="005A2D50">
              <w:rPr>
                <w:noProof/>
                <w:webHidden/>
                <w:sz w:val="24"/>
                <w:szCs w:val="24"/>
                <w:lang w:val="en-US"/>
              </w:rPr>
              <w:tab/>
            </w:r>
            <w:r w:rsidRPr="005A2D50">
              <w:rPr>
                <w:noProof/>
                <w:webHidden/>
                <w:sz w:val="24"/>
                <w:szCs w:val="24"/>
                <w:lang w:val="en-US"/>
              </w:rPr>
              <w:fldChar w:fldCharType="begin"/>
            </w:r>
            <w:r w:rsidRPr="005A2D50">
              <w:rPr>
                <w:noProof/>
                <w:webHidden/>
                <w:sz w:val="24"/>
                <w:szCs w:val="24"/>
                <w:lang w:val="en-US"/>
              </w:rPr>
              <w:instrText xml:space="preserve"> PAGEREF _Toc104982812 \h </w:instrText>
            </w:r>
            <w:r w:rsidRPr="005A2D50">
              <w:rPr>
                <w:noProof/>
                <w:webHidden/>
                <w:sz w:val="24"/>
                <w:szCs w:val="24"/>
                <w:lang w:val="en-US"/>
              </w:rPr>
            </w:r>
            <w:r w:rsidRPr="005A2D50">
              <w:rPr>
                <w:noProof/>
                <w:webHidden/>
                <w:sz w:val="24"/>
                <w:szCs w:val="24"/>
                <w:lang w:val="en-US"/>
              </w:rPr>
              <w:fldChar w:fldCharType="separate"/>
            </w:r>
            <w:r>
              <w:rPr>
                <w:noProof/>
                <w:webHidden/>
                <w:sz w:val="24"/>
                <w:szCs w:val="24"/>
                <w:lang w:val="en-US"/>
              </w:rPr>
              <w:t>61</w:t>
            </w:r>
            <w:r w:rsidRPr="005A2D50">
              <w:rPr>
                <w:noProof/>
                <w:webHidden/>
                <w:sz w:val="24"/>
                <w:szCs w:val="24"/>
                <w:lang w:val="en-US"/>
              </w:rPr>
              <w:fldChar w:fldCharType="end"/>
            </w:r>
          </w:hyperlink>
        </w:p>
        <w:p w14:paraId="1445D431" w14:textId="2A6AAB11" w:rsidR="005A2D50" w:rsidRPr="005A2D50" w:rsidRDefault="005A2D50" w:rsidP="005A2D50">
          <w:pPr>
            <w:pStyle w:val="TOC2"/>
            <w:tabs>
              <w:tab w:val="right" w:leader="dot" w:pos="9065"/>
            </w:tabs>
            <w:spacing w:before="0"/>
            <w:ind w:left="284" w:firstLine="0"/>
            <w:jc w:val="both"/>
            <w:rPr>
              <w:rFonts w:asciiTheme="minorHAnsi" w:eastAsiaTheme="minorEastAsia" w:hAnsiTheme="minorHAnsi"/>
              <w:noProof/>
              <w:sz w:val="24"/>
              <w:szCs w:val="24"/>
              <w:lang w:val="en-US" w:eastAsia="lv-LV"/>
            </w:rPr>
          </w:pPr>
          <w:hyperlink w:anchor="_Toc104982813" w:history="1">
            <w:r w:rsidRPr="005A2D50">
              <w:rPr>
                <w:rStyle w:val="Hyperlink"/>
                <w:noProof/>
                <w:color w:val="auto"/>
                <w:sz w:val="24"/>
                <w:szCs w:val="24"/>
                <w:lang w:val="en-US"/>
              </w:rPr>
              <w:t>A2.2. Galvojuma derīguma ģeogrāfiskais areāls, ja tiek piemērotas īpašas procedūras, kas attiecas uz vairāk nekā vienu dalībvalsti</w:t>
            </w:r>
            <w:r w:rsidRPr="005A2D50">
              <w:rPr>
                <w:noProof/>
                <w:webHidden/>
                <w:sz w:val="24"/>
                <w:szCs w:val="24"/>
                <w:lang w:val="en-US"/>
              </w:rPr>
              <w:tab/>
            </w:r>
            <w:r w:rsidRPr="005A2D50">
              <w:rPr>
                <w:noProof/>
                <w:webHidden/>
                <w:sz w:val="24"/>
                <w:szCs w:val="24"/>
                <w:lang w:val="en-US"/>
              </w:rPr>
              <w:fldChar w:fldCharType="begin"/>
            </w:r>
            <w:r w:rsidRPr="005A2D50">
              <w:rPr>
                <w:noProof/>
                <w:webHidden/>
                <w:sz w:val="24"/>
                <w:szCs w:val="24"/>
                <w:lang w:val="en-US"/>
              </w:rPr>
              <w:instrText xml:space="preserve"> PAGEREF _Toc104982813 \h </w:instrText>
            </w:r>
            <w:r w:rsidRPr="005A2D50">
              <w:rPr>
                <w:noProof/>
                <w:webHidden/>
                <w:sz w:val="24"/>
                <w:szCs w:val="24"/>
                <w:lang w:val="en-US"/>
              </w:rPr>
            </w:r>
            <w:r w:rsidRPr="005A2D50">
              <w:rPr>
                <w:noProof/>
                <w:webHidden/>
                <w:sz w:val="24"/>
                <w:szCs w:val="24"/>
                <w:lang w:val="en-US"/>
              </w:rPr>
              <w:fldChar w:fldCharType="separate"/>
            </w:r>
            <w:r>
              <w:rPr>
                <w:noProof/>
                <w:webHidden/>
                <w:sz w:val="24"/>
                <w:szCs w:val="24"/>
                <w:lang w:val="en-US"/>
              </w:rPr>
              <w:t>62</w:t>
            </w:r>
            <w:r w:rsidRPr="005A2D50">
              <w:rPr>
                <w:noProof/>
                <w:webHidden/>
                <w:sz w:val="24"/>
                <w:szCs w:val="24"/>
                <w:lang w:val="en-US"/>
              </w:rPr>
              <w:fldChar w:fldCharType="end"/>
            </w:r>
          </w:hyperlink>
        </w:p>
        <w:p w14:paraId="55EA1D36" w14:textId="59EB9198" w:rsidR="005A2D50" w:rsidRPr="005A2D50" w:rsidRDefault="005A2D50" w:rsidP="005A2D50">
          <w:pPr>
            <w:pStyle w:val="TOC2"/>
            <w:tabs>
              <w:tab w:val="right" w:leader="dot" w:pos="9065"/>
            </w:tabs>
            <w:spacing w:before="0"/>
            <w:ind w:left="284" w:firstLine="0"/>
            <w:jc w:val="both"/>
            <w:rPr>
              <w:rFonts w:asciiTheme="minorHAnsi" w:eastAsiaTheme="minorEastAsia" w:hAnsiTheme="minorHAnsi"/>
              <w:noProof/>
              <w:sz w:val="24"/>
              <w:szCs w:val="24"/>
              <w:lang w:val="en-US" w:eastAsia="lv-LV"/>
            </w:rPr>
          </w:pPr>
          <w:hyperlink w:anchor="_Toc104982814" w:history="1">
            <w:r w:rsidRPr="005A2D50">
              <w:rPr>
                <w:rStyle w:val="Hyperlink"/>
                <w:noProof/>
                <w:color w:val="auto"/>
                <w:sz w:val="24"/>
                <w:szCs w:val="24"/>
                <w:lang w:val="en-US"/>
              </w:rPr>
              <w:t>A2.3. Atliktais maksājums vairāku dalībvalstu galvojuma gadījumā</w:t>
            </w:r>
            <w:r w:rsidRPr="005A2D50">
              <w:rPr>
                <w:noProof/>
                <w:webHidden/>
                <w:sz w:val="24"/>
                <w:szCs w:val="24"/>
                <w:lang w:val="en-US"/>
              </w:rPr>
              <w:tab/>
            </w:r>
            <w:r w:rsidRPr="005A2D50">
              <w:rPr>
                <w:noProof/>
                <w:webHidden/>
                <w:sz w:val="24"/>
                <w:szCs w:val="24"/>
                <w:lang w:val="en-US"/>
              </w:rPr>
              <w:fldChar w:fldCharType="begin"/>
            </w:r>
            <w:r w:rsidRPr="005A2D50">
              <w:rPr>
                <w:noProof/>
                <w:webHidden/>
                <w:sz w:val="24"/>
                <w:szCs w:val="24"/>
                <w:lang w:val="en-US"/>
              </w:rPr>
              <w:instrText xml:space="preserve"> PAGEREF _Toc104982814 \h </w:instrText>
            </w:r>
            <w:r w:rsidRPr="005A2D50">
              <w:rPr>
                <w:noProof/>
                <w:webHidden/>
                <w:sz w:val="24"/>
                <w:szCs w:val="24"/>
                <w:lang w:val="en-US"/>
              </w:rPr>
            </w:r>
            <w:r w:rsidRPr="005A2D50">
              <w:rPr>
                <w:noProof/>
                <w:webHidden/>
                <w:sz w:val="24"/>
                <w:szCs w:val="24"/>
                <w:lang w:val="en-US"/>
              </w:rPr>
              <w:fldChar w:fldCharType="separate"/>
            </w:r>
            <w:r>
              <w:rPr>
                <w:noProof/>
                <w:webHidden/>
                <w:sz w:val="24"/>
                <w:szCs w:val="24"/>
                <w:lang w:val="en-US"/>
              </w:rPr>
              <w:t>62</w:t>
            </w:r>
            <w:r w:rsidRPr="005A2D50">
              <w:rPr>
                <w:noProof/>
                <w:webHidden/>
                <w:sz w:val="24"/>
                <w:szCs w:val="24"/>
                <w:lang w:val="en-US"/>
              </w:rPr>
              <w:fldChar w:fldCharType="end"/>
            </w:r>
          </w:hyperlink>
        </w:p>
        <w:p w14:paraId="116F906A" w14:textId="72DFF304" w:rsidR="005A2D50" w:rsidRPr="005A2D50" w:rsidRDefault="005A2D50" w:rsidP="005A2D50">
          <w:pPr>
            <w:pStyle w:val="TOC2"/>
            <w:tabs>
              <w:tab w:val="right" w:leader="dot" w:pos="9065"/>
            </w:tabs>
            <w:spacing w:before="0"/>
            <w:ind w:left="284" w:firstLine="0"/>
            <w:jc w:val="both"/>
            <w:rPr>
              <w:rFonts w:asciiTheme="minorHAnsi" w:eastAsiaTheme="minorEastAsia" w:hAnsiTheme="minorHAnsi"/>
              <w:noProof/>
              <w:sz w:val="24"/>
              <w:szCs w:val="24"/>
              <w:lang w:val="en-US" w:eastAsia="lv-LV"/>
            </w:rPr>
          </w:pPr>
          <w:hyperlink w:anchor="_Toc104982815" w:history="1">
            <w:r w:rsidRPr="005A2D50">
              <w:rPr>
                <w:rStyle w:val="Hyperlink"/>
                <w:noProof/>
                <w:color w:val="auto"/>
                <w:sz w:val="24"/>
                <w:szCs w:val="24"/>
                <w:lang w:val="en-US"/>
              </w:rPr>
              <w:t xml:space="preserve">A2.4. </w:t>
            </w:r>
            <w:r w:rsidRPr="005A2D50">
              <w:rPr>
                <w:rStyle w:val="Hyperlink"/>
                <w:i/>
                <w:iCs/>
                <w:noProof/>
                <w:color w:val="auto"/>
                <w:sz w:val="24"/>
                <w:szCs w:val="24"/>
                <w:lang w:val="en-US"/>
              </w:rPr>
              <w:t>GRN</w:t>
            </w:r>
            <w:r w:rsidRPr="005A2D50">
              <w:rPr>
                <w:rStyle w:val="Hyperlink"/>
                <w:noProof/>
                <w:color w:val="auto"/>
                <w:sz w:val="24"/>
                <w:szCs w:val="24"/>
                <w:lang w:val="en-US"/>
              </w:rPr>
              <w:t xml:space="preserve"> formāta piedāvājums</w:t>
            </w:r>
            <w:r w:rsidRPr="005A2D50">
              <w:rPr>
                <w:noProof/>
                <w:webHidden/>
                <w:sz w:val="24"/>
                <w:szCs w:val="24"/>
                <w:lang w:val="en-US"/>
              </w:rPr>
              <w:tab/>
            </w:r>
            <w:r w:rsidRPr="005A2D50">
              <w:rPr>
                <w:noProof/>
                <w:webHidden/>
                <w:sz w:val="24"/>
                <w:szCs w:val="24"/>
                <w:lang w:val="en-US"/>
              </w:rPr>
              <w:fldChar w:fldCharType="begin"/>
            </w:r>
            <w:r w:rsidRPr="005A2D50">
              <w:rPr>
                <w:noProof/>
                <w:webHidden/>
                <w:sz w:val="24"/>
                <w:szCs w:val="24"/>
                <w:lang w:val="en-US"/>
              </w:rPr>
              <w:instrText xml:space="preserve"> PAGEREF _Toc104982815 \h </w:instrText>
            </w:r>
            <w:r w:rsidRPr="005A2D50">
              <w:rPr>
                <w:noProof/>
                <w:webHidden/>
                <w:sz w:val="24"/>
                <w:szCs w:val="24"/>
                <w:lang w:val="en-US"/>
              </w:rPr>
            </w:r>
            <w:r w:rsidRPr="005A2D50">
              <w:rPr>
                <w:noProof/>
                <w:webHidden/>
                <w:sz w:val="24"/>
                <w:szCs w:val="24"/>
                <w:lang w:val="en-US"/>
              </w:rPr>
              <w:fldChar w:fldCharType="separate"/>
            </w:r>
            <w:r>
              <w:rPr>
                <w:noProof/>
                <w:webHidden/>
                <w:sz w:val="24"/>
                <w:szCs w:val="24"/>
                <w:lang w:val="en-US"/>
              </w:rPr>
              <w:t>63</w:t>
            </w:r>
            <w:r w:rsidRPr="005A2D50">
              <w:rPr>
                <w:noProof/>
                <w:webHidden/>
                <w:sz w:val="24"/>
                <w:szCs w:val="24"/>
                <w:lang w:val="en-US"/>
              </w:rPr>
              <w:fldChar w:fldCharType="end"/>
            </w:r>
          </w:hyperlink>
        </w:p>
        <w:p w14:paraId="0003E64A" w14:textId="484BA750" w:rsidR="005A2D50" w:rsidRPr="005A2D50" w:rsidRDefault="005A2D50" w:rsidP="005A2D50">
          <w:pPr>
            <w:pStyle w:val="TOC2"/>
            <w:tabs>
              <w:tab w:val="right" w:leader="dot" w:pos="9065"/>
            </w:tabs>
            <w:spacing w:before="0"/>
            <w:ind w:left="284" w:firstLine="0"/>
            <w:jc w:val="both"/>
            <w:rPr>
              <w:rFonts w:asciiTheme="minorHAnsi" w:eastAsiaTheme="minorEastAsia" w:hAnsiTheme="minorHAnsi"/>
              <w:noProof/>
              <w:sz w:val="24"/>
              <w:szCs w:val="24"/>
              <w:lang w:val="en-US" w:eastAsia="lv-LV"/>
            </w:rPr>
          </w:pPr>
          <w:hyperlink w:anchor="_Toc104982816" w:history="1">
            <w:r w:rsidRPr="005A2D50">
              <w:rPr>
                <w:rStyle w:val="Hyperlink"/>
                <w:noProof/>
                <w:color w:val="auto"/>
                <w:sz w:val="24"/>
                <w:szCs w:val="24"/>
                <w:lang w:val="en-US"/>
              </w:rPr>
              <w:t>A2.5. Piemēri par apspriešanās procedūru</w:t>
            </w:r>
            <w:r w:rsidRPr="005A2D50">
              <w:rPr>
                <w:noProof/>
                <w:webHidden/>
                <w:sz w:val="24"/>
                <w:szCs w:val="24"/>
                <w:lang w:val="en-US"/>
              </w:rPr>
              <w:tab/>
            </w:r>
            <w:r w:rsidRPr="005A2D50">
              <w:rPr>
                <w:noProof/>
                <w:webHidden/>
                <w:sz w:val="24"/>
                <w:szCs w:val="24"/>
                <w:lang w:val="en-US"/>
              </w:rPr>
              <w:fldChar w:fldCharType="begin"/>
            </w:r>
            <w:r w:rsidRPr="005A2D50">
              <w:rPr>
                <w:noProof/>
                <w:webHidden/>
                <w:sz w:val="24"/>
                <w:szCs w:val="24"/>
                <w:lang w:val="en-US"/>
              </w:rPr>
              <w:instrText xml:space="preserve"> PAGEREF _Toc104982816 \h </w:instrText>
            </w:r>
            <w:r w:rsidRPr="005A2D50">
              <w:rPr>
                <w:noProof/>
                <w:webHidden/>
                <w:sz w:val="24"/>
                <w:szCs w:val="24"/>
                <w:lang w:val="en-US"/>
              </w:rPr>
            </w:r>
            <w:r w:rsidRPr="005A2D50">
              <w:rPr>
                <w:noProof/>
                <w:webHidden/>
                <w:sz w:val="24"/>
                <w:szCs w:val="24"/>
                <w:lang w:val="en-US"/>
              </w:rPr>
              <w:fldChar w:fldCharType="separate"/>
            </w:r>
            <w:r>
              <w:rPr>
                <w:noProof/>
                <w:webHidden/>
                <w:sz w:val="24"/>
                <w:szCs w:val="24"/>
                <w:lang w:val="en-US"/>
              </w:rPr>
              <w:t>64</w:t>
            </w:r>
            <w:r w:rsidRPr="005A2D50">
              <w:rPr>
                <w:noProof/>
                <w:webHidden/>
                <w:sz w:val="24"/>
                <w:szCs w:val="24"/>
                <w:lang w:val="en-US"/>
              </w:rPr>
              <w:fldChar w:fldCharType="end"/>
            </w:r>
          </w:hyperlink>
        </w:p>
        <w:p w14:paraId="30A645B4" w14:textId="5B289B63" w:rsidR="005A2D50" w:rsidRPr="005A2D50" w:rsidRDefault="005A2D50" w:rsidP="005A2D50">
          <w:pPr>
            <w:pStyle w:val="TOC2"/>
            <w:tabs>
              <w:tab w:val="right" w:leader="dot" w:pos="9065"/>
            </w:tabs>
            <w:spacing w:before="0"/>
            <w:ind w:left="284" w:firstLine="0"/>
            <w:jc w:val="both"/>
            <w:rPr>
              <w:rFonts w:asciiTheme="minorHAnsi" w:eastAsiaTheme="minorEastAsia" w:hAnsiTheme="minorHAnsi"/>
              <w:noProof/>
              <w:sz w:val="24"/>
              <w:szCs w:val="24"/>
              <w:lang w:val="en-US" w:eastAsia="lv-LV"/>
            </w:rPr>
          </w:pPr>
          <w:hyperlink w:anchor="_Toc104982817" w:history="1">
            <w:r w:rsidRPr="005A2D50">
              <w:rPr>
                <w:rStyle w:val="Hyperlink"/>
                <w:noProof/>
                <w:color w:val="auto"/>
                <w:sz w:val="24"/>
                <w:szCs w:val="24"/>
                <w:lang w:val="en-US"/>
              </w:rPr>
              <w:t>A2.6. Galvinieki un to saistības</w:t>
            </w:r>
            <w:r w:rsidRPr="005A2D50">
              <w:rPr>
                <w:noProof/>
                <w:webHidden/>
                <w:sz w:val="24"/>
                <w:szCs w:val="24"/>
                <w:lang w:val="en-US"/>
              </w:rPr>
              <w:tab/>
            </w:r>
            <w:r w:rsidRPr="005A2D50">
              <w:rPr>
                <w:noProof/>
                <w:webHidden/>
                <w:sz w:val="24"/>
                <w:szCs w:val="24"/>
                <w:lang w:val="en-US"/>
              </w:rPr>
              <w:fldChar w:fldCharType="begin"/>
            </w:r>
            <w:r w:rsidRPr="005A2D50">
              <w:rPr>
                <w:noProof/>
                <w:webHidden/>
                <w:sz w:val="24"/>
                <w:szCs w:val="24"/>
                <w:lang w:val="en-US"/>
              </w:rPr>
              <w:instrText xml:space="preserve"> PAGEREF _Toc104982817 \h </w:instrText>
            </w:r>
            <w:r w:rsidRPr="005A2D50">
              <w:rPr>
                <w:noProof/>
                <w:webHidden/>
                <w:sz w:val="24"/>
                <w:szCs w:val="24"/>
                <w:lang w:val="en-US"/>
              </w:rPr>
            </w:r>
            <w:r w:rsidRPr="005A2D50">
              <w:rPr>
                <w:noProof/>
                <w:webHidden/>
                <w:sz w:val="24"/>
                <w:szCs w:val="24"/>
                <w:lang w:val="en-US"/>
              </w:rPr>
              <w:fldChar w:fldCharType="separate"/>
            </w:r>
            <w:r>
              <w:rPr>
                <w:noProof/>
                <w:webHidden/>
                <w:sz w:val="24"/>
                <w:szCs w:val="24"/>
                <w:lang w:val="en-US"/>
              </w:rPr>
              <w:t>66</w:t>
            </w:r>
            <w:r w:rsidRPr="005A2D50">
              <w:rPr>
                <w:noProof/>
                <w:webHidden/>
                <w:sz w:val="24"/>
                <w:szCs w:val="24"/>
                <w:lang w:val="en-US"/>
              </w:rPr>
              <w:fldChar w:fldCharType="end"/>
            </w:r>
          </w:hyperlink>
        </w:p>
        <w:p w14:paraId="75CCD34B" w14:textId="468CE814" w:rsidR="005A2D50" w:rsidRPr="005A2D50" w:rsidRDefault="005A2D50" w:rsidP="005A2D50">
          <w:pPr>
            <w:pStyle w:val="TOC2"/>
            <w:tabs>
              <w:tab w:val="right" w:leader="dot" w:pos="9065"/>
            </w:tabs>
            <w:spacing w:before="0"/>
            <w:ind w:left="284" w:firstLine="0"/>
            <w:jc w:val="both"/>
            <w:rPr>
              <w:rFonts w:asciiTheme="minorHAnsi" w:eastAsiaTheme="minorEastAsia" w:hAnsiTheme="minorHAnsi"/>
              <w:noProof/>
              <w:sz w:val="24"/>
              <w:szCs w:val="24"/>
              <w:lang w:val="en-US" w:eastAsia="lv-LV"/>
            </w:rPr>
          </w:pPr>
          <w:hyperlink w:anchor="_Toc104982818" w:history="1">
            <w:r w:rsidRPr="005A2D50">
              <w:rPr>
                <w:rStyle w:val="Hyperlink"/>
                <w:noProof/>
                <w:color w:val="auto"/>
                <w:sz w:val="24"/>
                <w:szCs w:val="24"/>
                <w:lang w:val="en-US"/>
              </w:rPr>
              <w:t>A2.7. Revīzijas prakse atsauces summas pārraudzībai saskaņā ar SMK ĪA 157. panta 3. punktu</w:t>
            </w:r>
            <w:r w:rsidRPr="005A2D50">
              <w:rPr>
                <w:noProof/>
                <w:webHidden/>
                <w:sz w:val="24"/>
                <w:szCs w:val="24"/>
                <w:lang w:val="en-US"/>
              </w:rPr>
              <w:tab/>
            </w:r>
            <w:r w:rsidRPr="005A2D50">
              <w:rPr>
                <w:noProof/>
                <w:webHidden/>
                <w:sz w:val="24"/>
                <w:szCs w:val="24"/>
                <w:lang w:val="en-US"/>
              </w:rPr>
              <w:fldChar w:fldCharType="begin"/>
            </w:r>
            <w:r w:rsidRPr="005A2D50">
              <w:rPr>
                <w:noProof/>
                <w:webHidden/>
                <w:sz w:val="24"/>
                <w:szCs w:val="24"/>
                <w:lang w:val="en-US"/>
              </w:rPr>
              <w:instrText xml:space="preserve"> PAGEREF _Toc104982818 \h </w:instrText>
            </w:r>
            <w:r w:rsidRPr="005A2D50">
              <w:rPr>
                <w:noProof/>
                <w:webHidden/>
                <w:sz w:val="24"/>
                <w:szCs w:val="24"/>
                <w:lang w:val="en-US"/>
              </w:rPr>
            </w:r>
            <w:r w:rsidRPr="005A2D50">
              <w:rPr>
                <w:noProof/>
                <w:webHidden/>
                <w:sz w:val="24"/>
                <w:szCs w:val="24"/>
                <w:lang w:val="en-US"/>
              </w:rPr>
              <w:fldChar w:fldCharType="separate"/>
            </w:r>
            <w:r>
              <w:rPr>
                <w:noProof/>
                <w:webHidden/>
                <w:sz w:val="24"/>
                <w:szCs w:val="24"/>
                <w:lang w:val="en-US"/>
              </w:rPr>
              <w:t>68</w:t>
            </w:r>
            <w:r w:rsidRPr="005A2D50">
              <w:rPr>
                <w:noProof/>
                <w:webHidden/>
                <w:sz w:val="24"/>
                <w:szCs w:val="24"/>
                <w:lang w:val="en-US"/>
              </w:rPr>
              <w:fldChar w:fldCharType="end"/>
            </w:r>
          </w:hyperlink>
        </w:p>
        <w:p w14:paraId="4DD2E828" w14:textId="50629E6B" w:rsidR="005A2D50" w:rsidRPr="005A2D50" w:rsidRDefault="005A2D50" w:rsidP="005A2D50">
          <w:pPr>
            <w:pStyle w:val="TOC2"/>
            <w:tabs>
              <w:tab w:val="right" w:leader="dot" w:pos="9065"/>
            </w:tabs>
            <w:spacing w:before="0"/>
            <w:ind w:left="284" w:firstLine="0"/>
            <w:jc w:val="both"/>
            <w:rPr>
              <w:rFonts w:asciiTheme="minorHAnsi" w:eastAsiaTheme="minorEastAsia" w:hAnsiTheme="minorHAnsi"/>
              <w:noProof/>
              <w:sz w:val="24"/>
              <w:szCs w:val="24"/>
              <w:lang w:val="en-US" w:eastAsia="lv-LV"/>
            </w:rPr>
          </w:pPr>
          <w:hyperlink w:anchor="_Toc104982819" w:history="1">
            <w:r w:rsidRPr="005A2D50">
              <w:rPr>
                <w:rStyle w:val="Hyperlink"/>
                <w:noProof/>
                <w:color w:val="auto"/>
                <w:sz w:val="24"/>
                <w:szCs w:val="24"/>
                <w:lang w:val="en-US"/>
              </w:rPr>
              <w:t>A2.8. Neobligāta galvojuma piemēri</w:t>
            </w:r>
            <w:r w:rsidRPr="005A2D50">
              <w:rPr>
                <w:noProof/>
                <w:webHidden/>
                <w:sz w:val="24"/>
                <w:szCs w:val="24"/>
                <w:lang w:val="en-US"/>
              </w:rPr>
              <w:tab/>
            </w:r>
            <w:r w:rsidRPr="005A2D50">
              <w:rPr>
                <w:noProof/>
                <w:webHidden/>
                <w:sz w:val="24"/>
                <w:szCs w:val="24"/>
                <w:lang w:val="en-US"/>
              </w:rPr>
              <w:fldChar w:fldCharType="begin"/>
            </w:r>
            <w:r w:rsidRPr="005A2D50">
              <w:rPr>
                <w:noProof/>
                <w:webHidden/>
                <w:sz w:val="24"/>
                <w:szCs w:val="24"/>
                <w:lang w:val="en-US"/>
              </w:rPr>
              <w:instrText xml:space="preserve"> PAGEREF _Toc104982819 \h </w:instrText>
            </w:r>
            <w:r w:rsidRPr="005A2D50">
              <w:rPr>
                <w:noProof/>
                <w:webHidden/>
                <w:sz w:val="24"/>
                <w:szCs w:val="24"/>
                <w:lang w:val="en-US"/>
              </w:rPr>
            </w:r>
            <w:r w:rsidRPr="005A2D50">
              <w:rPr>
                <w:noProof/>
                <w:webHidden/>
                <w:sz w:val="24"/>
                <w:szCs w:val="24"/>
                <w:lang w:val="en-US"/>
              </w:rPr>
              <w:fldChar w:fldCharType="separate"/>
            </w:r>
            <w:r>
              <w:rPr>
                <w:noProof/>
                <w:webHidden/>
                <w:sz w:val="24"/>
                <w:szCs w:val="24"/>
                <w:lang w:val="en-US"/>
              </w:rPr>
              <w:t>68</w:t>
            </w:r>
            <w:r w:rsidRPr="005A2D50">
              <w:rPr>
                <w:noProof/>
                <w:webHidden/>
                <w:sz w:val="24"/>
                <w:szCs w:val="24"/>
                <w:lang w:val="en-US"/>
              </w:rPr>
              <w:fldChar w:fldCharType="end"/>
            </w:r>
          </w:hyperlink>
        </w:p>
        <w:p w14:paraId="2F212B29" w14:textId="0A6BF522" w:rsidR="005A2D50" w:rsidRPr="005A2D50" w:rsidRDefault="005A2D50" w:rsidP="005A2D50">
          <w:pPr>
            <w:pStyle w:val="TOC2"/>
            <w:tabs>
              <w:tab w:val="right" w:leader="dot" w:pos="9065"/>
            </w:tabs>
            <w:spacing w:before="0"/>
            <w:ind w:left="284" w:firstLine="0"/>
            <w:jc w:val="both"/>
            <w:rPr>
              <w:rFonts w:asciiTheme="minorHAnsi" w:eastAsiaTheme="minorEastAsia" w:hAnsiTheme="minorHAnsi"/>
              <w:noProof/>
              <w:sz w:val="24"/>
              <w:szCs w:val="24"/>
              <w:lang w:val="en-US" w:eastAsia="lv-LV"/>
            </w:rPr>
          </w:pPr>
          <w:hyperlink w:anchor="_Toc104982820" w:history="1">
            <w:r w:rsidRPr="005A2D50">
              <w:rPr>
                <w:rStyle w:val="Hyperlink"/>
                <w:noProof/>
                <w:color w:val="auto"/>
                <w:sz w:val="24"/>
                <w:szCs w:val="24"/>
                <w:lang w:val="en-US"/>
              </w:rPr>
              <w:t>A2.9. Galvojums tiesību un pienākumu nodošanai</w:t>
            </w:r>
            <w:r w:rsidRPr="005A2D50">
              <w:rPr>
                <w:noProof/>
                <w:webHidden/>
                <w:sz w:val="24"/>
                <w:szCs w:val="24"/>
                <w:lang w:val="en-US"/>
              </w:rPr>
              <w:tab/>
            </w:r>
            <w:r w:rsidRPr="005A2D50">
              <w:rPr>
                <w:noProof/>
                <w:webHidden/>
                <w:sz w:val="24"/>
                <w:szCs w:val="24"/>
                <w:lang w:val="en-US"/>
              </w:rPr>
              <w:fldChar w:fldCharType="begin"/>
            </w:r>
            <w:r w:rsidRPr="005A2D50">
              <w:rPr>
                <w:noProof/>
                <w:webHidden/>
                <w:sz w:val="24"/>
                <w:szCs w:val="24"/>
                <w:lang w:val="en-US"/>
              </w:rPr>
              <w:instrText xml:space="preserve"> PAGEREF _Toc104982820 \h </w:instrText>
            </w:r>
            <w:r w:rsidRPr="005A2D50">
              <w:rPr>
                <w:noProof/>
                <w:webHidden/>
                <w:sz w:val="24"/>
                <w:szCs w:val="24"/>
                <w:lang w:val="en-US"/>
              </w:rPr>
            </w:r>
            <w:r w:rsidRPr="005A2D50">
              <w:rPr>
                <w:noProof/>
                <w:webHidden/>
                <w:sz w:val="24"/>
                <w:szCs w:val="24"/>
                <w:lang w:val="en-US"/>
              </w:rPr>
              <w:fldChar w:fldCharType="separate"/>
            </w:r>
            <w:r>
              <w:rPr>
                <w:noProof/>
                <w:webHidden/>
                <w:sz w:val="24"/>
                <w:szCs w:val="24"/>
                <w:lang w:val="en-US"/>
              </w:rPr>
              <w:t>69</w:t>
            </w:r>
            <w:r w:rsidRPr="005A2D50">
              <w:rPr>
                <w:noProof/>
                <w:webHidden/>
                <w:sz w:val="24"/>
                <w:szCs w:val="24"/>
                <w:lang w:val="en-US"/>
              </w:rPr>
              <w:fldChar w:fldCharType="end"/>
            </w:r>
          </w:hyperlink>
        </w:p>
        <w:p w14:paraId="26819B90" w14:textId="40C60592" w:rsidR="005A2D50" w:rsidRPr="005A2D50" w:rsidRDefault="005A2D50" w:rsidP="005A2D50">
          <w:pPr>
            <w:pStyle w:val="TOC2"/>
            <w:tabs>
              <w:tab w:val="right" w:leader="dot" w:pos="9065"/>
            </w:tabs>
            <w:spacing w:before="0"/>
            <w:ind w:left="284" w:firstLine="0"/>
            <w:jc w:val="both"/>
            <w:rPr>
              <w:rFonts w:asciiTheme="minorHAnsi" w:eastAsiaTheme="minorEastAsia" w:hAnsiTheme="minorHAnsi"/>
              <w:noProof/>
              <w:sz w:val="24"/>
              <w:szCs w:val="24"/>
              <w:lang w:val="en-US" w:eastAsia="lv-LV"/>
            </w:rPr>
          </w:pPr>
          <w:hyperlink w:anchor="_Toc104982821" w:history="1">
            <w:r w:rsidRPr="005A2D50">
              <w:rPr>
                <w:rStyle w:val="Hyperlink"/>
                <w:noProof/>
                <w:color w:val="auto"/>
                <w:sz w:val="24"/>
                <w:szCs w:val="24"/>
                <w:lang w:val="en-US"/>
              </w:rPr>
              <w:t>A2.10. SMK 89. panta 3. punkta otrā daļa – persona, kura nav parādnieks/iespējamais parādnieks un kurai var atļaut sniegt galvojumu muitas vajadzībām</w:t>
            </w:r>
            <w:r w:rsidRPr="005A2D50">
              <w:rPr>
                <w:noProof/>
                <w:webHidden/>
                <w:sz w:val="24"/>
                <w:szCs w:val="24"/>
                <w:lang w:val="en-US"/>
              </w:rPr>
              <w:tab/>
            </w:r>
            <w:r w:rsidRPr="005A2D50">
              <w:rPr>
                <w:noProof/>
                <w:webHidden/>
                <w:sz w:val="24"/>
                <w:szCs w:val="24"/>
                <w:lang w:val="en-US"/>
              </w:rPr>
              <w:fldChar w:fldCharType="begin"/>
            </w:r>
            <w:r w:rsidRPr="005A2D50">
              <w:rPr>
                <w:noProof/>
                <w:webHidden/>
                <w:sz w:val="24"/>
                <w:szCs w:val="24"/>
                <w:lang w:val="en-US"/>
              </w:rPr>
              <w:instrText xml:space="preserve"> PAGEREF _Toc104982821 \h </w:instrText>
            </w:r>
            <w:r w:rsidRPr="005A2D50">
              <w:rPr>
                <w:noProof/>
                <w:webHidden/>
                <w:sz w:val="24"/>
                <w:szCs w:val="24"/>
                <w:lang w:val="en-US"/>
              </w:rPr>
            </w:r>
            <w:r w:rsidRPr="005A2D50">
              <w:rPr>
                <w:noProof/>
                <w:webHidden/>
                <w:sz w:val="24"/>
                <w:szCs w:val="24"/>
                <w:lang w:val="en-US"/>
              </w:rPr>
              <w:fldChar w:fldCharType="separate"/>
            </w:r>
            <w:r>
              <w:rPr>
                <w:noProof/>
                <w:webHidden/>
                <w:sz w:val="24"/>
                <w:szCs w:val="24"/>
                <w:lang w:val="en-US"/>
              </w:rPr>
              <w:t>69</w:t>
            </w:r>
            <w:r w:rsidRPr="005A2D50">
              <w:rPr>
                <w:noProof/>
                <w:webHidden/>
                <w:sz w:val="24"/>
                <w:szCs w:val="24"/>
                <w:lang w:val="en-US"/>
              </w:rPr>
              <w:fldChar w:fldCharType="end"/>
            </w:r>
          </w:hyperlink>
        </w:p>
        <w:p w14:paraId="5539AAB8" w14:textId="64B01E23" w:rsidR="005A2D50" w:rsidRPr="005A2D50" w:rsidRDefault="005A2D50" w:rsidP="005A2D50">
          <w:pPr>
            <w:pStyle w:val="TOC2"/>
            <w:tabs>
              <w:tab w:val="right" w:leader="dot" w:pos="9065"/>
            </w:tabs>
            <w:spacing w:before="0"/>
            <w:ind w:left="284" w:firstLine="0"/>
            <w:jc w:val="both"/>
            <w:rPr>
              <w:rFonts w:asciiTheme="minorHAnsi" w:eastAsiaTheme="minorEastAsia" w:hAnsiTheme="minorHAnsi"/>
              <w:noProof/>
              <w:sz w:val="24"/>
              <w:szCs w:val="24"/>
              <w:lang w:val="en-US" w:eastAsia="lv-LV"/>
            </w:rPr>
          </w:pPr>
          <w:hyperlink w:anchor="_Toc104982822" w:history="1">
            <w:r w:rsidRPr="005A2D50">
              <w:rPr>
                <w:rStyle w:val="Hyperlink"/>
                <w:noProof/>
                <w:color w:val="auto"/>
                <w:sz w:val="24"/>
                <w:szCs w:val="24"/>
                <w:lang w:val="en-US"/>
              </w:rPr>
              <w:t>A2.11. Personas, kas nav reģistrētas ES muitas teritorijā</w:t>
            </w:r>
            <w:r w:rsidRPr="005A2D50">
              <w:rPr>
                <w:noProof/>
                <w:webHidden/>
                <w:sz w:val="24"/>
                <w:szCs w:val="24"/>
                <w:lang w:val="en-US"/>
              </w:rPr>
              <w:tab/>
            </w:r>
            <w:r w:rsidRPr="005A2D50">
              <w:rPr>
                <w:noProof/>
                <w:webHidden/>
                <w:sz w:val="24"/>
                <w:szCs w:val="24"/>
                <w:lang w:val="en-US"/>
              </w:rPr>
              <w:fldChar w:fldCharType="begin"/>
            </w:r>
            <w:r w:rsidRPr="005A2D50">
              <w:rPr>
                <w:noProof/>
                <w:webHidden/>
                <w:sz w:val="24"/>
                <w:szCs w:val="24"/>
                <w:lang w:val="en-US"/>
              </w:rPr>
              <w:instrText xml:space="preserve"> PAGEREF _Toc104982822 \h </w:instrText>
            </w:r>
            <w:r w:rsidRPr="005A2D50">
              <w:rPr>
                <w:noProof/>
                <w:webHidden/>
                <w:sz w:val="24"/>
                <w:szCs w:val="24"/>
                <w:lang w:val="en-US"/>
              </w:rPr>
            </w:r>
            <w:r w:rsidRPr="005A2D50">
              <w:rPr>
                <w:noProof/>
                <w:webHidden/>
                <w:sz w:val="24"/>
                <w:szCs w:val="24"/>
                <w:lang w:val="en-US"/>
              </w:rPr>
              <w:fldChar w:fldCharType="separate"/>
            </w:r>
            <w:r>
              <w:rPr>
                <w:noProof/>
                <w:webHidden/>
                <w:sz w:val="24"/>
                <w:szCs w:val="24"/>
                <w:lang w:val="en-US"/>
              </w:rPr>
              <w:t>70</w:t>
            </w:r>
            <w:r w:rsidRPr="005A2D50">
              <w:rPr>
                <w:noProof/>
                <w:webHidden/>
                <w:sz w:val="24"/>
                <w:szCs w:val="24"/>
                <w:lang w:val="en-US"/>
              </w:rPr>
              <w:fldChar w:fldCharType="end"/>
            </w:r>
          </w:hyperlink>
        </w:p>
        <w:p w14:paraId="205732A8" w14:textId="16E61CEF" w:rsidR="005A2D50" w:rsidRPr="005A2D50" w:rsidRDefault="005A2D50" w:rsidP="005A2D50">
          <w:pPr>
            <w:pStyle w:val="TOC2"/>
            <w:tabs>
              <w:tab w:val="right" w:leader="dot" w:pos="9065"/>
            </w:tabs>
            <w:spacing w:before="0"/>
            <w:ind w:left="284" w:firstLine="0"/>
            <w:jc w:val="both"/>
            <w:rPr>
              <w:rFonts w:asciiTheme="minorHAnsi" w:eastAsiaTheme="minorEastAsia" w:hAnsiTheme="minorHAnsi"/>
              <w:noProof/>
              <w:sz w:val="24"/>
              <w:szCs w:val="24"/>
              <w:lang w:val="en-US" w:eastAsia="lv-LV"/>
            </w:rPr>
          </w:pPr>
          <w:hyperlink w:anchor="_Toc104982823" w:history="1">
            <w:r w:rsidRPr="005A2D50">
              <w:rPr>
                <w:rStyle w:val="Hyperlink"/>
                <w:noProof/>
                <w:color w:val="auto"/>
                <w:sz w:val="24"/>
                <w:szCs w:val="24"/>
                <w:lang w:val="en-US"/>
              </w:rPr>
              <w:t>A2.12. Pietiekami laba finansiālā stāvokļa novērtējums saskaņā ar SMK DA 84. panta 3.a un 3.b punktu</w:t>
            </w:r>
            <w:r w:rsidRPr="005A2D50">
              <w:rPr>
                <w:noProof/>
                <w:webHidden/>
                <w:sz w:val="24"/>
                <w:szCs w:val="24"/>
                <w:lang w:val="en-US"/>
              </w:rPr>
              <w:tab/>
            </w:r>
            <w:r w:rsidRPr="005A2D50">
              <w:rPr>
                <w:noProof/>
                <w:webHidden/>
                <w:sz w:val="24"/>
                <w:szCs w:val="24"/>
                <w:lang w:val="en-US"/>
              </w:rPr>
              <w:fldChar w:fldCharType="begin"/>
            </w:r>
            <w:r w:rsidRPr="005A2D50">
              <w:rPr>
                <w:noProof/>
                <w:webHidden/>
                <w:sz w:val="24"/>
                <w:szCs w:val="24"/>
                <w:lang w:val="en-US"/>
              </w:rPr>
              <w:instrText xml:space="preserve"> PAGEREF _Toc104982823 \h </w:instrText>
            </w:r>
            <w:r w:rsidRPr="005A2D50">
              <w:rPr>
                <w:noProof/>
                <w:webHidden/>
                <w:sz w:val="24"/>
                <w:szCs w:val="24"/>
                <w:lang w:val="en-US"/>
              </w:rPr>
            </w:r>
            <w:r w:rsidRPr="005A2D50">
              <w:rPr>
                <w:noProof/>
                <w:webHidden/>
                <w:sz w:val="24"/>
                <w:szCs w:val="24"/>
                <w:lang w:val="en-US"/>
              </w:rPr>
              <w:fldChar w:fldCharType="separate"/>
            </w:r>
            <w:r>
              <w:rPr>
                <w:noProof/>
                <w:webHidden/>
                <w:sz w:val="24"/>
                <w:szCs w:val="24"/>
                <w:lang w:val="en-US"/>
              </w:rPr>
              <w:t>71</w:t>
            </w:r>
            <w:r w:rsidRPr="005A2D50">
              <w:rPr>
                <w:noProof/>
                <w:webHidden/>
                <w:sz w:val="24"/>
                <w:szCs w:val="24"/>
                <w:lang w:val="en-US"/>
              </w:rPr>
              <w:fldChar w:fldCharType="end"/>
            </w:r>
          </w:hyperlink>
        </w:p>
        <w:p w14:paraId="4C3F1A64" w14:textId="70F8C805" w:rsidR="005A2D50" w:rsidRPr="005A2D50" w:rsidRDefault="005A2D50" w:rsidP="005A2D50">
          <w:pPr>
            <w:pStyle w:val="TOC2"/>
            <w:tabs>
              <w:tab w:val="right" w:leader="dot" w:pos="9065"/>
            </w:tabs>
            <w:spacing w:before="0"/>
            <w:ind w:left="284" w:firstLine="0"/>
            <w:jc w:val="both"/>
            <w:rPr>
              <w:rFonts w:asciiTheme="minorHAnsi" w:eastAsiaTheme="minorEastAsia" w:hAnsiTheme="minorHAnsi"/>
              <w:noProof/>
              <w:sz w:val="24"/>
              <w:szCs w:val="24"/>
              <w:lang w:val="en-US" w:eastAsia="lv-LV"/>
            </w:rPr>
          </w:pPr>
          <w:hyperlink w:anchor="_Toc104982824" w:history="1">
            <w:r w:rsidRPr="005A2D50">
              <w:rPr>
                <w:rStyle w:val="Hyperlink"/>
                <w:noProof/>
                <w:color w:val="auto"/>
                <w:sz w:val="24"/>
                <w:szCs w:val="24"/>
                <w:lang w:val="en-US"/>
              </w:rPr>
              <w:t>A2.13. Tāda galvojuma atbrīvošana, kas sniegts atliktajiem maksājumiem saskaņā ar SMK 110. panta b) un c) punktu</w:t>
            </w:r>
            <w:r w:rsidRPr="005A2D50">
              <w:rPr>
                <w:noProof/>
                <w:webHidden/>
                <w:sz w:val="24"/>
                <w:szCs w:val="24"/>
                <w:lang w:val="en-US"/>
              </w:rPr>
              <w:tab/>
            </w:r>
            <w:r w:rsidRPr="005A2D50">
              <w:rPr>
                <w:noProof/>
                <w:webHidden/>
                <w:sz w:val="24"/>
                <w:szCs w:val="24"/>
                <w:lang w:val="en-US"/>
              </w:rPr>
              <w:fldChar w:fldCharType="begin"/>
            </w:r>
            <w:r w:rsidRPr="005A2D50">
              <w:rPr>
                <w:noProof/>
                <w:webHidden/>
                <w:sz w:val="24"/>
                <w:szCs w:val="24"/>
                <w:lang w:val="en-US"/>
              </w:rPr>
              <w:instrText xml:space="preserve"> PAGEREF _Toc104982824 \h </w:instrText>
            </w:r>
            <w:r w:rsidRPr="005A2D50">
              <w:rPr>
                <w:noProof/>
                <w:webHidden/>
                <w:sz w:val="24"/>
                <w:szCs w:val="24"/>
                <w:lang w:val="en-US"/>
              </w:rPr>
            </w:r>
            <w:r w:rsidRPr="005A2D50">
              <w:rPr>
                <w:noProof/>
                <w:webHidden/>
                <w:sz w:val="24"/>
                <w:szCs w:val="24"/>
                <w:lang w:val="en-US"/>
              </w:rPr>
              <w:fldChar w:fldCharType="separate"/>
            </w:r>
            <w:r>
              <w:rPr>
                <w:noProof/>
                <w:webHidden/>
                <w:sz w:val="24"/>
                <w:szCs w:val="24"/>
                <w:lang w:val="en-US"/>
              </w:rPr>
              <w:t>72</w:t>
            </w:r>
            <w:r w:rsidRPr="005A2D50">
              <w:rPr>
                <w:noProof/>
                <w:webHidden/>
                <w:sz w:val="24"/>
                <w:szCs w:val="24"/>
                <w:lang w:val="en-US"/>
              </w:rPr>
              <w:fldChar w:fldCharType="end"/>
            </w:r>
          </w:hyperlink>
        </w:p>
        <w:p w14:paraId="2BE4537C" w14:textId="106C9ADC" w:rsidR="005A2D50" w:rsidRPr="005A2D50" w:rsidRDefault="005A2D50" w:rsidP="005A2D50">
          <w:pPr>
            <w:pStyle w:val="TOC2"/>
            <w:tabs>
              <w:tab w:val="right" w:leader="dot" w:pos="9065"/>
            </w:tabs>
            <w:spacing w:before="0"/>
            <w:ind w:left="284" w:firstLine="0"/>
            <w:jc w:val="both"/>
            <w:rPr>
              <w:rFonts w:asciiTheme="minorHAnsi" w:eastAsiaTheme="minorEastAsia" w:hAnsiTheme="minorHAnsi"/>
              <w:noProof/>
              <w:sz w:val="24"/>
              <w:szCs w:val="24"/>
              <w:lang w:val="en-US" w:eastAsia="lv-LV"/>
            </w:rPr>
          </w:pPr>
          <w:hyperlink w:anchor="_Toc104982825" w:history="1">
            <w:r w:rsidRPr="005A2D50">
              <w:rPr>
                <w:rStyle w:val="Hyperlink"/>
                <w:noProof/>
                <w:color w:val="auto"/>
                <w:sz w:val="24"/>
                <w:szCs w:val="24"/>
                <w:lang w:val="en-US"/>
              </w:rPr>
              <w:t>A2.14. Tāda galvojuma atbrīvošana, kas sniegts par precēm, kurām pieteiktā tarifu kvota ir kritiska</w:t>
            </w:r>
            <w:r w:rsidRPr="005A2D50">
              <w:rPr>
                <w:noProof/>
                <w:webHidden/>
                <w:sz w:val="24"/>
                <w:szCs w:val="24"/>
                <w:lang w:val="en-US"/>
              </w:rPr>
              <w:tab/>
            </w:r>
            <w:r w:rsidRPr="005A2D50">
              <w:rPr>
                <w:noProof/>
                <w:webHidden/>
                <w:sz w:val="24"/>
                <w:szCs w:val="24"/>
                <w:lang w:val="en-US"/>
              </w:rPr>
              <w:fldChar w:fldCharType="begin"/>
            </w:r>
            <w:r w:rsidRPr="005A2D50">
              <w:rPr>
                <w:noProof/>
                <w:webHidden/>
                <w:sz w:val="24"/>
                <w:szCs w:val="24"/>
                <w:lang w:val="en-US"/>
              </w:rPr>
              <w:instrText xml:space="preserve"> PAGEREF _Toc104982825 \h </w:instrText>
            </w:r>
            <w:r w:rsidRPr="005A2D50">
              <w:rPr>
                <w:noProof/>
                <w:webHidden/>
                <w:sz w:val="24"/>
                <w:szCs w:val="24"/>
                <w:lang w:val="en-US"/>
              </w:rPr>
            </w:r>
            <w:r w:rsidRPr="005A2D50">
              <w:rPr>
                <w:noProof/>
                <w:webHidden/>
                <w:sz w:val="24"/>
                <w:szCs w:val="24"/>
                <w:lang w:val="en-US"/>
              </w:rPr>
              <w:fldChar w:fldCharType="separate"/>
            </w:r>
            <w:r>
              <w:rPr>
                <w:noProof/>
                <w:webHidden/>
                <w:sz w:val="24"/>
                <w:szCs w:val="24"/>
                <w:lang w:val="en-US"/>
              </w:rPr>
              <w:t>73</w:t>
            </w:r>
            <w:r w:rsidRPr="005A2D50">
              <w:rPr>
                <w:noProof/>
                <w:webHidden/>
                <w:sz w:val="24"/>
                <w:szCs w:val="24"/>
                <w:lang w:val="en-US"/>
              </w:rPr>
              <w:fldChar w:fldCharType="end"/>
            </w:r>
          </w:hyperlink>
        </w:p>
        <w:p w14:paraId="716377C3" w14:textId="77777777" w:rsidR="005A2D50" w:rsidRPr="005A2D50" w:rsidRDefault="005A2D50" w:rsidP="005A2D50">
          <w:pPr>
            <w:jc w:val="both"/>
            <w:rPr>
              <w:noProof/>
              <w:lang w:val="en-US"/>
            </w:rPr>
          </w:pPr>
          <w:r w:rsidRPr="005A2D50">
            <w:rPr>
              <w:b/>
              <w:bCs/>
              <w:noProof/>
              <w:sz w:val="24"/>
              <w:szCs w:val="24"/>
              <w:lang w:val="en-US"/>
            </w:rPr>
            <w:fldChar w:fldCharType="end"/>
          </w:r>
        </w:p>
        <w:bookmarkEnd w:id="0" w:displacedByCustomXml="next"/>
      </w:sdtContent>
    </w:sdt>
    <w:p w14:paraId="0FF66B21" w14:textId="77777777" w:rsidR="005A2D50" w:rsidRPr="005A2D50" w:rsidRDefault="005A2D50" w:rsidP="005A2D50">
      <w:pPr>
        <w:jc w:val="both"/>
        <w:rPr>
          <w:rFonts w:ascii="Times New Roman" w:hAnsi="Times New Roman" w:cs="Times New Roman"/>
          <w:noProof/>
          <w:sz w:val="24"/>
          <w:szCs w:val="24"/>
          <w:u w:color="000000"/>
          <w:lang w:val="en-US"/>
        </w:rPr>
      </w:pPr>
    </w:p>
    <w:p w14:paraId="7B788B0E" w14:textId="77777777" w:rsidR="005A2D50" w:rsidRPr="005A2D50" w:rsidRDefault="005A2D50" w:rsidP="005A2D50">
      <w:pPr>
        <w:rPr>
          <w:noProof/>
          <w:lang w:val="en-US"/>
        </w:rPr>
      </w:pPr>
      <w:r w:rsidRPr="005A2D50">
        <w:rPr>
          <w:noProof/>
          <w:lang w:val="en-US"/>
        </w:rPr>
        <w:br w:type="page"/>
      </w:r>
    </w:p>
    <w:p w14:paraId="5A7B8F85" w14:textId="77777777" w:rsidR="005A2D50" w:rsidRPr="005A2D50" w:rsidRDefault="005A2D50" w:rsidP="005A2D50">
      <w:pPr>
        <w:jc w:val="both"/>
        <w:rPr>
          <w:rFonts w:ascii="Times New Roman" w:hAnsi="Times New Roman" w:cs="Times New Roman"/>
          <w:noProof/>
          <w:sz w:val="24"/>
          <w:szCs w:val="24"/>
          <w:lang w:val="en-US"/>
        </w:rPr>
      </w:pPr>
    </w:p>
    <w:p w14:paraId="513DCFD6" w14:textId="77777777" w:rsidR="005A2D50" w:rsidRPr="005A2D50" w:rsidRDefault="005A2D50" w:rsidP="005A2D50">
      <w:pPr>
        <w:pStyle w:val="Heading1"/>
        <w:rPr>
          <w:noProof/>
          <w:lang w:val="en-US"/>
        </w:rPr>
      </w:pPr>
      <w:bookmarkStart w:id="1" w:name="I._Abbreviations,_expressions_and_defini"/>
      <w:bookmarkStart w:id="2" w:name="_bookmark0"/>
      <w:bookmarkStart w:id="3" w:name="_Toc104982758"/>
      <w:bookmarkEnd w:id="1"/>
      <w:bookmarkEnd w:id="2"/>
      <w:r w:rsidRPr="005A2D50">
        <w:rPr>
          <w:noProof/>
          <w:lang w:val="en-US"/>
        </w:rPr>
        <w:t>I. SAĪSINĀJUMI, FRĀZES UN DEFINĪCIJAS</w:t>
      </w:r>
      <w:bookmarkEnd w:id="3"/>
    </w:p>
    <w:p w14:paraId="4B5B1B82" w14:textId="77777777" w:rsidR="005A2D50" w:rsidRPr="005A2D50" w:rsidRDefault="005A2D50" w:rsidP="005A2D50">
      <w:pPr>
        <w:pStyle w:val="BodyText"/>
        <w:rPr>
          <w:lang w:val="en-US"/>
        </w:rPr>
      </w:pPr>
      <w:bookmarkStart w:id="4" w:name="I.1._Abbreviations"/>
      <w:bookmarkStart w:id="5" w:name="_bookmark1"/>
      <w:bookmarkEnd w:id="4"/>
      <w:bookmarkEnd w:id="5"/>
    </w:p>
    <w:p w14:paraId="013B311B" w14:textId="77777777" w:rsidR="005A2D50" w:rsidRPr="005A2D50" w:rsidRDefault="005A2D50" w:rsidP="005A2D50">
      <w:pPr>
        <w:pStyle w:val="Heading1"/>
        <w:rPr>
          <w:noProof/>
          <w:lang w:val="en-US"/>
        </w:rPr>
      </w:pPr>
      <w:bookmarkStart w:id="6" w:name="_Toc104982759"/>
      <w:r w:rsidRPr="005A2D50">
        <w:rPr>
          <w:noProof/>
          <w:lang w:val="en-US"/>
        </w:rPr>
        <w:t>I.1. Saīsinājumi</w:t>
      </w:r>
      <w:bookmarkEnd w:id="6"/>
    </w:p>
    <w:p w14:paraId="56D79B58" w14:textId="77777777" w:rsidR="005A2D50" w:rsidRPr="005A2D50" w:rsidRDefault="005A2D50" w:rsidP="005A2D50">
      <w:pPr>
        <w:jc w:val="both"/>
        <w:rPr>
          <w:rFonts w:ascii="Times New Roman" w:eastAsia="Times New Roman" w:hAnsi="Times New Roman" w:cs="Times New Roman"/>
          <w:b/>
          <w:bCs/>
          <w:noProof/>
          <w:sz w:val="24"/>
          <w:szCs w:val="24"/>
          <w:lang w:val="en-US"/>
        </w:rPr>
      </w:pPr>
    </w:p>
    <w:tbl>
      <w:tblPr>
        <w:tblW w:w="5000" w:type="pct"/>
        <w:tblCellMar>
          <w:top w:w="28" w:type="dxa"/>
          <w:left w:w="28" w:type="dxa"/>
          <w:bottom w:w="28" w:type="dxa"/>
          <w:right w:w="28" w:type="dxa"/>
        </w:tblCellMar>
        <w:tblLook w:val="01E0" w:firstRow="1" w:lastRow="1" w:firstColumn="1" w:lastColumn="1" w:noHBand="0" w:noVBand="0"/>
      </w:tblPr>
      <w:tblGrid>
        <w:gridCol w:w="1872"/>
        <w:gridCol w:w="7259"/>
      </w:tblGrid>
      <w:tr w:rsidR="005A2D50" w:rsidRPr="005A2D50" w14:paraId="12C9C600" w14:textId="77777777" w:rsidTr="00F14166">
        <w:tc>
          <w:tcPr>
            <w:tcW w:w="1025" w:type="pct"/>
          </w:tcPr>
          <w:p w14:paraId="286F6433" w14:textId="77777777" w:rsidR="005A2D50" w:rsidRPr="005A2D50" w:rsidRDefault="005A2D50" w:rsidP="00F14166">
            <w:pPr>
              <w:pStyle w:val="TableParagraph"/>
              <w:jc w:val="both"/>
              <w:rPr>
                <w:rFonts w:ascii="Times New Roman" w:hAnsi="Times New Roman"/>
                <w:i/>
                <w:iCs/>
                <w:noProof/>
                <w:sz w:val="24"/>
                <w:lang w:val="en-US"/>
              </w:rPr>
            </w:pPr>
            <w:r w:rsidRPr="005A2D50">
              <w:rPr>
                <w:rFonts w:ascii="Times New Roman" w:hAnsi="Times New Roman"/>
                <w:i/>
                <w:iCs/>
                <w:noProof/>
                <w:sz w:val="24"/>
                <w:lang w:val="en-US"/>
              </w:rPr>
              <w:t>AEOC</w:t>
            </w:r>
          </w:p>
        </w:tc>
        <w:tc>
          <w:tcPr>
            <w:tcW w:w="3975" w:type="pct"/>
          </w:tcPr>
          <w:p w14:paraId="5463C6AD"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atzītais uzņēmējs, kuram ir atļauja muitas vienkāršojumiem</w:t>
            </w:r>
          </w:p>
        </w:tc>
      </w:tr>
      <w:tr w:rsidR="005A2D50" w:rsidRPr="005A2D50" w14:paraId="7033A1E0" w14:textId="77777777" w:rsidTr="00F14166">
        <w:tc>
          <w:tcPr>
            <w:tcW w:w="1025" w:type="pct"/>
          </w:tcPr>
          <w:p w14:paraId="61BD97BC" w14:textId="77777777" w:rsidR="005A2D50" w:rsidRPr="005A2D50" w:rsidRDefault="005A2D50" w:rsidP="00F14166">
            <w:pPr>
              <w:pStyle w:val="TableParagraph"/>
              <w:jc w:val="both"/>
              <w:rPr>
                <w:rFonts w:ascii="Times New Roman" w:hAnsi="Times New Roman"/>
                <w:i/>
                <w:iCs/>
                <w:noProof/>
                <w:sz w:val="24"/>
                <w:lang w:val="en-US"/>
              </w:rPr>
            </w:pPr>
            <w:r w:rsidRPr="005A2D50">
              <w:rPr>
                <w:rFonts w:ascii="Times New Roman" w:hAnsi="Times New Roman"/>
                <w:i/>
                <w:iCs/>
                <w:noProof/>
                <w:sz w:val="24"/>
                <w:lang w:val="en-US"/>
              </w:rPr>
              <w:t>CA</w:t>
            </w:r>
          </w:p>
        </w:tc>
        <w:tc>
          <w:tcPr>
            <w:tcW w:w="3975" w:type="pct"/>
          </w:tcPr>
          <w:p w14:paraId="4172E7CE"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muitas dienesti</w:t>
            </w:r>
          </w:p>
        </w:tc>
      </w:tr>
      <w:tr w:rsidR="005A2D50" w:rsidRPr="005A2D50" w14:paraId="1383D0DB" w14:textId="77777777" w:rsidTr="00F14166">
        <w:tc>
          <w:tcPr>
            <w:tcW w:w="1025" w:type="pct"/>
          </w:tcPr>
          <w:p w14:paraId="07D5F8A1"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KMK</w:t>
            </w:r>
          </w:p>
        </w:tc>
        <w:tc>
          <w:tcPr>
            <w:tcW w:w="3975" w:type="pct"/>
          </w:tcPr>
          <w:p w14:paraId="36AFDB7B"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Kopienas Muitas kodekss (Padomes Regula (EEK) Nr. 2913/92)</w:t>
            </w:r>
          </w:p>
        </w:tc>
      </w:tr>
      <w:tr w:rsidR="005A2D50" w:rsidRPr="005A2D50" w14:paraId="7E0B3F2B" w14:textId="77777777" w:rsidTr="00F14166">
        <w:tc>
          <w:tcPr>
            <w:tcW w:w="1025" w:type="pct"/>
          </w:tcPr>
          <w:p w14:paraId="42F02CDD"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KMK īstenošanas noteikumi</w:t>
            </w:r>
          </w:p>
        </w:tc>
        <w:tc>
          <w:tcPr>
            <w:tcW w:w="3975" w:type="pct"/>
          </w:tcPr>
          <w:p w14:paraId="12F5E2D2"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Muitas kodeksa īstenošanas noteikumi (Komisijas Regula (EEK) Nr. 2454/93)</w:t>
            </w:r>
          </w:p>
        </w:tc>
      </w:tr>
      <w:tr w:rsidR="005A2D50" w:rsidRPr="005A2D50" w14:paraId="293CE654" w14:textId="77777777" w:rsidTr="00F14166">
        <w:tc>
          <w:tcPr>
            <w:tcW w:w="1025" w:type="pct"/>
          </w:tcPr>
          <w:p w14:paraId="10834D42"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MD</w:t>
            </w:r>
          </w:p>
        </w:tc>
        <w:tc>
          <w:tcPr>
            <w:tcW w:w="3975" w:type="pct"/>
          </w:tcPr>
          <w:p w14:paraId="1837A18A"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muitas deklarācija</w:t>
            </w:r>
          </w:p>
        </w:tc>
      </w:tr>
      <w:tr w:rsidR="005A2D50" w:rsidRPr="005A2D50" w14:paraId="508FB988" w14:textId="77777777" w:rsidTr="00F14166">
        <w:tc>
          <w:tcPr>
            <w:tcW w:w="1025" w:type="pct"/>
          </w:tcPr>
          <w:p w14:paraId="205CEB07"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MLS</w:t>
            </w:r>
          </w:p>
        </w:tc>
        <w:tc>
          <w:tcPr>
            <w:tcW w:w="3975" w:type="pct"/>
          </w:tcPr>
          <w:p w14:paraId="27B11C19"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muitas lēmumu sistēma</w:t>
            </w:r>
          </w:p>
        </w:tc>
      </w:tr>
      <w:tr w:rsidR="005A2D50" w:rsidRPr="005A2D50" w14:paraId="2408D564" w14:textId="77777777" w:rsidTr="00F14166">
        <w:tc>
          <w:tcPr>
            <w:tcW w:w="1025" w:type="pct"/>
          </w:tcPr>
          <w:p w14:paraId="34CD7711" w14:textId="77777777" w:rsidR="005A2D50" w:rsidRPr="005A2D50" w:rsidRDefault="005A2D50" w:rsidP="00F14166">
            <w:pPr>
              <w:pStyle w:val="TableParagraph"/>
              <w:jc w:val="both"/>
              <w:rPr>
                <w:rFonts w:ascii="Times New Roman" w:hAnsi="Times New Roman" w:cs="Times New Roman"/>
                <w:noProof/>
                <w:sz w:val="24"/>
                <w:szCs w:val="24"/>
                <w:lang w:val="en-US"/>
              </w:rPr>
            </w:pPr>
            <w:r w:rsidRPr="005A2D50">
              <w:rPr>
                <w:rFonts w:ascii="Times New Roman" w:hAnsi="Times New Roman"/>
                <w:i/>
                <w:iCs/>
                <w:noProof/>
                <w:sz w:val="24"/>
                <w:lang w:val="en-US"/>
              </w:rPr>
              <w:t xml:space="preserve">CGU </w:t>
            </w:r>
            <w:r w:rsidRPr="005A2D50">
              <w:rPr>
                <w:rFonts w:ascii="Times New Roman" w:hAnsi="Times New Roman"/>
                <w:noProof/>
                <w:sz w:val="24"/>
                <w:lang w:val="en-US"/>
              </w:rPr>
              <w:t>atļauja</w:t>
            </w:r>
          </w:p>
        </w:tc>
        <w:tc>
          <w:tcPr>
            <w:tcW w:w="3975" w:type="pct"/>
          </w:tcPr>
          <w:p w14:paraId="495D86CA"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atļauja, lai sniegtu vispārējo galvojumu, ieskaitot iespējamo samazinājumu vai atbrīvojumu</w:t>
            </w:r>
          </w:p>
        </w:tc>
      </w:tr>
      <w:tr w:rsidR="005A2D50" w:rsidRPr="005A2D50" w14:paraId="2426EBD2" w14:textId="77777777" w:rsidTr="00F14166">
        <w:tc>
          <w:tcPr>
            <w:tcW w:w="1025" w:type="pct"/>
          </w:tcPr>
          <w:p w14:paraId="01EF2749" w14:textId="77777777" w:rsidR="005A2D50" w:rsidRPr="005A2D50" w:rsidRDefault="005A2D50" w:rsidP="00F14166">
            <w:pPr>
              <w:pStyle w:val="TableParagraph"/>
              <w:jc w:val="both"/>
              <w:rPr>
                <w:rFonts w:ascii="Times New Roman" w:hAnsi="Times New Roman"/>
                <w:i/>
                <w:iCs/>
                <w:noProof/>
                <w:sz w:val="24"/>
                <w:lang w:val="en-US"/>
              </w:rPr>
            </w:pPr>
            <w:r w:rsidRPr="005A2D50">
              <w:rPr>
                <w:rFonts w:ascii="Times New Roman" w:hAnsi="Times New Roman"/>
                <w:i/>
                <w:iCs/>
                <w:noProof/>
                <w:sz w:val="24"/>
                <w:lang w:val="en-US"/>
              </w:rPr>
              <w:t>COG</w:t>
            </w:r>
          </w:p>
        </w:tc>
        <w:tc>
          <w:tcPr>
            <w:tcW w:w="3975" w:type="pct"/>
          </w:tcPr>
          <w:p w14:paraId="4EC2D9B6"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galvojuma muitas iestāde</w:t>
            </w:r>
          </w:p>
        </w:tc>
      </w:tr>
      <w:tr w:rsidR="005A2D50" w:rsidRPr="005A2D50" w14:paraId="08513016" w14:textId="77777777" w:rsidTr="00F14166">
        <w:tc>
          <w:tcPr>
            <w:tcW w:w="1025" w:type="pct"/>
          </w:tcPr>
          <w:p w14:paraId="04319376"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d. e.</w:t>
            </w:r>
          </w:p>
        </w:tc>
        <w:tc>
          <w:tcPr>
            <w:tcW w:w="3975" w:type="pct"/>
          </w:tcPr>
          <w:p w14:paraId="7CF2C3DF"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datu elements</w:t>
            </w:r>
          </w:p>
        </w:tc>
      </w:tr>
      <w:tr w:rsidR="005A2D50" w:rsidRPr="005A2D50" w14:paraId="72F6177E" w14:textId="77777777" w:rsidTr="00F14166">
        <w:tc>
          <w:tcPr>
            <w:tcW w:w="1025" w:type="pct"/>
          </w:tcPr>
          <w:p w14:paraId="2DAE6907" w14:textId="77777777" w:rsidR="005A2D50" w:rsidRPr="005A2D50" w:rsidRDefault="005A2D50" w:rsidP="00F14166">
            <w:pPr>
              <w:pStyle w:val="TableParagraph"/>
              <w:jc w:val="both"/>
              <w:rPr>
                <w:rFonts w:ascii="Times New Roman" w:hAnsi="Times New Roman"/>
                <w:i/>
                <w:iCs/>
                <w:noProof/>
                <w:sz w:val="24"/>
                <w:lang w:val="en-US"/>
              </w:rPr>
            </w:pPr>
            <w:r w:rsidRPr="005A2D50">
              <w:rPr>
                <w:rFonts w:ascii="Times New Roman" w:hAnsi="Times New Roman"/>
                <w:i/>
                <w:iCs/>
                <w:noProof/>
                <w:sz w:val="24"/>
                <w:lang w:val="en-US"/>
              </w:rPr>
              <w:t>EIDR</w:t>
            </w:r>
          </w:p>
        </w:tc>
        <w:tc>
          <w:tcPr>
            <w:tcW w:w="3975" w:type="pct"/>
          </w:tcPr>
          <w:p w14:paraId="16FFEB64"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ieraksts deklarētāja reģistros</w:t>
            </w:r>
          </w:p>
        </w:tc>
      </w:tr>
      <w:tr w:rsidR="005A2D50" w:rsidRPr="005A2D50" w14:paraId="2AF08CE3" w14:textId="77777777" w:rsidTr="00F14166">
        <w:tc>
          <w:tcPr>
            <w:tcW w:w="1025" w:type="pct"/>
          </w:tcPr>
          <w:p w14:paraId="65F03781" w14:textId="77777777" w:rsidR="005A2D50" w:rsidRPr="005A2D50" w:rsidRDefault="005A2D50" w:rsidP="00F14166">
            <w:pPr>
              <w:pStyle w:val="TableParagraph"/>
              <w:jc w:val="both"/>
              <w:rPr>
                <w:rFonts w:ascii="Times New Roman" w:hAnsi="Times New Roman"/>
                <w:i/>
                <w:iCs/>
                <w:noProof/>
                <w:sz w:val="24"/>
                <w:lang w:val="en-US"/>
              </w:rPr>
            </w:pPr>
            <w:r w:rsidRPr="005A2D50">
              <w:rPr>
                <w:rFonts w:ascii="Times New Roman" w:hAnsi="Times New Roman"/>
                <w:i/>
                <w:iCs/>
                <w:noProof/>
                <w:sz w:val="24"/>
                <w:lang w:val="en-US"/>
              </w:rPr>
              <w:t>GRN</w:t>
            </w:r>
          </w:p>
        </w:tc>
        <w:tc>
          <w:tcPr>
            <w:tcW w:w="3975" w:type="pct"/>
          </w:tcPr>
          <w:p w14:paraId="4B8E3E15"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galvojuma atsauces numurs</w:t>
            </w:r>
          </w:p>
        </w:tc>
      </w:tr>
      <w:tr w:rsidR="005A2D50" w:rsidRPr="005A2D50" w14:paraId="7D909B04" w14:textId="77777777" w:rsidTr="00F14166">
        <w:tc>
          <w:tcPr>
            <w:tcW w:w="1025" w:type="pct"/>
          </w:tcPr>
          <w:p w14:paraId="6959B176" w14:textId="77777777" w:rsidR="005A2D50" w:rsidRPr="005A2D50" w:rsidRDefault="005A2D50" w:rsidP="00F14166">
            <w:pPr>
              <w:pStyle w:val="TableParagraph"/>
              <w:jc w:val="both"/>
              <w:rPr>
                <w:rFonts w:ascii="Times New Roman" w:hAnsi="Times New Roman"/>
                <w:i/>
                <w:iCs/>
                <w:noProof/>
                <w:sz w:val="24"/>
                <w:lang w:val="en-US"/>
              </w:rPr>
            </w:pPr>
            <w:r w:rsidRPr="005A2D50">
              <w:rPr>
                <w:rFonts w:ascii="Times New Roman" w:hAnsi="Times New Roman"/>
                <w:i/>
                <w:iCs/>
                <w:noProof/>
                <w:sz w:val="24"/>
                <w:lang w:val="en-US"/>
              </w:rPr>
              <w:t>GUM</w:t>
            </w:r>
          </w:p>
        </w:tc>
        <w:tc>
          <w:tcPr>
            <w:tcW w:w="3975" w:type="pct"/>
          </w:tcPr>
          <w:p w14:paraId="30F9E345"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galvojumu pārvaldības sistēma</w:t>
            </w:r>
          </w:p>
        </w:tc>
      </w:tr>
      <w:tr w:rsidR="005A2D50" w:rsidRPr="005A2D50" w14:paraId="5A259FFF" w14:textId="77777777" w:rsidTr="00F14166">
        <w:tc>
          <w:tcPr>
            <w:tcW w:w="1025" w:type="pct"/>
          </w:tcPr>
          <w:p w14:paraId="2F97D733"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IP</w:t>
            </w:r>
          </w:p>
        </w:tc>
        <w:tc>
          <w:tcPr>
            <w:tcW w:w="3975" w:type="pct"/>
          </w:tcPr>
          <w:p w14:paraId="6F2784FC"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ievešana pārstrādei</w:t>
            </w:r>
          </w:p>
        </w:tc>
      </w:tr>
      <w:tr w:rsidR="005A2D50" w:rsidRPr="005A2D50" w14:paraId="4AC55601" w14:textId="77777777" w:rsidTr="00F14166">
        <w:tc>
          <w:tcPr>
            <w:tcW w:w="1025" w:type="pct"/>
          </w:tcPr>
          <w:p w14:paraId="7077DB91"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DV</w:t>
            </w:r>
          </w:p>
        </w:tc>
        <w:tc>
          <w:tcPr>
            <w:tcW w:w="3975" w:type="pct"/>
          </w:tcPr>
          <w:p w14:paraId="412F3306"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dalībvalsts</w:t>
            </w:r>
          </w:p>
        </w:tc>
      </w:tr>
      <w:tr w:rsidR="005A2D50" w:rsidRPr="005A2D50" w14:paraId="44412F40" w14:textId="77777777" w:rsidTr="00F14166">
        <w:tc>
          <w:tcPr>
            <w:tcW w:w="1025" w:type="pct"/>
          </w:tcPr>
          <w:p w14:paraId="0F8142A0" w14:textId="77777777" w:rsidR="005A2D50" w:rsidRPr="005A2D50" w:rsidRDefault="005A2D50" w:rsidP="00F14166">
            <w:pPr>
              <w:pStyle w:val="TableParagraph"/>
              <w:jc w:val="both"/>
              <w:rPr>
                <w:rFonts w:ascii="Times New Roman" w:hAnsi="Times New Roman"/>
                <w:i/>
                <w:iCs/>
                <w:noProof/>
                <w:sz w:val="24"/>
                <w:lang w:val="en-US"/>
              </w:rPr>
            </w:pPr>
            <w:r w:rsidRPr="005A2D50">
              <w:rPr>
                <w:rFonts w:ascii="Times New Roman" w:hAnsi="Times New Roman"/>
                <w:i/>
                <w:iCs/>
                <w:noProof/>
                <w:sz w:val="24"/>
                <w:lang w:val="en-US"/>
              </w:rPr>
              <w:t>NCTS</w:t>
            </w:r>
          </w:p>
        </w:tc>
        <w:tc>
          <w:tcPr>
            <w:tcW w:w="3975" w:type="pct"/>
          </w:tcPr>
          <w:p w14:paraId="6CE5BAEE"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jaunā datorizētā tranzīta kontroles sistēma: IT lietotne tranzītam</w:t>
            </w:r>
          </w:p>
        </w:tc>
      </w:tr>
      <w:tr w:rsidR="005A2D50" w:rsidRPr="005A2D50" w14:paraId="4C9A26A0" w14:textId="77777777" w:rsidTr="00F14166">
        <w:tc>
          <w:tcPr>
            <w:tcW w:w="1025" w:type="pct"/>
          </w:tcPr>
          <w:p w14:paraId="13BE8E95" w14:textId="77777777" w:rsidR="005A2D50" w:rsidRPr="005A2D50" w:rsidRDefault="005A2D50" w:rsidP="00F14166">
            <w:pPr>
              <w:pStyle w:val="TableParagraph"/>
              <w:jc w:val="both"/>
              <w:rPr>
                <w:rFonts w:ascii="Times New Roman" w:hAnsi="Times New Roman"/>
                <w:i/>
                <w:iCs/>
                <w:noProof/>
                <w:sz w:val="24"/>
                <w:lang w:val="en-US"/>
              </w:rPr>
            </w:pPr>
            <w:r w:rsidRPr="005A2D50">
              <w:rPr>
                <w:rFonts w:ascii="Times New Roman" w:hAnsi="Times New Roman"/>
                <w:i/>
                <w:iCs/>
                <w:noProof/>
                <w:sz w:val="24"/>
                <w:lang w:val="en-US"/>
              </w:rPr>
              <w:t>RA</w:t>
            </w:r>
          </w:p>
        </w:tc>
        <w:tc>
          <w:tcPr>
            <w:tcW w:w="3975" w:type="pct"/>
          </w:tcPr>
          <w:p w14:paraId="1070A5ED"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atsauces summa</w:t>
            </w:r>
          </w:p>
        </w:tc>
      </w:tr>
      <w:tr w:rsidR="005A2D50" w:rsidRPr="005A2D50" w14:paraId="444BB933" w14:textId="77777777" w:rsidTr="00F14166">
        <w:tc>
          <w:tcPr>
            <w:tcW w:w="1025" w:type="pct"/>
          </w:tcPr>
          <w:p w14:paraId="50C8A470" w14:textId="77777777" w:rsidR="005A2D50" w:rsidRPr="005A2D50" w:rsidRDefault="005A2D50" w:rsidP="00F14166">
            <w:pPr>
              <w:pStyle w:val="TableParagraph"/>
              <w:jc w:val="both"/>
              <w:rPr>
                <w:rFonts w:ascii="Times New Roman" w:hAnsi="Times New Roman"/>
                <w:i/>
                <w:iCs/>
                <w:noProof/>
                <w:sz w:val="24"/>
                <w:lang w:val="en-US"/>
              </w:rPr>
            </w:pPr>
            <w:r w:rsidRPr="005A2D50">
              <w:rPr>
                <w:rFonts w:ascii="Times New Roman" w:hAnsi="Times New Roman"/>
                <w:i/>
                <w:iCs/>
                <w:noProof/>
                <w:sz w:val="24"/>
                <w:lang w:val="en-US"/>
              </w:rPr>
              <w:t>SPE</w:t>
            </w:r>
          </w:p>
        </w:tc>
        <w:tc>
          <w:tcPr>
            <w:tcW w:w="3975" w:type="pct"/>
          </w:tcPr>
          <w:p w14:paraId="3C592E23"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īpašas procedūras</w:t>
            </w:r>
          </w:p>
        </w:tc>
      </w:tr>
      <w:tr w:rsidR="005A2D50" w:rsidRPr="005A2D50" w14:paraId="201BEA96" w14:textId="77777777" w:rsidTr="00F14166">
        <w:tc>
          <w:tcPr>
            <w:tcW w:w="1025" w:type="pct"/>
          </w:tcPr>
          <w:p w14:paraId="280CB41E" w14:textId="77777777" w:rsidR="005A2D50" w:rsidRPr="005A2D50" w:rsidRDefault="005A2D50" w:rsidP="00F14166">
            <w:pPr>
              <w:pStyle w:val="TableParagraph"/>
              <w:jc w:val="both"/>
              <w:rPr>
                <w:rFonts w:ascii="Times New Roman" w:hAnsi="Times New Roman"/>
                <w:i/>
                <w:iCs/>
                <w:noProof/>
                <w:sz w:val="24"/>
                <w:lang w:val="en-US"/>
              </w:rPr>
            </w:pPr>
            <w:r w:rsidRPr="005A2D50">
              <w:rPr>
                <w:rFonts w:ascii="Times New Roman" w:hAnsi="Times New Roman"/>
                <w:i/>
                <w:iCs/>
                <w:noProof/>
                <w:sz w:val="24"/>
                <w:lang w:val="en-US"/>
              </w:rPr>
              <w:t>TS</w:t>
            </w:r>
          </w:p>
        </w:tc>
        <w:tc>
          <w:tcPr>
            <w:tcW w:w="3975" w:type="pct"/>
          </w:tcPr>
          <w:p w14:paraId="0A66AD88"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pagaidu uzglabāšana</w:t>
            </w:r>
          </w:p>
        </w:tc>
      </w:tr>
      <w:tr w:rsidR="005A2D50" w:rsidRPr="005A2D50" w14:paraId="60B9A817" w14:textId="77777777" w:rsidTr="00F14166">
        <w:tc>
          <w:tcPr>
            <w:tcW w:w="1025" w:type="pct"/>
          </w:tcPr>
          <w:p w14:paraId="6A034E76" w14:textId="77777777" w:rsidR="005A2D50" w:rsidRPr="005A2D50" w:rsidRDefault="005A2D50" w:rsidP="00F14166">
            <w:pPr>
              <w:pStyle w:val="TableParagraph"/>
              <w:jc w:val="both"/>
              <w:rPr>
                <w:rFonts w:ascii="Times New Roman" w:hAnsi="Times New Roman"/>
                <w:i/>
                <w:iCs/>
                <w:noProof/>
                <w:sz w:val="24"/>
                <w:lang w:val="en-US"/>
              </w:rPr>
            </w:pPr>
            <w:r w:rsidRPr="005A2D50">
              <w:rPr>
                <w:rFonts w:ascii="Times New Roman" w:hAnsi="Times New Roman"/>
                <w:i/>
                <w:iCs/>
                <w:noProof/>
                <w:sz w:val="24"/>
                <w:lang w:val="en-US"/>
              </w:rPr>
              <w:t>TORO</w:t>
            </w:r>
          </w:p>
        </w:tc>
        <w:tc>
          <w:tcPr>
            <w:tcW w:w="3975" w:type="pct"/>
          </w:tcPr>
          <w:p w14:paraId="1BE5FA22"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tiesību un pienākumu nodošana</w:t>
            </w:r>
          </w:p>
        </w:tc>
      </w:tr>
      <w:tr w:rsidR="005A2D50" w:rsidRPr="005A2D50" w14:paraId="06ADDC86" w14:textId="77777777" w:rsidTr="00F14166">
        <w:tc>
          <w:tcPr>
            <w:tcW w:w="1025" w:type="pct"/>
          </w:tcPr>
          <w:p w14:paraId="4D726DF8"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SMK</w:t>
            </w:r>
          </w:p>
        </w:tc>
        <w:tc>
          <w:tcPr>
            <w:tcW w:w="3975" w:type="pct"/>
          </w:tcPr>
          <w:p w14:paraId="39F1A759"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Savienības Muitas kodekss, Regula (ES) Nr. 952/2013</w:t>
            </w:r>
          </w:p>
        </w:tc>
      </w:tr>
      <w:tr w:rsidR="005A2D50" w:rsidRPr="005A2D50" w14:paraId="3B6E871C" w14:textId="77777777" w:rsidTr="00F14166">
        <w:tc>
          <w:tcPr>
            <w:tcW w:w="1025" w:type="pct"/>
          </w:tcPr>
          <w:p w14:paraId="56F1B654"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SMK DA</w:t>
            </w:r>
          </w:p>
        </w:tc>
        <w:tc>
          <w:tcPr>
            <w:tcW w:w="3975" w:type="pct"/>
          </w:tcPr>
          <w:p w14:paraId="11EC9075"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Savienības Muitas kodekss, Deleģētais akts (Komisijas Deleģētā regula (ES) 2015/2446)</w:t>
            </w:r>
          </w:p>
        </w:tc>
      </w:tr>
      <w:tr w:rsidR="005A2D50" w:rsidRPr="005A2D50" w14:paraId="2A32B253" w14:textId="77777777" w:rsidTr="00F14166">
        <w:tc>
          <w:tcPr>
            <w:tcW w:w="1025" w:type="pct"/>
          </w:tcPr>
          <w:p w14:paraId="1A421644"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SMK ĪA</w:t>
            </w:r>
          </w:p>
        </w:tc>
        <w:tc>
          <w:tcPr>
            <w:tcW w:w="3975" w:type="pct"/>
          </w:tcPr>
          <w:p w14:paraId="745CE10D"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Savienības Muitas kodekss, Īstenošanas akts (Komisijas Īstenošanas regula (ES) 2015/2447)</w:t>
            </w:r>
          </w:p>
        </w:tc>
      </w:tr>
      <w:tr w:rsidR="005A2D50" w:rsidRPr="005A2D50" w14:paraId="36C343C2" w14:textId="77777777" w:rsidTr="00F14166">
        <w:tc>
          <w:tcPr>
            <w:tcW w:w="1025" w:type="pct"/>
          </w:tcPr>
          <w:p w14:paraId="75EFE4B4" w14:textId="77777777" w:rsidR="005A2D50" w:rsidRPr="005A2D50" w:rsidRDefault="005A2D50" w:rsidP="00F14166">
            <w:pPr>
              <w:pStyle w:val="TableParagraph"/>
              <w:jc w:val="both"/>
              <w:rPr>
                <w:rFonts w:ascii="Times New Roman" w:hAnsi="Times New Roman" w:cs="Times New Roman"/>
                <w:noProof/>
                <w:sz w:val="24"/>
                <w:szCs w:val="24"/>
                <w:lang w:val="en-US"/>
              </w:rPr>
            </w:pPr>
            <w:r w:rsidRPr="005A2D50">
              <w:rPr>
                <w:rFonts w:ascii="Times New Roman" w:hAnsi="Times New Roman"/>
                <w:noProof/>
                <w:sz w:val="24"/>
                <w:lang w:val="en-US"/>
              </w:rPr>
              <w:t xml:space="preserve">SMK </w:t>
            </w:r>
            <w:r w:rsidRPr="005A2D50">
              <w:rPr>
                <w:rFonts w:ascii="Times New Roman" w:hAnsi="Times New Roman"/>
                <w:i/>
                <w:iCs/>
                <w:noProof/>
                <w:sz w:val="24"/>
                <w:lang w:val="en-US"/>
              </w:rPr>
              <w:t>TDA</w:t>
            </w:r>
          </w:p>
        </w:tc>
        <w:tc>
          <w:tcPr>
            <w:tcW w:w="3975" w:type="pct"/>
          </w:tcPr>
          <w:p w14:paraId="0F25C355"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Savienības Muitas kodekss, pārejas perioda deleģētais akts (Komisijas Deleģētā regula (ES) 2016/341)</w:t>
            </w:r>
          </w:p>
        </w:tc>
      </w:tr>
    </w:tbl>
    <w:p w14:paraId="7C0B45EF" w14:textId="77777777" w:rsidR="005A2D50" w:rsidRPr="005A2D50" w:rsidRDefault="005A2D50" w:rsidP="005A2D50">
      <w:pPr>
        <w:jc w:val="both"/>
        <w:rPr>
          <w:rFonts w:ascii="Times New Roman" w:eastAsia="Times New Roman" w:hAnsi="Times New Roman" w:cs="Times New Roman"/>
          <w:noProof/>
          <w:sz w:val="24"/>
          <w:szCs w:val="24"/>
          <w:lang w:val="en-US"/>
        </w:rPr>
      </w:pPr>
    </w:p>
    <w:p w14:paraId="5786E792" w14:textId="77777777" w:rsidR="005A2D50" w:rsidRPr="005A2D50" w:rsidRDefault="005A2D50" w:rsidP="005A2D50">
      <w:pPr>
        <w:rPr>
          <w:noProof/>
          <w:lang w:val="en-US"/>
        </w:rPr>
      </w:pPr>
      <w:r w:rsidRPr="005A2D50">
        <w:rPr>
          <w:noProof/>
          <w:lang w:val="en-US"/>
        </w:rPr>
        <w:br w:type="page"/>
      </w:r>
    </w:p>
    <w:p w14:paraId="6D6EAEB8" w14:textId="77777777" w:rsidR="005A2D50" w:rsidRPr="005A2D50" w:rsidRDefault="005A2D50" w:rsidP="005A2D50">
      <w:pPr>
        <w:jc w:val="both"/>
        <w:rPr>
          <w:rFonts w:ascii="Times New Roman" w:eastAsia="Times New Roman" w:hAnsi="Times New Roman" w:cs="Times New Roman"/>
          <w:noProof/>
          <w:sz w:val="24"/>
          <w:szCs w:val="24"/>
          <w:lang w:val="en-US"/>
        </w:rPr>
      </w:pPr>
    </w:p>
    <w:p w14:paraId="4A31AB26" w14:textId="77777777" w:rsidR="005A2D50" w:rsidRPr="005A2D50" w:rsidRDefault="005A2D50" w:rsidP="005A2D50">
      <w:pPr>
        <w:pStyle w:val="Heading1"/>
        <w:rPr>
          <w:noProof/>
          <w:lang w:val="en-US"/>
        </w:rPr>
      </w:pPr>
      <w:bookmarkStart w:id="7" w:name="I.2._Expressions_and_definitions"/>
      <w:bookmarkStart w:id="8" w:name="_bookmark2"/>
      <w:bookmarkStart w:id="9" w:name="_Toc104982760"/>
      <w:bookmarkEnd w:id="7"/>
      <w:bookmarkEnd w:id="8"/>
      <w:r w:rsidRPr="005A2D50">
        <w:rPr>
          <w:noProof/>
          <w:lang w:val="en-US"/>
        </w:rPr>
        <w:t>I.2. Frāzes un definīcijas</w:t>
      </w:r>
      <w:bookmarkEnd w:id="9"/>
    </w:p>
    <w:p w14:paraId="6E7FB6A1" w14:textId="77777777" w:rsidR="005A2D50" w:rsidRPr="005A2D50" w:rsidRDefault="005A2D50" w:rsidP="005A2D50">
      <w:pPr>
        <w:jc w:val="both"/>
        <w:rPr>
          <w:rFonts w:ascii="Times New Roman" w:eastAsia="Times New Roman" w:hAnsi="Times New Roman" w:cs="Times New Roman"/>
          <w:b/>
          <w:bCs/>
          <w:noProof/>
          <w:sz w:val="24"/>
          <w:szCs w:val="24"/>
          <w:lang w:val="en-US"/>
        </w:rPr>
      </w:pPr>
    </w:p>
    <w:tbl>
      <w:tblPr>
        <w:tblW w:w="5000" w:type="pct"/>
        <w:tblCellMar>
          <w:top w:w="28" w:type="dxa"/>
          <w:left w:w="28" w:type="dxa"/>
          <w:bottom w:w="28" w:type="dxa"/>
          <w:right w:w="28" w:type="dxa"/>
        </w:tblCellMar>
        <w:tblLook w:val="01E0" w:firstRow="1" w:lastRow="1" w:firstColumn="1" w:lastColumn="1" w:noHBand="0" w:noVBand="0"/>
      </w:tblPr>
      <w:tblGrid>
        <w:gridCol w:w="2723"/>
        <w:gridCol w:w="6408"/>
      </w:tblGrid>
      <w:tr w:rsidR="005A2D50" w:rsidRPr="005A2D50" w14:paraId="2DB35902" w14:textId="77777777" w:rsidTr="00F14166">
        <w:tc>
          <w:tcPr>
            <w:tcW w:w="1491" w:type="pct"/>
            <w:tcBorders>
              <w:top w:val="nil"/>
              <w:left w:val="nil"/>
              <w:bottom w:val="nil"/>
              <w:right w:val="nil"/>
            </w:tcBorders>
          </w:tcPr>
          <w:p w14:paraId="348E38EC"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Vispārējais galvojums</w:t>
            </w:r>
          </w:p>
        </w:tc>
        <w:tc>
          <w:tcPr>
            <w:tcW w:w="3509" w:type="pct"/>
            <w:tcBorders>
              <w:top w:val="nil"/>
              <w:left w:val="nil"/>
              <w:bottom w:val="nil"/>
              <w:right w:val="nil"/>
            </w:tcBorders>
          </w:tcPr>
          <w:p w14:paraId="4F2A8814"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galvojums, kas attiecas uz ievedmuitas vai izvedmuitas nodokļa summu, kura atbilst esošajam un/vai iespējamam muitas parādam un citiem maksājumiem, ja tādi piemērojami, saistībā ar divām vai vairākām darbībām, deklarācijām vai muitas procedūrām.</w:t>
            </w:r>
          </w:p>
        </w:tc>
      </w:tr>
      <w:tr w:rsidR="005A2D50" w:rsidRPr="005A2D50" w14:paraId="4EE389CF" w14:textId="77777777" w:rsidTr="00F14166">
        <w:tc>
          <w:tcPr>
            <w:tcW w:w="1491" w:type="pct"/>
            <w:tcBorders>
              <w:top w:val="nil"/>
              <w:left w:val="nil"/>
              <w:bottom w:val="nil"/>
              <w:right w:val="nil"/>
            </w:tcBorders>
          </w:tcPr>
          <w:p w14:paraId="546A7139"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Galvojuma muitas iestāde</w:t>
            </w:r>
          </w:p>
        </w:tc>
        <w:tc>
          <w:tcPr>
            <w:tcW w:w="3509" w:type="pct"/>
            <w:tcBorders>
              <w:top w:val="nil"/>
              <w:left w:val="nil"/>
              <w:bottom w:val="nil"/>
              <w:right w:val="nil"/>
            </w:tcBorders>
          </w:tcPr>
          <w:p w14:paraId="12868D33"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muitas iestāde, kurā galvojums ir jāsniedz/ir sniegts (SMK ĪA 151. panta 1. punkts).</w:t>
            </w:r>
          </w:p>
        </w:tc>
      </w:tr>
      <w:tr w:rsidR="005A2D50" w:rsidRPr="005A2D50" w14:paraId="7D1CC527" w14:textId="77777777" w:rsidTr="00F14166">
        <w:tc>
          <w:tcPr>
            <w:tcW w:w="1491" w:type="pct"/>
            <w:tcBorders>
              <w:top w:val="nil"/>
              <w:left w:val="nil"/>
              <w:bottom w:val="nil"/>
              <w:right w:val="nil"/>
            </w:tcBorders>
          </w:tcPr>
          <w:p w14:paraId="0A2AB174"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Muitas deklarācija</w:t>
            </w:r>
          </w:p>
        </w:tc>
        <w:tc>
          <w:tcPr>
            <w:tcW w:w="3509" w:type="pct"/>
            <w:tcBorders>
              <w:top w:val="nil"/>
              <w:left w:val="nil"/>
              <w:bottom w:val="nil"/>
              <w:right w:val="nil"/>
            </w:tcBorders>
          </w:tcPr>
          <w:p w14:paraId="22E66E28"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darbība, ar ko persona noteiktā veidā un kārtībā paziņo par savu vēlmi precēm piemērot noteiktu muitas procedūru, vajadzības gadījumā norādot jebkurus īpašus pasākumus, kas būtu jāpiemēro (SMK 5. panta 12. punkts).</w:t>
            </w:r>
          </w:p>
        </w:tc>
      </w:tr>
      <w:tr w:rsidR="005A2D50" w:rsidRPr="005A2D50" w14:paraId="3F9CD263" w14:textId="77777777" w:rsidTr="00F14166">
        <w:tc>
          <w:tcPr>
            <w:tcW w:w="1491" w:type="pct"/>
            <w:tcBorders>
              <w:top w:val="nil"/>
              <w:left w:val="nil"/>
              <w:bottom w:val="nil"/>
              <w:right w:val="nil"/>
            </w:tcBorders>
          </w:tcPr>
          <w:p w14:paraId="53C45417"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Vienreizējs galvojums</w:t>
            </w:r>
          </w:p>
        </w:tc>
        <w:tc>
          <w:tcPr>
            <w:tcW w:w="3509" w:type="pct"/>
            <w:tcBorders>
              <w:top w:val="nil"/>
              <w:left w:val="nil"/>
              <w:bottom w:val="nil"/>
              <w:right w:val="nil"/>
            </w:tcBorders>
          </w:tcPr>
          <w:p w14:paraId="2DDAD7FD"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galvojums, kas attiecas uz vienu darbību saistībā ar esošu vai iespējamu muitas parādu un citiem maksājumiem, ja tādi ir piemērojami (SMK ĪA 148. pants).</w:t>
            </w:r>
          </w:p>
        </w:tc>
      </w:tr>
      <w:tr w:rsidR="005A2D50" w:rsidRPr="005A2D50" w14:paraId="1A53E3E5" w14:textId="77777777" w:rsidTr="00F14166">
        <w:tc>
          <w:tcPr>
            <w:tcW w:w="1491" w:type="pct"/>
            <w:tcBorders>
              <w:top w:val="nil"/>
              <w:left w:val="nil"/>
              <w:bottom w:val="nil"/>
              <w:right w:val="nil"/>
            </w:tcBorders>
          </w:tcPr>
          <w:p w14:paraId="7E3FF2C2"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Galvojums</w:t>
            </w:r>
          </w:p>
        </w:tc>
        <w:tc>
          <w:tcPr>
            <w:tcW w:w="3509" w:type="pct"/>
            <w:tcBorders>
              <w:top w:val="nil"/>
              <w:left w:val="nil"/>
              <w:bottom w:val="nil"/>
              <w:right w:val="nil"/>
            </w:tcBorders>
          </w:tcPr>
          <w:p w14:paraId="7650F1A9"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saistības, ko uzņemas ar finanšu līdzekļiem, lai nodrošinātu ievedmuitas vai izvedmuitas nodokļu un, ja atbilstīgi, citu maksājumu apmaksu.</w:t>
            </w:r>
          </w:p>
        </w:tc>
      </w:tr>
      <w:tr w:rsidR="005A2D50" w:rsidRPr="005A2D50" w14:paraId="2AC75967" w14:textId="77777777" w:rsidTr="00F14166">
        <w:tc>
          <w:tcPr>
            <w:tcW w:w="1491" w:type="pct"/>
            <w:tcBorders>
              <w:top w:val="nil"/>
              <w:left w:val="nil"/>
              <w:bottom w:val="nil"/>
              <w:right w:val="nil"/>
            </w:tcBorders>
          </w:tcPr>
          <w:p w14:paraId="1F5A99A4" w14:textId="77777777" w:rsidR="005A2D50" w:rsidRPr="005A2D50" w:rsidRDefault="005A2D50" w:rsidP="00F14166">
            <w:pPr>
              <w:pStyle w:val="TableParagraph"/>
              <w:tabs>
                <w:tab w:val="left" w:pos="1485"/>
                <w:tab w:val="left" w:pos="2464"/>
                <w:tab w:val="left" w:pos="3002"/>
              </w:tabs>
              <w:jc w:val="both"/>
              <w:rPr>
                <w:rFonts w:ascii="Times New Roman" w:hAnsi="Times New Roman" w:cs="Times New Roman"/>
                <w:noProof/>
                <w:sz w:val="24"/>
                <w:szCs w:val="24"/>
                <w:lang w:val="en-US"/>
              </w:rPr>
            </w:pPr>
            <w:r w:rsidRPr="005A2D50">
              <w:rPr>
                <w:rFonts w:ascii="Times New Roman" w:hAnsi="Times New Roman"/>
                <w:noProof/>
                <w:sz w:val="24"/>
                <w:lang w:val="en-US"/>
              </w:rPr>
              <w:t>Atbrīvojums no galvojuma (</w:t>
            </w:r>
            <w:r w:rsidRPr="005A2D50">
              <w:rPr>
                <w:rFonts w:ascii="Times New Roman" w:hAnsi="Times New Roman"/>
                <w:i/>
                <w:iCs/>
                <w:noProof/>
                <w:sz w:val="24"/>
                <w:lang w:val="en-US"/>
              </w:rPr>
              <w:t xml:space="preserve">CGU </w:t>
            </w:r>
            <w:r w:rsidRPr="005A2D50">
              <w:rPr>
                <w:rFonts w:ascii="Times New Roman" w:hAnsi="Times New Roman"/>
                <w:noProof/>
                <w:sz w:val="24"/>
                <w:lang w:val="en-US"/>
              </w:rPr>
              <w:t>kontekstā)</w:t>
            </w:r>
          </w:p>
        </w:tc>
        <w:tc>
          <w:tcPr>
            <w:tcW w:w="3509" w:type="pct"/>
            <w:tcBorders>
              <w:top w:val="nil"/>
              <w:left w:val="nil"/>
              <w:bottom w:val="nil"/>
              <w:right w:val="nil"/>
            </w:tcBorders>
          </w:tcPr>
          <w:p w14:paraId="71C4ED0F"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faktiskās galvojuma summas pilnīga samazināšana (galvojumu paredz tiesību normas, bet tā faktiskā summa ir nulle).</w:t>
            </w:r>
          </w:p>
        </w:tc>
      </w:tr>
      <w:tr w:rsidR="005A2D50" w:rsidRPr="005A2D50" w14:paraId="5E3AFAC7" w14:textId="77777777" w:rsidTr="00F14166">
        <w:tc>
          <w:tcPr>
            <w:tcW w:w="1491" w:type="pct"/>
            <w:tcBorders>
              <w:top w:val="nil"/>
              <w:left w:val="nil"/>
              <w:bottom w:val="nil"/>
              <w:right w:val="nil"/>
            </w:tcBorders>
          </w:tcPr>
          <w:p w14:paraId="3CBD8F1F"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Galvenais atsauces numurs</w:t>
            </w:r>
          </w:p>
        </w:tc>
        <w:tc>
          <w:tcPr>
            <w:tcW w:w="3509" w:type="pct"/>
            <w:tcBorders>
              <w:top w:val="nil"/>
              <w:left w:val="nil"/>
              <w:bottom w:val="nil"/>
              <w:right w:val="nil"/>
            </w:tcBorders>
          </w:tcPr>
          <w:p w14:paraId="4F2875C6" w14:textId="77777777" w:rsidR="005A2D50" w:rsidRPr="005A2D50" w:rsidRDefault="005A2D50" w:rsidP="00F14166">
            <w:pPr>
              <w:pStyle w:val="TableParagraph"/>
              <w:jc w:val="both"/>
              <w:rPr>
                <w:rFonts w:ascii="Times New Roman" w:hAnsi="Times New Roman" w:cs="Times New Roman"/>
                <w:noProof/>
                <w:sz w:val="24"/>
                <w:szCs w:val="24"/>
                <w:lang w:val="en-US"/>
              </w:rPr>
            </w:pPr>
            <w:r w:rsidRPr="005A2D50">
              <w:rPr>
                <w:rFonts w:ascii="Times New Roman" w:hAnsi="Times New Roman"/>
                <w:noProof/>
                <w:sz w:val="24"/>
                <w:lang w:val="en-US"/>
              </w:rPr>
              <w:t xml:space="preserve">reģistrācijas numurs, ko kompetentie muitas dienesti piešķir deklarācijām vai paziņojumiem, kas minēti SMK 5. panta 9.–14. punktā, </w:t>
            </w:r>
            <w:r w:rsidRPr="005A2D50">
              <w:rPr>
                <w:rFonts w:ascii="Times New Roman" w:hAnsi="Times New Roman"/>
                <w:i/>
                <w:iCs/>
                <w:noProof/>
                <w:sz w:val="24"/>
                <w:lang w:val="en-US"/>
              </w:rPr>
              <w:t xml:space="preserve">TIR </w:t>
            </w:r>
            <w:r w:rsidRPr="005A2D50">
              <w:rPr>
                <w:rFonts w:ascii="Times New Roman" w:hAnsi="Times New Roman"/>
                <w:noProof/>
                <w:sz w:val="24"/>
                <w:lang w:val="en-US"/>
              </w:rPr>
              <w:t>operācijām vai Savienības preču muitas statusa pierādīšanai.</w:t>
            </w:r>
          </w:p>
        </w:tc>
      </w:tr>
      <w:tr w:rsidR="005A2D50" w:rsidRPr="005A2D50" w14:paraId="5CD77D7D" w14:textId="77777777" w:rsidTr="00F14166">
        <w:tc>
          <w:tcPr>
            <w:tcW w:w="1491" w:type="pct"/>
            <w:tcBorders>
              <w:top w:val="nil"/>
              <w:left w:val="nil"/>
              <w:bottom w:val="nil"/>
              <w:right w:val="nil"/>
            </w:tcBorders>
          </w:tcPr>
          <w:p w14:paraId="17B399EF"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Atsauces summa</w:t>
            </w:r>
          </w:p>
        </w:tc>
        <w:tc>
          <w:tcPr>
            <w:tcW w:w="3509" w:type="pct"/>
            <w:tcBorders>
              <w:top w:val="nil"/>
              <w:left w:val="nil"/>
              <w:bottom w:val="nil"/>
              <w:right w:val="nil"/>
            </w:tcBorders>
          </w:tcPr>
          <w:p w14:paraId="6025200B"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summa, kas ir vienāda ar precīzu ievedmuitas vai izvedmuitas nodokļa summu, kura atbilst muitas parādam un citiem maksājumiem, kas ir radušies.</w:t>
            </w:r>
          </w:p>
          <w:p w14:paraId="0B4B2502" w14:textId="77777777" w:rsidR="005A2D50" w:rsidRPr="005A2D50" w:rsidRDefault="005A2D50" w:rsidP="00F14166">
            <w:pPr>
              <w:pStyle w:val="TableParagraph"/>
              <w:jc w:val="both"/>
              <w:rPr>
                <w:rFonts w:ascii="Times New Roman" w:hAnsi="Times New Roman" w:cs="Times New Roman"/>
                <w:noProof/>
                <w:sz w:val="24"/>
                <w:szCs w:val="24"/>
                <w:lang w:val="en-US"/>
              </w:rPr>
            </w:pPr>
            <w:r w:rsidRPr="005A2D50">
              <w:rPr>
                <w:rFonts w:ascii="Times New Roman" w:hAnsi="Times New Roman"/>
                <w:noProof/>
                <w:sz w:val="24"/>
                <w:lang w:val="en-US"/>
              </w:rPr>
              <w:t xml:space="preserve">Summa, kas ir vienāda ar ievedmuitas vai izvedmuitas nodokļa summu, kura atbilst muitas parādam un citiem maksājumiem, kas var būt maksājami, un kas aprēķināta, pamatojoties uz augstākajām ievedmuitas vai izvedmuitas nodokļa likmēm, kuras piemērojamas tāda paša veida precēm, un augstākajām citu maksājumu likmēm, kuras maksājamas saistībā ar tāda paša veida preču importu vai eksportu </w:t>
            </w:r>
            <w:r w:rsidRPr="005A2D50">
              <w:rPr>
                <w:rFonts w:ascii="Times New Roman" w:hAnsi="Times New Roman"/>
                <w:i/>
                <w:iCs/>
                <w:noProof/>
                <w:sz w:val="24"/>
                <w:lang w:val="en-US"/>
              </w:rPr>
              <w:t>COG</w:t>
            </w:r>
            <w:r w:rsidRPr="005A2D50">
              <w:rPr>
                <w:rFonts w:ascii="Times New Roman" w:hAnsi="Times New Roman"/>
                <w:noProof/>
                <w:sz w:val="24"/>
                <w:lang w:val="en-US"/>
              </w:rPr>
              <w:t xml:space="preserve"> dalībvalstī.</w:t>
            </w:r>
          </w:p>
        </w:tc>
      </w:tr>
      <w:tr w:rsidR="005A2D50" w:rsidRPr="005A2D50" w14:paraId="519272DE" w14:textId="77777777" w:rsidTr="00F14166">
        <w:tc>
          <w:tcPr>
            <w:tcW w:w="1491" w:type="pct"/>
            <w:tcBorders>
              <w:top w:val="nil"/>
              <w:left w:val="nil"/>
              <w:bottom w:val="nil"/>
              <w:right w:val="nil"/>
            </w:tcBorders>
          </w:tcPr>
          <w:p w14:paraId="51F6145A"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Pagaidu uzglabāšanas deklarācija</w:t>
            </w:r>
          </w:p>
        </w:tc>
        <w:tc>
          <w:tcPr>
            <w:tcW w:w="3509" w:type="pct"/>
            <w:tcBorders>
              <w:top w:val="nil"/>
              <w:left w:val="nil"/>
              <w:bottom w:val="nil"/>
              <w:right w:val="nil"/>
            </w:tcBorders>
          </w:tcPr>
          <w:p w14:paraId="6877A8C5"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darbība, ar ko persona noteiktā veidā un kārtībā paziņo par preču novietošanu pagaidu glabāšanā.</w:t>
            </w:r>
          </w:p>
        </w:tc>
      </w:tr>
    </w:tbl>
    <w:p w14:paraId="7A4D9EAA" w14:textId="77777777" w:rsidR="005A2D50" w:rsidRPr="005A2D50" w:rsidRDefault="005A2D50" w:rsidP="005A2D50">
      <w:pPr>
        <w:jc w:val="both"/>
        <w:rPr>
          <w:rFonts w:ascii="Times New Roman" w:eastAsia="Times New Roman" w:hAnsi="Times New Roman" w:cs="Times New Roman"/>
          <w:noProof/>
          <w:sz w:val="24"/>
          <w:szCs w:val="24"/>
          <w:lang w:val="en-US"/>
        </w:rPr>
      </w:pPr>
    </w:p>
    <w:p w14:paraId="0ECCCECE" w14:textId="77777777" w:rsidR="005A2D50" w:rsidRPr="005A2D50" w:rsidRDefault="005A2D50" w:rsidP="005A2D50">
      <w:pPr>
        <w:rPr>
          <w:noProof/>
          <w:lang w:val="en-US"/>
        </w:rPr>
      </w:pPr>
      <w:r w:rsidRPr="005A2D50">
        <w:rPr>
          <w:noProof/>
          <w:lang w:val="en-US"/>
        </w:rPr>
        <w:br w:type="page"/>
      </w:r>
    </w:p>
    <w:p w14:paraId="62266FCE" w14:textId="77777777" w:rsidR="005A2D50" w:rsidRPr="005A2D50" w:rsidRDefault="005A2D50" w:rsidP="005A2D50">
      <w:pPr>
        <w:jc w:val="both"/>
        <w:rPr>
          <w:rFonts w:ascii="Times New Roman" w:eastAsia="Times New Roman" w:hAnsi="Times New Roman" w:cs="Times New Roman"/>
          <w:noProof/>
          <w:sz w:val="24"/>
          <w:szCs w:val="24"/>
          <w:lang w:val="en-US"/>
        </w:rPr>
      </w:pPr>
    </w:p>
    <w:p w14:paraId="779C09CC" w14:textId="77777777" w:rsidR="005A2D50" w:rsidRPr="005A2D50" w:rsidRDefault="005A2D50" w:rsidP="005A2D50">
      <w:pPr>
        <w:pStyle w:val="Heading1"/>
        <w:rPr>
          <w:noProof/>
          <w:lang w:val="en-US"/>
        </w:rPr>
      </w:pPr>
      <w:bookmarkStart w:id="10" w:name="II._General_legal_provisions_governing_g"/>
      <w:bookmarkStart w:id="11" w:name="_bookmark3"/>
      <w:bookmarkStart w:id="12" w:name="_Toc104982761"/>
      <w:bookmarkEnd w:id="10"/>
      <w:bookmarkEnd w:id="11"/>
      <w:r w:rsidRPr="005A2D50">
        <w:rPr>
          <w:noProof/>
          <w:lang w:val="en-US"/>
        </w:rPr>
        <w:t>II. VISPĀRĒJĀS TIESĪBU NORMAS, KAS REGLAMENTĒ GALVOJUMUS</w:t>
      </w:r>
      <w:bookmarkEnd w:id="12"/>
    </w:p>
    <w:p w14:paraId="3830E0C1"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462B1984" w14:textId="77777777" w:rsidR="005A2D50" w:rsidRPr="005A2D50" w:rsidRDefault="005A2D50" w:rsidP="005A2D50">
      <w:pPr>
        <w:pStyle w:val="Heading1"/>
        <w:rPr>
          <w:noProof/>
          <w:lang w:val="en-US"/>
        </w:rPr>
      </w:pPr>
      <w:bookmarkStart w:id="13" w:name="II.1._Situations_where_no_guarantee_need"/>
      <w:bookmarkStart w:id="14" w:name="_bookmark4"/>
      <w:bookmarkStart w:id="15" w:name="_Toc104982762"/>
      <w:bookmarkEnd w:id="13"/>
      <w:bookmarkEnd w:id="14"/>
      <w:r w:rsidRPr="005A2D50">
        <w:rPr>
          <w:noProof/>
          <w:lang w:val="en-US"/>
        </w:rPr>
        <w:t>II.1. Situācijas, kad galvojums nav jāsniedz</w:t>
      </w:r>
      <w:bookmarkEnd w:id="15"/>
    </w:p>
    <w:p w14:paraId="7E7EA8C7"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5C1DD39A" w14:textId="77777777" w:rsidR="005A2D50" w:rsidRPr="005A2D50" w:rsidRDefault="005A2D50" w:rsidP="005A2D50">
      <w:pPr>
        <w:pStyle w:val="BodyText"/>
        <w:rPr>
          <w:lang w:val="en-US"/>
        </w:rPr>
      </w:pPr>
      <w:r w:rsidRPr="005A2D50">
        <w:rPr>
          <w:lang w:val="en-US"/>
        </w:rPr>
        <w:t>Muitas dienesti (</w:t>
      </w:r>
      <w:r w:rsidRPr="005A2D50">
        <w:rPr>
          <w:i/>
          <w:iCs/>
          <w:lang w:val="en-US"/>
        </w:rPr>
        <w:t>CA</w:t>
      </w:r>
      <w:r w:rsidRPr="005A2D50">
        <w:rPr>
          <w:lang w:val="en-US"/>
        </w:rPr>
        <w:t>) neprasa galvojumu situācijās, kas izklāstītas SMK 89. panta 7. un 8. punktā.</w:t>
      </w:r>
    </w:p>
    <w:p w14:paraId="7F4B97C7" w14:textId="77777777" w:rsidR="005A2D50" w:rsidRPr="005A2D50" w:rsidRDefault="005A2D50" w:rsidP="005A2D50">
      <w:pPr>
        <w:pStyle w:val="BodyText"/>
        <w:rPr>
          <w:lang w:val="en-US"/>
        </w:rPr>
      </w:pPr>
    </w:p>
    <w:p w14:paraId="120AAF85" w14:textId="77777777" w:rsidR="005A2D50" w:rsidRPr="005A2D50" w:rsidRDefault="005A2D50" w:rsidP="005A2D50">
      <w:pPr>
        <w:pStyle w:val="BodyText"/>
        <w:rPr>
          <w:lang w:val="en-US"/>
        </w:rPr>
      </w:pPr>
      <w:r w:rsidRPr="005A2D50">
        <w:rPr>
          <w:lang w:val="en-US"/>
        </w:rPr>
        <w:t>Proti:</w:t>
      </w:r>
    </w:p>
    <w:p w14:paraId="3EFC4F78" w14:textId="77777777" w:rsidR="005A2D50" w:rsidRPr="005A2D50" w:rsidRDefault="005A2D50" w:rsidP="005A2D50">
      <w:pPr>
        <w:pStyle w:val="BodyText"/>
        <w:rPr>
          <w:lang w:val="en-US"/>
        </w:rPr>
      </w:pPr>
    </w:p>
    <w:p w14:paraId="70817360" w14:textId="77777777" w:rsidR="005A2D50" w:rsidRPr="005A2D50" w:rsidRDefault="005A2D50" w:rsidP="005A2D50">
      <w:pPr>
        <w:pStyle w:val="BodyText"/>
        <w:numPr>
          <w:ilvl w:val="0"/>
          <w:numId w:val="58"/>
        </w:numPr>
        <w:tabs>
          <w:tab w:val="left" w:pos="567"/>
        </w:tabs>
        <w:ind w:left="0" w:firstLine="0"/>
        <w:rPr>
          <w:lang w:val="en-US"/>
        </w:rPr>
      </w:pPr>
      <w:r w:rsidRPr="005A2D50">
        <w:rPr>
          <w:lang w:val="en-US"/>
        </w:rPr>
        <w:t>attiecībā uz darbībām, kurās valstis, reģionālās un vietējās pašvaldības iestādes vai citas struktūras, kuras reglamentē publiskās tiesības, ir iesaistītas kā valsts iestādes;</w:t>
      </w:r>
    </w:p>
    <w:p w14:paraId="31342056" w14:textId="77777777" w:rsidR="005A2D50" w:rsidRPr="005A2D50" w:rsidRDefault="005A2D50" w:rsidP="005A2D50">
      <w:pPr>
        <w:pStyle w:val="BodyText"/>
        <w:numPr>
          <w:ilvl w:val="0"/>
          <w:numId w:val="58"/>
        </w:numPr>
        <w:tabs>
          <w:tab w:val="left" w:pos="567"/>
        </w:tabs>
        <w:ind w:left="0" w:firstLine="0"/>
        <w:rPr>
          <w:lang w:val="en-US"/>
        </w:rPr>
      </w:pPr>
      <w:r w:rsidRPr="005A2D50">
        <w:rPr>
          <w:lang w:val="en-US"/>
        </w:rPr>
        <w:t>preces pārvadā pa Reinu, Reinas ūdensceļiem, Donavu vai Donavas ūdensceļiem;</w:t>
      </w:r>
    </w:p>
    <w:p w14:paraId="37C963D3" w14:textId="77777777" w:rsidR="005A2D50" w:rsidRPr="005A2D50" w:rsidRDefault="005A2D50" w:rsidP="005A2D50">
      <w:pPr>
        <w:pStyle w:val="BodyText"/>
        <w:numPr>
          <w:ilvl w:val="0"/>
          <w:numId w:val="58"/>
        </w:numPr>
        <w:tabs>
          <w:tab w:val="left" w:pos="567"/>
        </w:tabs>
        <w:ind w:left="0" w:firstLine="0"/>
        <w:rPr>
          <w:lang w:val="en-US"/>
        </w:rPr>
      </w:pPr>
      <w:r w:rsidRPr="005A2D50">
        <w:rPr>
          <w:lang w:val="en-US"/>
        </w:rPr>
        <w:t>preces tiek pārvietotas ar stacionārām transporta iekārtām;</w:t>
      </w:r>
    </w:p>
    <w:p w14:paraId="440774A9" w14:textId="77777777" w:rsidR="005A2D50" w:rsidRPr="005A2D50" w:rsidRDefault="005A2D50" w:rsidP="005A2D50">
      <w:pPr>
        <w:pStyle w:val="BodyText"/>
        <w:numPr>
          <w:ilvl w:val="0"/>
          <w:numId w:val="58"/>
        </w:numPr>
        <w:tabs>
          <w:tab w:val="left" w:pos="567"/>
        </w:tabs>
        <w:ind w:left="0" w:firstLine="0"/>
        <w:rPr>
          <w:lang w:val="en-US"/>
        </w:rPr>
      </w:pPr>
      <w:r w:rsidRPr="005A2D50">
        <w:rPr>
          <w:lang w:val="en-US"/>
        </w:rPr>
        <w:t>konkrētos gadījumos, kad precēm ir piemērota pagaidu ievešanas procedūra (SMK DA 81. pants);</w:t>
      </w:r>
    </w:p>
    <w:p w14:paraId="6D135D85" w14:textId="77777777" w:rsidR="005A2D50" w:rsidRPr="005A2D50" w:rsidRDefault="005A2D50" w:rsidP="005A2D50">
      <w:pPr>
        <w:pStyle w:val="BodyText"/>
        <w:numPr>
          <w:ilvl w:val="0"/>
          <w:numId w:val="58"/>
        </w:numPr>
        <w:tabs>
          <w:tab w:val="left" w:pos="567"/>
        </w:tabs>
        <w:ind w:left="0" w:firstLine="0"/>
        <w:rPr>
          <w:lang w:val="en-US"/>
        </w:rPr>
      </w:pPr>
      <w:r w:rsidRPr="005A2D50">
        <w:rPr>
          <w:lang w:val="en-US"/>
        </w:rPr>
        <w:t>preces, kurām piemēro Savienības tranzīta procedūru, muitas deklarācijai (MD) izmantojot elektronisko pārvadājuma dokumentu (vienkāršošana, kas minēta 233. panta 4. punkta e) apakšpunktā), un kuras pārvadā pa jūru vai pa gaisu starp Savienības ostām vai Savienības lidostām.</w:t>
      </w:r>
    </w:p>
    <w:p w14:paraId="1AF7A743" w14:textId="77777777" w:rsidR="005A2D50" w:rsidRPr="005A2D50" w:rsidRDefault="005A2D50" w:rsidP="005A2D50">
      <w:pPr>
        <w:pStyle w:val="BodyText"/>
        <w:rPr>
          <w:lang w:val="en-US"/>
        </w:rPr>
      </w:pPr>
    </w:p>
    <w:p w14:paraId="29D87734" w14:textId="77777777" w:rsidR="005A2D50" w:rsidRPr="005A2D50" w:rsidRDefault="005A2D50" w:rsidP="005A2D50">
      <w:pPr>
        <w:pStyle w:val="BodyText"/>
        <w:rPr>
          <w:lang w:val="en-US"/>
        </w:rPr>
      </w:pPr>
      <w:r w:rsidRPr="005A2D50">
        <w:rPr>
          <w:lang w:val="en-US"/>
        </w:rPr>
        <w:t>SMK DA 153. pantā ir noteikts: “Ja pirms tādu preču izlaišanas, uz kurām attiecas pieprasījums piešķirt tarifu kvotu, attiecīgā tarifu kvota nav uzskatāma par kritisku, tad preču izlaišana nav atkarīga no galvojuma sniegšanas par minētajām precēm.”</w:t>
      </w:r>
    </w:p>
    <w:p w14:paraId="7061D2C4" w14:textId="77777777" w:rsidR="005A2D50" w:rsidRPr="005A2D50" w:rsidRDefault="005A2D50" w:rsidP="005A2D50">
      <w:pPr>
        <w:pStyle w:val="BodyText"/>
        <w:rPr>
          <w:lang w:val="en-US"/>
        </w:rPr>
      </w:pPr>
      <w:bookmarkStart w:id="16" w:name="II.2._Optional_guarantee"/>
      <w:bookmarkStart w:id="17" w:name="_bookmark5"/>
      <w:bookmarkEnd w:id="16"/>
      <w:bookmarkEnd w:id="17"/>
    </w:p>
    <w:p w14:paraId="73DF90FA" w14:textId="77777777" w:rsidR="005A2D50" w:rsidRPr="005A2D50" w:rsidRDefault="005A2D50" w:rsidP="005A2D50">
      <w:pPr>
        <w:pStyle w:val="Heading1"/>
        <w:rPr>
          <w:noProof/>
          <w:lang w:val="en-US"/>
        </w:rPr>
      </w:pPr>
      <w:bookmarkStart w:id="18" w:name="_Toc104982763"/>
      <w:r w:rsidRPr="005A2D50">
        <w:rPr>
          <w:noProof/>
          <w:lang w:val="en-US"/>
        </w:rPr>
        <w:t>II.2. Neobligāts galvojums</w:t>
      </w:r>
      <w:bookmarkEnd w:id="18"/>
    </w:p>
    <w:p w14:paraId="62C9B6B0"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6F725F1E" w14:textId="77777777" w:rsidR="005A2D50" w:rsidRPr="005A2D50" w:rsidRDefault="005A2D50" w:rsidP="005A2D50">
      <w:pPr>
        <w:pStyle w:val="BodyText"/>
        <w:rPr>
          <w:lang w:val="en-US"/>
        </w:rPr>
      </w:pPr>
      <w:r w:rsidRPr="005A2D50">
        <w:rPr>
          <w:lang w:val="en-US"/>
        </w:rPr>
        <w:t>Sniegt galvojumu nav obligāti nevienā gadījumā, kurā tiesību akti (valsts vai ES) paredz muitas dienestiem iespēju pieprasīt sniegt galvojumu. Saskaņā ar SMK 91. pantu neobligātu galvojumu muitas dienesti katrā ziņā pieprasa sniegt, ja tiem nav pārliecības, ka muitas parādam atbilstīgā ievedmuitas vai izvedmuitas nodokļa summa un citi maksājumi tiks samaksāti noteiktajā termiņā. Neobligāta galvojuma piemēri ir sniegti šo vadlīniju pielikumā.</w:t>
      </w:r>
      <w:r w:rsidRPr="005A2D50">
        <w:rPr>
          <w:rStyle w:val="FootnoteReference"/>
          <w:lang w:val="en-US"/>
        </w:rPr>
        <w:footnoteReference w:id="1"/>
      </w:r>
    </w:p>
    <w:p w14:paraId="11B7F24B" w14:textId="77777777" w:rsidR="005A2D50" w:rsidRPr="005A2D50" w:rsidRDefault="005A2D50" w:rsidP="005A2D50">
      <w:pPr>
        <w:pStyle w:val="BodyText"/>
        <w:rPr>
          <w:lang w:val="en-US"/>
        </w:rPr>
      </w:pPr>
      <w:bookmarkStart w:id="19" w:name="II.3._General_provisions_applicable_in_c"/>
      <w:bookmarkStart w:id="20" w:name="_bookmark6"/>
      <w:bookmarkEnd w:id="19"/>
      <w:bookmarkEnd w:id="20"/>
    </w:p>
    <w:p w14:paraId="58D6EC67" w14:textId="77777777" w:rsidR="005A2D50" w:rsidRPr="005A2D50" w:rsidRDefault="005A2D50" w:rsidP="005A2D50">
      <w:pPr>
        <w:pStyle w:val="Heading1"/>
        <w:rPr>
          <w:noProof/>
          <w:lang w:val="en-US"/>
        </w:rPr>
      </w:pPr>
      <w:bookmarkStart w:id="21" w:name="_Toc104982764"/>
      <w:r w:rsidRPr="005A2D50">
        <w:rPr>
          <w:noProof/>
          <w:lang w:val="en-US"/>
        </w:rPr>
        <w:t>II.3. Vispārīgi noteikumi, kas piemērojami gadījumā, ja galvojums ir nepieciešams</w:t>
      </w:r>
      <w:bookmarkEnd w:id="21"/>
    </w:p>
    <w:p w14:paraId="48381E5C"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2BF17B53" w14:textId="77777777" w:rsidR="005A2D50" w:rsidRPr="005A2D50" w:rsidRDefault="005A2D50" w:rsidP="005A2D50">
      <w:pPr>
        <w:pStyle w:val="BodyText"/>
        <w:rPr>
          <w:lang w:val="en-US"/>
        </w:rPr>
      </w:pPr>
      <w:r w:rsidRPr="005A2D50">
        <w:rPr>
          <w:lang w:val="en-US"/>
        </w:rPr>
        <w:t>Galvojumam ir jāsedz muitas parādi, kas radušies (esošie parādi), muitas parādi, kas var rasties (iespējamie parādi), un, ja atbilstīgi, citi maksājumi.</w:t>
      </w:r>
    </w:p>
    <w:p w14:paraId="6A14F910" w14:textId="77777777" w:rsidR="005A2D50" w:rsidRPr="005A2D50" w:rsidRDefault="005A2D50" w:rsidP="005A2D50">
      <w:pPr>
        <w:pStyle w:val="BodyText"/>
        <w:rPr>
          <w:lang w:val="en-US"/>
        </w:rPr>
      </w:pPr>
      <w:r w:rsidRPr="005A2D50">
        <w:rPr>
          <w:lang w:val="en-US"/>
        </w:rPr>
        <w:t xml:space="preserve">Galvojums ir atkāpšanās iespēja muitas nodokļu un citu maksājumu, ja piemērojami, iekasēšanas procesā. Vispirms, sniedzot paziņojumu par muitas parādu, </w:t>
      </w:r>
      <w:r w:rsidRPr="005A2D50">
        <w:rPr>
          <w:i/>
          <w:iCs/>
          <w:lang w:val="en-US"/>
        </w:rPr>
        <w:t xml:space="preserve">CA </w:t>
      </w:r>
      <w:r w:rsidRPr="005A2D50">
        <w:rPr>
          <w:lang w:val="en-US"/>
        </w:rPr>
        <w:t xml:space="preserve">ir jāvēršas pie parādnieka attiecībā uz muitas parādu un citu maksājumu, ja piemērojami, nomaksu (SMK 102. pants). Saskaņā ar SMK 113. pantu </w:t>
      </w:r>
      <w:r w:rsidRPr="005A2D50">
        <w:rPr>
          <w:i/>
          <w:iCs/>
          <w:lang w:val="en-US"/>
        </w:rPr>
        <w:t>CA</w:t>
      </w:r>
      <w:r w:rsidRPr="005A2D50">
        <w:rPr>
          <w:lang w:val="en-US"/>
        </w:rPr>
        <w:t>, izmantojot visus līdzekļus, kas ir to rīcībā saskaņā ar attiecīgā dalībvalstī spēkā esošajiem tiesību aktiem, tostarp galvojuma izpildi, ir jānodrošina visu to muitas nodokļu samaksa, kas nav nomaksāti noteiktajā termiņā (SMK 108. pants).</w:t>
      </w:r>
    </w:p>
    <w:p w14:paraId="41A3D9D1" w14:textId="77777777" w:rsidR="005A2D50" w:rsidRPr="005A2D50" w:rsidRDefault="005A2D50" w:rsidP="005A2D50">
      <w:pPr>
        <w:pStyle w:val="BodyText"/>
        <w:rPr>
          <w:lang w:val="en-US"/>
        </w:rPr>
      </w:pPr>
    </w:p>
    <w:p w14:paraId="45E7FC32" w14:textId="77777777" w:rsidR="005A2D50" w:rsidRPr="005A2D50" w:rsidRDefault="005A2D50" w:rsidP="005A2D50">
      <w:pPr>
        <w:pStyle w:val="Heading1"/>
        <w:keepNext/>
        <w:keepLines/>
        <w:rPr>
          <w:noProof/>
          <w:lang w:val="en-US"/>
        </w:rPr>
      </w:pPr>
      <w:bookmarkStart w:id="22" w:name="II.3.1._Geographical_validity_of_the_gua"/>
      <w:bookmarkStart w:id="23" w:name="_bookmark7"/>
      <w:bookmarkStart w:id="24" w:name="_Toc104982765"/>
      <w:bookmarkEnd w:id="22"/>
      <w:bookmarkEnd w:id="23"/>
      <w:r w:rsidRPr="005A2D50">
        <w:rPr>
          <w:noProof/>
          <w:lang w:val="en-US"/>
        </w:rPr>
        <w:t>II.3.1. Galvojuma derīguma ģeogrāfiskais areāls</w:t>
      </w:r>
      <w:bookmarkEnd w:id="24"/>
    </w:p>
    <w:p w14:paraId="6FC2D8C3" w14:textId="77777777" w:rsidR="005A2D50" w:rsidRPr="005A2D50" w:rsidRDefault="005A2D50" w:rsidP="005A2D50">
      <w:pPr>
        <w:keepNext/>
        <w:keepLines/>
        <w:jc w:val="both"/>
        <w:rPr>
          <w:rFonts w:ascii="Times New Roman" w:eastAsia="Times New Roman" w:hAnsi="Times New Roman" w:cs="Times New Roman"/>
          <w:b/>
          <w:bCs/>
          <w:noProof/>
          <w:sz w:val="24"/>
          <w:szCs w:val="24"/>
          <w:lang w:val="en-US"/>
        </w:rPr>
      </w:pPr>
    </w:p>
    <w:p w14:paraId="21029F70" w14:textId="77777777" w:rsidR="005A2D50" w:rsidRPr="005A2D50" w:rsidRDefault="005A2D50" w:rsidP="005A2D50">
      <w:pPr>
        <w:pStyle w:val="BodyText"/>
        <w:keepNext/>
        <w:keepLines/>
        <w:rPr>
          <w:lang w:val="en-US"/>
        </w:rPr>
      </w:pPr>
      <w:r w:rsidRPr="005A2D50">
        <w:rPr>
          <w:lang w:val="en-US"/>
        </w:rPr>
        <w:t>Parasti, ja muitas parādam ir sniegts galvojums, tam ir jābūt derīgam visās dalībvalstīs, kurās parāds radīsies/var rasties.</w:t>
      </w:r>
    </w:p>
    <w:p w14:paraId="7CAB430E" w14:textId="77777777" w:rsidR="005A2D50" w:rsidRPr="005A2D50" w:rsidRDefault="005A2D50" w:rsidP="005A2D50">
      <w:pPr>
        <w:pStyle w:val="BodyText"/>
        <w:rPr>
          <w:lang w:val="en-US"/>
        </w:rPr>
      </w:pPr>
      <w:r w:rsidRPr="005A2D50">
        <w:rPr>
          <w:lang w:val="en-US"/>
        </w:rPr>
        <w:t>Ar formulējumu “galvojums, ko var izmantot vairākās dalībvalstīs” ir jāsaprot galvojums, ko var pieprasīt divas vai vairākas dalībvalstis atkarībā no tās dalībvalsts, kurā attiecīgais parāds ir radies.</w:t>
      </w:r>
    </w:p>
    <w:p w14:paraId="51387934" w14:textId="77777777" w:rsidR="005A2D50" w:rsidRPr="005A2D50" w:rsidRDefault="005A2D50" w:rsidP="005A2D50">
      <w:pPr>
        <w:pStyle w:val="BodyText"/>
        <w:rPr>
          <w:lang w:val="en-US"/>
        </w:rPr>
      </w:pPr>
      <w:r w:rsidRPr="005A2D50">
        <w:rPr>
          <w:lang w:val="en-US"/>
        </w:rPr>
        <w:t>Ja parāds rodas kādā noteiktā dalībvalstī, tad šis parāds ir jāatgūst attiecīgās dalībvalsts muitas dienestiem.</w:t>
      </w:r>
    </w:p>
    <w:p w14:paraId="7E8EA950" w14:textId="77777777" w:rsidR="005A2D50" w:rsidRPr="005A2D50" w:rsidRDefault="005A2D50" w:rsidP="005A2D50">
      <w:pPr>
        <w:pStyle w:val="BodyText"/>
        <w:rPr>
          <w:lang w:val="en-US"/>
        </w:rPr>
      </w:pPr>
      <w:r w:rsidRPr="005A2D50">
        <w:rPr>
          <w:lang w:val="en-US"/>
        </w:rPr>
        <w:t>Ja galvojums ir derīgs tikai vienā dalībvalstī, tad tikai šīs dalībvalsts muitas dienesti to var pieprasīt par parādiem, kas radušies šajā dalībvalstī (galvojumu var izmantot tikai vienā dalībvalstī).</w:t>
      </w:r>
    </w:p>
    <w:p w14:paraId="420251B5" w14:textId="77777777" w:rsidR="005A2D50" w:rsidRPr="005A2D50" w:rsidRDefault="005A2D50" w:rsidP="005A2D50">
      <w:pPr>
        <w:pStyle w:val="BodyText"/>
        <w:rPr>
          <w:lang w:val="en-US"/>
        </w:rPr>
      </w:pPr>
      <w:r w:rsidRPr="005A2D50">
        <w:rPr>
          <w:lang w:val="en-US"/>
        </w:rPr>
        <w:t>Ja galvojums ir derīgs vairāk nekā vienā dalībvalstī, piemēram, dalībvalstī A un dalībvalstī B, tad dalībvalsts A muitas dienesti var prasīt galvojumu par parādiem, kas radušies dalībvalstī A, un dalībvalsts B muitas dienesti var prasīt šo galvojumu par to parādu atgūšanu, kas radušies dalībvalstī B. Šajā gadījumā galvojumu var izmantot vairāk nekā vienā dalībvalstī.</w:t>
      </w:r>
    </w:p>
    <w:p w14:paraId="6E05591A" w14:textId="77777777" w:rsidR="005A2D50" w:rsidRPr="005A2D50" w:rsidRDefault="005A2D50" w:rsidP="005A2D50">
      <w:pPr>
        <w:pStyle w:val="BodyText"/>
        <w:rPr>
          <w:vertAlign w:val="superscript"/>
          <w:lang w:val="en-US"/>
        </w:rPr>
      </w:pPr>
      <w:r w:rsidRPr="005A2D50">
        <w:rPr>
          <w:lang w:val="en-US"/>
        </w:rPr>
        <w:t>Galvojumā, ko var izmantot vairāk nekā vienā dalībvalstī, ir jāietver tā muitas nodokļu un citu maksājumu summa, kas maksājama saistībā ar preču importu/eksportu (PVN un/vai akcīzes nodokļi).</w:t>
      </w:r>
      <w:r w:rsidRPr="005A2D50">
        <w:rPr>
          <w:vertAlign w:val="superscript"/>
          <w:lang w:val="en-US"/>
        </w:rPr>
        <w:footnoteReference w:id="2"/>
      </w:r>
    </w:p>
    <w:p w14:paraId="5E383E2B" w14:textId="77777777" w:rsidR="005A2D50" w:rsidRPr="005A2D50" w:rsidRDefault="005A2D50" w:rsidP="005A2D50">
      <w:pPr>
        <w:pStyle w:val="BodyText"/>
        <w:rPr>
          <w:lang w:val="en-US"/>
        </w:rPr>
      </w:pPr>
      <w:r w:rsidRPr="005A2D50">
        <w:rPr>
          <w:lang w:val="en-US"/>
        </w:rPr>
        <w:t>Galvojumā, kas ir derīgs tikai vienā dalībvalstī, ietver vismaz muitas nodokļu summu.</w:t>
      </w:r>
    </w:p>
    <w:p w14:paraId="2EB5DE0D" w14:textId="77777777" w:rsidR="005A2D50" w:rsidRPr="005A2D50" w:rsidRDefault="005A2D50" w:rsidP="005A2D50">
      <w:pPr>
        <w:pStyle w:val="BodyText"/>
        <w:rPr>
          <w:lang w:val="en-US"/>
        </w:rPr>
      </w:pPr>
    </w:p>
    <w:p w14:paraId="121457D1" w14:textId="77777777" w:rsidR="005A2D50" w:rsidRPr="005A2D50" w:rsidRDefault="005A2D50" w:rsidP="005A2D50">
      <w:pPr>
        <w:pStyle w:val="BodyText"/>
        <w:rPr>
          <w:b/>
          <w:bCs/>
          <w:i/>
          <w:iCs/>
          <w:lang w:val="en-US"/>
        </w:rPr>
      </w:pPr>
      <w:r w:rsidRPr="005A2D50">
        <w:rPr>
          <w:b/>
          <w:bCs/>
          <w:i/>
          <w:iCs/>
          <w:lang w:val="en-US"/>
        </w:rPr>
        <w:t>Esošie muitas parādi</w:t>
      </w:r>
    </w:p>
    <w:p w14:paraId="31799E28" w14:textId="77777777" w:rsidR="005A2D50" w:rsidRPr="005A2D50" w:rsidRDefault="005A2D50" w:rsidP="005A2D50">
      <w:pPr>
        <w:pStyle w:val="BodyText"/>
        <w:rPr>
          <w:lang w:val="en-US"/>
        </w:rPr>
      </w:pPr>
    </w:p>
    <w:p w14:paraId="21B524F9" w14:textId="77777777" w:rsidR="005A2D50" w:rsidRPr="005A2D50" w:rsidRDefault="005A2D50" w:rsidP="005A2D50">
      <w:pPr>
        <w:pStyle w:val="BodyText"/>
        <w:rPr>
          <w:lang w:val="en-US"/>
        </w:rPr>
      </w:pPr>
      <w:r w:rsidRPr="005A2D50">
        <w:rPr>
          <w:lang w:val="en-US"/>
        </w:rPr>
        <w:t xml:space="preserve">Ja galvojumu sniedz, lai segtu parādu, kas radies saistībā ar laišanu brīvā apgrozībā (ieskaitot centralizēto muitošanu), galvojumam jābūt derīgam tikai tajā dalībvalstī, kurā iesniedz minēto deklarāciju (SMK 87. panta 1. punkts). Tā kā šādā gadījumā galvojums ir derīgs tikai vienā dalībvalstī, tajā ir obligāti jāietver vismaz muitas nodokļi. Tomēr dalībvalsts, kurā iesniedz deklarāciju, var izlemt, vai galvojumā būtu jāietver arī “citi maksājumi”. Centralizētas muitošanas gadījumā </w:t>
      </w:r>
      <w:r w:rsidRPr="005A2D50">
        <w:rPr>
          <w:i/>
          <w:iCs/>
          <w:lang w:val="en-US"/>
        </w:rPr>
        <w:t xml:space="preserve">COG </w:t>
      </w:r>
      <w:r w:rsidRPr="005A2D50">
        <w:rPr>
          <w:lang w:val="en-US"/>
        </w:rPr>
        <w:t>(dalībvalsts, kurā iesniedz muitas deklarāciju laišanai brīvā apgrozībā) var apspriesties ar citām dalībvalstīm (ja preces tiek ievestas), lai lemtu par pārējo maksājumu iekļaušanu atsauces summā.</w:t>
      </w:r>
    </w:p>
    <w:p w14:paraId="3D582007" w14:textId="77777777" w:rsidR="005A2D50" w:rsidRPr="005A2D50" w:rsidRDefault="005A2D50" w:rsidP="005A2D50">
      <w:pPr>
        <w:pStyle w:val="BodyText"/>
        <w:rPr>
          <w:lang w:val="en-US"/>
        </w:rPr>
      </w:pPr>
    </w:p>
    <w:p w14:paraId="78D16F87" w14:textId="77777777" w:rsidR="005A2D50" w:rsidRPr="005A2D50" w:rsidRDefault="005A2D50" w:rsidP="005A2D50">
      <w:pPr>
        <w:pStyle w:val="BodyText"/>
        <w:rPr>
          <w:b/>
          <w:bCs/>
          <w:i/>
          <w:iCs/>
          <w:lang w:val="en-US"/>
        </w:rPr>
      </w:pPr>
      <w:r w:rsidRPr="005A2D50">
        <w:rPr>
          <w:b/>
          <w:bCs/>
          <w:i/>
          <w:iCs/>
          <w:lang w:val="en-US"/>
        </w:rPr>
        <w:t>Iespējamie muitas parādi</w:t>
      </w:r>
    </w:p>
    <w:p w14:paraId="15B076B9" w14:textId="77777777" w:rsidR="005A2D50" w:rsidRPr="005A2D50" w:rsidRDefault="005A2D50" w:rsidP="005A2D50">
      <w:pPr>
        <w:pStyle w:val="BodyText"/>
        <w:rPr>
          <w:lang w:val="en-US"/>
        </w:rPr>
      </w:pPr>
    </w:p>
    <w:p w14:paraId="2DC7413E" w14:textId="77777777" w:rsidR="005A2D50" w:rsidRPr="005A2D50" w:rsidRDefault="005A2D50" w:rsidP="005A2D50">
      <w:pPr>
        <w:pStyle w:val="BodyText"/>
        <w:rPr>
          <w:lang w:val="en-US"/>
        </w:rPr>
      </w:pPr>
      <w:r w:rsidRPr="005A2D50">
        <w:rPr>
          <w:lang w:val="en-US"/>
        </w:rPr>
        <w:t xml:space="preserve">Ja īpašās procedūras / </w:t>
      </w:r>
      <w:r w:rsidRPr="005A2D50">
        <w:rPr>
          <w:i/>
          <w:iCs/>
          <w:lang w:val="en-US"/>
        </w:rPr>
        <w:t xml:space="preserve">TS </w:t>
      </w:r>
      <w:r w:rsidRPr="005A2D50">
        <w:rPr>
          <w:lang w:val="en-US"/>
        </w:rPr>
        <w:t>atļauja attiecas tikai uz vienu dalībvalsti (preču pieteikšana procedūrā, pārstrāde vai uzglabāšana un procedūras pārtraukšana notiek vienā dalībvalstī, lai preces nevarētu pārvietot saskaņā ar īpašo procedūru ārpus minētās dalībvalsts), tad galvojumam ir jābūt spēkā tikai šajā dalībvalstī.</w:t>
      </w:r>
    </w:p>
    <w:p w14:paraId="501EBD8A" w14:textId="77777777" w:rsidR="005A2D50" w:rsidRPr="005A2D50" w:rsidRDefault="005A2D50" w:rsidP="005A2D50">
      <w:pPr>
        <w:pStyle w:val="BodyText"/>
        <w:rPr>
          <w:lang w:val="en-US"/>
        </w:rPr>
      </w:pPr>
      <w:r w:rsidRPr="005A2D50">
        <w:rPr>
          <w:lang w:val="en-US"/>
        </w:rPr>
        <w:t xml:space="preserve">Ja tiek sniegts galvojums īpašai procedūrai vai </w:t>
      </w:r>
      <w:r w:rsidRPr="005A2D50">
        <w:rPr>
          <w:i/>
          <w:iCs/>
          <w:lang w:val="en-US"/>
        </w:rPr>
        <w:t xml:space="preserve">TS </w:t>
      </w:r>
      <w:r w:rsidRPr="005A2D50">
        <w:rPr>
          <w:lang w:val="en-US"/>
        </w:rPr>
        <w:t xml:space="preserve">un preces saskaņā ar šīs īpašās procedūras / </w:t>
      </w:r>
      <w:r w:rsidRPr="005A2D50">
        <w:rPr>
          <w:i/>
          <w:iCs/>
          <w:lang w:val="en-US"/>
        </w:rPr>
        <w:t xml:space="preserve">TS </w:t>
      </w:r>
      <w:r w:rsidRPr="005A2D50">
        <w:rPr>
          <w:lang w:val="en-US"/>
        </w:rPr>
        <w:t xml:space="preserve">atļauju var pārvietot vairāku dalībvalstu teritorijā, pastāv iespēja, ka preces kādā no iesaistītajām dalībvalstīm tiek nelikumīgi izņemtas no minētās procedūras. Tāpēc parāds saistībā ar minētajām precēm var rasties jebkurā dalībvalstī, uz kuru preces var tikt pārvietotas saskaņā ar īpašo procedūru / </w:t>
      </w:r>
      <w:r w:rsidRPr="005A2D50">
        <w:rPr>
          <w:i/>
          <w:iCs/>
          <w:lang w:val="en-US"/>
        </w:rPr>
        <w:t>TS</w:t>
      </w:r>
      <w:r w:rsidRPr="005A2D50">
        <w:rPr>
          <w:lang w:val="en-US"/>
        </w:rPr>
        <w:t xml:space="preserve">. Tā kā minētās īpašās procedūras / </w:t>
      </w:r>
      <w:r w:rsidRPr="005A2D50">
        <w:rPr>
          <w:i/>
          <w:iCs/>
          <w:lang w:val="en-US"/>
        </w:rPr>
        <w:t xml:space="preserve">TS </w:t>
      </w:r>
      <w:r w:rsidRPr="005A2D50">
        <w:rPr>
          <w:lang w:val="en-US"/>
        </w:rPr>
        <w:t xml:space="preserve">atļaujā nav iespējams noteikt, caur kuras dalībvalsts teritoriju preces drīkst pārvietot, pastāv iespēja, ka preces saskaņā ar procedūru tiek pārvietotas jebkurā ES dalībvalstī. Tāpēc parāds, kas rodas saistībā ar procedūras saistību neievērošanu, varētu rasties visās dalībvalstīs, tādēļ galvojumam ir jābūt spēkā visā ES. Ja tiek veikta centralizēta muitošana īpašām procedūrām / </w:t>
      </w:r>
      <w:r w:rsidRPr="005A2D50">
        <w:rPr>
          <w:i/>
          <w:iCs/>
          <w:lang w:val="en-US"/>
        </w:rPr>
        <w:t>TS</w:t>
      </w:r>
      <w:r w:rsidRPr="005A2D50">
        <w:rPr>
          <w:lang w:val="en-US"/>
        </w:rPr>
        <w:t>, galvojuma derīguma ģeogrāfiskais areāls ir līdzīgs.</w:t>
      </w:r>
    </w:p>
    <w:p w14:paraId="465A450D" w14:textId="77777777" w:rsidR="005A2D50" w:rsidRPr="005A2D50" w:rsidRDefault="005A2D50" w:rsidP="005A2D50">
      <w:pPr>
        <w:pStyle w:val="BodyText"/>
        <w:rPr>
          <w:lang w:val="en-US"/>
        </w:rPr>
      </w:pPr>
    </w:p>
    <w:p w14:paraId="1017EF79" w14:textId="77777777" w:rsidR="005A2D50" w:rsidRPr="005A2D50" w:rsidRDefault="005A2D50" w:rsidP="005A2D50">
      <w:pPr>
        <w:pStyle w:val="Heading2"/>
        <w:rPr>
          <w:noProof/>
          <w:lang w:val="en-US"/>
        </w:rPr>
      </w:pPr>
      <w:bookmarkStart w:id="25" w:name="II.3.2._Customs_office_of_guarantee_(COG"/>
      <w:bookmarkStart w:id="26" w:name="_bookmark8"/>
      <w:bookmarkStart w:id="27" w:name="_Toc104982766"/>
      <w:bookmarkEnd w:id="25"/>
      <w:bookmarkEnd w:id="26"/>
      <w:r w:rsidRPr="005A2D50">
        <w:rPr>
          <w:noProof/>
          <w:lang w:val="en-US"/>
        </w:rPr>
        <w:t>II.3.2. Galvojuma muitas iestāde (COG)</w:t>
      </w:r>
      <w:bookmarkEnd w:id="27"/>
    </w:p>
    <w:p w14:paraId="014AB014"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2951AECE" w14:textId="77777777" w:rsidR="005A2D50" w:rsidRPr="005A2D50" w:rsidRDefault="005A2D50" w:rsidP="005A2D50">
      <w:pPr>
        <w:pStyle w:val="BodyText"/>
        <w:rPr>
          <w:lang w:val="en-US"/>
        </w:rPr>
      </w:pPr>
      <w:r w:rsidRPr="005A2D50">
        <w:rPr>
          <w:lang w:val="en-US"/>
        </w:rPr>
        <w:t xml:space="preserve">Saskaņā ar definīciju, kas sniegta SMK ĪA 151. panta 1. punktā, </w:t>
      </w:r>
      <w:r w:rsidRPr="005A2D50">
        <w:rPr>
          <w:i/>
          <w:iCs/>
          <w:lang w:val="en-US"/>
        </w:rPr>
        <w:t xml:space="preserve">COG </w:t>
      </w:r>
      <w:r w:rsidRPr="005A2D50">
        <w:rPr>
          <w:lang w:val="en-US"/>
        </w:rPr>
        <w:t xml:space="preserve">ir muitas iestāde, kurā galvojums ir sniegts. Ja galvojumu sniedz ar saistībām vai ar citu galvojuma veidu (SMK 92. panta 1. punkta c) apakšpunkts), </w:t>
      </w:r>
      <w:r w:rsidRPr="005A2D50">
        <w:rPr>
          <w:i/>
          <w:iCs/>
          <w:lang w:val="en-US"/>
        </w:rPr>
        <w:t xml:space="preserve">COG </w:t>
      </w:r>
      <w:r w:rsidRPr="005A2D50">
        <w:rPr>
          <w:lang w:val="en-US"/>
        </w:rPr>
        <w:t>šis galvojums ir jāapstiprina.</w:t>
      </w:r>
    </w:p>
    <w:p w14:paraId="3DABEFE0" w14:textId="77777777" w:rsidR="005A2D50" w:rsidRPr="005A2D50" w:rsidRDefault="005A2D50" w:rsidP="005A2D50">
      <w:pPr>
        <w:pStyle w:val="BodyText"/>
        <w:rPr>
          <w:lang w:val="en-US"/>
        </w:rPr>
      </w:pPr>
      <w:r w:rsidRPr="005A2D50">
        <w:rPr>
          <w:lang w:val="en-US"/>
        </w:rPr>
        <w:t xml:space="preserve">Ja galvojumu sniedz skaidras naudas iemaksas veidā kā vienreizēju galvojumu </w:t>
      </w:r>
      <w:r w:rsidRPr="005A2D50">
        <w:rPr>
          <w:i/>
          <w:iCs/>
          <w:lang w:val="en-US"/>
        </w:rPr>
        <w:t xml:space="preserve">SPE </w:t>
      </w:r>
      <w:r w:rsidRPr="005A2D50">
        <w:rPr>
          <w:lang w:val="en-US"/>
        </w:rPr>
        <w:t xml:space="preserve">vai </w:t>
      </w:r>
      <w:r w:rsidRPr="005A2D50">
        <w:rPr>
          <w:i/>
          <w:iCs/>
          <w:lang w:val="en-US"/>
        </w:rPr>
        <w:t>TS</w:t>
      </w:r>
      <w:r w:rsidRPr="005A2D50">
        <w:rPr>
          <w:lang w:val="en-US"/>
        </w:rPr>
        <w:t xml:space="preserve">, </w:t>
      </w:r>
      <w:r w:rsidRPr="005A2D50">
        <w:rPr>
          <w:i/>
          <w:iCs/>
          <w:lang w:val="en-US"/>
        </w:rPr>
        <w:t xml:space="preserve">COG </w:t>
      </w:r>
      <w:r w:rsidRPr="005A2D50">
        <w:rPr>
          <w:lang w:val="en-US"/>
        </w:rPr>
        <w:t>atrodas tur (dalībvalstī), kur tiek veiktas darbības (SMK ĪA 150. pants).</w:t>
      </w:r>
    </w:p>
    <w:p w14:paraId="081E3DF5" w14:textId="77777777" w:rsidR="005A2D50" w:rsidRPr="005A2D50" w:rsidRDefault="005A2D50" w:rsidP="005A2D50">
      <w:pPr>
        <w:pStyle w:val="BodyText"/>
        <w:rPr>
          <w:lang w:val="en-US"/>
        </w:rPr>
      </w:pPr>
      <w:r w:rsidRPr="005A2D50">
        <w:rPr>
          <w:lang w:val="en-US"/>
        </w:rPr>
        <w:t xml:space="preserve">Vispārējā galvojuma gadījumā </w:t>
      </w:r>
      <w:r w:rsidRPr="005A2D50">
        <w:rPr>
          <w:i/>
          <w:iCs/>
          <w:lang w:val="en-US"/>
        </w:rPr>
        <w:t xml:space="preserve">CGU </w:t>
      </w:r>
      <w:r w:rsidRPr="005A2D50">
        <w:rPr>
          <w:lang w:val="en-US"/>
        </w:rPr>
        <w:t xml:space="preserve">atļaujas sniegšanas mērķiem </w:t>
      </w:r>
      <w:r w:rsidRPr="005A2D50">
        <w:rPr>
          <w:i/>
          <w:iCs/>
          <w:lang w:val="en-US"/>
        </w:rPr>
        <w:t xml:space="preserve">COG </w:t>
      </w:r>
      <w:r w:rsidRPr="005A2D50">
        <w:rPr>
          <w:lang w:val="en-US"/>
        </w:rPr>
        <w:t xml:space="preserve">ir no tās pašas vietas, no kuras ir kompetentā iestāde. Tomēr, ja vispārējais galvojums tiek sniegts ar skaidras naudas iemaksu vai ar citiem maksāšanas līdzekļiem, galvojums ir jāsniedz saskaņā ar tās dalībvalsts spēkā esošajiem noteikumiem, kurā galvojumu pieprasa. Tāpēc šajā konkrētajā gadījumā katrai attiecīgajai dalībvalstij būs viena </w:t>
      </w:r>
      <w:r w:rsidRPr="005A2D50">
        <w:rPr>
          <w:i/>
          <w:iCs/>
          <w:lang w:val="en-US"/>
        </w:rPr>
        <w:t>COG</w:t>
      </w:r>
      <w:r w:rsidRPr="005A2D50">
        <w:rPr>
          <w:lang w:val="en-US"/>
        </w:rPr>
        <w:t>.</w:t>
      </w:r>
    </w:p>
    <w:p w14:paraId="0B3B8612" w14:textId="77777777" w:rsidR="005A2D50" w:rsidRPr="005A2D50" w:rsidRDefault="005A2D50" w:rsidP="005A2D50">
      <w:pPr>
        <w:pStyle w:val="BodyText"/>
        <w:rPr>
          <w:lang w:val="en-US"/>
        </w:rPr>
      </w:pPr>
    </w:p>
    <w:p w14:paraId="05931E82" w14:textId="77777777" w:rsidR="005A2D50" w:rsidRPr="005A2D50" w:rsidRDefault="005A2D50" w:rsidP="005A2D50">
      <w:pPr>
        <w:pStyle w:val="Heading2"/>
        <w:rPr>
          <w:noProof/>
          <w:lang w:val="en-US"/>
        </w:rPr>
      </w:pPr>
      <w:bookmarkStart w:id="28" w:name="II.3.3._Scope_of_the_guarantee"/>
      <w:bookmarkStart w:id="29" w:name="_bookmark9"/>
      <w:bookmarkStart w:id="30" w:name="_Toc104982767"/>
      <w:bookmarkEnd w:id="28"/>
      <w:bookmarkEnd w:id="29"/>
      <w:r w:rsidRPr="005A2D50">
        <w:rPr>
          <w:noProof/>
          <w:lang w:val="en-US"/>
        </w:rPr>
        <w:t>II.3.3. Galvojuma tvērums</w:t>
      </w:r>
      <w:bookmarkEnd w:id="30"/>
    </w:p>
    <w:p w14:paraId="78061D04"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1D9420B6" w14:textId="77777777" w:rsidR="005A2D50" w:rsidRPr="005A2D50" w:rsidRDefault="005A2D50" w:rsidP="005A2D50">
      <w:pPr>
        <w:pStyle w:val="BodyText"/>
        <w:rPr>
          <w:lang w:val="en-US"/>
        </w:rPr>
      </w:pPr>
      <w:r w:rsidRPr="005A2D50">
        <w:rPr>
          <w:lang w:val="en-US"/>
        </w:rPr>
        <w:t>Saskaņā ar SMK 89. panta 4. punktu attiecībā uz konkrētām precēm vai konkrētu deklarāciju muitas dienestiem ir atļauts pieprasīt tikai vienu galvojumu. Tomēr tas neizslēdz iespēju, ka dalībvalsts lūdz papildu galvojumu vai galvojuma aizstāšanu saskaņā ar SMK 97. pantu.</w:t>
      </w:r>
    </w:p>
    <w:p w14:paraId="56B79C24" w14:textId="77777777" w:rsidR="005A2D50" w:rsidRPr="005A2D50" w:rsidRDefault="005A2D50" w:rsidP="005A2D50">
      <w:pPr>
        <w:pStyle w:val="BodyText"/>
        <w:rPr>
          <w:lang w:val="en-US"/>
        </w:rPr>
      </w:pPr>
      <w:r w:rsidRPr="005A2D50">
        <w:rPr>
          <w:lang w:val="en-US"/>
        </w:rPr>
        <w:t>Galvojumam, kas sniegts saistībā ar konkrētu deklarāciju, ir jānodrošina muitas nodokļu un citu maksājumu, ja tādi ir noteikti, samaksa atbilstoši visām precēm, uz kurām attiecas šī deklarācija vai kuras ir izlaistas pret to, neatkarīgi no tā, vai deklarācija ir bijusi pareiza vai nav. Šīs tiesību normas pamatprincips ir šāds – ja iesniedz muitas deklarāciju, visas attiecīgās preces ir pareizi jādeklarē un ir jāizpilda visas saistības attiecībā uz attiecīgo darbību, un tas ietver:</w:t>
      </w:r>
    </w:p>
    <w:p w14:paraId="5CEDE97E" w14:textId="77777777" w:rsidR="005A2D50" w:rsidRPr="005A2D50" w:rsidRDefault="005A2D50" w:rsidP="005A2D50">
      <w:pPr>
        <w:pStyle w:val="BodyText"/>
        <w:rPr>
          <w:lang w:val="en-US"/>
        </w:rPr>
      </w:pPr>
    </w:p>
    <w:p w14:paraId="2E236D80" w14:textId="77777777" w:rsidR="005A2D50" w:rsidRPr="005A2D50" w:rsidRDefault="005A2D50" w:rsidP="005A2D50">
      <w:pPr>
        <w:pStyle w:val="BodyText"/>
        <w:numPr>
          <w:ilvl w:val="3"/>
          <w:numId w:val="59"/>
        </w:numPr>
        <w:tabs>
          <w:tab w:val="left" w:pos="851"/>
        </w:tabs>
        <w:ind w:left="284" w:firstLine="0"/>
        <w:rPr>
          <w:lang w:val="en-US"/>
        </w:rPr>
      </w:pPr>
      <w:r w:rsidRPr="005A2D50">
        <w:rPr>
          <w:lang w:val="en-US"/>
        </w:rPr>
        <w:t>sniegtās informācijas precizitāti un pilnīgumu un</w:t>
      </w:r>
    </w:p>
    <w:p w14:paraId="202CA277" w14:textId="77777777" w:rsidR="005A2D50" w:rsidRPr="005A2D50" w:rsidRDefault="005A2D50" w:rsidP="005A2D50">
      <w:pPr>
        <w:pStyle w:val="BodyText"/>
        <w:numPr>
          <w:ilvl w:val="3"/>
          <w:numId w:val="59"/>
        </w:numPr>
        <w:tabs>
          <w:tab w:val="left" w:pos="851"/>
        </w:tabs>
        <w:ind w:left="284" w:firstLine="0"/>
        <w:rPr>
          <w:lang w:val="en-US"/>
        </w:rPr>
      </w:pPr>
      <w:r w:rsidRPr="005A2D50">
        <w:rPr>
          <w:lang w:val="en-US"/>
        </w:rPr>
        <w:t>tiek uzskatīts, ka ir nodrošināta visu saistību izpilde attiecībā uz attiecīgās procedūras piemērošanu attiecīgajām precēm.</w:t>
      </w:r>
    </w:p>
    <w:p w14:paraId="6B617656" w14:textId="77777777" w:rsidR="005A2D50" w:rsidRPr="005A2D50" w:rsidRDefault="005A2D50" w:rsidP="005A2D50">
      <w:pPr>
        <w:jc w:val="both"/>
        <w:rPr>
          <w:rFonts w:ascii="Times New Roman" w:eastAsia="Times New Roman" w:hAnsi="Times New Roman" w:cs="Times New Roman"/>
          <w:noProof/>
          <w:sz w:val="24"/>
          <w:szCs w:val="24"/>
          <w:lang w:val="en-US"/>
        </w:rPr>
      </w:pPr>
    </w:p>
    <w:p w14:paraId="1505A98C" w14:textId="77777777" w:rsidR="005A2D50" w:rsidRPr="005A2D50" w:rsidRDefault="005A2D50" w:rsidP="005A2D50">
      <w:pPr>
        <w:pStyle w:val="BodyText"/>
        <w:rPr>
          <w:lang w:val="en-US"/>
        </w:rPr>
      </w:pPr>
      <w:r w:rsidRPr="005A2D50">
        <w:rPr>
          <w:lang w:val="en-US"/>
        </w:rPr>
        <w:t>Citiem vārdiem sakot, galvojums attiecas arī uz nedeklarētām vai nepareizi deklarētām precēm, kas iekļautas sūtījumā vai ietvertas deklarācijā, par kuru ir sniegts galvojums.</w:t>
      </w:r>
    </w:p>
    <w:p w14:paraId="15460D58" w14:textId="77777777" w:rsidR="005A2D50" w:rsidRPr="005A2D50" w:rsidRDefault="005A2D50" w:rsidP="005A2D50">
      <w:pPr>
        <w:pStyle w:val="BodyText"/>
        <w:rPr>
          <w:lang w:val="en-US"/>
        </w:rPr>
      </w:pPr>
      <w:r w:rsidRPr="005A2D50">
        <w:rPr>
          <w:lang w:val="en-US"/>
        </w:rPr>
        <w:t>Ja galvojums ir derīgs tikai vienā dalībvalstī, šo galvojumu izmanto vismaz muitas parāda atgūšanai. Ja galvojuma summa ietver citu maksājumu summu, šis galvojums ir jāizmanto arī to atgūšanai, nepārsniedzot summu, kas to segšanai ietverta galvojumā.</w:t>
      </w:r>
    </w:p>
    <w:p w14:paraId="3B7AA643" w14:textId="77777777" w:rsidR="005A2D50" w:rsidRPr="005A2D50" w:rsidRDefault="005A2D50" w:rsidP="005A2D50">
      <w:pPr>
        <w:pStyle w:val="BodyText"/>
        <w:rPr>
          <w:lang w:val="en-US"/>
        </w:rPr>
      </w:pPr>
      <w:r w:rsidRPr="005A2D50">
        <w:rPr>
          <w:lang w:val="en-US"/>
        </w:rPr>
        <w:t>SMK ĪA 244. pants paredz:</w:t>
      </w:r>
    </w:p>
    <w:p w14:paraId="6B492224" w14:textId="77777777" w:rsidR="005A2D50" w:rsidRPr="005A2D50" w:rsidRDefault="005A2D50" w:rsidP="005A2D50">
      <w:pPr>
        <w:pStyle w:val="BodyText"/>
        <w:rPr>
          <w:lang w:val="en-US"/>
        </w:rPr>
      </w:pPr>
    </w:p>
    <w:p w14:paraId="6FAFBC0E" w14:textId="77777777" w:rsidR="005A2D50" w:rsidRPr="005A2D50" w:rsidRDefault="005A2D50" w:rsidP="005A2D50">
      <w:pPr>
        <w:pStyle w:val="BodyText"/>
        <w:rPr>
          <w:lang w:val="en-US"/>
        </w:rPr>
      </w:pPr>
      <w:r w:rsidRPr="005A2D50">
        <w:rPr>
          <w:lang w:val="en-US"/>
        </w:rPr>
        <w:t>“Ja muitas dienesti uzskata, ka muitas deklarācijas pārbaudē, iespējams, tiks konstatēts, ka jāmaksā lielāka ievedmuitas vai izvedmuitas nodokļa un citu maksājumu summa, nekā izriet no muitas deklarācijas ziņām, preču izlaišana ir atkarīga no tāda galvojuma sniegšanas, kas ir pietiekams, lai nosegtu starpību starp summu, kas iegūta saskaņā ar muitas deklarācijas ziņām, un summu, kas galu galā var būt maksājama.”</w:t>
      </w:r>
    </w:p>
    <w:p w14:paraId="43CE6464" w14:textId="77777777" w:rsidR="005A2D50" w:rsidRPr="005A2D50" w:rsidRDefault="005A2D50" w:rsidP="005A2D50">
      <w:pPr>
        <w:pStyle w:val="BodyText"/>
        <w:rPr>
          <w:lang w:val="en-US"/>
        </w:rPr>
      </w:pPr>
    </w:p>
    <w:p w14:paraId="5FEE1B2E" w14:textId="77777777" w:rsidR="005A2D50" w:rsidRPr="005A2D50" w:rsidRDefault="005A2D50" w:rsidP="005A2D50">
      <w:pPr>
        <w:pStyle w:val="BodyText"/>
        <w:rPr>
          <w:lang w:val="en-US"/>
        </w:rPr>
      </w:pPr>
      <w:r w:rsidRPr="005A2D50">
        <w:rPr>
          <w:lang w:val="en-US"/>
        </w:rPr>
        <w:t>Saskaņā ar SMK 97. pantu muitas dienesti jebkurai no 89. panta 3. punktā minētajām personām pieprasa papildu galvojumu, ja tiek konstatēts, ka iesniegtais galvojums nenodrošina muitas parādam atbilstīgās ievedmuitas vai izvedmuitas nodokļa summas vai citu maksājumu samaksu noteiktajā termiņā, vai ja vairs nav pārliecības, ka tas to nodrošinās, vai ja tas nav pietiekams, lai to nodrošinātu. Persona, kurai pieprasa sniegt galvojuma papildu summu, var izvēlēties aizstāt sākotnējo galvojumu ar jaunu. Jāuzsver, ka muita var pieprasīt papildu galvojumu pat tad, ja saskaņā ar SMK 95. pantu ir piešķirts galvojums ar samazinātu summu vai piešķirts atbrīvojums no galvojuma.</w:t>
      </w:r>
    </w:p>
    <w:p w14:paraId="4C959F28" w14:textId="77777777" w:rsidR="005A2D50" w:rsidRPr="005A2D50" w:rsidRDefault="005A2D50" w:rsidP="005A2D50">
      <w:pPr>
        <w:pStyle w:val="BodyText"/>
        <w:rPr>
          <w:lang w:val="en-US"/>
        </w:rPr>
      </w:pPr>
      <w:r w:rsidRPr="005A2D50">
        <w:rPr>
          <w:lang w:val="en-US"/>
        </w:rPr>
        <w:t xml:space="preserve">Saskaņā ar SMK 89. panta 4. punkta trešo daļu, ja galvojums nav atbrīvots, nodrošinātās summas robežās to var izmantot arī tam, lai atgūtu muitas nodokļus un citus maksājumus, ja piemērojami, kas jāmaksā pēc kontroles, ko veic pēc preču izlaišanas, saskaņā ar SMK 48. pantu. Jānodrošina, ka summas, kas izriet no kontroles pēc preču izlaišanas, ir iespējams atgūt galvojumā nodrošinātās summas robežās, ja vien tā ir daļēji vai pilnībā pieejama </w:t>
      </w:r>
      <w:r w:rsidRPr="005A2D50">
        <w:rPr>
          <w:i/>
          <w:iCs/>
          <w:lang w:val="en-US"/>
        </w:rPr>
        <w:t xml:space="preserve">CA </w:t>
      </w:r>
      <w:r w:rsidRPr="005A2D50">
        <w:rPr>
          <w:lang w:val="en-US"/>
        </w:rPr>
        <w:t>rīcībā un ar noteikumu, ka muitas parāda rašanās gadījums ir saistīts ar sākotnējo muitas deklarāciju, procedūru vai uzglabāšanas vietu, par kurām tika pieprasīts galvojums.</w:t>
      </w:r>
    </w:p>
    <w:p w14:paraId="2307AD81" w14:textId="77777777" w:rsidR="005A2D50" w:rsidRPr="005A2D50" w:rsidRDefault="005A2D50" w:rsidP="005A2D50">
      <w:pPr>
        <w:jc w:val="both"/>
        <w:rPr>
          <w:rFonts w:ascii="Times New Roman" w:eastAsia="Times New Roman" w:hAnsi="Times New Roman" w:cs="Times New Roman"/>
          <w:noProof/>
          <w:sz w:val="24"/>
          <w:szCs w:val="24"/>
          <w:lang w:val="en-US"/>
        </w:rPr>
      </w:pPr>
      <w:r w:rsidRPr="005A2D50">
        <w:rPr>
          <w:rFonts w:ascii="Times New Roman" w:hAnsi="Times New Roman"/>
          <w:noProof/>
          <w:sz w:val="24"/>
          <w:lang w:val="en-US"/>
        </w:rPr>
        <w:t xml:space="preserve">Praksē SMK 89. panta 4. punkta trešā daļa tikai paplašina galvojuma tvērumu, lai nodrošinātu, ka parādnieks samaksā muitas parādu, kas rodas pēc kontroles, ko veic pēc preču izlaišanas, attiecībā uz precēm, kas iekļautas sūtījumā vai ietvertas deklarācijā, par kuru sākotnēji tika sniegts galvojums. Atliek iespēja atgūt nenomaksātos muitas nodokļus, un </w:t>
      </w:r>
      <w:r w:rsidRPr="005A2D50">
        <w:rPr>
          <w:rFonts w:ascii="Times New Roman" w:hAnsi="Times New Roman"/>
          <w:b/>
          <w:bCs/>
          <w:noProof/>
          <w:sz w:val="24"/>
          <w:lang w:val="en-US"/>
        </w:rPr>
        <w:t>to nevar saprast kā prasību palielināt galvojuma summu</w:t>
      </w:r>
      <w:r w:rsidRPr="005A2D50">
        <w:rPr>
          <w:rFonts w:ascii="Times New Roman" w:hAnsi="Times New Roman"/>
          <w:noProof/>
          <w:sz w:val="24"/>
          <w:lang w:val="en-US"/>
        </w:rPr>
        <w:t xml:space="preserve">. Ja vispārējo galvojumu sniedz ar skaidras naudas iemaksu, </w:t>
      </w:r>
      <w:r w:rsidRPr="005A2D50">
        <w:rPr>
          <w:rFonts w:ascii="Times New Roman" w:hAnsi="Times New Roman"/>
          <w:i/>
          <w:iCs/>
          <w:noProof/>
          <w:sz w:val="24"/>
          <w:lang w:val="en-US"/>
        </w:rPr>
        <w:t xml:space="preserve">CA </w:t>
      </w:r>
      <w:r w:rsidRPr="005A2D50">
        <w:rPr>
          <w:rFonts w:ascii="Times New Roman" w:hAnsi="Times New Roman"/>
          <w:noProof/>
          <w:sz w:val="24"/>
          <w:lang w:val="en-US"/>
        </w:rPr>
        <w:t xml:space="preserve">jāpieprasa personai, kas ir sniegusi galvojumu, atkārtoti noteikt tā summu, ja no attiecīgā galvojuma tiek iekasētas summas, kas nav izmaksātas </w:t>
      </w:r>
      <w:r w:rsidRPr="005A2D50">
        <w:rPr>
          <w:rFonts w:ascii="Times New Roman" w:hAnsi="Times New Roman"/>
          <w:i/>
          <w:iCs/>
          <w:noProof/>
          <w:sz w:val="24"/>
          <w:lang w:val="en-US"/>
        </w:rPr>
        <w:t xml:space="preserve">CA </w:t>
      </w:r>
      <w:r w:rsidRPr="005A2D50">
        <w:rPr>
          <w:rFonts w:ascii="Times New Roman" w:hAnsi="Times New Roman"/>
          <w:noProof/>
          <w:sz w:val="24"/>
          <w:lang w:val="en-US"/>
        </w:rPr>
        <w:t xml:space="preserve">noteiktajā termiņā. Kamēr nav atjaunota skaidras naudas iemaksas sākotnējā summa, uzņēmēja darbība turpmākiem darījumiem var tikt bloķēta. Tomēr summu, kas ar saistībām ir nodrošināta ar vispārējo galvojumu, nevar samazināt par summām, ko galvinieks samaksājis muitas parādu un citu maksājumu, ja piemērojami, atgūšanas procesā, kā izriet no SMK ĪA 32-03. pielikuma juridiskā teksta: </w:t>
      </w:r>
      <w:r w:rsidRPr="005A2D50">
        <w:rPr>
          <w:rFonts w:ascii="Times New Roman" w:hAnsi="Times New Roman"/>
          <w:i/>
          <w:iCs/>
          <w:noProof/>
          <w:sz w:val="24"/>
          <w:lang w:val="en-US"/>
        </w:rPr>
        <w:t>“Šo summu nevar samazināt par tādām summām, kas jau ir samaksātas saskaņā ar šo saistību noteikumiem, izņemot gadījumus, kad parakstītājs tiek aicināts samaksāt parādu, kas radies muitas operācijā, kura uzsākta pirms iepriekšējā maksājuma pieprasījuma saņemšanas vai arī 30 dienu laikā pēc tam.”</w:t>
      </w:r>
    </w:p>
    <w:p w14:paraId="7897FDE2" w14:textId="77777777" w:rsidR="005A2D50" w:rsidRPr="005A2D50" w:rsidRDefault="005A2D50" w:rsidP="005A2D50">
      <w:pPr>
        <w:jc w:val="both"/>
        <w:rPr>
          <w:rFonts w:ascii="Times New Roman" w:eastAsia="Times New Roman" w:hAnsi="Times New Roman" w:cs="Times New Roman"/>
          <w:noProof/>
          <w:sz w:val="24"/>
          <w:szCs w:val="24"/>
          <w:lang w:val="en-US"/>
        </w:rPr>
      </w:pPr>
    </w:p>
    <w:p w14:paraId="79F3C700" w14:textId="77777777" w:rsidR="005A2D50" w:rsidRPr="005A2D50" w:rsidRDefault="005A2D50" w:rsidP="005A2D50">
      <w:pPr>
        <w:pStyle w:val="Heading2"/>
        <w:rPr>
          <w:noProof/>
          <w:lang w:val="en-US"/>
        </w:rPr>
      </w:pPr>
      <w:bookmarkStart w:id="31" w:name="II.3.4._Person_to_provide_the_guarantee"/>
      <w:bookmarkStart w:id="32" w:name="_bookmark10"/>
      <w:bookmarkStart w:id="33" w:name="_Toc104982768"/>
      <w:bookmarkEnd w:id="31"/>
      <w:bookmarkEnd w:id="32"/>
      <w:r w:rsidRPr="005A2D50">
        <w:rPr>
          <w:noProof/>
          <w:lang w:val="en-US"/>
        </w:rPr>
        <w:t>II.3.4. Persona, kura sniedz galvojumu</w:t>
      </w:r>
      <w:bookmarkEnd w:id="33"/>
    </w:p>
    <w:p w14:paraId="18264D9A"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107BD781" w14:textId="77777777" w:rsidR="005A2D50" w:rsidRPr="005A2D50" w:rsidRDefault="005A2D50" w:rsidP="005A2D50">
      <w:pPr>
        <w:tabs>
          <w:tab w:val="left" w:pos="973"/>
        </w:tabs>
        <w:jc w:val="both"/>
        <w:rPr>
          <w:rFonts w:ascii="Times New Roman" w:hAnsi="Times New Roman"/>
          <w:b/>
          <w:noProof/>
          <w:sz w:val="24"/>
          <w:lang w:val="en-US"/>
        </w:rPr>
      </w:pPr>
      <w:bookmarkStart w:id="34" w:name="II.3.4.1._Debtor/potential_debtor"/>
      <w:bookmarkEnd w:id="34"/>
      <w:r w:rsidRPr="005A2D50">
        <w:rPr>
          <w:rFonts w:ascii="Times New Roman" w:hAnsi="Times New Roman"/>
          <w:b/>
          <w:noProof/>
          <w:sz w:val="24"/>
          <w:lang w:val="en-US"/>
        </w:rPr>
        <w:t>II.3.4.1. Parādnieks/iespējamais parādnieks</w:t>
      </w:r>
    </w:p>
    <w:p w14:paraId="7A071912"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7D59C3FE" w14:textId="77777777" w:rsidR="005A2D50" w:rsidRPr="005A2D50" w:rsidRDefault="005A2D50" w:rsidP="005A2D50">
      <w:pPr>
        <w:pStyle w:val="BodyText"/>
        <w:rPr>
          <w:lang w:val="en-US"/>
        </w:rPr>
      </w:pPr>
      <w:r w:rsidRPr="005A2D50">
        <w:rPr>
          <w:lang w:val="en-US"/>
        </w:rPr>
        <w:t>Saskaņā ar SMK 89. panta 3. punktu galvojumu pieprasa parādniekam vai iespējamam parādniekam. Termina “parādnieks” definīcija ir sniegta SMK 5. panta 19. punktā (persona, kas ir atbildīga par muitas parādu). Kodeksa 77.–82. pantā norādīts, kurš uzskatāms par parādnieku attiecībā uz katru iespējamo muitas darbību. Plašāku informāciju par parādnieka noteikšanu lūdzam skatīt dokumenta “Guidance on Customs Debt” [Vadlīnijas par muitas parādu] III nodaļā “Incurrence of a Customs Debt” [Muitas parāda rašanās], kas publicēta EUROPA tīmekļa vietnē.</w:t>
      </w:r>
      <w:r w:rsidRPr="005A2D50">
        <w:rPr>
          <w:rStyle w:val="FootnoteReference"/>
          <w:lang w:val="en-US"/>
        </w:rPr>
        <w:footnoteReference w:id="3"/>
      </w:r>
    </w:p>
    <w:p w14:paraId="77C0DC3C" w14:textId="77777777" w:rsidR="005A2D50" w:rsidRPr="005A2D50" w:rsidRDefault="005A2D50" w:rsidP="005A2D50">
      <w:pPr>
        <w:pStyle w:val="BodyText"/>
        <w:rPr>
          <w:lang w:val="en-US"/>
        </w:rPr>
      </w:pPr>
      <w:r w:rsidRPr="005A2D50">
        <w:rPr>
          <w:lang w:val="en-US"/>
        </w:rPr>
        <w:t>Ja par vienam muitas parādam atbilstīgās ievedmuitas vai izvedmuitas nodokļa summas samaksu atbildīgas ir vairākas personas, tās ir solidāri atbildīgas par minētās summas samaksu saskaņā ar SMK 84. pantu.</w:t>
      </w:r>
    </w:p>
    <w:p w14:paraId="3CCDD877" w14:textId="77777777" w:rsidR="005A2D50" w:rsidRPr="005A2D50" w:rsidRDefault="005A2D50" w:rsidP="005A2D50">
      <w:pPr>
        <w:pStyle w:val="BodyText"/>
        <w:rPr>
          <w:lang w:val="en-US"/>
        </w:rPr>
      </w:pPr>
    </w:p>
    <w:p w14:paraId="3FF63202" w14:textId="77777777" w:rsidR="005A2D50" w:rsidRPr="005A2D50" w:rsidRDefault="005A2D50" w:rsidP="005A2D50">
      <w:pPr>
        <w:pStyle w:val="BodyText"/>
        <w:rPr>
          <w:b/>
          <w:bCs/>
          <w:lang w:val="en-US"/>
        </w:rPr>
      </w:pPr>
      <w:bookmarkStart w:id="35" w:name="II.3.4.2._Other_person_to_provide_a_guar"/>
      <w:bookmarkEnd w:id="35"/>
      <w:r w:rsidRPr="005A2D50">
        <w:rPr>
          <w:b/>
          <w:bCs/>
          <w:lang w:val="en-US"/>
        </w:rPr>
        <w:t>II.3.4.2. Cita persona, kura sniedz galvojumu</w:t>
      </w:r>
    </w:p>
    <w:p w14:paraId="62E95C54"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2D87E80B" w14:textId="77777777" w:rsidR="005A2D50" w:rsidRPr="005A2D50" w:rsidRDefault="005A2D50" w:rsidP="005A2D50">
      <w:pPr>
        <w:pStyle w:val="BodyText"/>
        <w:rPr>
          <w:lang w:val="en-US"/>
        </w:rPr>
      </w:pPr>
      <w:r w:rsidRPr="005A2D50">
        <w:rPr>
          <w:lang w:val="en-US"/>
        </w:rPr>
        <w:t>Gadījumos, kad parādnieks/iespējamais parādnieks nevar/nevēlas sniegt prasīto galvojumu, piemēro SMK 89. panta 3. punkta otro daļu. Muitas dienestiem saskaņā ar spēkā esošajām valsts tiesību normām ir iespēja pilnvarot personu, kas nav parādnieks vai iespējamais parādnieks, sniegt nepieciešamo galvojumu.</w:t>
      </w:r>
    </w:p>
    <w:p w14:paraId="51DDCC8E" w14:textId="77777777" w:rsidR="005A2D50" w:rsidRPr="005A2D50" w:rsidRDefault="005A2D50" w:rsidP="005A2D50">
      <w:pPr>
        <w:pStyle w:val="BodyText"/>
        <w:rPr>
          <w:lang w:val="en-US"/>
        </w:rPr>
      </w:pPr>
      <w:r w:rsidRPr="005A2D50">
        <w:rPr>
          <w:lang w:val="en-US"/>
        </w:rPr>
        <w:t>Tomēr parasti SMK un ar to saistītie tiesību akti neuzskata, ka parādnieka vai iespējamā parādnieka vietā par muitas parādu būtu atbildīga cita persona, kas vēlas sniegt galvojumu. Turklāt minēto citu personu, kura galvojumu muitas dienesti var pieņemt saskaņā ar SMK 89. panta 3. punkta otro daļu, nevar uzskatīt par parādnieku vai iespējamo parādnieku ar muitu saistīto tiesību normu nozīmē (SMK 77.–79. pants un 81.–82. pants), pamatojoties uz to vien, ka tai ir atļauts sniegt šādu galvojumu. Šāda persona ir uzskatāma par personu, kas uzņemas finanšu saistības tikai saskaņā ar sniegto galvojumu par muitas parādu un, ja atbilstīgi, citiem maksājumiem, ja parādnieks tos nesamaksā noteiktajā termiņā un ja valsts tiesību akti nosaka šādu atbildību.</w:t>
      </w:r>
    </w:p>
    <w:p w14:paraId="44FD4644" w14:textId="77777777" w:rsidR="005A2D50" w:rsidRPr="005A2D50" w:rsidRDefault="005A2D50" w:rsidP="005A2D50">
      <w:pPr>
        <w:pStyle w:val="BodyText"/>
        <w:rPr>
          <w:lang w:val="en-US"/>
        </w:rPr>
      </w:pPr>
      <w:r w:rsidRPr="005A2D50">
        <w:rPr>
          <w:lang w:val="en-US"/>
        </w:rPr>
        <w:t>SMK 89. panta 3. punkts ir piemērojams vienreizējiem galvojumiem un vispārējiem galvojumiem.</w:t>
      </w:r>
    </w:p>
    <w:p w14:paraId="437D8102" w14:textId="77777777" w:rsidR="005A2D50" w:rsidRPr="005A2D50" w:rsidRDefault="005A2D50" w:rsidP="005A2D50">
      <w:pPr>
        <w:pStyle w:val="BodyText"/>
        <w:rPr>
          <w:lang w:val="en-US"/>
        </w:rPr>
      </w:pPr>
      <w:r w:rsidRPr="005A2D50">
        <w:rPr>
          <w:lang w:val="en-US"/>
        </w:rPr>
        <w:t xml:space="preserve">Attiecībā uz </w:t>
      </w:r>
      <w:r w:rsidRPr="005A2D50">
        <w:rPr>
          <w:b/>
          <w:bCs/>
          <w:lang w:val="en-US"/>
        </w:rPr>
        <w:t>vienreizējiem galvojumiem</w:t>
      </w:r>
      <w:r w:rsidRPr="005A2D50">
        <w:rPr>
          <w:lang w:val="en-US"/>
        </w:rPr>
        <w:t>, kas sedz 100 % no muitas parāda un, ja atbilstīgi, citu maksājumu precīzas summas, var pieņemt, ka tos sniedz personas, kas nav parādnieks/iespējamais parādnieks. Tomēr galvojuma muitas iestādei, ja atbilstīgi, jāpievērš uzmanība saistību veidam un to juridiskajam spēkam (SMK ĪA 151. panta 7. punkts un 32-01. pielikums).</w:t>
      </w:r>
    </w:p>
    <w:p w14:paraId="40CB0F8E" w14:textId="77777777" w:rsidR="005A2D50" w:rsidRPr="005A2D50" w:rsidRDefault="005A2D50" w:rsidP="005A2D50">
      <w:pPr>
        <w:pStyle w:val="BodyText"/>
        <w:rPr>
          <w:lang w:val="en-US"/>
        </w:rPr>
      </w:pPr>
    </w:p>
    <w:p w14:paraId="49208EA8" w14:textId="77777777" w:rsidR="005A2D50" w:rsidRPr="005A2D50" w:rsidRDefault="005A2D50" w:rsidP="005A2D50">
      <w:pPr>
        <w:pStyle w:val="Heading2"/>
        <w:rPr>
          <w:noProof/>
          <w:lang w:val="en-US"/>
        </w:rPr>
      </w:pPr>
      <w:bookmarkStart w:id="36" w:name="II.3.5._Currency_conversion_for_guarante"/>
      <w:bookmarkStart w:id="37" w:name="_bookmark11"/>
      <w:bookmarkStart w:id="38" w:name="_Toc104982769"/>
      <w:bookmarkEnd w:id="36"/>
      <w:bookmarkEnd w:id="37"/>
      <w:r w:rsidRPr="005A2D50">
        <w:rPr>
          <w:noProof/>
          <w:lang w:val="en-US"/>
        </w:rPr>
        <w:t>II.3.5. Valūtas konvertācija galvojumiem (SMK 53. pants)</w:t>
      </w:r>
      <w:bookmarkEnd w:id="38"/>
    </w:p>
    <w:p w14:paraId="010D953B"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0122B5E1" w14:textId="77777777" w:rsidR="005A2D50" w:rsidRPr="005A2D50" w:rsidRDefault="005A2D50" w:rsidP="005A2D50">
      <w:pPr>
        <w:pStyle w:val="BodyText"/>
        <w:rPr>
          <w:lang w:val="en-US"/>
        </w:rPr>
      </w:pPr>
      <w:r w:rsidRPr="005A2D50">
        <w:rPr>
          <w:lang w:val="en-US"/>
        </w:rPr>
        <w:t>Saskaņā ar SMK 53. panta 2. punktu “</w:t>
      </w:r>
      <w:r w:rsidRPr="005A2D50">
        <w:rPr>
          <w:i/>
          <w:iCs/>
          <w:lang w:val="en-US"/>
        </w:rPr>
        <w:t xml:space="preserve">euro </w:t>
      </w:r>
      <w:r w:rsidRPr="005A2D50">
        <w:rPr>
          <w:lang w:val="en-US"/>
        </w:rPr>
        <w:t>vērtību valstu valūtās, kas jāpiemēro saistībā ar tiesību aktiem muitas jomā, nosaka vismaz reizi gadā”. Šādai konvertācijai Eiropas Centrālā banka nosaka likmi reizi gadā oktobra pirmajā darbdienā, un to publicē Savienības Oficiālajā Vēstnesī. Šo likmi piemēro no nākamā gada 1. janvāra.</w:t>
      </w:r>
    </w:p>
    <w:p w14:paraId="2BA82A1E" w14:textId="77777777" w:rsidR="005A2D50" w:rsidRPr="005A2D50" w:rsidRDefault="005A2D50" w:rsidP="005A2D50">
      <w:pPr>
        <w:pStyle w:val="BodyText"/>
        <w:rPr>
          <w:lang w:val="en-US"/>
        </w:rPr>
      </w:pPr>
    </w:p>
    <w:p w14:paraId="6D649AC5" w14:textId="77777777" w:rsidR="005A2D50" w:rsidRPr="005A2D50" w:rsidRDefault="005A2D50" w:rsidP="005A2D50">
      <w:pPr>
        <w:pStyle w:val="Heading2"/>
        <w:rPr>
          <w:noProof/>
          <w:lang w:val="en-US"/>
        </w:rPr>
      </w:pPr>
      <w:bookmarkStart w:id="39" w:name="II.3.6._Release_of_the_guarantee_(Articl"/>
      <w:bookmarkStart w:id="40" w:name="_bookmark12"/>
      <w:bookmarkStart w:id="41" w:name="_Toc104982770"/>
      <w:bookmarkEnd w:id="39"/>
      <w:bookmarkEnd w:id="40"/>
      <w:r w:rsidRPr="005A2D50">
        <w:rPr>
          <w:noProof/>
          <w:lang w:val="en-US"/>
        </w:rPr>
        <w:t>II.3.6. Galvojuma atbrīvošana (SMK 98. pants)</w:t>
      </w:r>
      <w:bookmarkEnd w:id="41"/>
    </w:p>
    <w:p w14:paraId="47926F44"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57C350F4" w14:textId="77777777" w:rsidR="005A2D50" w:rsidRPr="005A2D50" w:rsidRDefault="005A2D50" w:rsidP="005A2D50">
      <w:pPr>
        <w:pStyle w:val="BodyText"/>
        <w:rPr>
          <w:lang w:val="en-US"/>
        </w:rPr>
      </w:pPr>
      <w:r w:rsidRPr="005A2D50">
        <w:rPr>
          <w:lang w:val="en-US"/>
        </w:rPr>
        <w:t>SMK 98. pants paredz galvojuma atbrīvošanu, ja muitas parāds vai pienākums samaksāt citus maksājumus ir dzēsts vai vairs nevar rasties.</w:t>
      </w:r>
    </w:p>
    <w:p w14:paraId="7B0584E4" w14:textId="77777777" w:rsidR="005A2D50" w:rsidRPr="005A2D50" w:rsidRDefault="005A2D50" w:rsidP="005A2D50">
      <w:pPr>
        <w:pStyle w:val="BodyText"/>
        <w:rPr>
          <w:lang w:val="en-US"/>
        </w:rPr>
      </w:pPr>
    </w:p>
    <w:p w14:paraId="1DC82062" w14:textId="77777777" w:rsidR="005A2D50" w:rsidRPr="005A2D50" w:rsidRDefault="005A2D50" w:rsidP="005A2D50">
      <w:pPr>
        <w:pStyle w:val="BodyText"/>
        <w:rPr>
          <w:b/>
          <w:bCs/>
          <w:lang w:val="en-US"/>
        </w:rPr>
      </w:pPr>
      <w:r w:rsidRPr="005A2D50">
        <w:rPr>
          <w:b/>
          <w:bCs/>
          <w:lang w:val="en-US"/>
        </w:rPr>
        <w:t>II.3.6.1. Atšķirība starp galvojuma atbrīvošanu un galvojuma atsauces summas bloķēšanu/atbloķēšanu</w:t>
      </w:r>
    </w:p>
    <w:p w14:paraId="218F0554"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06CC2410" w14:textId="77777777" w:rsidR="005A2D50" w:rsidRPr="005A2D50" w:rsidRDefault="005A2D50" w:rsidP="005A2D50">
      <w:pPr>
        <w:pStyle w:val="BodyText"/>
        <w:rPr>
          <w:lang w:val="en-US"/>
        </w:rPr>
      </w:pPr>
      <w:r w:rsidRPr="005A2D50">
        <w:rPr>
          <w:lang w:val="en-US"/>
        </w:rPr>
        <w:t>Attiecībā uz vispārējo galvojumu nedrīkst jaukt galvojuma atbrīvošanu ar galvojuma atsauces summas bloķēšanu/atbloķēšanu. Galvojuma atbrīvošana nav automātiska katras vienai muitas deklarācijai/darbībai atbilstošas summas atbloķēšana, padarot to pieejamu turpmākajiem darījumiem.</w:t>
      </w:r>
    </w:p>
    <w:p w14:paraId="6090244C" w14:textId="77777777" w:rsidR="005A2D50" w:rsidRPr="005A2D50" w:rsidRDefault="005A2D50" w:rsidP="005A2D50">
      <w:pPr>
        <w:pStyle w:val="BodyText"/>
        <w:rPr>
          <w:lang w:val="en-US"/>
        </w:rPr>
      </w:pPr>
      <w:r w:rsidRPr="005A2D50">
        <w:rPr>
          <w:lang w:val="en-US"/>
        </w:rPr>
        <w:t>Atsauces summas bloķēšana/atbloķēšana var notikt automātiski, pat ja to nepieprasa persona, kas sniegusi galvojumu, vai ja muitas dienesti nerīkojas.</w:t>
      </w:r>
    </w:p>
    <w:p w14:paraId="14CD5114" w14:textId="77777777" w:rsidR="005A2D50" w:rsidRPr="005A2D50" w:rsidRDefault="005A2D50" w:rsidP="005A2D50">
      <w:pPr>
        <w:pStyle w:val="BodyText"/>
        <w:rPr>
          <w:lang w:val="en-US"/>
        </w:rPr>
      </w:pPr>
    </w:p>
    <w:p w14:paraId="23AC1B19" w14:textId="77777777" w:rsidR="005A2D50" w:rsidRPr="005A2D50" w:rsidRDefault="005A2D50" w:rsidP="005A2D50">
      <w:pPr>
        <w:pStyle w:val="BodyText"/>
        <w:rPr>
          <w:b/>
          <w:bCs/>
          <w:lang w:val="en-US"/>
        </w:rPr>
      </w:pPr>
      <w:r w:rsidRPr="005A2D50">
        <w:rPr>
          <w:b/>
          <w:bCs/>
          <w:lang w:val="en-US"/>
        </w:rPr>
        <w:t>II.3.6.2. Atbrīvošanas nozīme (SMK 98. panta 1. punkts)</w:t>
      </w:r>
    </w:p>
    <w:p w14:paraId="1C9855B7"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1B1D19D6" w14:textId="77777777" w:rsidR="005A2D50" w:rsidRPr="005A2D50" w:rsidRDefault="005A2D50" w:rsidP="005A2D50">
      <w:pPr>
        <w:pStyle w:val="BodyText"/>
        <w:rPr>
          <w:lang w:val="en-US"/>
        </w:rPr>
      </w:pPr>
      <w:r w:rsidRPr="005A2D50">
        <w:rPr>
          <w:lang w:val="en-US"/>
        </w:rPr>
        <w:t>Galvojuma atbrīvošanai ir jābūt muitas dienestu veiktai darbībai.</w:t>
      </w:r>
    </w:p>
    <w:p w14:paraId="4674DDBD" w14:textId="77777777" w:rsidR="005A2D50" w:rsidRPr="005A2D50" w:rsidRDefault="005A2D50" w:rsidP="005A2D50">
      <w:pPr>
        <w:pStyle w:val="BodyText"/>
        <w:rPr>
          <w:lang w:val="en-US"/>
        </w:rPr>
      </w:pPr>
      <w:r w:rsidRPr="005A2D50">
        <w:rPr>
          <w:lang w:val="en-US"/>
        </w:rPr>
        <w:t>Galvojumu, kas sniegts saistību veidā vai citā SMK 92. panta 1. punkta c) apakšpunktā paredzētajā veidā, uzskata par pilnībā atbrīvotu tikai tad, ja galvojums ir faktiski atgriezts galviniekam vai saņēmējam.</w:t>
      </w:r>
    </w:p>
    <w:p w14:paraId="0C6B81F1" w14:textId="77777777" w:rsidR="005A2D50" w:rsidRPr="005A2D50" w:rsidRDefault="005A2D50" w:rsidP="005A2D50">
      <w:pPr>
        <w:pStyle w:val="BodyText"/>
        <w:rPr>
          <w:lang w:val="en-US"/>
        </w:rPr>
      </w:pPr>
      <w:r w:rsidRPr="005A2D50">
        <w:rPr>
          <w:lang w:val="en-US"/>
        </w:rPr>
        <w:t>Tāpēc ar galvinieka saistībām sniegta galvojuma atbrīvošana neatbilst:</w:t>
      </w:r>
    </w:p>
    <w:p w14:paraId="1364ABB5" w14:textId="77777777" w:rsidR="005A2D50" w:rsidRPr="005A2D50" w:rsidRDefault="005A2D50" w:rsidP="005A2D50">
      <w:pPr>
        <w:pStyle w:val="BodyText"/>
        <w:rPr>
          <w:lang w:val="en-US"/>
        </w:rPr>
      </w:pPr>
    </w:p>
    <w:p w14:paraId="181BF83A" w14:textId="77777777" w:rsidR="005A2D50" w:rsidRPr="005A2D50" w:rsidRDefault="005A2D50" w:rsidP="005A2D50">
      <w:pPr>
        <w:pStyle w:val="BodyText"/>
        <w:numPr>
          <w:ilvl w:val="0"/>
          <w:numId w:val="55"/>
        </w:numPr>
        <w:tabs>
          <w:tab w:val="left" w:pos="851"/>
        </w:tabs>
        <w:ind w:left="284" w:firstLine="0"/>
        <w:rPr>
          <w:lang w:val="en-US"/>
        </w:rPr>
      </w:pPr>
      <w:r w:rsidRPr="005A2D50">
        <w:rPr>
          <w:lang w:val="en-US"/>
        </w:rPr>
        <w:t>muitas dienestu lēmumam anulēt saistību apstiprinājumu;</w:t>
      </w:r>
    </w:p>
    <w:p w14:paraId="040E88C3" w14:textId="77777777" w:rsidR="005A2D50" w:rsidRPr="005A2D50" w:rsidRDefault="005A2D50" w:rsidP="005A2D50">
      <w:pPr>
        <w:pStyle w:val="BodyText"/>
        <w:numPr>
          <w:ilvl w:val="0"/>
          <w:numId w:val="55"/>
        </w:numPr>
        <w:tabs>
          <w:tab w:val="left" w:pos="851"/>
        </w:tabs>
        <w:ind w:left="284" w:firstLine="0"/>
        <w:rPr>
          <w:lang w:val="en-US"/>
        </w:rPr>
      </w:pPr>
      <w:r w:rsidRPr="005A2D50">
        <w:rPr>
          <w:lang w:val="en-US"/>
        </w:rPr>
        <w:t>galvinieka lēmumam anulēt viņa saistības.</w:t>
      </w:r>
    </w:p>
    <w:p w14:paraId="3CA16374" w14:textId="77777777" w:rsidR="005A2D50" w:rsidRPr="005A2D50" w:rsidRDefault="005A2D50" w:rsidP="005A2D50">
      <w:pPr>
        <w:pStyle w:val="BodyText"/>
        <w:rPr>
          <w:lang w:val="en-US"/>
        </w:rPr>
      </w:pPr>
    </w:p>
    <w:p w14:paraId="16711EFA" w14:textId="77777777" w:rsidR="005A2D50" w:rsidRPr="005A2D50" w:rsidRDefault="005A2D50" w:rsidP="005A2D50">
      <w:pPr>
        <w:pStyle w:val="BodyText"/>
        <w:rPr>
          <w:lang w:val="en-US"/>
        </w:rPr>
      </w:pPr>
      <w:r w:rsidRPr="005A2D50">
        <w:rPr>
          <w:lang w:val="en-US"/>
        </w:rPr>
        <w:t>Vispārējais galvojums ir “nepārtraukts galvojums”, kas noteikts uz ilgāku laiku un paredzēts vairāku darījumu un/vai muitas procedūru segšanai.</w:t>
      </w:r>
    </w:p>
    <w:p w14:paraId="0CBE1B64" w14:textId="77777777" w:rsidR="005A2D50" w:rsidRPr="005A2D50" w:rsidRDefault="005A2D50" w:rsidP="005A2D50">
      <w:pPr>
        <w:pStyle w:val="BodyText"/>
        <w:rPr>
          <w:lang w:val="en-US"/>
        </w:rPr>
      </w:pPr>
      <w:r w:rsidRPr="005A2D50">
        <w:rPr>
          <w:lang w:val="en-US"/>
        </w:rPr>
        <w:t>Kad vispārējo galvojumu atbrīvo, tas vairs nav pieejams ne turpmākiem darījumiem, ne jauniem maksājumu pieprasījumiem, kas adresēti galviniekam.</w:t>
      </w:r>
    </w:p>
    <w:p w14:paraId="742D7223" w14:textId="77777777" w:rsidR="005A2D50" w:rsidRPr="005A2D50" w:rsidRDefault="005A2D50" w:rsidP="005A2D50">
      <w:pPr>
        <w:pStyle w:val="BodyText"/>
        <w:rPr>
          <w:lang w:val="en-US"/>
        </w:rPr>
      </w:pPr>
      <w:r w:rsidRPr="005A2D50">
        <w:rPr>
          <w:lang w:val="en-US"/>
        </w:rPr>
        <w:t>Turklāt ar galvinieka saistībām sniegta vispārējā galvojuma atbrīvošana neatbilst muitas dienestu lēmumam atcelt/grozīt/apturēt atļauju sniegt vispārējo galvojumu.</w:t>
      </w:r>
    </w:p>
    <w:p w14:paraId="0E80AC5E" w14:textId="77777777" w:rsidR="005A2D50" w:rsidRPr="005A2D50" w:rsidRDefault="005A2D50" w:rsidP="005A2D50">
      <w:pPr>
        <w:pStyle w:val="BodyText"/>
        <w:rPr>
          <w:lang w:val="en-US"/>
        </w:rPr>
      </w:pPr>
      <w:r w:rsidRPr="005A2D50">
        <w:rPr>
          <w:lang w:val="en-US"/>
        </w:rPr>
        <w:t>Galvojumu, kas sniegts ar skaidras naudas iemaksu, uzskata par atbrīvotu, kad tas tiek atmaksāts.</w:t>
      </w:r>
    </w:p>
    <w:p w14:paraId="79614B2A" w14:textId="77777777" w:rsidR="005A2D50" w:rsidRPr="005A2D50" w:rsidRDefault="005A2D50" w:rsidP="005A2D50">
      <w:pPr>
        <w:jc w:val="both"/>
        <w:rPr>
          <w:rFonts w:ascii="Times New Roman" w:hAnsi="Times New Roman" w:cs="Times New Roman"/>
          <w:noProof/>
          <w:sz w:val="24"/>
          <w:szCs w:val="24"/>
          <w:lang w:val="en-US"/>
        </w:rPr>
      </w:pPr>
    </w:p>
    <w:p w14:paraId="248D933B" w14:textId="77777777" w:rsidR="005A2D50" w:rsidRPr="005A2D50" w:rsidRDefault="005A2D50" w:rsidP="005A2D50">
      <w:pPr>
        <w:pStyle w:val="Heading2"/>
        <w:rPr>
          <w:noProof/>
          <w:lang w:val="en-US"/>
        </w:rPr>
      </w:pPr>
      <w:bookmarkStart w:id="42" w:name="II.3.6.3_Moment_of_release"/>
      <w:bookmarkStart w:id="43" w:name="_bookmark13"/>
      <w:bookmarkStart w:id="44" w:name="_Toc104982771"/>
      <w:bookmarkEnd w:id="42"/>
      <w:bookmarkEnd w:id="43"/>
      <w:r w:rsidRPr="005A2D50">
        <w:rPr>
          <w:noProof/>
          <w:lang w:val="en-US"/>
        </w:rPr>
        <w:t>II.3.6.3. Atbrīvošanas brīdis</w:t>
      </w:r>
      <w:bookmarkEnd w:id="44"/>
    </w:p>
    <w:p w14:paraId="6655F368" w14:textId="77777777" w:rsidR="005A2D50" w:rsidRPr="005A2D50" w:rsidRDefault="005A2D50" w:rsidP="005A2D50">
      <w:pPr>
        <w:pStyle w:val="BodyText"/>
        <w:rPr>
          <w:lang w:val="en-US"/>
        </w:rPr>
      </w:pPr>
    </w:p>
    <w:p w14:paraId="0A67C6BC" w14:textId="77777777" w:rsidR="005A2D50" w:rsidRPr="005A2D50" w:rsidRDefault="005A2D50" w:rsidP="005A2D50">
      <w:pPr>
        <w:pStyle w:val="BodyText"/>
        <w:rPr>
          <w:lang w:val="en-US"/>
        </w:rPr>
      </w:pPr>
      <w:r w:rsidRPr="005A2D50">
        <w:rPr>
          <w:lang w:val="en-US"/>
        </w:rPr>
        <w:t>Lai atbrīvotu galvojumu, muitas dienestam ir jānovērtē SMK 98. panta 1. punktā minētie nosacījumi, proti, ir jāpārbauda, vai muitas parāds ir dzēsts vai vairs nevar rasties.</w:t>
      </w:r>
    </w:p>
    <w:p w14:paraId="4A3FC7A1" w14:textId="77777777" w:rsidR="005A2D50" w:rsidRPr="005A2D50" w:rsidRDefault="005A2D50" w:rsidP="005A2D50">
      <w:pPr>
        <w:pStyle w:val="BodyText"/>
        <w:rPr>
          <w:lang w:val="en-US"/>
        </w:rPr>
      </w:pPr>
      <w:r w:rsidRPr="005A2D50">
        <w:rPr>
          <w:lang w:val="en-US"/>
        </w:rPr>
        <w:t>Šajā novērtējumā izvērtē arī risku atklāt muitas parādu nākotnē pēc tam, kad ir veikta kontrole pēc preču izlaišanas darījumos, uz kuriem attiecas šis galvojums; to izvērtē, ņemot vērā visus elementus/informāciju, kas ir pieejama brīdī, kad ir jāpieņem lēmums par galvojuma atbrīvošanu.</w:t>
      </w:r>
    </w:p>
    <w:p w14:paraId="0BDA4136" w14:textId="77777777" w:rsidR="005A2D50" w:rsidRPr="005A2D50" w:rsidRDefault="005A2D50" w:rsidP="005A2D50">
      <w:pPr>
        <w:pStyle w:val="BodyText"/>
        <w:rPr>
          <w:lang w:val="en-US"/>
        </w:rPr>
      </w:pPr>
      <w:r w:rsidRPr="005A2D50">
        <w:rPr>
          <w:lang w:val="en-US"/>
        </w:rPr>
        <w:t>Tiesību aktos nav norādīts termiņš, kurā jāveic SMK 98. panta 1. punktā paredzētais novērtējums galvojuma atbrīvošanai.</w:t>
      </w:r>
    </w:p>
    <w:p w14:paraId="4F04604D" w14:textId="77777777" w:rsidR="005A2D50" w:rsidRPr="005A2D50" w:rsidRDefault="005A2D50" w:rsidP="005A2D50">
      <w:pPr>
        <w:pStyle w:val="BodyText"/>
        <w:rPr>
          <w:lang w:val="en-US"/>
        </w:rPr>
      </w:pPr>
      <w:r w:rsidRPr="005A2D50">
        <w:rPr>
          <w:lang w:val="en-US"/>
        </w:rPr>
        <w:t>Katra dalībvalsts var atsevišķi noteikt laiku, kas tām ir pietiekams šā novērtējuma pareizai veikšanai.</w:t>
      </w:r>
    </w:p>
    <w:p w14:paraId="75EF3FD6" w14:textId="77777777" w:rsidR="005A2D50" w:rsidRPr="005A2D50" w:rsidRDefault="005A2D50" w:rsidP="005A2D50">
      <w:pPr>
        <w:pStyle w:val="BodyText"/>
        <w:rPr>
          <w:lang w:val="en-US"/>
        </w:rPr>
      </w:pPr>
      <w:r w:rsidRPr="005A2D50">
        <w:rPr>
          <w:lang w:val="en-US"/>
        </w:rPr>
        <w:t>Ja šā novērtējuma rezultāts ir pozitīvs, muitas dienestam nekavējoties jāatbrīvo galvojums un jāatdod tas personai, kas to sniegusi, vai galviniekam.</w:t>
      </w:r>
    </w:p>
    <w:p w14:paraId="7670FB16" w14:textId="77777777" w:rsidR="005A2D50" w:rsidRPr="005A2D50" w:rsidRDefault="005A2D50" w:rsidP="005A2D50">
      <w:pPr>
        <w:pStyle w:val="BodyText"/>
        <w:rPr>
          <w:lang w:val="en-US"/>
        </w:rPr>
      </w:pPr>
      <w:r w:rsidRPr="005A2D50">
        <w:rPr>
          <w:lang w:val="en-US"/>
        </w:rPr>
        <w:t>Tiklīdz saistību atcelšana (galvinieks) vai atsaukšana (muitas dienests) rada sekas, muitas dienesti var novērtēt SMK 98. panta 1. punktā minētos nosacījumus.</w:t>
      </w:r>
    </w:p>
    <w:p w14:paraId="675D6F0E" w14:textId="77777777" w:rsidR="005A2D50" w:rsidRPr="005A2D50" w:rsidRDefault="005A2D50" w:rsidP="005A2D50">
      <w:pPr>
        <w:pStyle w:val="BodyText"/>
        <w:rPr>
          <w:lang w:val="en-US"/>
        </w:rPr>
      </w:pPr>
      <w:r w:rsidRPr="005A2D50">
        <w:rPr>
          <w:lang w:val="en-US"/>
        </w:rPr>
        <w:t>Attiecībā uz Savienības tranzītu ir piemērojamas īpašas tiesību normas, piemēram, SMK DA 85. pants.</w:t>
      </w:r>
    </w:p>
    <w:p w14:paraId="067A53DE" w14:textId="77777777" w:rsidR="005A2D50" w:rsidRPr="005A2D50" w:rsidRDefault="005A2D50" w:rsidP="005A2D50">
      <w:pPr>
        <w:pStyle w:val="BodyText"/>
        <w:rPr>
          <w:lang w:val="en-US"/>
        </w:rPr>
      </w:pPr>
      <w:r w:rsidRPr="005A2D50">
        <w:rPr>
          <w:lang w:val="en-US"/>
        </w:rPr>
        <w:t>Attiecībā uz ievešanas pārstrādei procedūru vai attiecībā uz ievešanu galapatēriņam ir noteikts pienākums uzrādīt izpildes dokumentu (SMK DA 175. panta 1. punkts). Ja nepieciešams, izpildes dokumentu uzrāda pēc procedūras noslēgšanas saskaņā ar SMK 215. pantu. Šādos gadījumos galvojumu var atbrīvot tikai pēc tam, kad muitas dienesti ir pārbaudījuši izpildes dokumentu saskaņā ar SMK ĪA 265. pantu.</w:t>
      </w:r>
    </w:p>
    <w:p w14:paraId="1DF00EB8" w14:textId="77777777" w:rsidR="005A2D50" w:rsidRPr="005A2D50" w:rsidRDefault="005A2D50" w:rsidP="005A2D50">
      <w:pPr>
        <w:pStyle w:val="BodyText"/>
        <w:rPr>
          <w:lang w:val="en-US"/>
        </w:rPr>
      </w:pPr>
      <w:r w:rsidRPr="005A2D50">
        <w:rPr>
          <w:lang w:val="en-US"/>
        </w:rPr>
        <w:t>Attiecībā uz vienu muitas operāciju/deklarāciju sniedz vienreizējo galvojumu, un tas ir obligāti jāatdod/jāatbrīvo, tiklīdz operācija ir pienācīgi pabeigta / muitas parāds ir dzēsts vai vairs nevar rasties. Citiem vārdiem sakot, ja muitas dienestam ir informācija vai tas lēš, ka kontrolē, ko veic pēc preču izlaišanas, varētu tikt konstatēts muitas parāds attiecībā uz konkrētām precēm / konkrētām muitas operācijām / deklarācijām, tad tas var paturēt arī vienreizējo galvojumu līdz situācijas noskaidrošanai.</w:t>
      </w:r>
    </w:p>
    <w:p w14:paraId="1D715C9F" w14:textId="77777777" w:rsidR="005A2D50" w:rsidRPr="005A2D50" w:rsidRDefault="005A2D50" w:rsidP="005A2D50">
      <w:pPr>
        <w:pStyle w:val="BodyText"/>
        <w:rPr>
          <w:lang w:val="en-US"/>
        </w:rPr>
      </w:pPr>
      <w:r w:rsidRPr="005A2D50">
        <w:rPr>
          <w:lang w:val="en-US"/>
        </w:rPr>
        <w:t xml:space="preserve">Galvojuma summas daļas atbrīvošanu drīkst pieprasīt </w:t>
      </w:r>
      <w:r w:rsidRPr="005A2D50">
        <w:rPr>
          <w:i/>
          <w:iCs/>
          <w:lang w:val="en-US"/>
        </w:rPr>
        <w:t xml:space="preserve">CGU </w:t>
      </w:r>
      <w:r w:rsidRPr="005A2D50">
        <w:rPr>
          <w:lang w:val="en-US"/>
        </w:rPr>
        <w:t>atļaujas turētājs / persona, kas ir sniegusi garantiju, un to var atbrīvot, kad attiecīgā summa neattaisno šādu rīcību (SMK 98. panta 2. punkts).</w:t>
      </w:r>
    </w:p>
    <w:p w14:paraId="20FB06F2" w14:textId="77777777" w:rsidR="005A2D50" w:rsidRPr="005A2D50" w:rsidRDefault="005A2D50" w:rsidP="005A2D50">
      <w:pPr>
        <w:jc w:val="both"/>
        <w:rPr>
          <w:lang w:val="en-US"/>
        </w:rPr>
      </w:pPr>
    </w:p>
    <w:p w14:paraId="59463AD1" w14:textId="77777777" w:rsidR="005A2D50" w:rsidRPr="005A2D50" w:rsidRDefault="005A2D50" w:rsidP="005A2D50">
      <w:pPr>
        <w:pStyle w:val="Heading1"/>
        <w:rPr>
          <w:noProof/>
          <w:lang w:val="en-US"/>
        </w:rPr>
      </w:pPr>
      <w:bookmarkStart w:id="45" w:name="III._Forms_of_guarantee"/>
      <w:bookmarkStart w:id="46" w:name="_bookmark14"/>
      <w:bookmarkStart w:id="47" w:name="_Toc104982772"/>
      <w:bookmarkEnd w:id="45"/>
      <w:bookmarkEnd w:id="46"/>
      <w:r w:rsidRPr="005A2D50">
        <w:rPr>
          <w:noProof/>
          <w:lang w:val="en-US"/>
        </w:rPr>
        <w:t>III. GALVOJUMA VEIDI</w:t>
      </w:r>
      <w:bookmarkEnd w:id="47"/>
    </w:p>
    <w:p w14:paraId="764B5A03"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43C9091F" w14:textId="77777777" w:rsidR="005A2D50" w:rsidRPr="005A2D50" w:rsidRDefault="005A2D50" w:rsidP="005A2D50">
      <w:pPr>
        <w:pStyle w:val="BodyText"/>
        <w:rPr>
          <w:lang w:val="en-US"/>
        </w:rPr>
      </w:pPr>
      <w:r w:rsidRPr="005A2D50">
        <w:rPr>
          <w:lang w:val="en-US"/>
        </w:rPr>
        <w:t>Persona, kurai jāsniedz galvojums, var izvēlēties kādu no galvojuma veidiem, kas minēti SMK 92. panta 1. punktā:</w:t>
      </w:r>
    </w:p>
    <w:p w14:paraId="126FB09F" w14:textId="77777777" w:rsidR="005A2D50" w:rsidRPr="005A2D50" w:rsidRDefault="005A2D50" w:rsidP="005A2D50">
      <w:pPr>
        <w:pStyle w:val="BodyText"/>
        <w:rPr>
          <w:lang w:val="en-US"/>
        </w:rPr>
      </w:pPr>
    </w:p>
    <w:p w14:paraId="61D78CBD" w14:textId="77777777" w:rsidR="005A2D50" w:rsidRPr="005A2D50" w:rsidRDefault="005A2D50" w:rsidP="005A2D50">
      <w:pPr>
        <w:pStyle w:val="BodyText"/>
        <w:numPr>
          <w:ilvl w:val="0"/>
          <w:numId w:val="54"/>
        </w:numPr>
        <w:tabs>
          <w:tab w:val="left" w:pos="851"/>
        </w:tabs>
        <w:ind w:left="284" w:firstLine="0"/>
        <w:rPr>
          <w:lang w:val="en-US"/>
        </w:rPr>
      </w:pPr>
      <w:r w:rsidRPr="005A2D50">
        <w:rPr>
          <w:lang w:val="en-US"/>
        </w:rPr>
        <w:t xml:space="preserve">ar skaidras naudas iemaksu </w:t>
      </w:r>
      <w:r w:rsidRPr="005A2D50">
        <w:rPr>
          <w:i/>
          <w:iCs/>
          <w:lang w:val="en-US"/>
        </w:rPr>
        <w:t xml:space="preserve">euro </w:t>
      </w:r>
      <w:r w:rsidRPr="005A2D50">
        <w:rPr>
          <w:lang w:val="en-US"/>
        </w:rPr>
        <w:t>vai dalībvalsts valūtā;</w:t>
      </w:r>
    </w:p>
    <w:p w14:paraId="253F2BB8" w14:textId="77777777" w:rsidR="005A2D50" w:rsidRPr="005A2D50" w:rsidRDefault="005A2D50" w:rsidP="005A2D50">
      <w:pPr>
        <w:pStyle w:val="BodyText"/>
        <w:numPr>
          <w:ilvl w:val="0"/>
          <w:numId w:val="54"/>
        </w:numPr>
        <w:tabs>
          <w:tab w:val="left" w:pos="851"/>
        </w:tabs>
        <w:ind w:left="284" w:firstLine="0"/>
        <w:rPr>
          <w:lang w:val="en-US"/>
        </w:rPr>
      </w:pPr>
      <w:r w:rsidRPr="005A2D50">
        <w:rPr>
          <w:lang w:val="en-US"/>
        </w:rPr>
        <w:t>ar galvinieka saistībām;</w:t>
      </w:r>
    </w:p>
    <w:p w14:paraId="037CEB65" w14:textId="77777777" w:rsidR="005A2D50" w:rsidRPr="005A2D50" w:rsidRDefault="005A2D50" w:rsidP="005A2D50">
      <w:pPr>
        <w:pStyle w:val="BodyText"/>
        <w:numPr>
          <w:ilvl w:val="0"/>
          <w:numId w:val="54"/>
        </w:numPr>
        <w:tabs>
          <w:tab w:val="left" w:pos="851"/>
        </w:tabs>
        <w:ind w:left="284" w:firstLine="0"/>
        <w:rPr>
          <w:lang w:val="en-US"/>
        </w:rPr>
      </w:pPr>
      <w:r w:rsidRPr="005A2D50">
        <w:rPr>
          <w:lang w:val="en-US"/>
        </w:rPr>
        <w:t>ar citu galvojuma veidu.</w:t>
      </w:r>
    </w:p>
    <w:p w14:paraId="6A5F21FC" w14:textId="77777777" w:rsidR="005A2D50" w:rsidRPr="005A2D50" w:rsidRDefault="005A2D50" w:rsidP="005A2D50">
      <w:pPr>
        <w:pStyle w:val="BodyText"/>
        <w:rPr>
          <w:lang w:val="en-US"/>
        </w:rPr>
      </w:pPr>
    </w:p>
    <w:p w14:paraId="5EA7A566" w14:textId="77777777" w:rsidR="005A2D50" w:rsidRPr="005A2D50" w:rsidRDefault="005A2D50" w:rsidP="005A2D50">
      <w:pPr>
        <w:pStyle w:val="BodyText"/>
        <w:rPr>
          <w:lang w:val="en-US"/>
        </w:rPr>
      </w:pPr>
      <w:r w:rsidRPr="005A2D50">
        <w:rPr>
          <w:lang w:val="en-US"/>
        </w:rPr>
        <w:t>Tomēr SMK 93. pantā ir noteikts, ka “muitas dienesti var atteikties pieņemt izvēlētā veida galvojumu, ja tas nav saderīgs ar attiecīgās muitas procedūras pareizu darbību” vai “ja tas, šķiet, nevar nodrošināt ievedmuitas vai izvedmuitas nodokļa summas samaksu noteiktajā termiņā”.</w:t>
      </w:r>
    </w:p>
    <w:p w14:paraId="608126A0" w14:textId="77777777" w:rsidR="005A2D50" w:rsidRPr="005A2D50" w:rsidRDefault="005A2D50" w:rsidP="005A2D50">
      <w:pPr>
        <w:pStyle w:val="BodyText"/>
        <w:rPr>
          <w:lang w:val="en-US"/>
        </w:rPr>
      </w:pPr>
      <w:r w:rsidRPr="005A2D50">
        <w:rPr>
          <w:lang w:val="en-US"/>
        </w:rPr>
        <w:t>Ja muitas dienesti pieņem galvojuma veidu, ko izvēlas persona, kurai jāsniedz galvojums, tie var pieprasīt, lai tas konkrētā laikposmā paliktu nemainīgs.</w:t>
      </w:r>
    </w:p>
    <w:p w14:paraId="55B3A988" w14:textId="77777777" w:rsidR="005A2D50" w:rsidRPr="005A2D50" w:rsidRDefault="005A2D50" w:rsidP="005A2D50">
      <w:pPr>
        <w:pStyle w:val="BodyText"/>
        <w:rPr>
          <w:lang w:val="en-US"/>
        </w:rPr>
      </w:pPr>
    </w:p>
    <w:p w14:paraId="687BA557" w14:textId="77777777" w:rsidR="005A2D50" w:rsidRPr="005A2D50" w:rsidRDefault="005A2D50" w:rsidP="005A2D50">
      <w:pPr>
        <w:pStyle w:val="Heading1"/>
        <w:rPr>
          <w:noProof/>
          <w:lang w:val="en-US"/>
        </w:rPr>
      </w:pPr>
      <w:bookmarkStart w:id="48" w:name="III.1._Cash_deposit"/>
      <w:bookmarkStart w:id="49" w:name="_bookmark15"/>
      <w:bookmarkStart w:id="50" w:name="_Toc104982773"/>
      <w:bookmarkEnd w:id="48"/>
      <w:bookmarkEnd w:id="49"/>
      <w:r w:rsidRPr="005A2D50">
        <w:rPr>
          <w:noProof/>
          <w:lang w:val="en-US"/>
        </w:rPr>
        <w:t>III.1. Skaidras naudas iemaksa</w:t>
      </w:r>
      <w:bookmarkEnd w:id="50"/>
    </w:p>
    <w:p w14:paraId="6A82D9C3"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38E901E8" w14:textId="77777777" w:rsidR="005A2D50" w:rsidRPr="005A2D50" w:rsidRDefault="005A2D50" w:rsidP="005A2D50">
      <w:pPr>
        <w:pStyle w:val="BodyText"/>
        <w:rPr>
          <w:lang w:val="en-US"/>
        </w:rPr>
      </w:pPr>
      <w:r w:rsidRPr="005A2D50">
        <w:rPr>
          <w:lang w:val="en-US"/>
        </w:rPr>
        <w:t xml:space="preserve">Saskaņā ar SMK 92. panta 1. punkta a) apakšpunktu galvojumu ar skaidras naudas iemaksu vai ar citiem maksāšanas līdzekļiem, ko muitas dienesti atzīst par līdzvērtīgiem skaidras naudas iemaksai, veic </w:t>
      </w:r>
      <w:r w:rsidRPr="005A2D50">
        <w:rPr>
          <w:i/>
          <w:iCs/>
          <w:lang w:val="en-US"/>
        </w:rPr>
        <w:t xml:space="preserve">euro </w:t>
      </w:r>
      <w:r w:rsidRPr="005A2D50">
        <w:rPr>
          <w:lang w:val="en-US"/>
        </w:rPr>
        <w:t>vai tās dalībvalsts valūtā, kurā galvojumu pieprasa, atbilstoši spēkā esošajām valsts tiesību normām. Šāda veida galvojumu var sniegt, lai segtu esošo un/vai iespējamo muitas parādu un citus maksājumus, ja piemērojami.</w:t>
      </w:r>
    </w:p>
    <w:p w14:paraId="5DFAE29E" w14:textId="77777777" w:rsidR="005A2D50" w:rsidRPr="005A2D50" w:rsidRDefault="005A2D50" w:rsidP="005A2D50">
      <w:pPr>
        <w:pStyle w:val="BodyText"/>
        <w:rPr>
          <w:lang w:val="en-US"/>
        </w:rPr>
      </w:pPr>
      <w:r w:rsidRPr="005A2D50">
        <w:rPr>
          <w:lang w:val="en-US"/>
        </w:rPr>
        <w:t>Saskaņā ar SMK ĪA 150. pantu galvojums, kas nepieciešams īpašajām procedūrām vai pagaidu uzglabāšanai un ko sniedz kā vienreizēju galvojumu skaidras naudas iemaksas veidā, ir jāsniedz tās dalībvalsts muitas dienestiem, kurā precēm piemēro īpašo procedūru vai kur tās atrodas pagaidu uzglabāšanā. Ja šo galvojumu atbrīvo saskaņā ar SMK 98. pantu, tās dalībvalsts muitas dienestam, kurā galvojums ir sniegts, ir pienākums to atmaksāt.</w:t>
      </w:r>
    </w:p>
    <w:p w14:paraId="7CD4B038" w14:textId="77777777" w:rsidR="005A2D50" w:rsidRPr="005A2D50" w:rsidRDefault="005A2D50" w:rsidP="005A2D50">
      <w:pPr>
        <w:pStyle w:val="BodyText"/>
        <w:rPr>
          <w:lang w:val="en-US"/>
        </w:rPr>
      </w:pPr>
      <w:r w:rsidRPr="005A2D50">
        <w:rPr>
          <w:lang w:val="en-US"/>
        </w:rPr>
        <w:t>Par šādu galvojumu muitas dienesti procentus nemaksā.</w:t>
      </w:r>
    </w:p>
    <w:p w14:paraId="067958F8" w14:textId="77777777" w:rsidR="005A2D50" w:rsidRPr="005A2D50" w:rsidRDefault="005A2D50" w:rsidP="005A2D50">
      <w:pPr>
        <w:pStyle w:val="BodyText"/>
        <w:rPr>
          <w:lang w:val="en-US"/>
        </w:rPr>
      </w:pPr>
      <w:bookmarkStart w:id="51" w:name="III.2._Undertaking_by_a_guarantor"/>
      <w:bookmarkStart w:id="52" w:name="_bookmark16"/>
      <w:bookmarkEnd w:id="51"/>
      <w:bookmarkEnd w:id="52"/>
    </w:p>
    <w:p w14:paraId="7856E90C" w14:textId="77777777" w:rsidR="005A2D50" w:rsidRPr="005A2D50" w:rsidRDefault="005A2D50" w:rsidP="005A2D50">
      <w:pPr>
        <w:pStyle w:val="Heading1"/>
        <w:rPr>
          <w:noProof/>
          <w:lang w:val="en-US"/>
        </w:rPr>
      </w:pPr>
      <w:bookmarkStart w:id="53" w:name="_Toc104982774"/>
      <w:r w:rsidRPr="005A2D50">
        <w:rPr>
          <w:noProof/>
          <w:lang w:val="en-US"/>
        </w:rPr>
        <w:t>III.2. Galvinieka saistības</w:t>
      </w:r>
      <w:bookmarkEnd w:id="53"/>
    </w:p>
    <w:p w14:paraId="39377216"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1F20923B" w14:textId="77777777" w:rsidR="005A2D50" w:rsidRPr="005A2D50" w:rsidRDefault="005A2D50" w:rsidP="005A2D50">
      <w:pPr>
        <w:pStyle w:val="Heading2"/>
        <w:rPr>
          <w:noProof/>
          <w:lang w:val="en-US"/>
        </w:rPr>
      </w:pPr>
      <w:bookmarkStart w:id="54" w:name="III.2.1._Models_for_Guarantor’s_undertak"/>
      <w:bookmarkStart w:id="55" w:name="_bookmark17"/>
      <w:bookmarkStart w:id="56" w:name="_Toc104982775"/>
      <w:bookmarkEnd w:id="54"/>
      <w:bookmarkEnd w:id="55"/>
      <w:r w:rsidRPr="005A2D50">
        <w:rPr>
          <w:noProof/>
          <w:lang w:val="en-US"/>
        </w:rPr>
        <w:t>III.2.1. Galvinieka saistību veidlapas</w:t>
      </w:r>
      <w:bookmarkEnd w:id="56"/>
    </w:p>
    <w:p w14:paraId="3F96ABEA"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124DF89E" w14:textId="77777777" w:rsidR="005A2D50" w:rsidRPr="005A2D50" w:rsidRDefault="005A2D50" w:rsidP="005A2D50">
      <w:pPr>
        <w:pStyle w:val="BodyText"/>
        <w:rPr>
          <w:lang w:val="en-US"/>
        </w:rPr>
      </w:pPr>
      <w:r w:rsidRPr="005A2D50">
        <w:rPr>
          <w:lang w:val="en-US"/>
        </w:rPr>
        <w:t xml:space="preserve">Par galvinieka saistību apstiprināšanu atbild </w:t>
      </w:r>
      <w:r w:rsidRPr="005A2D50">
        <w:rPr>
          <w:i/>
          <w:iCs/>
          <w:lang w:val="en-US"/>
        </w:rPr>
        <w:t xml:space="preserve">COG </w:t>
      </w:r>
      <w:r w:rsidRPr="005A2D50">
        <w:rPr>
          <w:lang w:val="en-US"/>
        </w:rPr>
        <w:t xml:space="preserve">(vieta, kur galvojumu sniedz). </w:t>
      </w:r>
      <w:r w:rsidRPr="005A2D50">
        <w:rPr>
          <w:i/>
          <w:iCs/>
          <w:lang w:val="en-US"/>
        </w:rPr>
        <w:t xml:space="preserve">COG </w:t>
      </w:r>
      <w:r w:rsidRPr="005A2D50">
        <w:rPr>
          <w:lang w:val="en-US"/>
        </w:rPr>
        <w:t>paziņo par apstiprinājumu personai, kas sniedz galvojumu, kā minēts SMK 89. panta 3. punktā. Negatīvs lēmums (atteikums pieņemt saistības) var attiekties uz jebkurām saistībām neatkarīgi no galvinieka (kredītiestāde, finanšu iestāde vai apdrošināšanas sabiedrība, kas ir akreditēta Savienībā saskaņā ar spēkā esošiem Savienības noteikumiem, vai jebkurš cits galvinieks, kam vajadzīgs muitas dienesta apstiprinājums).</w:t>
      </w:r>
    </w:p>
    <w:p w14:paraId="5447793F" w14:textId="77777777" w:rsidR="005A2D50" w:rsidRPr="005A2D50" w:rsidRDefault="005A2D50" w:rsidP="005A2D50">
      <w:pPr>
        <w:pStyle w:val="BodyText"/>
        <w:rPr>
          <w:lang w:val="en-US"/>
        </w:rPr>
      </w:pPr>
      <w:r w:rsidRPr="005A2D50">
        <w:rPr>
          <w:lang w:val="en-US"/>
        </w:rPr>
        <w:t xml:space="preserve">Lai pieņemtu saistības, </w:t>
      </w:r>
      <w:r w:rsidRPr="005A2D50">
        <w:rPr>
          <w:i/>
          <w:iCs/>
          <w:lang w:val="en-US"/>
        </w:rPr>
        <w:t xml:space="preserve">COG </w:t>
      </w:r>
      <w:r w:rsidRPr="005A2D50">
        <w:rPr>
          <w:lang w:val="en-US"/>
        </w:rPr>
        <w:t>jābūt iespējai pārbaudīt, vai visas galvinieku saistību daļas ir aizpildītas pareizi, tostarp galvinieka parakstus. Šajā nolūkā galviniekam jāiesniedz muitas dienestam saraksts ar kompetento personu parakstu paraugiem, ja to nevar pārbaudīt citā veidā.</w:t>
      </w:r>
    </w:p>
    <w:p w14:paraId="55035A66" w14:textId="77777777" w:rsidR="005A2D50" w:rsidRPr="005A2D50" w:rsidRDefault="005A2D50" w:rsidP="005A2D50">
      <w:pPr>
        <w:pStyle w:val="BodyText"/>
        <w:rPr>
          <w:lang w:val="en-US"/>
        </w:rPr>
      </w:pPr>
      <w:r w:rsidRPr="005A2D50">
        <w:rPr>
          <w:lang w:val="en-US"/>
        </w:rPr>
        <w:t>SMK ĪA 32-01., 32-02. un 32-03. pielikumā ir iekļauti paraugi galvinieka saistību veidlapām, kas paredzētas, ja sniedz attiecīgi vienreizējo galvojumu, vienreizējo galvojumu ar kvītīm un vispārējo galvojumu.</w:t>
      </w:r>
    </w:p>
    <w:p w14:paraId="7CAFE633" w14:textId="77777777" w:rsidR="005A2D50" w:rsidRPr="005A2D50" w:rsidRDefault="005A2D50" w:rsidP="005A2D50">
      <w:pPr>
        <w:pStyle w:val="BodyText"/>
        <w:rPr>
          <w:lang w:val="en-US"/>
        </w:rPr>
      </w:pPr>
      <w:r w:rsidRPr="005A2D50">
        <w:rPr>
          <w:lang w:val="en-US"/>
        </w:rPr>
        <w:t>Tomēr saskaņā ar SMK ĪA 151. panta 7. punktu “katra dalībvalsts var saskaņā ar valsts tiesību aktiem atļaut, ka galvinieks sniedz saistības veidā, kas atšķiras no 32-01., 32-02. un 32-03. pielikumā norādītajiem veidiem, ja tām ir tāds pats juridiskais spēks”.</w:t>
      </w:r>
    </w:p>
    <w:p w14:paraId="031F28FE" w14:textId="77777777" w:rsidR="005A2D50" w:rsidRPr="005A2D50" w:rsidRDefault="005A2D50" w:rsidP="005A2D50">
      <w:pPr>
        <w:pStyle w:val="BodyText"/>
        <w:rPr>
          <w:lang w:val="en-US"/>
        </w:rPr>
      </w:pPr>
      <w:r w:rsidRPr="005A2D50">
        <w:rPr>
          <w:lang w:val="en-US"/>
        </w:rPr>
        <w:t>“Juridiskais spēks” galvenokārt attiecas uz saistību juridiskajiem noteikumiem saistībā ar galvinieka atbildību attiecībā uz muitas parāda un, ja atbilstīgi, citu maksājumu samaksu noteiktajā termiņā, kā arī uz kopējām datu prasībām saskaņā ar SMK DA 32-01., 32-02. un 32-03. pielikumu.</w:t>
      </w:r>
    </w:p>
    <w:p w14:paraId="5D74527E" w14:textId="77777777" w:rsidR="005A2D50" w:rsidRPr="005A2D50" w:rsidRDefault="005A2D50" w:rsidP="005A2D50">
      <w:pPr>
        <w:pStyle w:val="BodyText"/>
        <w:rPr>
          <w:lang w:val="en-US"/>
        </w:rPr>
      </w:pPr>
      <w:r w:rsidRPr="005A2D50">
        <w:rPr>
          <w:lang w:val="en-US"/>
        </w:rPr>
        <w:t>Savienības tranzīta procedūras ietvaros galvinieks var sniegt vienreizējo galvojumu saistību veidā, izdodot kvītis saskaņā ar SMK ĪA 160. pantu.</w:t>
      </w:r>
    </w:p>
    <w:p w14:paraId="528D8AC9" w14:textId="77777777" w:rsidR="005A2D50" w:rsidRPr="005A2D50" w:rsidRDefault="005A2D50" w:rsidP="005A2D50">
      <w:pPr>
        <w:pStyle w:val="BodyText"/>
        <w:rPr>
          <w:lang w:val="en-US"/>
        </w:rPr>
      </w:pPr>
      <w:r w:rsidRPr="005A2D50">
        <w:rPr>
          <w:lang w:val="en-US"/>
        </w:rPr>
        <w:t xml:space="preserve">Minēto saistību apliecinājumu sagatavo, izmantojot 32-02. pielikumā norādīto veidlapu, un kvītis sagatavo, izmantojot 32-06. pielikumā norādīto veidlapu. Katra kvīts sedz summu 10 000 EUR apmērā, par kuru finansiāli atbildīgs ir galvinieks. Persona, kurai ir prasīts sniegt galvojumu, iesniedz </w:t>
      </w:r>
      <w:r w:rsidRPr="005A2D50">
        <w:rPr>
          <w:i/>
          <w:iCs/>
          <w:lang w:val="en-US"/>
        </w:rPr>
        <w:t xml:space="preserve">COG </w:t>
      </w:r>
      <w:r w:rsidRPr="005A2D50">
        <w:rPr>
          <w:lang w:val="en-US"/>
        </w:rPr>
        <w:t>/ pie nosūtīšanas vairākas kvītis. Tās atbilst vairāku 10 000 EUR kopsummai, kas nepieciešama, lai segtu SMK ĪA 148. pantā minēto summu kopsummu.</w:t>
      </w:r>
    </w:p>
    <w:p w14:paraId="1B1217CA" w14:textId="77777777" w:rsidR="005A2D50" w:rsidRPr="005A2D50" w:rsidRDefault="005A2D50" w:rsidP="005A2D50">
      <w:pPr>
        <w:pStyle w:val="BodyText"/>
        <w:rPr>
          <w:lang w:val="en-US"/>
        </w:rPr>
      </w:pPr>
      <w:r w:rsidRPr="005A2D50">
        <w:rPr>
          <w:lang w:val="en-US"/>
        </w:rPr>
        <w:t>SMK un ar to saistītie tiesību akti neparedz vispārējā galvojuma derīguma termiņa beigu datumu, ja galvojums sniegts saistību veidā (SMK ĪA 32-03. pielikums).</w:t>
      </w:r>
    </w:p>
    <w:p w14:paraId="202760E6" w14:textId="77777777" w:rsidR="005A2D50" w:rsidRPr="005A2D50" w:rsidRDefault="005A2D50" w:rsidP="005A2D50">
      <w:pPr>
        <w:pStyle w:val="BodyText"/>
        <w:rPr>
          <w:lang w:val="en-US"/>
        </w:rPr>
      </w:pPr>
      <w:r w:rsidRPr="005A2D50">
        <w:rPr>
          <w:lang w:val="en-US"/>
        </w:rPr>
        <w:t>Galvojumu, kas sniegts kā galvinieka saistības, var:</w:t>
      </w:r>
    </w:p>
    <w:p w14:paraId="21BD1A18" w14:textId="77777777" w:rsidR="005A2D50" w:rsidRPr="005A2D50" w:rsidRDefault="005A2D50" w:rsidP="005A2D50">
      <w:pPr>
        <w:pStyle w:val="BodyText"/>
        <w:rPr>
          <w:lang w:val="en-US"/>
        </w:rPr>
      </w:pPr>
    </w:p>
    <w:p w14:paraId="6E9EC995" w14:textId="77777777" w:rsidR="005A2D50" w:rsidRPr="005A2D50" w:rsidRDefault="005A2D50" w:rsidP="005A2D50">
      <w:pPr>
        <w:pStyle w:val="BodyText"/>
        <w:numPr>
          <w:ilvl w:val="0"/>
          <w:numId w:val="53"/>
        </w:numPr>
        <w:tabs>
          <w:tab w:val="left" w:pos="851"/>
        </w:tabs>
        <w:ind w:left="284" w:firstLine="0"/>
        <w:rPr>
          <w:lang w:val="en-US"/>
        </w:rPr>
      </w:pPr>
      <w:r w:rsidRPr="005A2D50">
        <w:rPr>
          <w:lang w:val="en-US"/>
        </w:rPr>
        <w:t>aizstāt ar jaunu galvojumu vai grozīt saskaņā ar SMK 97. pantu, ja tas nenodrošina vai ja vairs nav pārliecības, ka tas nodrošinās, vai ja tas nav pietiekams, lai nodrošinātu muitas parāda un citu maksājumu, ja piemērojami, samaksu noteiktajā termiņā atbilstoši tās personas izvēlei, kura sniegusi minēto galvojumu. Ja muitas dienesti to pieņem, saistības var aizstāt arī pēc tās personas pieprasījuma, kura sniegusi galvojumu;</w:t>
      </w:r>
    </w:p>
    <w:p w14:paraId="5CA8422D" w14:textId="77777777" w:rsidR="005A2D50" w:rsidRPr="005A2D50" w:rsidRDefault="005A2D50" w:rsidP="005A2D50">
      <w:pPr>
        <w:pStyle w:val="BodyText"/>
        <w:numPr>
          <w:ilvl w:val="0"/>
          <w:numId w:val="53"/>
        </w:numPr>
        <w:tabs>
          <w:tab w:val="left" w:pos="851"/>
        </w:tabs>
        <w:ind w:left="284" w:firstLine="0"/>
        <w:rPr>
          <w:lang w:val="en-US"/>
        </w:rPr>
      </w:pPr>
      <w:r w:rsidRPr="005A2D50">
        <w:rPr>
          <w:lang w:val="en-US"/>
        </w:rPr>
        <w:t>atbrīvot muitas dienesti, ja tas vairs nav nepieciešams, saskaņā ar SMK 98. pantu;</w:t>
      </w:r>
    </w:p>
    <w:p w14:paraId="3DFFABAA" w14:textId="77777777" w:rsidR="005A2D50" w:rsidRPr="005A2D50" w:rsidRDefault="005A2D50" w:rsidP="005A2D50">
      <w:pPr>
        <w:pStyle w:val="BodyText"/>
        <w:numPr>
          <w:ilvl w:val="0"/>
          <w:numId w:val="53"/>
        </w:numPr>
        <w:tabs>
          <w:tab w:val="left" w:pos="851"/>
        </w:tabs>
        <w:ind w:left="284" w:firstLine="0"/>
        <w:rPr>
          <w:lang w:val="en-US"/>
        </w:rPr>
      </w:pPr>
      <w:r w:rsidRPr="005A2D50">
        <w:rPr>
          <w:lang w:val="en-US"/>
        </w:rPr>
        <w:t>atsaukt muitas dienesti saskaņā ar SMK ĪA 151. pantu vai</w:t>
      </w:r>
    </w:p>
    <w:p w14:paraId="14696124" w14:textId="77777777" w:rsidR="005A2D50" w:rsidRPr="005A2D50" w:rsidRDefault="005A2D50" w:rsidP="005A2D50">
      <w:pPr>
        <w:pStyle w:val="BodyText"/>
        <w:numPr>
          <w:ilvl w:val="0"/>
          <w:numId w:val="53"/>
        </w:numPr>
        <w:tabs>
          <w:tab w:val="left" w:pos="851"/>
        </w:tabs>
        <w:ind w:left="284" w:firstLine="0"/>
        <w:rPr>
          <w:lang w:val="en-US"/>
        </w:rPr>
      </w:pPr>
      <w:r w:rsidRPr="005A2D50">
        <w:rPr>
          <w:lang w:val="en-US"/>
        </w:rPr>
        <w:t>atcelt galvinieks saskaņā ar SMK ĪA 151. pantu.</w:t>
      </w:r>
    </w:p>
    <w:p w14:paraId="29C06763" w14:textId="77777777" w:rsidR="005A2D50" w:rsidRPr="005A2D50" w:rsidRDefault="005A2D50" w:rsidP="005A2D50">
      <w:pPr>
        <w:pStyle w:val="BodyText"/>
        <w:rPr>
          <w:lang w:val="en-US"/>
        </w:rPr>
      </w:pPr>
    </w:p>
    <w:p w14:paraId="554B1B7A" w14:textId="77777777" w:rsidR="005A2D50" w:rsidRPr="005A2D50" w:rsidRDefault="005A2D50" w:rsidP="005A2D50">
      <w:pPr>
        <w:pStyle w:val="BodyText"/>
        <w:rPr>
          <w:lang w:val="en-US"/>
        </w:rPr>
      </w:pPr>
      <w:r w:rsidRPr="005A2D50">
        <w:rPr>
          <w:lang w:val="en-US"/>
        </w:rPr>
        <w:t>Muitas dienesti var jebkurā laikā atsaukt galvinieka saistību apstiprinājumu. Pēc tam dienesti paziņo par atsaukšanu galviniekam un personai, kurai prasīts sniegt galvojumu. Apstiprinājuma atsaukšana stājas spēkā sešpadsmitajā dienā pēc dienas, kad galvinieks ir saņēmis vai ir uzskatāms, ka galvinieks ir saņēmis, lēmumu par atsaukšanu.</w:t>
      </w:r>
    </w:p>
    <w:p w14:paraId="3D6A0158" w14:textId="77777777" w:rsidR="005A2D50" w:rsidRPr="005A2D50" w:rsidRDefault="005A2D50" w:rsidP="005A2D50">
      <w:pPr>
        <w:pStyle w:val="BodyText"/>
        <w:rPr>
          <w:lang w:val="en-US"/>
        </w:rPr>
      </w:pPr>
      <w:r w:rsidRPr="005A2D50">
        <w:rPr>
          <w:lang w:val="en-US"/>
        </w:rPr>
        <w:t xml:space="preserve">Galvinieks jebkurā laikā var atcelt savas saistības. Galvinieks par atcelšanu paziņo </w:t>
      </w:r>
      <w:r w:rsidRPr="005A2D50">
        <w:rPr>
          <w:i/>
          <w:iCs/>
          <w:lang w:val="en-US"/>
        </w:rPr>
        <w:t>COG</w:t>
      </w:r>
      <w:r w:rsidRPr="005A2D50">
        <w:rPr>
          <w:lang w:val="en-US"/>
        </w:rPr>
        <w:t>. Galvinieka saistību atcelšana neietekmē preces, kurām, izmantojot atceltās saistības, atcelšanas spēkā stāšanās laikā jau ir piemērota muitas procedūra un joprojām tiek piemērota vai kuras ir pagaidu uzglabāšanā.</w:t>
      </w:r>
    </w:p>
    <w:p w14:paraId="26C267A2" w14:textId="77777777" w:rsidR="005A2D50" w:rsidRPr="005A2D50" w:rsidRDefault="005A2D50" w:rsidP="005A2D50">
      <w:pPr>
        <w:pStyle w:val="BodyText"/>
        <w:rPr>
          <w:lang w:val="en-US"/>
        </w:rPr>
      </w:pPr>
      <w:r w:rsidRPr="005A2D50">
        <w:rPr>
          <w:lang w:val="en-US"/>
        </w:rPr>
        <w:t xml:space="preserve">Galvinieka saistību atcelšana stājas spēkā sešpadsmitajā dienā pēc dienas, kad galvinieks par atcelšanu paziņo </w:t>
      </w:r>
      <w:r w:rsidRPr="005A2D50">
        <w:rPr>
          <w:i/>
          <w:iCs/>
          <w:lang w:val="en-US"/>
        </w:rPr>
        <w:t>COG.</w:t>
      </w:r>
    </w:p>
    <w:p w14:paraId="0B0E8374" w14:textId="77777777" w:rsidR="005A2D50" w:rsidRPr="005A2D50" w:rsidRDefault="005A2D50" w:rsidP="005A2D50">
      <w:pPr>
        <w:pStyle w:val="BodyText"/>
        <w:rPr>
          <w:lang w:val="en-US"/>
        </w:rPr>
      </w:pPr>
      <w:r w:rsidRPr="005A2D50">
        <w:rPr>
          <w:lang w:val="en-US"/>
        </w:rPr>
        <w:t>Galvinieka finansiālā atbildība paliek spēkā attiecībā uz muitas parādiem un citiem maksājumiem, kas radušies muitas operācijās, uz kurām attiecas saistības un kuras sāktas pirms to atsaukšanas vai atcelšanas.</w:t>
      </w:r>
    </w:p>
    <w:p w14:paraId="46D5A533" w14:textId="77777777" w:rsidR="005A2D50" w:rsidRPr="005A2D50" w:rsidRDefault="005A2D50" w:rsidP="005A2D50">
      <w:pPr>
        <w:pStyle w:val="BodyText"/>
        <w:rPr>
          <w:lang w:val="en-US"/>
        </w:rPr>
      </w:pPr>
      <w:r w:rsidRPr="005A2D50">
        <w:rPr>
          <w:i/>
          <w:iCs/>
          <w:lang w:val="en-US"/>
        </w:rPr>
        <w:t xml:space="preserve">COG </w:t>
      </w:r>
      <w:r w:rsidRPr="005A2D50">
        <w:rPr>
          <w:lang w:val="en-US"/>
        </w:rPr>
        <w:t xml:space="preserve">par jebkuru lēmumu, kas skar saistību atsaukšanu vai atcelšanu, un dienu, kad lēmums stājas spēkā, ir jāinformē otra tās dalībvalsts </w:t>
      </w:r>
      <w:r w:rsidRPr="005A2D50">
        <w:rPr>
          <w:i/>
          <w:iCs/>
          <w:lang w:val="en-US"/>
        </w:rPr>
        <w:t>COG</w:t>
      </w:r>
      <w:r w:rsidRPr="005A2D50">
        <w:rPr>
          <w:lang w:val="en-US"/>
        </w:rPr>
        <w:t>, kurā galvojums ir spēkā.</w:t>
      </w:r>
    </w:p>
    <w:p w14:paraId="0D2F67E1" w14:textId="77777777" w:rsidR="005A2D50" w:rsidRPr="005A2D50" w:rsidRDefault="005A2D50" w:rsidP="005A2D50">
      <w:pPr>
        <w:pStyle w:val="BodyText"/>
        <w:rPr>
          <w:lang w:val="en-US"/>
        </w:rPr>
      </w:pPr>
    </w:p>
    <w:p w14:paraId="6EB0C7C0" w14:textId="77777777" w:rsidR="005A2D50" w:rsidRPr="005A2D50" w:rsidRDefault="005A2D50" w:rsidP="005A2D50">
      <w:pPr>
        <w:pStyle w:val="Heading2"/>
        <w:rPr>
          <w:noProof/>
          <w:lang w:val="en-US"/>
        </w:rPr>
      </w:pPr>
      <w:bookmarkStart w:id="57" w:name="III.2.2._The_guarantor_(Article_94_UCC)"/>
      <w:bookmarkStart w:id="58" w:name="_bookmark18"/>
      <w:bookmarkStart w:id="59" w:name="_Toc104982776"/>
      <w:bookmarkEnd w:id="57"/>
      <w:bookmarkEnd w:id="58"/>
      <w:r w:rsidRPr="005A2D50">
        <w:rPr>
          <w:noProof/>
          <w:lang w:val="en-US"/>
        </w:rPr>
        <w:t>III.2.2. Galvinieks (SMK 94. pants)</w:t>
      </w:r>
      <w:bookmarkEnd w:id="59"/>
    </w:p>
    <w:p w14:paraId="0EEC069E"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0FC6843D" w14:textId="77777777" w:rsidR="005A2D50" w:rsidRPr="005A2D50" w:rsidRDefault="005A2D50" w:rsidP="005A2D50">
      <w:pPr>
        <w:pStyle w:val="BodyText"/>
        <w:rPr>
          <w:lang w:val="en-US"/>
        </w:rPr>
      </w:pPr>
      <w:r w:rsidRPr="005A2D50">
        <w:rPr>
          <w:lang w:val="en-US"/>
        </w:rPr>
        <w:t>SMK 94. panta 1. punktā ir izklāstīti pamatnosacījumi, kas izpildāmi galviniekiem, kas ES muitas nolūkos sniedz saistības.</w:t>
      </w:r>
    </w:p>
    <w:p w14:paraId="4DCBCB69" w14:textId="77777777" w:rsidR="005A2D50" w:rsidRPr="005A2D50" w:rsidRDefault="005A2D50" w:rsidP="005A2D50">
      <w:pPr>
        <w:pStyle w:val="BodyText"/>
        <w:rPr>
          <w:lang w:val="en-US"/>
        </w:rPr>
      </w:pPr>
    </w:p>
    <w:p w14:paraId="1E475E47" w14:textId="77777777" w:rsidR="005A2D50" w:rsidRPr="005A2D50" w:rsidRDefault="005A2D50" w:rsidP="005A2D50">
      <w:pPr>
        <w:pStyle w:val="BodyText"/>
        <w:numPr>
          <w:ilvl w:val="3"/>
          <w:numId w:val="59"/>
        </w:numPr>
        <w:tabs>
          <w:tab w:val="left" w:pos="851"/>
        </w:tabs>
        <w:ind w:left="284" w:firstLine="0"/>
        <w:rPr>
          <w:lang w:val="en-US"/>
        </w:rPr>
      </w:pPr>
      <w:r w:rsidRPr="005A2D50">
        <w:rPr>
          <w:lang w:val="en-US"/>
        </w:rPr>
        <w:t>Galvinieks ir trešā persona, kas veic uzņēmējdarbību Savienības muitas teritorijā. Saskaņā ar SMK 5. panta 31. punkta b) apakšpunktu “personai, kas veic uzņēmējdarbību Savienības muitas teritorijā”, ir jābūt juridiskajai adresei, galvenajam birojam vai pastāvīgai darījumdarbības vietai Savienības muitas teritorijā.</w:t>
      </w:r>
    </w:p>
    <w:p w14:paraId="32F8892F" w14:textId="77777777" w:rsidR="005A2D50" w:rsidRPr="005A2D50" w:rsidRDefault="005A2D50" w:rsidP="005A2D50">
      <w:pPr>
        <w:pStyle w:val="BodyText"/>
        <w:numPr>
          <w:ilvl w:val="3"/>
          <w:numId w:val="59"/>
        </w:numPr>
        <w:tabs>
          <w:tab w:val="left" w:pos="851"/>
        </w:tabs>
        <w:ind w:left="284" w:firstLine="0"/>
        <w:rPr>
          <w:lang w:val="en-US"/>
        </w:rPr>
      </w:pPr>
      <w:r w:rsidRPr="005A2D50">
        <w:rPr>
          <w:lang w:val="en-US"/>
        </w:rPr>
        <w:t>Galvinieks rakstveidā uzņemas saistības samaksāt nodrošināto muitas parādam atbilstīgo ievedmuitas vai izvedmuitas nodokļa summu un citu maksājumu summu.</w:t>
      </w:r>
    </w:p>
    <w:p w14:paraId="03B39D2E" w14:textId="77777777" w:rsidR="005A2D50" w:rsidRPr="005A2D50" w:rsidRDefault="005A2D50" w:rsidP="005A2D50">
      <w:pPr>
        <w:pStyle w:val="BodyText"/>
        <w:rPr>
          <w:lang w:val="en-US"/>
        </w:rPr>
      </w:pPr>
    </w:p>
    <w:p w14:paraId="1CA19DAB" w14:textId="77777777" w:rsidR="005A2D50" w:rsidRPr="005A2D50" w:rsidRDefault="005A2D50" w:rsidP="005A2D50">
      <w:pPr>
        <w:pStyle w:val="BodyText"/>
        <w:rPr>
          <w:lang w:val="en-US"/>
        </w:rPr>
      </w:pPr>
      <w:r w:rsidRPr="005A2D50">
        <w:rPr>
          <w:lang w:val="en-US"/>
        </w:rPr>
        <w:t xml:space="preserve">SMK DA 82. panta 1. punktā ir noteikts, ka galvinieks “norāda kontaktadresi vai ieceļ pārstāvi katrā dalībvalstī, kur var izmantot galvojumu”. Šī informācija ir jāsniedz saistību ietvaros saskaņā ar attiecīgo atļauju nosacījumiem (atļaujas muitas procedūrām un, ja atbilstīgi, </w:t>
      </w:r>
      <w:r w:rsidRPr="005A2D50">
        <w:rPr>
          <w:i/>
          <w:iCs/>
          <w:lang w:val="en-US"/>
        </w:rPr>
        <w:t xml:space="preserve">CGU </w:t>
      </w:r>
      <w:r w:rsidRPr="005A2D50">
        <w:rPr>
          <w:lang w:val="en-US"/>
        </w:rPr>
        <w:t xml:space="preserve">atļauja). Ja tas netiek darīts, </w:t>
      </w:r>
      <w:r w:rsidRPr="005A2D50">
        <w:rPr>
          <w:i/>
          <w:iCs/>
          <w:lang w:val="en-US"/>
        </w:rPr>
        <w:t xml:space="preserve">COG </w:t>
      </w:r>
      <w:r w:rsidRPr="005A2D50">
        <w:rPr>
          <w:lang w:val="en-US"/>
        </w:rPr>
        <w:t>nedrīkst apstiprināt šā galvinieka saistības.</w:t>
      </w:r>
    </w:p>
    <w:p w14:paraId="7F2A662F" w14:textId="77777777" w:rsidR="005A2D50" w:rsidRPr="005A2D50" w:rsidRDefault="005A2D50" w:rsidP="005A2D50">
      <w:pPr>
        <w:pStyle w:val="BodyText"/>
        <w:rPr>
          <w:lang w:val="en-US"/>
        </w:rPr>
      </w:pPr>
      <w:r w:rsidRPr="005A2D50">
        <w:rPr>
          <w:lang w:val="en-US"/>
        </w:rPr>
        <w:t>SMK 94. pantā ir noteikts, ka “galvinieks ir to muitas dienestu apstiprināts, kas pieprasa galvojumu”. Galvinieks tiks apstiprināts saskaņā ar attiecīgās dalībvalsts tiesību normām.</w:t>
      </w:r>
    </w:p>
    <w:p w14:paraId="189F1AB4" w14:textId="77777777" w:rsidR="005A2D50" w:rsidRPr="005A2D50" w:rsidRDefault="005A2D50" w:rsidP="005A2D50">
      <w:pPr>
        <w:pStyle w:val="BodyText"/>
        <w:rPr>
          <w:lang w:val="en-US"/>
        </w:rPr>
      </w:pPr>
      <w:r w:rsidRPr="005A2D50">
        <w:rPr>
          <w:lang w:val="en-US"/>
        </w:rPr>
        <w:t>Parasti galvinieku apstiprina muitas dienesti, kuri pieprasa galvojumu. Tomēr ir paredzēts izņēmums attiecībā uz šo noteikumu, ja galvinieks ir “kredītiestāde, finanšu iestāde vai apdrošināšanas sabiedrība, kas akreditēta Savienībā saskaņā ar spēkā esošiem Savienības noteikumiem”. Tiem muitas dienesta apstiprinājums nav nepieciešams. Tomēr arī šiem galviniekiem ir jāatbilst iepriekš minētajiem pamatnosacījumiem, kas ir piemērojami visās dalībvalstīs, kurās galvojums ir spēkā.</w:t>
      </w:r>
    </w:p>
    <w:p w14:paraId="2AD02829" w14:textId="77777777" w:rsidR="005A2D50" w:rsidRPr="005A2D50" w:rsidRDefault="005A2D50" w:rsidP="005A2D50">
      <w:pPr>
        <w:pStyle w:val="BodyText"/>
        <w:rPr>
          <w:lang w:val="en-US"/>
        </w:rPr>
      </w:pPr>
    </w:p>
    <w:p w14:paraId="0EA16C4A" w14:textId="77777777" w:rsidR="005A2D50" w:rsidRPr="005A2D50" w:rsidRDefault="005A2D50" w:rsidP="005A2D50">
      <w:pPr>
        <w:pStyle w:val="BodyText"/>
        <w:rPr>
          <w:b/>
          <w:bCs/>
          <w:lang w:val="en-US"/>
        </w:rPr>
      </w:pPr>
      <w:bookmarkStart w:id="60" w:name="III.2.2.1._The_guarantor_accredited_in_t"/>
      <w:bookmarkEnd w:id="60"/>
      <w:r w:rsidRPr="005A2D50">
        <w:rPr>
          <w:b/>
          <w:bCs/>
          <w:lang w:val="en-US"/>
        </w:rPr>
        <w:t>III.2.2.1. Savienībā akreditēts galvinieks</w:t>
      </w:r>
    </w:p>
    <w:p w14:paraId="61C3F99E"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364C1F14" w14:textId="77777777" w:rsidR="005A2D50" w:rsidRPr="005A2D50" w:rsidRDefault="005A2D50" w:rsidP="005A2D50">
      <w:pPr>
        <w:pStyle w:val="BodyText"/>
        <w:rPr>
          <w:lang w:val="en-US"/>
        </w:rPr>
      </w:pPr>
      <w:r w:rsidRPr="005A2D50">
        <w:rPr>
          <w:lang w:val="en-US"/>
        </w:rPr>
        <w:t>Galviniekus var akreditēt Savienībā saskaņā ar īpašām Eiropas direktīvām par kredītiestādēm un apdrošināšanas sabiedrībām, kas jāņem vērā kā vispārējs juridiskais pamats.</w:t>
      </w:r>
    </w:p>
    <w:p w14:paraId="215125B3" w14:textId="77777777" w:rsidR="005A2D50" w:rsidRPr="005A2D50" w:rsidRDefault="005A2D50" w:rsidP="005A2D50">
      <w:pPr>
        <w:pStyle w:val="BodyText"/>
        <w:rPr>
          <w:lang w:val="en-US"/>
        </w:rPr>
      </w:pPr>
      <w:r w:rsidRPr="005A2D50">
        <w:rPr>
          <w:lang w:val="en-US"/>
        </w:rPr>
        <w:t>Noteikumi par kredītiestāžu (banku) akreditāciju ir noteikti ar Eiropas Parlamenta un Padomes 2013. gada 26. jūnija Direktīvu 2013/36/ES par piekļuvi kredītiestāžu darbībai un kredītiestāžu un ieguldījumu brokeru sabiedrību prudenciālo uzraudzību, ar ko groza Direktīvu 2002/87/EK un atceļ Direktīvas 2006/48/EK un 2006/49/EK (Dokuments attiecas uz EEZ).</w:t>
      </w:r>
    </w:p>
    <w:p w14:paraId="411FF8ED" w14:textId="77777777" w:rsidR="005A2D50" w:rsidRPr="005A2D50" w:rsidRDefault="005A2D50" w:rsidP="005A2D50">
      <w:pPr>
        <w:pStyle w:val="BodyText"/>
        <w:rPr>
          <w:lang w:val="en-US"/>
        </w:rPr>
      </w:pPr>
      <w:r w:rsidRPr="005A2D50">
        <w:rPr>
          <w:lang w:val="en-US"/>
        </w:rPr>
        <w:t>Attiecībā uz apdrošināšanas sabiedrībām attiecīgie noteikumi ir izklāstīti Eiropas Parlamenta un Padomes 2009. gada 25. novembra Direktīvā 2009/138/EK par uzņēmējdarbības uzsākšanu un veikšanu apdrošināšanas un pārapdrošināšanas jomā (Maksātspēja II) (Dokuments attiecas uz EEZ).</w:t>
      </w:r>
    </w:p>
    <w:p w14:paraId="029D7F15" w14:textId="77777777" w:rsidR="005A2D50" w:rsidRPr="005A2D50" w:rsidRDefault="005A2D50" w:rsidP="005A2D50">
      <w:pPr>
        <w:pStyle w:val="BodyText"/>
        <w:rPr>
          <w:lang w:val="en-US"/>
        </w:rPr>
      </w:pPr>
      <w:r w:rsidRPr="005A2D50">
        <w:rPr>
          <w:lang w:val="en-US"/>
        </w:rPr>
        <w:t>Abas iepriekš minētās direktīvas nosaka kredītiestāžu vai apdrošināšanas sabiedrību akreditācijas principus, ko valsts banka piešķir saskaņā ar valsts tiesību aktiem, bet kas balstīti uz kopīgiem kritērijiem, kuri noteikti attiecīgajos Eiropas tiesību aktos. Akreditācija ir spēkā arī citās dalībvalstīs, ja tiek īstenota pakalpojumu sniegšanas brīvība un saskaņā ar noteikto tiesisko regulējumu.</w:t>
      </w:r>
    </w:p>
    <w:p w14:paraId="6F20FA14" w14:textId="77777777" w:rsidR="005A2D50" w:rsidRPr="005A2D50" w:rsidRDefault="005A2D50" w:rsidP="005A2D50">
      <w:pPr>
        <w:pStyle w:val="BodyText"/>
        <w:rPr>
          <w:lang w:val="en-US"/>
        </w:rPr>
      </w:pPr>
      <w:r w:rsidRPr="005A2D50">
        <w:rPr>
          <w:lang w:val="en-US"/>
        </w:rPr>
        <w:t>Katras valsts bankas iestādes tīmekļa vietnēs tiek publicēts regulēto iestāžu un reģistrēto finanšu tirgus vienību saraksts. Šajā sarakstā norāda vietējās valsts bankas, kā arī citu Eiropas valstu iestāžu piešķirtas licences.</w:t>
      </w:r>
    </w:p>
    <w:p w14:paraId="5F26CCF9" w14:textId="77777777" w:rsidR="005A2D50" w:rsidRPr="005A2D50" w:rsidRDefault="005A2D50" w:rsidP="005A2D50">
      <w:pPr>
        <w:pStyle w:val="BodyText"/>
        <w:rPr>
          <w:lang w:val="en-US"/>
        </w:rPr>
      </w:pPr>
      <w:r w:rsidRPr="005A2D50">
        <w:rPr>
          <w:lang w:val="en-US"/>
        </w:rPr>
        <w:t>Pamatojoties uz iepriekš minēto direktīvu pielikumiem, publiskajā sarakstā sniedz arī datus par atļautajām darbībām. Muitas nodokļa galvojuma vajadzībām par akreditētu galvinieku jāuzskata struktūra, kas veic šādas atļautas darbības:</w:t>
      </w:r>
    </w:p>
    <w:p w14:paraId="6E925907" w14:textId="77777777" w:rsidR="005A2D50" w:rsidRPr="005A2D50" w:rsidRDefault="005A2D50" w:rsidP="005A2D50">
      <w:pPr>
        <w:jc w:val="both"/>
        <w:rPr>
          <w:rFonts w:ascii="Times New Roman" w:hAnsi="Times New Roman"/>
          <w:b/>
          <w:noProof/>
          <w:sz w:val="24"/>
          <w:lang w:val="en-US"/>
        </w:rPr>
      </w:pPr>
      <w:r w:rsidRPr="005A2D50">
        <w:rPr>
          <w:rFonts w:ascii="Times New Roman" w:hAnsi="Times New Roman"/>
          <w:noProof/>
          <w:sz w:val="24"/>
          <w:lang w:val="en-US"/>
        </w:rPr>
        <w:t xml:space="preserve">Kredītiestādes (bankas) – Direktīvas 2013/36/ES </w:t>
      </w:r>
      <w:r w:rsidRPr="005A2D50">
        <w:rPr>
          <w:rFonts w:ascii="Times New Roman" w:hAnsi="Times New Roman"/>
          <w:b/>
          <w:bCs/>
          <w:noProof/>
          <w:sz w:val="24"/>
          <w:lang w:val="en-US"/>
        </w:rPr>
        <w:t xml:space="preserve">I pielikums </w:t>
      </w:r>
      <w:r w:rsidRPr="005A2D50">
        <w:rPr>
          <w:rFonts w:ascii="Times New Roman" w:hAnsi="Times New Roman"/>
          <w:noProof/>
          <w:sz w:val="24"/>
          <w:lang w:val="en-US"/>
        </w:rPr>
        <w:t xml:space="preserve">– darbība, kas attiecas tikai uz garantijas mērķiem, </w:t>
      </w:r>
      <w:r w:rsidRPr="005A2D50">
        <w:rPr>
          <w:rFonts w:ascii="Times New Roman" w:hAnsi="Times New Roman"/>
          <w:b/>
          <w:bCs/>
          <w:noProof/>
          <w:sz w:val="24"/>
          <w:lang w:val="en-US"/>
        </w:rPr>
        <w:t xml:space="preserve">6. </w:t>
      </w:r>
      <w:r w:rsidRPr="005A2D50">
        <w:rPr>
          <w:rFonts w:ascii="Times New Roman" w:hAnsi="Times New Roman"/>
          <w:b/>
          <w:noProof/>
          <w:sz w:val="24"/>
          <w:lang w:val="en-US"/>
        </w:rPr>
        <w:t>Garantijas un saistības.</w:t>
      </w:r>
    </w:p>
    <w:p w14:paraId="7F6E42F2" w14:textId="77777777" w:rsidR="005A2D50" w:rsidRPr="005A2D50" w:rsidRDefault="005A2D50" w:rsidP="005A2D50">
      <w:pPr>
        <w:jc w:val="both"/>
        <w:rPr>
          <w:rFonts w:ascii="Times New Roman" w:hAnsi="Times New Roman"/>
          <w:b/>
          <w:noProof/>
          <w:sz w:val="24"/>
          <w:lang w:val="en-US"/>
        </w:rPr>
      </w:pPr>
    </w:p>
    <w:p w14:paraId="440B4336" w14:textId="77777777" w:rsidR="005A2D50" w:rsidRPr="005A2D50" w:rsidRDefault="005A2D50" w:rsidP="005A2D50">
      <w:pPr>
        <w:pStyle w:val="BodyText"/>
        <w:rPr>
          <w:u w:val="single" w:color="000000"/>
          <w:lang w:val="en-US"/>
        </w:rPr>
      </w:pPr>
      <w:r w:rsidRPr="005A2D50">
        <w:rPr>
          <w:u w:val="single" w:color="000000"/>
          <w:lang w:val="en-US"/>
        </w:rPr>
        <w:t>http://eur-lex.europa.eu/legal-content/LV/TXT/PDF/?uri=CELEX:02013L0036-20180113&amp;qid=1520839532210&amp;from=LV</w:t>
      </w:r>
    </w:p>
    <w:p w14:paraId="7F1E4DD9" w14:textId="77777777" w:rsidR="005A2D50" w:rsidRPr="005A2D50" w:rsidRDefault="005A2D50" w:rsidP="005A2D50">
      <w:pPr>
        <w:pStyle w:val="BodyText"/>
        <w:rPr>
          <w:lang w:val="en-US"/>
        </w:rPr>
      </w:pPr>
    </w:p>
    <w:p w14:paraId="489D78DD" w14:textId="77777777" w:rsidR="005A2D50" w:rsidRPr="005A2D50" w:rsidRDefault="005A2D50" w:rsidP="005A2D50">
      <w:pPr>
        <w:pStyle w:val="BodyText"/>
        <w:rPr>
          <w:b/>
          <w:lang w:val="en-US"/>
        </w:rPr>
      </w:pPr>
      <w:r w:rsidRPr="005A2D50">
        <w:rPr>
          <w:lang w:val="en-US"/>
        </w:rPr>
        <w:t xml:space="preserve">Apdrošināšanas sabiedrības – Direktīvas 2009/138/EK </w:t>
      </w:r>
      <w:r w:rsidRPr="005A2D50">
        <w:rPr>
          <w:b/>
          <w:bCs/>
          <w:lang w:val="en-US"/>
        </w:rPr>
        <w:t xml:space="preserve">I pielikums </w:t>
      </w:r>
      <w:r w:rsidRPr="005A2D50">
        <w:rPr>
          <w:lang w:val="en-US"/>
        </w:rPr>
        <w:t xml:space="preserve">– darbība, kas attiecas tikai uz garantijas mērķiem, </w:t>
      </w:r>
      <w:r w:rsidRPr="005A2D50">
        <w:rPr>
          <w:b/>
          <w:bCs/>
          <w:lang w:val="en-US"/>
        </w:rPr>
        <w:t xml:space="preserve">15. </w:t>
      </w:r>
      <w:r w:rsidRPr="005A2D50">
        <w:rPr>
          <w:b/>
          <w:lang w:val="en-US"/>
        </w:rPr>
        <w:t>Galvojums:</w:t>
      </w:r>
    </w:p>
    <w:p w14:paraId="5C329A03" w14:textId="77777777" w:rsidR="005A2D50" w:rsidRPr="005A2D50" w:rsidRDefault="005A2D50" w:rsidP="005A2D50">
      <w:pPr>
        <w:pStyle w:val="BodyText"/>
        <w:rPr>
          <w:b/>
          <w:lang w:val="en-US"/>
        </w:rPr>
      </w:pPr>
    </w:p>
    <w:p w14:paraId="1C4B5C3A" w14:textId="77777777" w:rsidR="005A2D50" w:rsidRPr="005A2D50" w:rsidRDefault="005A2D50" w:rsidP="005A2D50">
      <w:pPr>
        <w:numPr>
          <w:ilvl w:val="0"/>
          <w:numId w:val="51"/>
        </w:numPr>
        <w:tabs>
          <w:tab w:val="left" w:pos="567"/>
        </w:tabs>
        <w:ind w:left="0" w:firstLine="0"/>
        <w:jc w:val="both"/>
        <w:rPr>
          <w:rFonts w:ascii="Times New Roman" w:hAnsi="Times New Roman"/>
          <w:b/>
          <w:noProof/>
          <w:sz w:val="24"/>
          <w:lang w:val="en-US"/>
        </w:rPr>
      </w:pPr>
      <w:r w:rsidRPr="005A2D50">
        <w:rPr>
          <w:rFonts w:ascii="Times New Roman" w:hAnsi="Times New Roman"/>
          <w:b/>
          <w:noProof/>
          <w:sz w:val="24"/>
          <w:lang w:val="en-US"/>
        </w:rPr>
        <w:t>galvojums (tiešs);</w:t>
      </w:r>
    </w:p>
    <w:p w14:paraId="121DEF92" w14:textId="77777777" w:rsidR="005A2D50" w:rsidRPr="005A2D50" w:rsidRDefault="005A2D50" w:rsidP="005A2D50">
      <w:pPr>
        <w:numPr>
          <w:ilvl w:val="0"/>
          <w:numId w:val="51"/>
        </w:numPr>
        <w:tabs>
          <w:tab w:val="left" w:pos="567"/>
        </w:tabs>
        <w:ind w:left="0" w:firstLine="0"/>
        <w:jc w:val="both"/>
        <w:rPr>
          <w:rFonts w:ascii="Times New Roman" w:hAnsi="Times New Roman"/>
          <w:b/>
          <w:noProof/>
          <w:sz w:val="24"/>
          <w:lang w:val="en-US"/>
        </w:rPr>
      </w:pPr>
      <w:r w:rsidRPr="005A2D50">
        <w:rPr>
          <w:rFonts w:ascii="Times New Roman" w:hAnsi="Times New Roman"/>
          <w:b/>
          <w:noProof/>
          <w:sz w:val="24"/>
          <w:lang w:val="en-US"/>
        </w:rPr>
        <w:t>galvojums (netiešs).</w:t>
      </w:r>
    </w:p>
    <w:p w14:paraId="217C66FE" w14:textId="77777777" w:rsidR="005A2D50" w:rsidRPr="005A2D50" w:rsidRDefault="005A2D50" w:rsidP="005A2D50">
      <w:pPr>
        <w:pStyle w:val="BodyText"/>
        <w:rPr>
          <w:u w:color="000000"/>
          <w:lang w:val="en-US"/>
        </w:rPr>
      </w:pPr>
    </w:p>
    <w:p w14:paraId="3C87E588" w14:textId="77777777" w:rsidR="005A2D50" w:rsidRPr="005A2D50" w:rsidRDefault="005A2D50" w:rsidP="005A2D50">
      <w:pPr>
        <w:pStyle w:val="BodyText"/>
        <w:rPr>
          <w:u w:val="single" w:color="000000"/>
          <w:lang w:val="en-US"/>
        </w:rPr>
      </w:pPr>
      <w:r w:rsidRPr="005A2D50">
        <w:rPr>
          <w:u w:val="single" w:color="000000"/>
          <w:lang w:val="en-US"/>
        </w:rPr>
        <w:t>https://eur-lex.europa.eu/legal-content/EN/TXT/PDF/?uri=CELEX:02009L0138-20170112&amp;qid=1520841951309&amp;from=EN</w:t>
      </w:r>
    </w:p>
    <w:p w14:paraId="447D6248" w14:textId="77777777" w:rsidR="005A2D50" w:rsidRPr="005A2D50" w:rsidRDefault="005A2D50" w:rsidP="005A2D50">
      <w:pPr>
        <w:pStyle w:val="BodyText"/>
        <w:rPr>
          <w:lang w:val="en-US"/>
        </w:rPr>
      </w:pPr>
    </w:p>
    <w:p w14:paraId="19302FC3" w14:textId="77777777" w:rsidR="005A2D50" w:rsidRPr="005A2D50" w:rsidRDefault="005A2D50" w:rsidP="005A2D50">
      <w:pPr>
        <w:pStyle w:val="BodyText"/>
        <w:rPr>
          <w:lang w:val="en-US"/>
        </w:rPr>
      </w:pPr>
      <w:r w:rsidRPr="005A2D50">
        <w:rPr>
          <w:lang w:val="en-US"/>
        </w:rPr>
        <w:t>Lai palielinātu pārredzamību Eiropas vienotajā tirgū, Eiropas Banku iestāde (EBI) regulāri publicē to kredītiestāžu sarakstu, kurām piešķirta atļauja darboties Eiropas Savienības un Eiropas Ekonomikas zonas (EEZ) valstīs. EBI publicētais saraksts ir izveidots, pamatojoties tikai uz kompetento iestāžu sniegto informāciju, kā paredzēts EBI lēmumā, ar ko izveido Kredītiestāžu reģistru.</w:t>
      </w:r>
    </w:p>
    <w:p w14:paraId="68A509E1" w14:textId="77777777" w:rsidR="005A2D50" w:rsidRPr="005A2D50" w:rsidRDefault="005A2D50" w:rsidP="005A2D50">
      <w:pPr>
        <w:pStyle w:val="BodyText"/>
        <w:rPr>
          <w:lang w:val="en-US"/>
        </w:rPr>
      </w:pPr>
      <w:r w:rsidRPr="005A2D50">
        <w:rPr>
          <w:lang w:val="en-US"/>
        </w:rPr>
        <w:t>Kā uzsvērts Direktīvā 2013/36/ES par piekļuvi kredītiestāžu darbībai un kredītiestāžu un ieguldījumu brokeru sabiedrību prudenciālo uzraudzību jeb tā dēvētajā KPD, saistībā ar Regulas (ES) Nr. 1024/2013 (2013. gada 15. oktobris) 14. pantu licenču piešķiršana kredītiestādēm joprojām ir kompetentās valsts iestādes / ECB kompetencē.</w:t>
      </w:r>
    </w:p>
    <w:p w14:paraId="1E78E5DD" w14:textId="77777777" w:rsidR="005A2D50" w:rsidRPr="005A2D50" w:rsidRDefault="005A2D50" w:rsidP="005A2D50">
      <w:pPr>
        <w:pStyle w:val="BodyText"/>
        <w:rPr>
          <w:lang w:val="en-US"/>
        </w:rPr>
      </w:pPr>
    </w:p>
    <w:p w14:paraId="1F17230F" w14:textId="77777777" w:rsidR="005A2D50" w:rsidRPr="005A2D50" w:rsidRDefault="005A2D50" w:rsidP="005A2D50">
      <w:pPr>
        <w:pStyle w:val="Heading2"/>
        <w:rPr>
          <w:noProof/>
          <w:lang w:val="en-US"/>
        </w:rPr>
      </w:pPr>
      <w:bookmarkStart w:id="61" w:name="III.2.2.1.1._Credit_Institution_register"/>
      <w:bookmarkStart w:id="62" w:name="_bookmark19"/>
      <w:bookmarkStart w:id="63" w:name="_Toc104982777"/>
      <w:bookmarkEnd w:id="61"/>
      <w:bookmarkEnd w:id="62"/>
      <w:r w:rsidRPr="005A2D50">
        <w:rPr>
          <w:noProof/>
          <w:lang w:val="en-US"/>
        </w:rPr>
        <w:t>III.2.2.1.1. Kredītiestāžu reģistrs</w:t>
      </w:r>
      <w:bookmarkEnd w:id="63"/>
    </w:p>
    <w:p w14:paraId="55A8ACC5"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42F8F5DB" w14:textId="77777777" w:rsidR="005A2D50" w:rsidRPr="005A2D50" w:rsidRDefault="005A2D50" w:rsidP="005A2D50">
      <w:pPr>
        <w:pStyle w:val="BodyText"/>
        <w:rPr>
          <w:lang w:val="en-US"/>
        </w:rPr>
      </w:pPr>
      <w:r w:rsidRPr="005A2D50">
        <w:rPr>
          <w:lang w:val="en-US"/>
        </w:rPr>
        <w:t>Reģistrā ir iekļautas tikai trīs dažāda veida kredītiestādes:</w:t>
      </w:r>
    </w:p>
    <w:p w14:paraId="63FCA8CD" w14:textId="77777777" w:rsidR="005A2D50" w:rsidRPr="005A2D50" w:rsidRDefault="005A2D50" w:rsidP="005A2D50">
      <w:pPr>
        <w:pStyle w:val="BodyText"/>
        <w:rPr>
          <w:lang w:val="en-US"/>
        </w:rPr>
      </w:pPr>
    </w:p>
    <w:p w14:paraId="6EE49CEE" w14:textId="77777777" w:rsidR="005A2D50" w:rsidRPr="005A2D50" w:rsidRDefault="005A2D50" w:rsidP="005A2D50">
      <w:pPr>
        <w:pStyle w:val="BodyText"/>
        <w:numPr>
          <w:ilvl w:val="5"/>
          <w:numId w:val="52"/>
        </w:numPr>
        <w:tabs>
          <w:tab w:val="left" w:pos="851"/>
        </w:tabs>
        <w:ind w:left="284" w:firstLine="0"/>
        <w:rPr>
          <w:lang w:val="en-US"/>
        </w:rPr>
      </w:pPr>
      <w:r w:rsidRPr="005A2D50">
        <w:rPr>
          <w:lang w:val="en-US"/>
        </w:rPr>
        <w:t>“KPD kredītiestādes” – juridiski definētas kā “uzņēmums, kura uzņēmējdarbība ir saņemt noguldījumus vai citus atmaksājamus līdzekļus no sabiedrības un piešķirt kredītus uz sava rēķina”;</w:t>
      </w:r>
    </w:p>
    <w:p w14:paraId="53655C35" w14:textId="77777777" w:rsidR="005A2D50" w:rsidRPr="005A2D50" w:rsidRDefault="005A2D50" w:rsidP="005A2D50">
      <w:pPr>
        <w:pStyle w:val="BodyText"/>
        <w:numPr>
          <w:ilvl w:val="5"/>
          <w:numId w:val="52"/>
        </w:numPr>
        <w:tabs>
          <w:tab w:val="left" w:pos="851"/>
        </w:tabs>
        <w:ind w:left="284" w:firstLine="0"/>
        <w:rPr>
          <w:lang w:val="en-US"/>
        </w:rPr>
      </w:pPr>
      <w:r w:rsidRPr="005A2D50">
        <w:rPr>
          <w:lang w:val="en-US"/>
        </w:rPr>
        <w:t>“EEZ filiāles”, kas darbojas katrā EEZ valstī – citā EEZ valstī licencētu kredītiestāžu filiāles, kurām ir tiesības veikt savas darbības pasi;</w:t>
      </w:r>
    </w:p>
    <w:p w14:paraId="728F3FEF" w14:textId="77777777" w:rsidR="005A2D50" w:rsidRPr="005A2D50" w:rsidRDefault="005A2D50" w:rsidP="005A2D50">
      <w:pPr>
        <w:pStyle w:val="BodyText"/>
        <w:numPr>
          <w:ilvl w:val="5"/>
          <w:numId w:val="52"/>
        </w:numPr>
        <w:tabs>
          <w:tab w:val="left" w:pos="851"/>
        </w:tabs>
        <w:ind w:left="284" w:firstLine="0"/>
        <w:rPr>
          <w:lang w:val="en-US"/>
        </w:rPr>
      </w:pPr>
      <w:r w:rsidRPr="005A2D50">
        <w:rPr>
          <w:lang w:val="en-US"/>
        </w:rPr>
        <w:t>ārpus EEZ esošās filiāles, kas definētas kā tādu kredītiestāžu filiāles, kuru galvenais birojs atrodas trešā valstī.</w:t>
      </w:r>
    </w:p>
    <w:p w14:paraId="7C949620" w14:textId="77777777" w:rsidR="005A2D50" w:rsidRPr="005A2D50" w:rsidRDefault="005A2D50" w:rsidP="005A2D50">
      <w:pPr>
        <w:pStyle w:val="BodyText"/>
        <w:rPr>
          <w:lang w:val="en-US"/>
        </w:rPr>
      </w:pPr>
    </w:p>
    <w:p w14:paraId="6B5055D0" w14:textId="77777777" w:rsidR="005A2D50" w:rsidRPr="005A2D50" w:rsidRDefault="005A2D50" w:rsidP="005A2D50">
      <w:pPr>
        <w:pStyle w:val="BodyText"/>
        <w:rPr>
          <w:lang w:val="en-US"/>
        </w:rPr>
      </w:pPr>
      <w:r w:rsidRPr="005A2D50">
        <w:rPr>
          <w:lang w:val="en-US"/>
        </w:rPr>
        <w:t>Sīkāku informāciju par kredītiestādēm, kas veic uzņēmējdarbību EEZ dalībvalstīs, lūgums skatīt EBI Kredītiestāžu reģistrā.</w:t>
      </w:r>
    </w:p>
    <w:p w14:paraId="03F90713" w14:textId="77777777" w:rsidR="005A2D50" w:rsidRPr="005A2D50" w:rsidRDefault="005A2D50" w:rsidP="005A2D50">
      <w:pPr>
        <w:pStyle w:val="BodyText"/>
        <w:rPr>
          <w:lang w:val="en-US"/>
        </w:rPr>
      </w:pPr>
      <w:r w:rsidRPr="005A2D50">
        <w:rPr>
          <w:lang w:val="en-US"/>
        </w:rPr>
        <w:t>Atruna. EBI ir izveidojusi reģistru, pamatojoties tikai uz dalībvalstu sniegto informāciju. Tāpēc atšķirībā no valsts līmenī uzturētiem kredītiestāžu reģistriem šim reģistram nav juridiskas nozīmes un tas nepiešķir tiesības, kas izriet no likuma. Ja iestāde, kurai nav piešķirta atļauja, ir netīši iekļauta reģistrā, tās juridiskais statuss nekādā veidā netiek mainīts; tāpat, ja iestāde ir netīši izlaista no reģistra, tas neskar tai piešķirtās atļaujas derīgumu.</w:t>
      </w:r>
    </w:p>
    <w:p w14:paraId="039116C8" w14:textId="77777777" w:rsidR="005A2D50" w:rsidRPr="005A2D50" w:rsidRDefault="005A2D50" w:rsidP="005A2D50">
      <w:pPr>
        <w:pStyle w:val="BodyText"/>
        <w:rPr>
          <w:lang w:val="en-US"/>
        </w:rPr>
      </w:pPr>
      <w:r w:rsidRPr="005A2D50">
        <w:rPr>
          <w:lang w:val="en-US"/>
        </w:rPr>
        <w:t>Eiropas Banku iestāde ir atbildīga tikai par tās informācijas precīzu atveidošanu, kas saņemta par atsevišķām kredītiestādēm, savukārt uz kompetentajām iestādēm valsts līmenī gulstas atbildība par attiecīgajām reģistra sadaļām un jo īpaši par iestāžu nosaukuma un atrašanās vietas pareizrakstību, to klasifikāciju attiecīgā grupā, preču zīmēm, kas ir iestādes rīcībā, un kopumā par reģistra satura precizitāti.</w:t>
      </w:r>
    </w:p>
    <w:p w14:paraId="7023B6F1" w14:textId="77777777" w:rsidR="005A2D50" w:rsidRPr="005A2D50" w:rsidRDefault="005A2D50" w:rsidP="005A2D50">
      <w:pPr>
        <w:pStyle w:val="BodyText"/>
        <w:rPr>
          <w:lang w:val="en-US"/>
        </w:rPr>
      </w:pPr>
    </w:p>
    <w:p w14:paraId="252E35E9" w14:textId="77777777" w:rsidR="005A2D50" w:rsidRPr="005A2D50" w:rsidRDefault="005A2D50" w:rsidP="005A2D50">
      <w:pPr>
        <w:pStyle w:val="Heading2"/>
        <w:rPr>
          <w:noProof/>
          <w:lang w:val="en-US"/>
        </w:rPr>
      </w:pPr>
      <w:bookmarkStart w:id="64" w:name="III.2.2.1.1.1._National_registers_of_aut"/>
      <w:bookmarkStart w:id="65" w:name="_bookmark20"/>
      <w:bookmarkStart w:id="66" w:name="_Toc104982778"/>
      <w:bookmarkEnd w:id="64"/>
      <w:bookmarkEnd w:id="65"/>
      <w:r w:rsidRPr="005A2D50">
        <w:rPr>
          <w:noProof/>
          <w:lang w:val="en-US"/>
        </w:rPr>
        <w:t>III.2.2.1.1.1. Licencēto kredītiestāžu valsts reģistri</w:t>
      </w:r>
      <w:bookmarkEnd w:id="66"/>
    </w:p>
    <w:p w14:paraId="78D6F6F2"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69CC90CE" w14:textId="77777777" w:rsidR="005A2D50" w:rsidRPr="005A2D50" w:rsidRDefault="005A2D50" w:rsidP="005A2D50">
      <w:pPr>
        <w:pStyle w:val="BodyText"/>
        <w:rPr>
          <w:lang w:val="en-US"/>
        </w:rPr>
      </w:pPr>
      <w:r w:rsidRPr="005A2D50">
        <w:rPr>
          <w:lang w:val="en-US"/>
        </w:rPr>
        <w:t>Katra valsts uzraudzības iestāde regulāri publicē valsts līmenī licencēto kredītiestāžu reģistru. Informācija par valstu reģistriem var būt detalizētāka un/vai aktuālāka.</w:t>
      </w:r>
    </w:p>
    <w:p w14:paraId="67DC2871" w14:textId="77777777" w:rsidR="005A2D50" w:rsidRPr="005A2D50" w:rsidRDefault="005A2D50" w:rsidP="005A2D50">
      <w:pPr>
        <w:pStyle w:val="BodyText"/>
        <w:rPr>
          <w:lang w:val="en-US"/>
        </w:rPr>
      </w:pPr>
    </w:p>
    <w:p w14:paraId="04086FB0" w14:textId="77777777" w:rsidR="005A2D50" w:rsidRPr="005A2D50" w:rsidRDefault="005A2D50" w:rsidP="005A2D50">
      <w:pPr>
        <w:pStyle w:val="BodyText"/>
        <w:numPr>
          <w:ilvl w:val="6"/>
          <w:numId w:val="50"/>
        </w:numPr>
        <w:tabs>
          <w:tab w:val="left" w:pos="851"/>
        </w:tabs>
        <w:ind w:left="284" w:firstLine="0"/>
        <w:rPr>
          <w:u w:val="single"/>
          <w:lang w:val="en-US"/>
        </w:rPr>
      </w:pPr>
      <w:r w:rsidRPr="005A2D50">
        <w:rPr>
          <w:u w:val="single"/>
          <w:lang w:val="en-US"/>
        </w:rPr>
        <w:t>Austrija (</w:t>
      </w:r>
      <w:r w:rsidRPr="005A2D50">
        <w:rPr>
          <w:i/>
          <w:iCs/>
          <w:u w:val="single"/>
          <w:lang w:val="en-US"/>
        </w:rPr>
        <w:t>Finanzmarktaufsicht – FMA</w:t>
      </w:r>
      <w:r w:rsidRPr="005A2D50">
        <w:rPr>
          <w:u w:val="single"/>
          <w:lang w:val="en-US"/>
        </w:rPr>
        <w:t>) – teksts angļu valodā</w:t>
      </w:r>
    </w:p>
    <w:p w14:paraId="52B17759" w14:textId="77777777" w:rsidR="005A2D50" w:rsidRPr="005A2D50" w:rsidRDefault="005A2D50" w:rsidP="005A2D50">
      <w:pPr>
        <w:pStyle w:val="BodyText"/>
        <w:numPr>
          <w:ilvl w:val="6"/>
          <w:numId w:val="50"/>
        </w:numPr>
        <w:tabs>
          <w:tab w:val="left" w:pos="851"/>
        </w:tabs>
        <w:ind w:left="284" w:firstLine="0"/>
        <w:rPr>
          <w:u w:val="single"/>
          <w:lang w:val="en-US"/>
        </w:rPr>
      </w:pPr>
      <w:r w:rsidRPr="005A2D50">
        <w:rPr>
          <w:u w:val="single"/>
          <w:lang w:val="en-US"/>
        </w:rPr>
        <w:t>Beļģija (</w:t>
      </w:r>
      <w:r w:rsidRPr="005A2D50">
        <w:rPr>
          <w:i/>
          <w:iCs/>
          <w:u w:val="single"/>
          <w:lang w:val="en-US"/>
        </w:rPr>
        <w:t>NBB</w:t>
      </w:r>
      <w:r w:rsidRPr="005A2D50">
        <w:rPr>
          <w:u w:val="single"/>
          <w:lang w:val="en-US"/>
        </w:rPr>
        <w:t>) – teksts franču valodā – teksts holandiešu valodā</w:t>
      </w:r>
    </w:p>
    <w:p w14:paraId="7D3C64F3" w14:textId="77777777" w:rsidR="005A2D50" w:rsidRPr="005A2D50" w:rsidRDefault="005A2D50" w:rsidP="005A2D50">
      <w:pPr>
        <w:pStyle w:val="BodyText"/>
        <w:numPr>
          <w:ilvl w:val="6"/>
          <w:numId w:val="50"/>
        </w:numPr>
        <w:tabs>
          <w:tab w:val="left" w:pos="851"/>
        </w:tabs>
        <w:ind w:left="284" w:firstLine="0"/>
        <w:rPr>
          <w:u w:val="single"/>
          <w:lang w:val="en-US"/>
        </w:rPr>
      </w:pPr>
      <w:r w:rsidRPr="005A2D50">
        <w:rPr>
          <w:u w:val="single"/>
          <w:lang w:val="en-US"/>
        </w:rPr>
        <w:t>Bulgārija (Bulgārijas Valsts banka) – teksts angļu valodā</w:t>
      </w:r>
    </w:p>
    <w:p w14:paraId="10F9B365" w14:textId="77777777" w:rsidR="005A2D50" w:rsidRPr="005A2D50" w:rsidRDefault="005A2D50" w:rsidP="005A2D50">
      <w:pPr>
        <w:pStyle w:val="BodyText"/>
        <w:numPr>
          <w:ilvl w:val="6"/>
          <w:numId w:val="50"/>
        </w:numPr>
        <w:tabs>
          <w:tab w:val="left" w:pos="851"/>
        </w:tabs>
        <w:ind w:left="284" w:firstLine="0"/>
        <w:rPr>
          <w:u w:val="single"/>
          <w:lang w:val="en-US"/>
        </w:rPr>
      </w:pPr>
      <w:r w:rsidRPr="005A2D50">
        <w:rPr>
          <w:u w:val="single"/>
          <w:lang w:val="en-US"/>
        </w:rPr>
        <w:t xml:space="preserve">Horvātija (Horvātijas Valsts banka) (Horvātijas finanšu pakalpojumu uzraugs) </w:t>
      </w:r>
      <w:r w:rsidRPr="005A2D50">
        <w:rPr>
          <w:u w:val="single"/>
          <w:lang w:val="en-US"/>
        </w:rPr>
        <w:tab/>
      </w:r>
    </w:p>
    <w:p w14:paraId="5663D992" w14:textId="77777777" w:rsidR="005A2D50" w:rsidRPr="005A2D50" w:rsidRDefault="005A2D50" w:rsidP="005A2D50">
      <w:pPr>
        <w:pStyle w:val="BodyText"/>
        <w:numPr>
          <w:ilvl w:val="6"/>
          <w:numId w:val="50"/>
        </w:numPr>
        <w:tabs>
          <w:tab w:val="left" w:pos="851"/>
        </w:tabs>
        <w:ind w:left="284" w:firstLine="0"/>
        <w:rPr>
          <w:u w:val="single"/>
          <w:lang w:val="en-US"/>
        </w:rPr>
      </w:pPr>
      <w:r w:rsidRPr="005A2D50">
        <w:rPr>
          <w:u w:val="single"/>
          <w:lang w:val="en-US"/>
        </w:rPr>
        <w:t>Kipra (Kipras Centrālā banka)</w:t>
      </w:r>
    </w:p>
    <w:p w14:paraId="4F9E9280" w14:textId="77777777" w:rsidR="005A2D50" w:rsidRPr="005A2D50" w:rsidRDefault="005A2D50" w:rsidP="005A2D50">
      <w:pPr>
        <w:pStyle w:val="BodyText"/>
        <w:numPr>
          <w:ilvl w:val="6"/>
          <w:numId w:val="50"/>
        </w:numPr>
        <w:tabs>
          <w:tab w:val="left" w:pos="851"/>
        </w:tabs>
        <w:ind w:left="284" w:firstLine="0"/>
        <w:rPr>
          <w:u w:val="single"/>
          <w:lang w:val="en-US"/>
        </w:rPr>
      </w:pPr>
      <w:r w:rsidRPr="005A2D50">
        <w:rPr>
          <w:u w:val="single"/>
          <w:lang w:val="en-US"/>
        </w:rPr>
        <w:t xml:space="preserve">Čehijas Republika (Čehijas Valsts banka – </w:t>
      </w:r>
      <w:r w:rsidRPr="005A2D50">
        <w:rPr>
          <w:i/>
          <w:iCs/>
          <w:u w:val="single"/>
          <w:lang w:val="en-US"/>
        </w:rPr>
        <w:t>CNB</w:t>
      </w:r>
      <w:r w:rsidRPr="005A2D50">
        <w:rPr>
          <w:u w:val="single"/>
          <w:lang w:val="en-US"/>
        </w:rPr>
        <w:t>) – teksts angļu valodā</w:t>
      </w:r>
    </w:p>
    <w:p w14:paraId="116717E3" w14:textId="77777777" w:rsidR="005A2D50" w:rsidRPr="005A2D50" w:rsidRDefault="005A2D50" w:rsidP="005A2D50">
      <w:pPr>
        <w:pStyle w:val="BodyText"/>
        <w:numPr>
          <w:ilvl w:val="6"/>
          <w:numId w:val="50"/>
        </w:numPr>
        <w:tabs>
          <w:tab w:val="left" w:pos="851"/>
        </w:tabs>
        <w:ind w:left="284" w:firstLine="0"/>
        <w:rPr>
          <w:u w:val="single"/>
          <w:lang w:val="en-US"/>
        </w:rPr>
      </w:pPr>
      <w:r w:rsidRPr="005A2D50">
        <w:rPr>
          <w:u w:val="single"/>
          <w:lang w:val="en-US"/>
        </w:rPr>
        <w:t>Dānija (</w:t>
      </w:r>
      <w:r w:rsidRPr="005A2D50">
        <w:rPr>
          <w:i/>
          <w:iCs/>
          <w:u w:val="single"/>
          <w:lang w:val="en-US"/>
        </w:rPr>
        <w:t>Finanstilsynet</w:t>
      </w:r>
      <w:r w:rsidRPr="005A2D50">
        <w:rPr>
          <w:u w:val="single"/>
          <w:lang w:val="en-US"/>
        </w:rPr>
        <w:t>)</w:t>
      </w:r>
    </w:p>
    <w:p w14:paraId="3B0C1BB5" w14:textId="77777777" w:rsidR="005A2D50" w:rsidRPr="005A2D50" w:rsidRDefault="005A2D50" w:rsidP="005A2D50">
      <w:pPr>
        <w:pStyle w:val="BodyText"/>
        <w:numPr>
          <w:ilvl w:val="6"/>
          <w:numId w:val="50"/>
        </w:numPr>
        <w:tabs>
          <w:tab w:val="left" w:pos="851"/>
        </w:tabs>
        <w:ind w:left="284" w:firstLine="0"/>
        <w:rPr>
          <w:u w:val="single"/>
          <w:lang w:val="en-US"/>
        </w:rPr>
      </w:pPr>
      <w:r w:rsidRPr="005A2D50">
        <w:rPr>
          <w:u w:val="single"/>
          <w:lang w:val="en-US"/>
        </w:rPr>
        <w:t>Igaunija (Igaunijas finanšu uzraudzības iestāde)</w:t>
      </w:r>
    </w:p>
    <w:p w14:paraId="5A8FCA17" w14:textId="77777777" w:rsidR="005A2D50" w:rsidRPr="005A2D50" w:rsidRDefault="005A2D50" w:rsidP="005A2D50">
      <w:pPr>
        <w:pStyle w:val="BodyText"/>
        <w:numPr>
          <w:ilvl w:val="6"/>
          <w:numId w:val="50"/>
        </w:numPr>
        <w:tabs>
          <w:tab w:val="left" w:pos="851"/>
        </w:tabs>
        <w:ind w:left="284" w:firstLine="0"/>
        <w:rPr>
          <w:u w:val="single"/>
          <w:lang w:val="en-US"/>
        </w:rPr>
      </w:pPr>
      <w:r w:rsidRPr="005A2D50">
        <w:rPr>
          <w:u w:val="single"/>
          <w:lang w:val="en-US"/>
        </w:rPr>
        <w:t>Somija (</w:t>
      </w:r>
      <w:r w:rsidRPr="005A2D50">
        <w:rPr>
          <w:i/>
          <w:iCs/>
          <w:u w:val="single"/>
          <w:lang w:val="en-US"/>
        </w:rPr>
        <w:t>Finanssivalvonta</w:t>
      </w:r>
      <w:r w:rsidRPr="005A2D50">
        <w:rPr>
          <w:u w:val="single"/>
          <w:lang w:val="en-US"/>
        </w:rPr>
        <w:t>)</w:t>
      </w:r>
    </w:p>
    <w:p w14:paraId="5948BE4E" w14:textId="77777777" w:rsidR="005A2D50" w:rsidRPr="005A2D50" w:rsidRDefault="005A2D50" w:rsidP="005A2D50">
      <w:pPr>
        <w:pStyle w:val="BodyText"/>
        <w:numPr>
          <w:ilvl w:val="6"/>
          <w:numId w:val="50"/>
        </w:numPr>
        <w:tabs>
          <w:tab w:val="left" w:pos="851"/>
        </w:tabs>
        <w:ind w:left="284" w:firstLine="0"/>
        <w:rPr>
          <w:u w:val="single"/>
          <w:lang w:val="en-US"/>
        </w:rPr>
      </w:pPr>
      <w:r w:rsidRPr="005A2D50">
        <w:rPr>
          <w:u w:val="single"/>
          <w:lang w:val="en-US"/>
        </w:rPr>
        <w:t>Francija (</w:t>
      </w:r>
      <w:r w:rsidRPr="005A2D50">
        <w:rPr>
          <w:i/>
          <w:iCs/>
          <w:u w:val="single"/>
          <w:lang w:val="en-US"/>
        </w:rPr>
        <w:t xml:space="preserve">ACPR </w:t>
      </w:r>
      <w:r w:rsidRPr="005A2D50">
        <w:rPr>
          <w:u w:val="single"/>
          <w:lang w:val="en-US"/>
        </w:rPr>
        <w:t>“</w:t>
      </w:r>
      <w:r w:rsidRPr="005A2D50">
        <w:rPr>
          <w:i/>
          <w:iCs/>
          <w:u w:val="single"/>
          <w:lang w:val="en-US"/>
        </w:rPr>
        <w:t>Autorité de contrôle prudentiel et de résolution</w:t>
      </w:r>
      <w:r w:rsidRPr="005A2D50">
        <w:rPr>
          <w:u w:val="single"/>
          <w:lang w:val="en-US"/>
        </w:rPr>
        <w:t>”)</w:t>
      </w:r>
    </w:p>
    <w:p w14:paraId="56B98A08" w14:textId="77777777" w:rsidR="005A2D50" w:rsidRPr="005A2D50" w:rsidRDefault="005A2D50" w:rsidP="005A2D50">
      <w:pPr>
        <w:pStyle w:val="BodyText"/>
        <w:numPr>
          <w:ilvl w:val="6"/>
          <w:numId w:val="50"/>
        </w:numPr>
        <w:tabs>
          <w:tab w:val="left" w:pos="851"/>
        </w:tabs>
        <w:ind w:left="284" w:firstLine="0"/>
        <w:rPr>
          <w:u w:val="single"/>
          <w:lang w:val="en-US"/>
        </w:rPr>
      </w:pPr>
      <w:r w:rsidRPr="005A2D50">
        <w:rPr>
          <w:u w:val="single"/>
          <w:lang w:val="en-US"/>
        </w:rPr>
        <w:t>Vācija (</w:t>
      </w:r>
      <w:r w:rsidRPr="005A2D50">
        <w:rPr>
          <w:i/>
          <w:iCs/>
          <w:u w:val="single"/>
          <w:lang w:val="en-US"/>
        </w:rPr>
        <w:t>BaFin</w:t>
      </w:r>
      <w:r w:rsidRPr="005A2D50">
        <w:rPr>
          <w:u w:val="single"/>
          <w:lang w:val="en-US"/>
        </w:rPr>
        <w:t>)</w:t>
      </w:r>
    </w:p>
    <w:p w14:paraId="26F12AA0" w14:textId="77777777" w:rsidR="005A2D50" w:rsidRPr="005A2D50" w:rsidRDefault="005A2D50" w:rsidP="005A2D50">
      <w:pPr>
        <w:pStyle w:val="BodyText"/>
        <w:numPr>
          <w:ilvl w:val="6"/>
          <w:numId w:val="50"/>
        </w:numPr>
        <w:tabs>
          <w:tab w:val="left" w:pos="851"/>
        </w:tabs>
        <w:ind w:left="284" w:firstLine="0"/>
        <w:rPr>
          <w:u w:val="single"/>
          <w:lang w:val="en-US"/>
        </w:rPr>
      </w:pPr>
      <w:r w:rsidRPr="005A2D50">
        <w:rPr>
          <w:u w:val="single"/>
          <w:lang w:val="en-US"/>
        </w:rPr>
        <w:t>Grieķija (Grieķijas banka)</w:t>
      </w:r>
    </w:p>
    <w:p w14:paraId="0CFD0E2D" w14:textId="77777777" w:rsidR="005A2D50" w:rsidRPr="005A2D50" w:rsidRDefault="005A2D50" w:rsidP="005A2D50">
      <w:pPr>
        <w:pStyle w:val="BodyText"/>
        <w:numPr>
          <w:ilvl w:val="6"/>
          <w:numId w:val="50"/>
        </w:numPr>
        <w:tabs>
          <w:tab w:val="left" w:pos="851"/>
        </w:tabs>
        <w:ind w:left="284" w:firstLine="0"/>
        <w:rPr>
          <w:u w:val="single"/>
          <w:lang w:val="en-US"/>
        </w:rPr>
      </w:pPr>
      <w:r w:rsidRPr="005A2D50">
        <w:rPr>
          <w:u w:val="single"/>
          <w:lang w:val="en-US"/>
        </w:rPr>
        <w:t>Ungārija (Ungārijas Centrālā banka) – teksts angļu valodā</w:t>
      </w:r>
    </w:p>
    <w:p w14:paraId="631583DA" w14:textId="77777777" w:rsidR="005A2D50" w:rsidRPr="005A2D50" w:rsidRDefault="005A2D50" w:rsidP="005A2D50">
      <w:pPr>
        <w:pStyle w:val="BodyText"/>
        <w:numPr>
          <w:ilvl w:val="6"/>
          <w:numId w:val="50"/>
        </w:numPr>
        <w:tabs>
          <w:tab w:val="left" w:pos="851"/>
        </w:tabs>
        <w:ind w:left="284" w:firstLine="0"/>
        <w:rPr>
          <w:u w:val="single"/>
          <w:lang w:val="en-US"/>
        </w:rPr>
      </w:pPr>
      <w:r w:rsidRPr="005A2D50">
        <w:rPr>
          <w:u w:val="single"/>
          <w:lang w:val="en-US"/>
        </w:rPr>
        <w:t>Īrija (Īrijas Centrālā Banka)</w:t>
      </w:r>
    </w:p>
    <w:p w14:paraId="4B70222E" w14:textId="77777777" w:rsidR="005A2D50" w:rsidRPr="005A2D50" w:rsidRDefault="005A2D50" w:rsidP="005A2D50">
      <w:pPr>
        <w:pStyle w:val="BodyText"/>
        <w:numPr>
          <w:ilvl w:val="6"/>
          <w:numId w:val="50"/>
        </w:numPr>
        <w:tabs>
          <w:tab w:val="left" w:pos="851"/>
        </w:tabs>
        <w:ind w:left="284" w:firstLine="0"/>
        <w:rPr>
          <w:u w:val="single"/>
          <w:lang w:val="en-US"/>
        </w:rPr>
      </w:pPr>
      <w:r w:rsidRPr="005A2D50">
        <w:rPr>
          <w:u w:val="single"/>
          <w:lang w:val="en-US"/>
        </w:rPr>
        <w:t>Itālija (</w:t>
      </w:r>
      <w:r w:rsidRPr="005A2D50">
        <w:rPr>
          <w:i/>
          <w:iCs/>
          <w:u w:val="single"/>
          <w:lang w:val="en-US"/>
        </w:rPr>
        <w:t>Banca d'Italia</w:t>
      </w:r>
      <w:r w:rsidRPr="005A2D50">
        <w:rPr>
          <w:u w:val="single"/>
          <w:lang w:val="en-US"/>
        </w:rPr>
        <w:t>) – teksts angļu valodā</w:t>
      </w:r>
    </w:p>
    <w:p w14:paraId="27DC0C57" w14:textId="77777777" w:rsidR="005A2D50" w:rsidRPr="005A2D50" w:rsidRDefault="005A2D50" w:rsidP="005A2D50">
      <w:pPr>
        <w:pStyle w:val="BodyText"/>
        <w:numPr>
          <w:ilvl w:val="6"/>
          <w:numId w:val="50"/>
        </w:numPr>
        <w:tabs>
          <w:tab w:val="left" w:pos="851"/>
        </w:tabs>
        <w:ind w:left="284" w:firstLine="0"/>
        <w:rPr>
          <w:u w:val="single"/>
          <w:lang w:val="en-US"/>
        </w:rPr>
      </w:pPr>
      <w:r w:rsidRPr="005A2D50">
        <w:rPr>
          <w:u w:val="single"/>
          <w:lang w:val="en-US"/>
        </w:rPr>
        <w:t>Latvija (Finanšu un kapitāla tirgus komisija)</w:t>
      </w:r>
    </w:p>
    <w:p w14:paraId="3FD21FFA" w14:textId="77777777" w:rsidR="005A2D50" w:rsidRPr="005A2D50" w:rsidRDefault="005A2D50" w:rsidP="005A2D50">
      <w:pPr>
        <w:pStyle w:val="BodyText"/>
        <w:numPr>
          <w:ilvl w:val="6"/>
          <w:numId w:val="50"/>
        </w:numPr>
        <w:tabs>
          <w:tab w:val="left" w:pos="851"/>
        </w:tabs>
        <w:ind w:left="284" w:firstLine="0"/>
        <w:rPr>
          <w:u w:val="single"/>
          <w:lang w:val="en-US"/>
        </w:rPr>
      </w:pPr>
      <w:r w:rsidRPr="005A2D50">
        <w:rPr>
          <w:u w:val="single"/>
          <w:lang w:val="en-US"/>
        </w:rPr>
        <w:t>Lietuva (Lietuvas Centrālā banka)</w:t>
      </w:r>
    </w:p>
    <w:p w14:paraId="7B218066" w14:textId="77777777" w:rsidR="005A2D50" w:rsidRPr="005A2D50" w:rsidRDefault="005A2D50" w:rsidP="005A2D50">
      <w:pPr>
        <w:pStyle w:val="BodyText"/>
        <w:numPr>
          <w:ilvl w:val="6"/>
          <w:numId w:val="50"/>
        </w:numPr>
        <w:tabs>
          <w:tab w:val="left" w:pos="851"/>
        </w:tabs>
        <w:ind w:left="284" w:firstLine="0"/>
        <w:rPr>
          <w:u w:val="single"/>
          <w:lang w:val="en-US"/>
        </w:rPr>
      </w:pPr>
      <w:r w:rsidRPr="005A2D50">
        <w:rPr>
          <w:u w:val="single"/>
          <w:lang w:val="en-US"/>
        </w:rPr>
        <w:t>Luksemburga (</w:t>
      </w:r>
      <w:r w:rsidRPr="005A2D50">
        <w:rPr>
          <w:i/>
          <w:iCs/>
          <w:u w:val="single"/>
          <w:lang w:val="en-US"/>
        </w:rPr>
        <w:t>CSSF</w:t>
      </w:r>
      <w:r w:rsidRPr="005A2D50">
        <w:rPr>
          <w:u w:val="single"/>
          <w:lang w:val="en-US"/>
        </w:rPr>
        <w:t>) – teksts angļu valodā</w:t>
      </w:r>
    </w:p>
    <w:p w14:paraId="4F47CD4D" w14:textId="77777777" w:rsidR="005A2D50" w:rsidRPr="005A2D50" w:rsidRDefault="005A2D50" w:rsidP="005A2D50">
      <w:pPr>
        <w:pStyle w:val="BodyText"/>
        <w:numPr>
          <w:ilvl w:val="6"/>
          <w:numId w:val="50"/>
        </w:numPr>
        <w:tabs>
          <w:tab w:val="left" w:pos="851"/>
        </w:tabs>
        <w:ind w:left="284" w:firstLine="0"/>
        <w:rPr>
          <w:u w:val="single"/>
          <w:lang w:val="en-US"/>
        </w:rPr>
      </w:pPr>
      <w:r w:rsidRPr="005A2D50">
        <w:rPr>
          <w:u w:val="single"/>
          <w:lang w:val="en-US"/>
        </w:rPr>
        <w:t>Malta (Finanšu pakalpojumu iestāde)</w:t>
      </w:r>
    </w:p>
    <w:p w14:paraId="109BF3BE" w14:textId="77777777" w:rsidR="005A2D50" w:rsidRPr="005A2D50" w:rsidRDefault="005A2D50" w:rsidP="005A2D50">
      <w:pPr>
        <w:pStyle w:val="BodyText"/>
        <w:numPr>
          <w:ilvl w:val="6"/>
          <w:numId w:val="50"/>
        </w:numPr>
        <w:tabs>
          <w:tab w:val="left" w:pos="851"/>
        </w:tabs>
        <w:ind w:left="284" w:firstLine="0"/>
        <w:rPr>
          <w:u w:val="single"/>
          <w:lang w:val="en-US"/>
        </w:rPr>
      </w:pPr>
      <w:r w:rsidRPr="005A2D50">
        <w:rPr>
          <w:u w:val="single"/>
          <w:lang w:val="en-US"/>
        </w:rPr>
        <w:t>Nīderlande (</w:t>
      </w:r>
      <w:r w:rsidRPr="005A2D50">
        <w:rPr>
          <w:i/>
          <w:iCs/>
          <w:u w:val="single"/>
          <w:lang w:val="en-US"/>
        </w:rPr>
        <w:t>De Nederlandsche Bank NV</w:t>
      </w:r>
      <w:r w:rsidRPr="005A2D50">
        <w:rPr>
          <w:u w:val="single"/>
          <w:lang w:val="en-US"/>
        </w:rPr>
        <w:t>) – teksts angļu valodā</w:t>
      </w:r>
    </w:p>
    <w:p w14:paraId="49E281A9" w14:textId="77777777" w:rsidR="005A2D50" w:rsidRPr="005A2D50" w:rsidRDefault="005A2D50" w:rsidP="005A2D50">
      <w:pPr>
        <w:pStyle w:val="BodyText"/>
        <w:numPr>
          <w:ilvl w:val="6"/>
          <w:numId w:val="50"/>
        </w:numPr>
        <w:tabs>
          <w:tab w:val="left" w:pos="851"/>
        </w:tabs>
        <w:ind w:left="284" w:firstLine="0"/>
        <w:rPr>
          <w:u w:val="single"/>
          <w:lang w:val="en-US"/>
        </w:rPr>
      </w:pPr>
      <w:r w:rsidRPr="005A2D50">
        <w:rPr>
          <w:u w:val="single"/>
          <w:lang w:val="en-US"/>
        </w:rPr>
        <w:t>Polija (Polijas Finanšu uzraudzības iestāde) – teksts angļu valodā</w:t>
      </w:r>
    </w:p>
    <w:p w14:paraId="11950EBB" w14:textId="77777777" w:rsidR="005A2D50" w:rsidRPr="005A2D50" w:rsidRDefault="005A2D50" w:rsidP="005A2D50">
      <w:pPr>
        <w:pStyle w:val="BodyText"/>
        <w:numPr>
          <w:ilvl w:val="6"/>
          <w:numId w:val="50"/>
        </w:numPr>
        <w:tabs>
          <w:tab w:val="left" w:pos="851"/>
        </w:tabs>
        <w:ind w:left="284" w:firstLine="0"/>
        <w:rPr>
          <w:u w:val="single"/>
          <w:lang w:val="en-US"/>
        </w:rPr>
      </w:pPr>
      <w:r w:rsidRPr="005A2D50">
        <w:rPr>
          <w:u w:val="single"/>
          <w:lang w:val="en-US"/>
        </w:rPr>
        <w:t>Portugāle (</w:t>
      </w:r>
      <w:r w:rsidRPr="005A2D50">
        <w:rPr>
          <w:i/>
          <w:iCs/>
          <w:u w:val="single"/>
          <w:lang w:val="en-US"/>
        </w:rPr>
        <w:t>Banco de Portugal</w:t>
      </w:r>
      <w:r w:rsidRPr="005A2D50">
        <w:rPr>
          <w:u w:val="single"/>
          <w:lang w:val="en-US"/>
        </w:rPr>
        <w:t>)</w:t>
      </w:r>
    </w:p>
    <w:p w14:paraId="1E62E9B6" w14:textId="77777777" w:rsidR="005A2D50" w:rsidRPr="005A2D50" w:rsidRDefault="005A2D50" w:rsidP="005A2D50">
      <w:pPr>
        <w:pStyle w:val="BodyText"/>
        <w:numPr>
          <w:ilvl w:val="6"/>
          <w:numId w:val="50"/>
        </w:numPr>
        <w:tabs>
          <w:tab w:val="left" w:pos="851"/>
        </w:tabs>
        <w:ind w:left="284" w:firstLine="0"/>
        <w:rPr>
          <w:u w:val="single"/>
          <w:lang w:val="en-US"/>
        </w:rPr>
      </w:pPr>
      <w:r w:rsidRPr="005A2D50">
        <w:rPr>
          <w:u w:val="single"/>
          <w:lang w:val="en-US"/>
        </w:rPr>
        <w:t>Rumānija (Rumānijas Valsts banka) – teksts angļu valodā</w:t>
      </w:r>
    </w:p>
    <w:p w14:paraId="53ACB36C" w14:textId="77777777" w:rsidR="005A2D50" w:rsidRPr="005A2D50" w:rsidRDefault="005A2D50" w:rsidP="005A2D50">
      <w:pPr>
        <w:pStyle w:val="BodyText"/>
        <w:numPr>
          <w:ilvl w:val="6"/>
          <w:numId w:val="50"/>
        </w:numPr>
        <w:tabs>
          <w:tab w:val="left" w:pos="851"/>
        </w:tabs>
        <w:ind w:left="284" w:firstLine="0"/>
        <w:rPr>
          <w:u w:val="single"/>
          <w:lang w:val="en-US"/>
        </w:rPr>
      </w:pPr>
      <w:r w:rsidRPr="005A2D50">
        <w:rPr>
          <w:u w:val="single"/>
          <w:lang w:val="en-US"/>
        </w:rPr>
        <w:t>Slovākijas Republika (Slovākijas Centrālā banka) – teksts angļu valodā</w:t>
      </w:r>
    </w:p>
    <w:p w14:paraId="236C1AF1" w14:textId="77777777" w:rsidR="005A2D50" w:rsidRPr="005A2D50" w:rsidRDefault="005A2D50" w:rsidP="005A2D50">
      <w:pPr>
        <w:pStyle w:val="BodyText"/>
        <w:numPr>
          <w:ilvl w:val="6"/>
          <w:numId w:val="50"/>
        </w:numPr>
        <w:tabs>
          <w:tab w:val="left" w:pos="851"/>
        </w:tabs>
        <w:ind w:left="284" w:firstLine="0"/>
        <w:rPr>
          <w:u w:val="single"/>
          <w:lang w:val="en-US"/>
        </w:rPr>
      </w:pPr>
      <w:r w:rsidRPr="005A2D50">
        <w:rPr>
          <w:u w:val="single"/>
          <w:lang w:val="en-US"/>
        </w:rPr>
        <w:t>Slovēnija (Slovēnijas Banka) – teksts angļu valodā</w:t>
      </w:r>
    </w:p>
    <w:p w14:paraId="055247D3" w14:textId="77777777" w:rsidR="005A2D50" w:rsidRPr="005A2D50" w:rsidRDefault="005A2D50" w:rsidP="005A2D50">
      <w:pPr>
        <w:pStyle w:val="BodyText"/>
        <w:numPr>
          <w:ilvl w:val="6"/>
          <w:numId w:val="50"/>
        </w:numPr>
        <w:tabs>
          <w:tab w:val="left" w:pos="851"/>
        </w:tabs>
        <w:ind w:left="284" w:firstLine="0"/>
        <w:rPr>
          <w:u w:val="single"/>
          <w:lang w:val="en-US"/>
        </w:rPr>
      </w:pPr>
      <w:r w:rsidRPr="005A2D50">
        <w:rPr>
          <w:u w:val="single"/>
          <w:lang w:val="en-US"/>
        </w:rPr>
        <w:t>Spānija (</w:t>
      </w:r>
      <w:r w:rsidRPr="005A2D50">
        <w:rPr>
          <w:i/>
          <w:iCs/>
          <w:u w:val="single"/>
          <w:lang w:val="en-US"/>
        </w:rPr>
        <w:t>Banco de Espana</w:t>
      </w:r>
      <w:r w:rsidRPr="005A2D50">
        <w:rPr>
          <w:u w:val="single"/>
          <w:lang w:val="en-US"/>
        </w:rPr>
        <w:t>) – teksts angļu valodā</w:t>
      </w:r>
    </w:p>
    <w:p w14:paraId="409A2CF0" w14:textId="77777777" w:rsidR="005A2D50" w:rsidRPr="005A2D50" w:rsidRDefault="005A2D50" w:rsidP="005A2D50">
      <w:pPr>
        <w:pStyle w:val="BodyText"/>
        <w:numPr>
          <w:ilvl w:val="6"/>
          <w:numId w:val="50"/>
        </w:numPr>
        <w:tabs>
          <w:tab w:val="left" w:pos="851"/>
        </w:tabs>
        <w:ind w:left="284" w:firstLine="0"/>
        <w:rPr>
          <w:u w:val="single"/>
          <w:lang w:val="en-US"/>
        </w:rPr>
      </w:pPr>
      <w:r w:rsidRPr="005A2D50">
        <w:rPr>
          <w:u w:val="single"/>
          <w:lang w:val="en-US"/>
        </w:rPr>
        <w:t>Zviedrija (</w:t>
      </w:r>
      <w:r w:rsidRPr="005A2D50">
        <w:rPr>
          <w:i/>
          <w:iCs/>
          <w:u w:val="single"/>
          <w:lang w:val="en-US"/>
        </w:rPr>
        <w:t>Finansinspektionen</w:t>
      </w:r>
      <w:r w:rsidRPr="005A2D50">
        <w:rPr>
          <w:u w:val="single"/>
          <w:lang w:val="en-US"/>
        </w:rPr>
        <w:t>) – teksts angļu valodā</w:t>
      </w:r>
    </w:p>
    <w:p w14:paraId="75BAD15F" w14:textId="77777777" w:rsidR="005A2D50" w:rsidRPr="005A2D50" w:rsidRDefault="005A2D50" w:rsidP="005A2D50">
      <w:pPr>
        <w:pStyle w:val="BodyText"/>
        <w:numPr>
          <w:ilvl w:val="6"/>
          <w:numId w:val="50"/>
        </w:numPr>
        <w:tabs>
          <w:tab w:val="left" w:pos="851"/>
        </w:tabs>
        <w:ind w:left="284" w:firstLine="0"/>
        <w:rPr>
          <w:u w:val="single"/>
          <w:lang w:val="en-US"/>
        </w:rPr>
      </w:pPr>
      <w:r w:rsidRPr="005A2D50">
        <w:rPr>
          <w:u w:val="single"/>
          <w:lang w:val="en-US"/>
        </w:rPr>
        <w:t>Apvienotā Karaliste (Anglijas Banka – Uzraudzības noteikumu iestāde)</w:t>
      </w:r>
    </w:p>
    <w:p w14:paraId="1AFF0FB7" w14:textId="77777777" w:rsidR="005A2D50" w:rsidRPr="005A2D50" w:rsidRDefault="005A2D50" w:rsidP="005A2D50">
      <w:pPr>
        <w:jc w:val="both"/>
        <w:rPr>
          <w:rFonts w:ascii="Times New Roman" w:eastAsia="Times New Roman" w:hAnsi="Times New Roman" w:cs="Times New Roman"/>
          <w:noProof/>
          <w:sz w:val="24"/>
          <w:szCs w:val="24"/>
          <w:lang w:val="en-US"/>
        </w:rPr>
      </w:pPr>
    </w:p>
    <w:p w14:paraId="460AB007" w14:textId="77777777" w:rsidR="005A2D50" w:rsidRPr="005A2D50" w:rsidRDefault="005A2D50" w:rsidP="005A2D50">
      <w:pPr>
        <w:pStyle w:val="Heading2"/>
        <w:rPr>
          <w:noProof/>
          <w:lang w:val="en-US"/>
        </w:rPr>
      </w:pPr>
      <w:bookmarkStart w:id="67" w:name="III.2.2.1.2._Other_registers"/>
      <w:bookmarkStart w:id="68" w:name="_bookmark21"/>
      <w:bookmarkStart w:id="69" w:name="_Toc104982779"/>
      <w:bookmarkEnd w:id="67"/>
      <w:bookmarkEnd w:id="68"/>
      <w:r w:rsidRPr="005A2D50">
        <w:rPr>
          <w:noProof/>
          <w:lang w:val="en-US"/>
        </w:rPr>
        <w:t>III.2.2.1.2. Citi reģistri</w:t>
      </w:r>
      <w:bookmarkEnd w:id="69"/>
    </w:p>
    <w:p w14:paraId="230FE080"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33244DD1" w14:textId="77777777" w:rsidR="005A2D50" w:rsidRPr="005A2D50" w:rsidRDefault="005A2D50" w:rsidP="005A2D50">
      <w:pPr>
        <w:pStyle w:val="BodyText"/>
        <w:numPr>
          <w:ilvl w:val="5"/>
          <w:numId w:val="49"/>
        </w:numPr>
        <w:tabs>
          <w:tab w:val="left" w:pos="851"/>
        </w:tabs>
        <w:ind w:left="284" w:firstLine="0"/>
        <w:rPr>
          <w:lang w:val="en-US"/>
        </w:rPr>
      </w:pPr>
      <w:r w:rsidRPr="005A2D50">
        <w:rPr>
          <w:lang w:val="en-US"/>
        </w:rPr>
        <w:t>EVTI ieguldījumu sabiedrību reģistrs</w:t>
      </w:r>
    </w:p>
    <w:p w14:paraId="12CA1110" w14:textId="77777777" w:rsidR="005A2D50" w:rsidRPr="005A2D50" w:rsidRDefault="005A2D50" w:rsidP="005A2D50">
      <w:pPr>
        <w:numPr>
          <w:ilvl w:val="5"/>
          <w:numId w:val="49"/>
        </w:numPr>
        <w:tabs>
          <w:tab w:val="left" w:pos="851"/>
        </w:tabs>
        <w:ind w:left="284" w:firstLine="0"/>
        <w:jc w:val="both"/>
        <w:rPr>
          <w:rFonts w:ascii="Times New Roman" w:hAnsi="Times New Roman"/>
          <w:noProof/>
          <w:sz w:val="24"/>
          <w:lang w:val="en-US"/>
        </w:rPr>
      </w:pPr>
      <w:r w:rsidRPr="005A2D50">
        <w:rPr>
          <w:rFonts w:ascii="Times New Roman" w:hAnsi="Times New Roman"/>
          <w:noProof/>
          <w:sz w:val="24"/>
          <w:lang w:val="en-US"/>
        </w:rPr>
        <w:t>EAAPI apdrošināšanas sabiedrību reģistrs</w:t>
      </w:r>
    </w:p>
    <w:p w14:paraId="6CFD46E3" w14:textId="77777777" w:rsidR="005A2D50" w:rsidRPr="005A2D50" w:rsidRDefault="005A2D50" w:rsidP="005A2D50">
      <w:pPr>
        <w:pStyle w:val="BodyText"/>
        <w:rPr>
          <w:lang w:val="en-US"/>
        </w:rPr>
      </w:pPr>
    </w:p>
    <w:p w14:paraId="4B955585" w14:textId="77777777" w:rsidR="005A2D50" w:rsidRPr="005A2D50" w:rsidRDefault="005A2D50" w:rsidP="005A2D50">
      <w:pPr>
        <w:pStyle w:val="BodyText"/>
        <w:rPr>
          <w:lang w:val="en-US"/>
        </w:rPr>
      </w:pPr>
      <w:r w:rsidRPr="005A2D50">
        <w:rPr>
          <w:lang w:val="en-US"/>
        </w:rPr>
        <w:t>Lai noteiktu, vai kredītiestāde, finanšu iestāde vai apdrošināšanas sabiedrība ir akreditēta Savienībā saskaņā ar spēkā esošiem Savienības noteikumiem, muitas dienestam iesaka sazināties ar savu valsts kompetento iestādi, kas atbild par akreditāciju to dalībvalstī (parasti valsts centrālā banka vai līdzvērtīga iestāde).</w:t>
      </w:r>
    </w:p>
    <w:p w14:paraId="3AFEAE40" w14:textId="77777777" w:rsidR="005A2D50" w:rsidRPr="005A2D50" w:rsidRDefault="005A2D50" w:rsidP="005A2D50">
      <w:pPr>
        <w:pStyle w:val="BodyText"/>
        <w:rPr>
          <w:lang w:val="en-US"/>
        </w:rPr>
      </w:pPr>
    </w:p>
    <w:p w14:paraId="576FAC68" w14:textId="77777777" w:rsidR="005A2D50" w:rsidRPr="005A2D50" w:rsidRDefault="005A2D50" w:rsidP="005A2D50">
      <w:pPr>
        <w:pStyle w:val="BodyText"/>
        <w:rPr>
          <w:b/>
          <w:bCs/>
          <w:lang w:val="en-US"/>
        </w:rPr>
      </w:pPr>
      <w:bookmarkStart w:id="70" w:name="III.2.2.2._Other_guarantors"/>
      <w:bookmarkEnd w:id="70"/>
      <w:r w:rsidRPr="005A2D50">
        <w:rPr>
          <w:b/>
          <w:bCs/>
          <w:lang w:val="en-US"/>
        </w:rPr>
        <w:t>III.2.2.2. Citi galvinieki</w:t>
      </w:r>
    </w:p>
    <w:p w14:paraId="723605D8"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1D8B172C" w14:textId="77777777" w:rsidR="005A2D50" w:rsidRPr="005A2D50" w:rsidRDefault="005A2D50" w:rsidP="005A2D50">
      <w:pPr>
        <w:pStyle w:val="BodyText"/>
        <w:rPr>
          <w:lang w:val="en-US"/>
        </w:rPr>
      </w:pPr>
      <w:r w:rsidRPr="005A2D50">
        <w:rPr>
          <w:lang w:val="en-US"/>
        </w:rPr>
        <w:t>Muitas dienests var atteikties apstiprināt galvinieku, ja izrādās, ka noteiktajā termiņā nevar nodrošināt muitas parādam atbilstīgās ievedmuitas vai izvedmuitas nodokļa summas un citu maksājumu samaksu.</w:t>
      </w:r>
    </w:p>
    <w:p w14:paraId="7C04B571" w14:textId="77777777" w:rsidR="005A2D50" w:rsidRPr="005A2D50" w:rsidRDefault="005A2D50" w:rsidP="005A2D50">
      <w:pPr>
        <w:pStyle w:val="BodyText"/>
        <w:rPr>
          <w:lang w:val="en-US"/>
        </w:rPr>
      </w:pPr>
      <w:r w:rsidRPr="005A2D50">
        <w:rPr>
          <w:lang w:val="en-US"/>
        </w:rPr>
        <w:t>Muitas dienests var atsaukt lēmumu par galvinieka apstiprināšanu. Lēmums par atsaukšanu stājas spēkā sešpadsmitajā dienā pēc dienas, kad galvinieks ir to saņēmis vai ir uzskatāms, ka galvinieks ir to saņēmis.</w:t>
      </w:r>
    </w:p>
    <w:p w14:paraId="5BB1B4AC" w14:textId="77777777" w:rsidR="005A2D50" w:rsidRPr="005A2D50" w:rsidRDefault="005A2D50" w:rsidP="005A2D50">
      <w:pPr>
        <w:pStyle w:val="BodyText"/>
        <w:rPr>
          <w:lang w:val="en-US"/>
        </w:rPr>
      </w:pPr>
    </w:p>
    <w:p w14:paraId="4B6D17CE" w14:textId="77777777" w:rsidR="005A2D50" w:rsidRPr="005A2D50" w:rsidRDefault="005A2D50" w:rsidP="005A2D50">
      <w:pPr>
        <w:pStyle w:val="Heading1"/>
        <w:rPr>
          <w:noProof/>
          <w:lang w:val="en-US"/>
        </w:rPr>
      </w:pPr>
      <w:bookmarkStart w:id="71" w:name="III.3._Other_forms_of_guarantee_providin"/>
      <w:bookmarkStart w:id="72" w:name="_bookmark22"/>
      <w:bookmarkStart w:id="73" w:name="_Toc104982780"/>
      <w:bookmarkEnd w:id="71"/>
      <w:bookmarkEnd w:id="72"/>
      <w:r w:rsidRPr="005A2D50">
        <w:rPr>
          <w:noProof/>
          <w:lang w:val="en-US"/>
        </w:rPr>
        <w:t>III.3. Citi galvojuma veidi, kas nodrošina līdzvērtīgu garantiju (SMK 92. panta 1. punkta c) apakšpunkts)</w:t>
      </w:r>
      <w:bookmarkEnd w:id="73"/>
    </w:p>
    <w:p w14:paraId="33371433"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630EC49D" w14:textId="77777777" w:rsidR="005A2D50" w:rsidRPr="005A2D50" w:rsidRDefault="005A2D50" w:rsidP="005A2D50">
      <w:pPr>
        <w:pStyle w:val="BodyText"/>
        <w:rPr>
          <w:lang w:val="en-US"/>
        </w:rPr>
      </w:pPr>
      <w:r w:rsidRPr="005A2D50">
        <w:rPr>
          <w:lang w:val="en-US"/>
        </w:rPr>
        <w:t>Citi galvojuma veidi, ko var izmantot saskaņā ar SMK 92. panta 1. punkta c) apakšpunktu, ir uzskaitīti SMK DA 83. panta 1. punkta a)–e) apakšpunktā.</w:t>
      </w:r>
    </w:p>
    <w:p w14:paraId="48999DF1" w14:textId="77777777" w:rsidR="005A2D50" w:rsidRPr="005A2D50" w:rsidRDefault="005A2D50" w:rsidP="005A2D50">
      <w:pPr>
        <w:pStyle w:val="BodyText"/>
        <w:rPr>
          <w:lang w:val="en-US"/>
        </w:rPr>
      </w:pPr>
      <w:r w:rsidRPr="005A2D50">
        <w:rPr>
          <w:lang w:val="en-US"/>
        </w:rPr>
        <w:t>Attiecīgajam muitas dienestam jāpieņem šie galvojuma veidi, ciktāl tos pieņem arī saskaņā ar valsts tiesību aktiem. Kā noteikts SMK DA 83. panta 2. punktā, šos galvojuma veidus nepieņem, lai precēm piemērotu tranzīta procedūru.</w:t>
      </w:r>
    </w:p>
    <w:p w14:paraId="484CF766" w14:textId="77777777" w:rsidR="005A2D50" w:rsidRPr="005A2D50" w:rsidRDefault="005A2D50" w:rsidP="005A2D50">
      <w:pPr>
        <w:pStyle w:val="BodyText"/>
        <w:rPr>
          <w:lang w:val="en-US"/>
        </w:rPr>
      </w:pPr>
      <w:r w:rsidRPr="005A2D50">
        <w:rPr>
          <w:lang w:val="en-US"/>
        </w:rPr>
        <w:t>Dalībvalsts, kurā ir radies muitas parāds, ir atbildīga par muitas parāda atgūšanu. Dalībvalsts, kas ir atbildīga par tāda galvojuma pieņemšanu, kas ir spēkā vairāk nekā vienā dalībvalstī un ir nodrošināts vienā no SMK DA 83. panta 1. punktā minētajiem veidiem, muitas parāda summu, kas ir radusies citā dalībvalstī, pārskaita 1 mēneša laikā pēc pieprasījuma saņemšanas, ko nosūtījusi attiecīgā dalībvalsts. Šāds pieprasījums pēdējai minētajai dalībvalstij jānosūta pēc parādniekam noteiktā maksājuma termiņa beigām, ja muitas parāds nav samaksāts. Saskaņā ar SMK ĪA 153. pantu pārskaitītā summa atbilst attiecīgajai galvojuma summai, kas sedz nesamaksāto muitas parādu. Šajā gadījumā uz citu maksājumu atgūšanu neattiecas SMK ĪA 153. pants, bet gan ar nodokļiem saistītais tiesiskais regulējums.</w:t>
      </w:r>
    </w:p>
    <w:p w14:paraId="4BBBDD85" w14:textId="77777777" w:rsidR="005A2D50" w:rsidRPr="005A2D50" w:rsidRDefault="005A2D50" w:rsidP="005A2D50">
      <w:pPr>
        <w:jc w:val="both"/>
        <w:rPr>
          <w:rFonts w:ascii="Times New Roman" w:eastAsia="Times New Roman" w:hAnsi="Times New Roman" w:cs="Times New Roman"/>
          <w:noProof/>
          <w:sz w:val="24"/>
          <w:szCs w:val="24"/>
          <w:lang w:val="en-US"/>
        </w:rPr>
      </w:pPr>
    </w:p>
    <w:p w14:paraId="012E0C84" w14:textId="77777777" w:rsidR="005A2D50" w:rsidRPr="005A2D50" w:rsidRDefault="005A2D50" w:rsidP="005A2D50">
      <w:pPr>
        <w:pStyle w:val="Heading1"/>
        <w:keepNext/>
        <w:keepLines/>
        <w:rPr>
          <w:noProof/>
          <w:lang w:val="en-US"/>
        </w:rPr>
      </w:pPr>
      <w:bookmarkStart w:id="74" w:name="IV._Specific_provisions_for_the_cases_wh"/>
      <w:bookmarkStart w:id="75" w:name="_bookmark23"/>
      <w:bookmarkStart w:id="76" w:name="_Toc104982781"/>
      <w:bookmarkEnd w:id="74"/>
      <w:bookmarkEnd w:id="75"/>
      <w:r w:rsidRPr="005A2D50">
        <w:rPr>
          <w:noProof/>
          <w:lang w:val="en-US"/>
        </w:rPr>
        <w:t>IV. ĪPAŠI NOTEIKUMI GADĪJUMIEM, KAD SMK PAREDZ GALVOJUMA SNIEGŠANU</w:t>
      </w:r>
      <w:bookmarkEnd w:id="76"/>
    </w:p>
    <w:p w14:paraId="5EA2C538" w14:textId="77777777" w:rsidR="005A2D50" w:rsidRPr="005A2D50" w:rsidRDefault="005A2D50" w:rsidP="005A2D50">
      <w:pPr>
        <w:keepNext/>
        <w:keepLines/>
        <w:jc w:val="both"/>
        <w:rPr>
          <w:rFonts w:ascii="Times New Roman" w:eastAsia="Times New Roman" w:hAnsi="Times New Roman" w:cs="Times New Roman"/>
          <w:b/>
          <w:bCs/>
          <w:noProof/>
          <w:sz w:val="24"/>
          <w:szCs w:val="24"/>
          <w:lang w:val="en-US"/>
        </w:rPr>
      </w:pPr>
    </w:p>
    <w:p w14:paraId="2574E810" w14:textId="77777777" w:rsidR="005A2D50" w:rsidRPr="005A2D50" w:rsidRDefault="005A2D50" w:rsidP="005A2D50">
      <w:pPr>
        <w:pStyle w:val="BodyText"/>
        <w:keepNext/>
        <w:keepLines/>
        <w:rPr>
          <w:lang w:val="en-US"/>
        </w:rPr>
      </w:pPr>
      <w:r w:rsidRPr="005A2D50">
        <w:rPr>
          <w:lang w:val="en-US"/>
        </w:rPr>
        <w:t>SMK ietvaros galvojums pēc definīcijas ir instruments, kas parādniekam vai iespējamam parādniekam jāsniedz, lai nodrošinātu esošā vai iespējamā muitas parāda un citu maksājumu, ja piemērojami, samaksu.</w:t>
      </w:r>
    </w:p>
    <w:p w14:paraId="10F77047" w14:textId="77777777" w:rsidR="005A2D50" w:rsidRPr="005A2D50" w:rsidRDefault="005A2D50" w:rsidP="005A2D50">
      <w:pPr>
        <w:pStyle w:val="BodyText"/>
        <w:rPr>
          <w:lang w:val="en-US"/>
        </w:rPr>
      </w:pPr>
    </w:p>
    <w:p w14:paraId="7F9B0BB0" w14:textId="77777777" w:rsidR="005A2D50" w:rsidRPr="005A2D50" w:rsidRDefault="005A2D50" w:rsidP="005A2D50">
      <w:pPr>
        <w:pStyle w:val="Heading1"/>
        <w:rPr>
          <w:noProof/>
          <w:lang w:val="en-US"/>
        </w:rPr>
      </w:pPr>
      <w:bookmarkStart w:id="77" w:name="IV.1._Temporary_storage"/>
      <w:bookmarkStart w:id="78" w:name="_bookmark24"/>
      <w:bookmarkStart w:id="79" w:name="_Toc104982782"/>
      <w:bookmarkEnd w:id="77"/>
      <w:bookmarkEnd w:id="78"/>
      <w:r w:rsidRPr="005A2D50">
        <w:rPr>
          <w:noProof/>
          <w:lang w:val="en-US"/>
        </w:rPr>
        <w:t>IV.1. Pagaidu uzglabāšana</w:t>
      </w:r>
      <w:bookmarkEnd w:id="79"/>
    </w:p>
    <w:p w14:paraId="7A1C4C1B"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2AA09AAD" w14:textId="77777777" w:rsidR="005A2D50" w:rsidRPr="005A2D50" w:rsidRDefault="005A2D50" w:rsidP="005A2D50">
      <w:pPr>
        <w:pStyle w:val="BodyText"/>
        <w:rPr>
          <w:lang w:val="en-US"/>
        </w:rPr>
      </w:pPr>
      <w:r w:rsidRPr="005A2D50">
        <w:rPr>
          <w:lang w:val="en-US"/>
        </w:rPr>
        <w:t>Atļauju izmantot pagaidu uzglabāšanas (</w:t>
      </w:r>
      <w:r w:rsidRPr="005A2D50">
        <w:rPr>
          <w:i/>
          <w:iCs/>
          <w:lang w:val="en-US"/>
        </w:rPr>
        <w:t>TS</w:t>
      </w:r>
      <w:r w:rsidRPr="005A2D50">
        <w:rPr>
          <w:lang w:val="en-US"/>
        </w:rPr>
        <w:t xml:space="preserve">) vietas var piešķirt tikai tad, ja pieteikuma iesniedzējs sniedz garantiju saskaņā ar SMK 89. pantu, ja vien </w:t>
      </w:r>
      <w:r w:rsidRPr="005A2D50">
        <w:rPr>
          <w:i/>
          <w:iCs/>
          <w:lang w:val="en-US"/>
        </w:rPr>
        <w:t xml:space="preserve">TS </w:t>
      </w:r>
      <w:r w:rsidRPr="005A2D50">
        <w:rPr>
          <w:lang w:val="en-US"/>
        </w:rPr>
        <w:t>vietas turētājs nav pats muitas dienests. Saskaņā ar SMK 148. panta 2. punkta c) apakšpunktu minētā garantija ir jāiesniedz pirms atļaujas piešķiršanas. SMK 147. panta 1. punktā noteikts, ka pagaidu uzglabāšanā esošās preces var uzglabāt arī citās vietās, kas nav muitas dienesta apstiprinātās pagaidu uzglabāšanas vietas. Arī šajā gadījumā ir nepieciešama garantija (skat. SMK DA 115. panta 2. punkta a) apakšpunktu).</w:t>
      </w:r>
    </w:p>
    <w:p w14:paraId="6E5AA3DB" w14:textId="77777777" w:rsidR="005A2D50" w:rsidRPr="005A2D50" w:rsidRDefault="005A2D50" w:rsidP="005A2D50">
      <w:pPr>
        <w:pStyle w:val="BodyText"/>
        <w:rPr>
          <w:lang w:val="en-US"/>
        </w:rPr>
      </w:pPr>
    </w:p>
    <w:p w14:paraId="264CED90" w14:textId="77777777" w:rsidR="005A2D50" w:rsidRPr="005A2D50" w:rsidRDefault="005A2D50" w:rsidP="005A2D50">
      <w:pPr>
        <w:pStyle w:val="Heading1"/>
        <w:rPr>
          <w:noProof/>
          <w:lang w:val="en-US"/>
        </w:rPr>
      </w:pPr>
      <w:bookmarkStart w:id="80" w:name="IV.2._Release_for_free_circulation"/>
      <w:bookmarkStart w:id="81" w:name="_bookmark25"/>
      <w:bookmarkStart w:id="82" w:name="_Toc104982783"/>
      <w:bookmarkEnd w:id="80"/>
      <w:bookmarkEnd w:id="81"/>
      <w:r w:rsidRPr="005A2D50">
        <w:rPr>
          <w:noProof/>
          <w:lang w:val="en-US"/>
        </w:rPr>
        <w:t>IV.2. Laišana brīvā apgrozībā</w:t>
      </w:r>
      <w:bookmarkEnd w:id="82"/>
    </w:p>
    <w:p w14:paraId="70428174"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426D3EAB" w14:textId="77777777" w:rsidR="005A2D50" w:rsidRPr="005A2D50" w:rsidRDefault="005A2D50" w:rsidP="005A2D50">
      <w:pPr>
        <w:pStyle w:val="BodyText"/>
        <w:rPr>
          <w:lang w:val="en-US"/>
        </w:rPr>
      </w:pPr>
      <w:r w:rsidRPr="005A2D50">
        <w:rPr>
          <w:lang w:val="en-US"/>
        </w:rPr>
        <w:t>Saskaņā ar SMK 195. panta 1. punkta pirmo daļu, ja muitas procedūras piemērošana precēm rada muitas parādu, preces izlaiž tikai tad, ja ir samaksāta muitas parādam atbilstīgā ievedmuitas vai izvedmuitas nodokļa summa vai ja ir sniegts galvojums minētā parāda vai citu maksājumu, ja piemērojami, segšanai. Ja maksājums netiek veikts, galvojums jāsniedz pirms preču izlaišanas.</w:t>
      </w:r>
    </w:p>
    <w:p w14:paraId="740A05F4" w14:textId="77777777" w:rsidR="005A2D50" w:rsidRPr="005A2D50" w:rsidRDefault="005A2D50" w:rsidP="005A2D50">
      <w:pPr>
        <w:pStyle w:val="BodyText"/>
        <w:rPr>
          <w:lang w:val="en-US"/>
        </w:rPr>
      </w:pPr>
    </w:p>
    <w:p w14:paraId="3F9347B1" w14:textId="77777777" w:rsidR="005A2D50" w:rsidRPr="005A2D50" w:rsidRDefault="005A2D50" w:rsidP="005A2D50">
      <w:pPr>
        <w:pStyle w:val="Heading1"/>
        <w:rPr>
          <w:rFonts w:cs="Times New Roman"/>
          <w:bCs/>
          <w:noProof/>
          <w:lang w:val="en-US"/>
        </w:rPr>
      </w:pPr>
      <w:bookmarkStart w:id="83" w:name="IV.3._Special_procedures_other_than_tran"/>
      <w:bookmarkStart w:id="84" w:name="_bookmark26"/>
      <w:bookmarkStart w:id="85" w:name="_Toc104982784"/>
      <w:bookmarkEnd w:id="83"/>
      <w:bookmarkEnd w:id="84"/>
      <w:r w:rsidRPr="005A2D50">
        <w:rPr>
          <w:noProof/>
          <w:lang w:val="en-US"/>
        </w:rPr>
        <w:t>IV.3. Īpašas procedūras, kas nav tranzīts</w:t>
      </w:r>
      <w:r w:rsidRPr="005A2D50">
        <w:rPr>
          <w:rFonts w:cs="Times New Roman"/>
          <w:noProof/>
          <w:vertAlign w:val="superscript"/>
          <w:lang w:val="en-US"/>
        </w:rPr>
        <w:footnoteReference w:id="4"/>
      </w:r>
      <w:bookmarkEnd w:id="85"/>
    </w:p>
    <w:p w14:paraId="10323A6E"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71F83B5D" w14:textId="77777777" w:rsidR="005A2D50" w:rsidRPr="005A2D50" w:rsidRDefault="005A2D50" w:rsidP="005A2D50">
      <w:pPr>
        <w:pStyle w:val="Heading2"/>
        <w:rPr>
          <w:noProof/>
          <w:lang w:val="en-US"/>
        </w:rPr>
      </w:pPr>
      <w:bookmarkStart w:id="86" w:name="IV.3.1._General_provisions"/>
      <w:bookmarkStart w:id="87" w:name="_bookmark27"/>
      <w:bookmarkStart w:id="88" w:name="_Toc104982785"/>
      <w:bookmarkEnd w:id="86"/>
      <w:bookmarkEnd w:id="87"/>
      <w:r w:rsidRPr="005A2D50">
        <w:rPr>
          <w:noProof/>
          <w:lang w:val="en-US"/>
        </w:rPr>
        <w:t>IV.3.1. Vispārējie noteikumi</w:t>
      </w:r>
      <w:bookmarkEnd w:id="88"/>
    </w:p>
    <w:p w14:paraId="5B0A61D5"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38581CBE" w14:textId="77777777" w:rsidR="005A2D50" w:rsidRPr="005A2D50" w:rsidRDefault="005A2D50" w:rsidP="005A2D50">
      <w:pPr>
        <w:pStyle w:val="BodyText"/>
        <w:rPr>
          <w:lang w:val="en-US"/>
        </w:rPr>
      </w:pPr>
      <w:r w:rsidRPr="005A2D50">
        <w:rPr>
          <w:lang w:val="en-US"/>
        </w:rPr>
        <w:t>Saskaņā ar SMK 211. panta 3. punkta c) apakšpunktu galvojums ir nepieciešams, lai saņemtu atļaujas attiecībā uz jebkuru no turpmāk minētajām īpašajām procedūrām, izņemot tranzītu:</w:t>
      </w:r>
    </w:p>
    <w:p w14:paraId="2753823C" w14:textId="77777777" w:rsidR="005A2D50" w:rsidRPr="005A2D50" w:rsidRDefault="005A2D50" w:rsidP="005A2D50">
      <w:pPr>
        <w:pStyle w:val="BodyText"/>
        <w:rPr>
          <w:lang w:val="en-US"/>
        </w:rPr>
      </w:pPr>
    </w:p>
    <w:p w14:paraId="49B81023" w14:textId="77777777" w:rsidR="005A2D50" w:rsidRPr="005A2D50" w:rsidRDefault="005A2D50" w:rsidP="005A2D50">
      <w:pPr>
        <w:pStyle w:val="BodyText"/>
        <w:numPr>
          <w:ilvl w:val="3"/>
          <w:numId w:val="59"/>
        </w:numPr>
        <w:tabs>
          <w:tab w:val="left" w:pos="851"/>
        </w:tabs>
        <w:ind w:left="284" w:firstLine="0"/>
        <w:rPr>
          <w:lang w:val="en-US"/>
        </w:rPr>
      </w:pPr>
      <w:r w:rsidRPr="005A2D50">
        <w:rPr>
          <w:lang w:val="en-US"/>
        </w:rPr>
        <w:t>ievešana pārstrādei / izvešana pārstrādei;</w:t>
      </w:r>
    </w:p>
    <w:p w14:paraId="354FEE79" w14:textId="77777777" w:rsidR="005A2D50" w:rsidRPr="005A2D50" w:rsidRDefault="005A2D50" w:rsidP="005A2D50">
      <w:pPr>
        <w:pStyle w:val="BodyText"/>
        <w:numPr>
          <w:ilvl w:val="3"/>
          <w:numId w:val="59"/>
        </w:numPr>
        <w:tabs>
          <w:tab w:val="left" w:pos="851"/>
        </w:tabs>
        <w:ind w:left="284" w:firstLine="0"/>
        <w:rPr>
          <w:lang w:val="en-US"/>
        </w:rPr>
      </w:pPr>
      <w:r w:rsidRPr="005A2D50">
        <w:rPr>
          <w:lang w:val="en-US"/>
        </w:rPr>
        <w:t>īpašs izmantojums – pagaidu ievešana / galapatēriņš;</w:t>
      </w:r>
    </w:p>
    <w:p w14:paraId="567C770A" w14:textId="77777777" w:rsidR="005A2D50" w:rsidRPr="005A2D50" w:rsidRDefault="005A2D50" w:rsidP="005A2D50">
      <w:pPr>
        <w:pStyle w:val="BodyText"/>
        <w:numPr>
          <w:ilvl w:val="3"/>
          <w:numId w:val="59"/>
        </w:numPr>
        <w:tabs>
          <w:tab w:val="left" w:pos="851"/>
        </w:tabs>
        <w:ind w:left="284" w:firstLine="0"/>
        <w:rPr>
          <w:lang w:val="en-US"/>
        </w:rPr>
      </w:pPr>
      <w:r w:rsidRPr="005A2D50">
        <w:rPr>
          <w:lang w:val="en-US"/>
        </w:rPr>
        <w:t>uzglabāšana – muitas procedūra ievešanai noliktavā.</w:t>
      </w:r>
    </w:p>
    <w:p w14:paraId="7FEFA7BA" w14:textId="77777777" w:rsidR="005A2D50" w:rsidRPr="005A2D50" w:rsidRDefault="005A2D50" w:rsidP="005A2D50">
      <w:pPr>
        <w:jc w:val="both"/>
        <w:rPr>
          <w:rFonts w:ascii="Times New Roman" w:eastAsia="Times New Roman" w:hAnsi="Times New Roman" w:cs="Times New Roman"/>
          <w:noProof/>
          <w:sz w:val="24"/>
          <w:szCs w:val="24"/>
          <w:lang w:val="en-US"/>
        </w:rPr>
      </w:pPr>
    </w:p>
    <w:p w14:paraId="28027665" w14:textId="77777777" w:rsidR="005A2D50" w:rsidRPr="005A2D50" w:rsidRDefault="005A2D50" w:rsidP="005A2D50">
      <w:pPr>
        <w:pStyle w:val="BodyText"/>
        <w:rPr>
          <w:lang w:val="en-US"/>
        </w:rPr>
      </w:pPr>
      <w:r w:rsidRPr="005A2D50">
        <w:rPr>
          <w:lang w:val="en-US"/>
        </w:rPr>
        <w:t>Kā norādīts SMK 195. panta 1. punkta trešajā daļā, precēm nevar piemērot attiecīgo īpašo procedūru, ja nav sniegts galvojums iespējamā muitas parāda summas vai citu maksājumu, ja piemērojami, segšanai.</w:t>
      </w:r>
    </w:p>
    <w:p w14:paraId="0184C2DB" w14:textId="77777777" w:rsidR="005A2D50" w:rsidRPr="005A2D50" w:rsidRDefault="005A2D50" w:rsidP="005A2D50">
      <w:pPr>
        <w:pStyle w:val="BodyText"/>
        <w:rPr>
          <w:lang w:val="en-US"/>
        </w:rPr>
      </w:pPr>
      <w:r w:rsidRPr="005A2D50">
        <w:rPr>
          <w:lang w:val="en-US"/>
        </w:rPr>
        <w:t>Saskaņā ar SMK 211. panta 3. punkta c) apakšpunktu, ja var rasties muitas parāds vai citi maksājumi par precēm, kurām piemēro īpašu procedūru (</w:t>
      </w:r>
      <w:r w:rsidRPr="005A2D50">
        <w:rPr>
          <w:i/>
          <w:iCs/>
          <w:lang w:val="en-US"/>
        </w:rPr>
        <w:t>SPE</w:t>
      </w:r>
      <w:r w:rsidRPr="005A2D50">
        <w:rPr>
          <w:lang w:val="en-US"/>
        </w:rPr>
        <w:t xml:space="preserve">), </w:t>
      </w:r>
      <w:r w:rsidRPr="005A2D50">
        <w:rPr>
          <w:i/>
          <w:iCs/>
          <w:lang w:val="en-US"/>
        </w:rPr>
        <w:t xml:space="preserve">SPE </w:t>
      </w:r>
      <w:r w:rsidRPr="005A2D50">
        <w:rPr>
          <w:lang w:val="en-US"/>
        </w:rPr>
        <w:t xml:space="preserve">atļaujas pieteikuma iesniedzējs sniedz galvojumu saskaņā ar SMK 89. pantu. Tā kā atļauja veikt </w:t>
      </w:r>
      <w:r w:rsidRPr="005A2D50">
        <w:rPr>
          <w:i/>
          <w:iCs/>
          <w:lang w:val="en-US"/>
        </w:rPr>
        <w:t>SPE</w:t>
      </w:r>
      <w:r w:rsidRPr="005A2D50">
        <w:rPr>
          <w:lang w:val="en-US"/>
        </w:rPr>
        <w:t>, kas nav tranzīts, tiek piešķirta, lai precēm šo procedūru piemērotu regulāri vairākos darījumos, pieteikuma iesniedzējam būtu ieteicams sniegt vispārējo galvojumu, kas aptver visas attiecīgajā atļaujā ietvertās darbības.</w:t>
      </w:r>
    </w:p>
    <w:p w14:paraId="5D340DF2" w14:textId="77777777" w:rsidR="005A2D50" w:rsidRPr="005A2D50" w:rsidRDefault="005A2D50" w:rsidP="005A2D50">
      <w:pPr>
        <w:pStyle w:val="BodyText"/>
        <w:rPr>
          <w:lang w:val="en-US"/>
        </w:rPr>
      </w:pPr>
      <w:r w:rsidRPr="005A2D50">
        <w:rPr>
          <w:lang w:val="en-US"/>
        </w:rPr>
        <w:t>Galvojumam, ko nodrošina iespējama parāda segšanai, jāsedz risks, ka parāds radies saistībā ar tās īpašās procedūras pienākumu neizpildi, kuru precēm piemēro. Turklāt galvojums, kas sedz iespējamos muitas parādus, nodrošina šo parādu atgūšanu gadījumā, ja tie rastos un ja parādnieks tos noteiktajā termiņā nemaksātu.</w:t>
      </w:r>
    </w:p>
    <w:p w14:paraId="3107D435" w14:textId="77777777" w:rsidR="005A2D50" w:rsidRPr="005A2D50" w:rsidRDefault="005A2D50" w:rsidP="005A2D50">
      <w:pPr>
        <w:pStyle w:val="BodyText"/>
        <w:rPr>
          <w:lang w:val="en-US"/>
        </w:rPr>
      </w:pPr>
      <w:r w:rsidRPr="005A2D50">
        <w:rPr>
          <w:lang w:val="en-US"/>
        </w:rPr>
        <w:t>Attiecībā uz īpašās procedūras, kas nav tranzīts, izpildi, kas nozīmē pamata galvojuma summas atbloķēšanu, ievešanas pārstrādei procedūras un galapatēriņa gadījumā ir jāuzrāda izpildes dokuments (SMK DA 175. panta 1. punkts). Tas attiecas uz abiem gadījumiem, kad atļauju šīm procedūrām piešķir “pilnā formā” (vairākiem darījumiem) vai pamatojoties uz muitas deklarāciju (SMK DA 163. pants). Galvojums, ko saskaņā ar minēto atļauju sniedz iespējamam muitas parādam, ir jābloķē, līdz kļūst skaidrs, ka muitas parāds nevar rasties, tātad tikai pēc tam, kad muitas dienesti ir veikuši izpildes dokumenta kontroli saskaņā ar SMK ĪA 265. pantu.</w:t>
      </w:r>
    </w:p>
    <w:p w14:paraId="1464CBA6" w14:textId="77777777" w:rsidR="005A2D50" w:rsidRPr="005A2D50" w:rsidRDefault="005A2D50" w:rsidP="005A2D50">
      <w:pPr>
        <w:jc w:val="both"/>
        <w:rPr>
          <w:rFonts w:ascii="Times New Roman" w:hAnsi="Times New Roman"/>
          <w:i/>
          <w:noProof/>
          <w:sz w:val="24"/>
          <w:lang w:val="en-US"/>
        </w:rPr>
      </w:pPr>
      <w:r w:rsidRPr="005A2D50">
        <w:rPr>
          <w:rFonts w:ascii="Times New Roman" w:hAnsi="Times New Roman"/>
          <w:i/>
          <w:noProof/>
          <w:sz w:val="24"/>
          <w:lang w:val="en-US"/>
        </w:rPr>
        <w:t>Praktiski tas nozīmētu turpmāk minēto.</w:t>
      </w:r>
    </w:p>
    <w:p w14:paraId="79E56356" w14:textId="77777777" w:rsidR="005A2D50" w:rsidRPr="005A2D50" w:rsidRDefault="005A2D50" w:rsidP="005A2D50">
      <w:pPr>
        <w:jc w:val="both"/>
        <w:rPr>
          <w:rFonts w:ascii="Times New Roman" w:hAnsi="Times New Roman" w:cs="Times New Roman"/>
          <w:i/>
          <w:noProof/>
          <w:sz w:val="24"/>
          <w:szCs w:val="24"/>
          <w:lang w:val="en-US"/>
        </w:rPr>
      </w:pPr>
    </w:p>
    <w:p w14:paraId="7020D7BF" w14:textId="77777777" w:rsidR="005A2D50" w:rsidRPr="005A2D50" w:rsidRDefault="005A2D50" w:rsidP="005A2D50">
      <w:pPr>
        <w:tabs>
          <w:tab w:val="left" w:pos="826"/>
        </w:tabs>
        <w:ind w:left="284"/>
        <w:jc w:val="both"/>
        <w:rPr>
          <w:rFonts w:ascii="Times New Roman" w:hAnsi="Times New Roman"/>
          <w:i/>
          <w:noProof/>
          <w:sz w:val="24"/>
          <w:lang w:val="en-US"/>
        </w:rPr>
      </w:pPr>
      <w:r w:rsidRPr="005A2D50">
        <w:rPr>
          <w:rFonts w:ascii="Times New Roman" w:hAnsi="Times New Roman"/>
          <w:i/>
          <w:noProof/>
          <w:sz w:val="24"/>
          <w:lang w:val="en-US"/>
        </w:rPr>
        <w:t>1. Galvojums par iespējamu parādu tiek nodrošināts, lai saņemtu atļauju ievešanas pārstrādei, un tas ir minēts muitas deklarācijā, kas iesniegta par vienu no darbībām.</w:t>
      </w:r>
    </w:p>
    <w:p w14:paraId="37019DD1" w14:textId="77777777" w:rsidR="005A2D50" w:rsidRPr="005A2D50" w:rsidRDefault="005A2D50" w:rsidP="005A2D50">
      <w:pPr>
        <w:tabs>
          <w:tab w:val="left" w:pos="826"/>
        </w:tabs>
        <w:ind w:left="284"/>
        <w:jc w:val="both"/>
        <w:rPr>
          <w:rFonts w:ascii="Times New Roman" w:hAnsi="Times New Roman"/>
          <w:i/>
          <w:noProof/>
          <w:sz w:val="24"/>
          <w:lang w:val="en-US"/>
        </w:rPr>
      </w:pPr>
      <w:r w:rsidRPr="005A2D50">
        <w:rPr>
          <w:rFonts w:ascii="Times New Roman" w:hAnsi="Times New Roman"/>
          <w:i/>
          <w:noProof/>
          <w:sz w:val="24"/>
          <w:lang w:val="en-US"/>
        </w:rPr>
        <w:t>2. Ievešanas pārstrādei darbību pabeidz saskaņā ar SMK 215. panta 1. punktu laikposmā, kas noteikts SMK 257. pantā.</w:t>
      </w:r>
    </w:p>
    <w:p w14:paraId="54103643" w14:textId="77777777" w:rsidR="005A2D50" w:rsidRPr="005A2D50" w:rsidRDefault="005A2D50" w:rsidP="005A2D50">
      <w:pPr>
        <w:tabs>
          <w:tab w:val="left" w:pos="826"/>
        </w:tabs>
        <w:ind w:left="284"/>
        <w:jc w:val="both"/>
        <w:rPr>
          <w:rFonts w:ascii="Times New Roman" w:hAnsi="Times New Roman"/>
          <w:i/>
          <w:noProof/>
          <w:sz w:val="24"/>
          <w:lang w:val="en-US"/>
        </w:rPr>
      </w:pPr>
      <w:r w:rsidRPr="005A2D50">
        <w:rPr>
          <w:rFonts w:ascii="Times New Roman" w:hAnsi="Times New Roman"/>
          <w:i/>
          <w:noProof/>
          <w:sz w:val="24"/>
          <w:lang w:val="en-US"/>
        </w:rPr>
        <w:t>3. Tomēr izpildes dokuments nav uzrādīts, tāpēc ir radies muitas parāds, tas ir noteikts un muitas dienests par to informē parādnieku.</w:t>
      </w:r>
    </w:p>
    <w:p w14:paraId="0CFE924B" w14:textId="77777777" w:rsidR="005A2D50" w:rsidRPr="005A2D50" w:rsidRDefault="005A2D50" w:rsidP="005A2D50">
      <w:pPr>
        <w:ind w:left="284"/>
        <w:jc w:val="both"/>
        <w:rPr>
          <w:rFonts w:ascii="Times New Roman" w:hAnsi="Times New Roman"/>
          <w:i/>
          <w:noProof/>
          <w:sz w:val="24"/>
          <w:lang w:val="en-US"/>
        </w:rPr>
      </w:pPr>
      <w:r w:rsidRPr="005A2D50">
        <w:rPr>
          <w:rFonts w:ascii="Times New Roman" w:hAnsi="Times New Roman"/>
          <w:i/>
          <w:noProof/>
          <w:sz w:val="24"/>
          <w:lang w:val="en-US"/>
        </w:rPr>
        <w:t>4. Galvojumu par iespējamo parādu, kas norādīts 1. punktā minētajā deklarācijā, atbloķē tikai pēc tam, kad parādnieks ir samaksājis muitas parādu un citus maksājumus, ja piemērojami.</w:t>
      </w:r>
    </w:p>
    <w:p w14:paraId="1D3EF495" w14:textId="77777777" w:rsidR="005A2D50" w:rsidRPr="005A2D50" w:rsidRDefault="005A2D50" w:rsidP="005A2D50">
      <w:pPr>
        <w:jc w:val="both"/>
        <w:rPr>
          <w:rFonts w:ascii="Times New Roman" w:hAnsi="Times New Roman" w:cs="Times New Roman"/>
          <w:i/>
          <w:noProof/>
          <w:sz w:val="24"/>
          <w:szCs w:val="24"/>
          <w:lang w:val="en-US"/>
        </w:rPr>
      </w:pPr>
    </w:p>
    <w:p w14:paraId="1339A77D" w14:textId="77777777" w:rsidR="005A2D50" w:rsidRPr="005A2D50" w:rsidRDefault="005A2D50" w:rsidP="005A2D50">
      <w:pPr>
        <w:pStyle w:val="BodyText"/>
        <w:rPr>
          <w:lang w:val="en-US"/>
        </w:rPr>
      </w:pPr>
      <w:r w:rsidRPr="005A2D50">
        <w:rPr>
          <w:lang w:val="en-US"/>
        </w:rPr>
        <w:t>Daudzos gadījumos īpašo procedūru pabeidz ar deklarāciju par preču atpakaļizvešanu un turpmāku izvešanu. Atpakaļizvešanas deklarācijai atsevišķs galvojums nav nepieciešams. Līdz īpašās procedūras faktiskai izpildei, veicot pienācīgu atpakaļizvešanu (vai citu darbību, kuras rezultātā procedūra tiek pabeigta), preces joprojām sedz galvojums, ko sniedz tad, kad precēm piemēro minēto īpašo procedūru.</w:t>
      </w:r>
    </w:p>
    <w:p w14:paraId="25DB1218" w14:textId="77777777" w:rsidR="005A2D50" w:rsidRPr="005A2D50" w:rsidRDefault="005A2D50" w:rsidP="005A2D50">
      <w:pPr>
        <w:jc w:val="both"/>
        <w:rPr>
          <w:rFonts w:ascii="Times New Roman" w:eastAsia="Times New Roman" w:hAnsi="Times New Roman" w:cs="Times New Roman"/>
          <w:noProof/>
          <w:sz w:val="24"/>
          <w:szCs w:val="24"/>
          <w:lang w:val="en-US"/>
        </w:rPr>
      </w:pPr>
    </w:p>
    <w:p w14:paraId="6051F896" w14:textId="77777777" w:rsidR="005A2D50" w:rsidRPr="005A2D50" w:rsidRDefault="005A2D50" w:rsidP="005A2D50">
      <w:pPr>
        <w:pStyle w:val="BodyText"/>
        <w:rPr>
          <w:b/>
          <w:bCs/>
          <w:lang w:val="en-US"/>
        </w:rPr>
      </w:pPr>
      <w:bookmarkStart w:id="89" w:name="IV.3.1.1._Temporary_Admission_and_end-us"/>
      <w:bookmarkEnd w:id="89"/>
      <w:r w:rsidRPr="005A2D50">
        <w:rPr>
          <w:b/>
          <w:bCs/>
          <w:lang w:val="en-US"/>
        </w:rPr>
        <w:t>IV.3.1.1. Pagaidu ievešana un galapatēriņš</w:t>
      </w:r>
    </w:p>
    <w:p w14:paraId="43BA727A" w14:textId="77777777" w:rsidR="005A2D50" w:rsidRPr="005A2D50" w:rsidRDefault="005A2D50" w:rsidP="005A2D50">
      <w:pPr>
        <w:pStyle w:val="BodyText"/>
        <w:rPr>
          <w:lang w:val="en-US"/>
        </w:rPr>
      </w:pPr>
    </w:p>
    <w:p w14:paraId="62C67FF2" w14:textId="77777777" w:rsidR="005A2D50" w:rsidRPr="005A2D50" w:rsidRDefault="005A2D50" w:rsidP="005A2D50">
      <w:pPr>
        <w:pStyle w:val="BodyText"/>
        <w:rPr>
          <w:lang w:val="en-US"/>
        </w:rPr>
      </w:pPr>
      <w:r w:rsidRPr="005A2D50">
        <w:rPr>
          <w:lang w:val="en-US"/>
        </w:rPr>
        <w:t>Attiecībā uz pagaidu ievešanu (</w:t>
      </w:r>
      <w:r w:rsidRPr="005A2D50">
        <w:rPr>
          <w:i/>
          <w:iCs/>
          <w:lang w:val="en-US"/>
        </w:rPr>
        <w:t>TA</w:t>
      </w:r>
      <w:r w:rsidRPr="005A2D50">
        <w:rPr>
          <w:lang w:val="en-US"/>
        </w:rPr>
        <w:t xml:space="preserve">) ar daļēju atbrīvojumu no ievedmuitas nodokļa muitas parāds rodas muitas deklarācijas pieņemšanas laikā, SMK 77. pants. Muitas deklarācijas iesniegšanas brīdī nav iespējams noteikt precīzu galīgā muitas parāda summu. Tāpēc galvojums, kas sedz šo parādu, ir jānosaka maksimālajā apmērā (SMK 90. pants), kas ir summa, kura būtu jāmaksā, ja preces tiktu laistas brīvā apgrozībā dienā, kad tām piemēroja </w:t>
      </w:r>
      <w:r w:rsidRPr="005A2D50">
        <w:rPr>
          <w:i/>
          <w:iCs/>
          <w:lang w:val="en-US"/>
        </w:rPr>
        <w:t>TA</w:t>
      </w:r>
      <w:r w:rsidRPr="005A2D50">
        <w:rPr>
          <w:lang w:val="en-US"/>
        </w:rPr>
        <w:t xml:space="preserve">. Tomēr muitas parāds var rasties arī tad, ja netiks izpildīti ar </w:t>
      </w:r>
      <w:r w:rsidRPr="005A2D50">
        <w:rPr>
          <w:i/>
          <w:iCs/>
          <w:lang w:val="en-US"/>
        </w:rPr>
        <w:t xml:space="preserve">SPE </w:t>
      </w:r>
      <w:r w:rsidRPr="005A2D50">
        <w:rPr>
          <w:lang w:val="en-US"/>
        </w:rPr>
        <w:t xml:space="preserve">atļauju saistītie pienākumi. Taču saskaņā ar SMK 89. panta 4. punktu attiecībā uz konkrētām precēm vai konkrētu deklarāciju muitas dienesti pieprasa tikai vienu galvojumu. Tādēļ praksē muitas dienesti pieprasa tikai galvojumu, lai segtu radušos parādus, proti, par summu, kura būtu jāmaksā, ja preces tiktu laistas brīvā apgrozībā dienā, kad tām piemēroja </w:t>
      </w:r>
      <w:r w:rsidRPr="005A2D50">
        <w:rPr>
          <w:i/>
          <w:iCs/>
          <w:lang w:val="en-US"/>
        </w:rPr>
        <w:t>TA</w:t>
      </w:r>
      <w:r w:rsidRPr="005A2D50">
        <w:rPr>
          <w:lang w:val="en-US"/>
        </w:rPr>
        <w:t>.</w:t>
      </w:r>
    </w:p>
    <w:p w14:paraId="742747A5" w14:textId="77777777" w:rsidR="005A2D50" w:rsidRPr="005A2D50" w:rsidRDefault="005A2D50" w:rsidP="005A2D50">
      <w:pPr>
        <w:pStyle w:val="BodyText"/>
        <w:rPr>
          <w:lang w:val="en-US"/>
        </w:rPr>
      </w:pPr>
      <w:r w:rsidRPr="005A2D50">
        <w:rPr>
          <w:lang w:val="en-US"/>
        </w:rPr>
        <w:t>Attiecībā uz pagaidu ievešanu ar pilnīgu atbrīvojumu no ievedmuitas nodokļa vispārējam galvojumam jāsedz tikai iespējamie parādi (skat. paraugu SMK ĪA 32-03. pielikumā). Attiecībā uz galapatēriņa procedūru abus muitas parādu veidus sedz viens galvojums (radies, noteikts samazinātās ievedmuitas likmes līmenī) un potenciāls, ja vien netiek piešķirts pilnīgs atbrīvojums no muitas nodokļa.</w:t>
      </w:r>
    </w:p>
    <w:p w14:paraId="21F471E4" w14:textId="77777777" w:rsidR="005A2D50" w:rsidRPr="005A2D50" w:rsidRDefault="005A2D50" w:rsidP="005A2D50">
      <w:pPr>
        <w:jc w:val="both"/>
        <w:rPr>
          <w:rFonts w:ascii="Times New Roman" w:eastAsia="Times New Roman" w:hAnsi="Times New Roman" w:cs="Times New Roman"/>
          <w:noProof/>
          <w:sz w:val="24"/>
          <w:szCs w:val="24"/>
          <w:lang w:val="en-US"/>
        </w:rPr>
      </w:pPr>
    </w:p>
    <w:p w14:paraId="39C1EF80" w14:textId="77777777" w:rsidR="005A2D50" w:rsidRPr="005A2D50" w:rsidRDefault="005A2D50" w:rsidP="005A2D50">
      <w:pPr>
        <w:pStyle w:val="BodyText"/>
        <w:rPr>
          <w:b/>
          <w:bCs/>
          <w:lang w:val="en-US"/>
        </w:rPr>
      </w:pPr>
      <w:bookmarkStart w:id="90" w:name="IV.3.1.2._Application_for_special_proced"/>
      <w:bookmarkEnd w:id="90"/>
      <w:r w:rsidRPr="005A2D50">
        <w:rPr>
          <w:b/>
          <w:bCs/>
          <w:lang w:val="en-US"/>
        </w:rPr>
        <w:t>IV.3.1.2. Pieteikums īpašo procedūru piemērošanai, pamatojoties uz muitas deklarāciju</w:t>
      </w:r>
    </w:p>
    <w:p w14:paraId="600DD9C4" w14:textId="77777777" w:rsidR="005A2D50" w:rsidRPr="005A2D50" w:rsidRDefault="005A2D50" w:rsidP="005A2D50">
      <w:pPr>
        <w:pStyle w:val="BodyText"/>
        <w:rPr>
          <w:lang w:val="en-US"/>
        </w:rPr>
      </w:pPr>
    </w:p>
    <w:p w14:paraId="0E680CFF" w14:textId="77777777" w:rsidR="005A2D50" w:rsidRPr="005A2D50" w:rsidRDefault="005A2D50" w:rsidP="005A2D50">
      <w:pPr>
        <w:pStyle w:val="BodyText"/>
        <w:rPr>
          <w:lang w:val="en-US"/>
        </w:rPr>
      </w:pPr>
      <w:r w:rsidRPr="005A2D50">
        <w:rPr>
          <w:lang w:val="en-US"/>
        </w:rPr>
        <w:t xml:space="preserve">Ja </w:t>
      </w:r>
      <w:r w:rsidRPr="005A2D50">
        <w:rPr>
          <w:i/>
          <w:iCs/>
          <w:lang w:val="en-US"/>
        </w:rPr>
        <w:t xml:space="preserve">SPE </w:t>
      </w:r>
      <w:r w:rsidRPr="005A2D50">
        <w:rPr>
          <w:lang w:val="en-US"/>
        </w:rPr>
        <w:t>atļaujas pieteikums ir balstīts uz muitas deklarāciju (MD</w:t>
      </w:r>
      <w:r w:rsidRPr="005A2D50">
        <w:rPr>
          <w:i/>
          <w:iCs/>
          <w:lang w:val="en-US"/>
        </w:rPr>
        <w:t xml:space="preserve">) </w:t>
      </w:r>
      <w:r w:rsidRPr="005A2D50">
        <w:rPr>
          <w:lang w:val="en-US"/>
        </w:rPr>
        <w:t xml:space="preserve">vienam darījumam, piemēram, garantijas remontam saskaņā ar IP procedūru vai pagaidu ievešanai izstādāmām precēm, priekšroka dodama vienreizējam galvojumam. Saskaņā ar SMK ĪA 262. pantu “(..) atļauju piešķir ar preču izlaišanu attiecīgajai muitas procedūrai”. Saskaņā ar SMK 195. panta 1. punktu preces nevar izlaist, ja nav sniegts galvojums. Tādēļ var pieņemt arī vispārējo galvojumu, ja </w:t>
      </w:r>
      <w:r w:rsidRPr="005A2D50">
        <w:rPr>
          <w:i/>
          <w:iCs/>
          <w:lang w:val="en-US"/>
        </w:rPr>
        <w:t xml:space="preserve">CA </w:t>
      </w:r>
      <w:r w:rsidRPr="005A2D50">
        <w:rPr>
          <w:lang w:val="en-US"/>
        </w:rPr>
        <w:t xml:space="preserve">nodrošina atsauces summas pienācīgu uzraudzību, pārbaudot sniegtā galvojuma esību, derīgumu un summu katru reizi, kad tiek iesniegta muitas deklarācija saskaņā ar SMK DA 163. pantu. Atļaujas pieteikumus, kas sagatavoti, pamatojoties uz muitas deklarāciju, glabā valsts importa un eksporta MD apstrādes sistēmās. Tas neattiecas uz </w:t>
      </w:r>
      <w:r w:rsidRPr="005A2D50">
        <w:rPr>
          <w:i/>
          <w:iCs/>
          <w:lang w:val="en-US"/>
        </w:rPr>
        <w:t xml:space="preserve">TS </w:t>
      </w:r>
      <w:r w:rsidRPr="005A2D50">
        <w:rPr>
          <w:lang w:val="en-US"/>
        </w:rPr>
        <w:t>un muitas procedūru ievešanai noliktavā.</w:t>
      </w:r>
    </w:p>
    <w:p w14:paraId="48C74F7A" w14:textId="77777777" w:rsidR="005A2D50" w:rsidRPr="005A2D50" w:rsidRDefault="005A2D50" w:rsidP="005A2D50">
      <w:pPr>
        <w:jc w:val="both"/>
        <w:rPr>
          <w:rFonts w:ascii="Times New Roman" w:eastAsia="Times New Roman" w:hAnsi="Times New Roman" w:cs="Times New Roman"/>
          <w:noProof/>
          <w:sz w:val="24"/>
          <w:szCs w:val="24"/>
          <w:lang w:val="en-US"/>
        </w:rPr>
      </w:pPr>
    </w:p>
    <w:p w14:paraId="2140E80B" w14:textId="77777777" w:rsidR="005A2D50" w:rsidRPr="005A2D50" w:rsidRDefault="005A2D50" w:rsidP="005A2D50">
      <w:pPr>
        <w:pStyle w:val="BodyText"/>
        <w:rPr>
          <w:b/>
          <w:bCs/>
          <w:lang w:val="en-US"/>
        </w:rPr>
      </w:pPr>
      <w:bookmarkStart w:id="91" w:name="IV.3.1.3._Storage"/>
      <w:bookmarkEnd w:id="91"/>
      <w:r w:rsidRPr="005A2D50">
        <w:rPr>
          <w:b/>
          <w:bCs/>
          <w:lang w:val="en-US"/>
        </w:rPr>
        <w:t>IV.3.1.3. Uzglabāšana</w:t>
      </w:r>
    </w:p>
    <w:p w14:paraId="5212B6FA" w14:textId="77777777" w:rsidR="005A2D50" w:rsidRPr="005A2D50" w:rsidRDefault="005A2D50" w:rsidP="005A2D50">
      <w:pPr>
        <w:pStyle w:val="BodyText"/>
        <w:rPr>
          <w:lang w:val="en-US"/>
        </w:rPr>
      </w:pPr>
    </w:p>
    <w:p w14:paraId="33026B83" w14:textId="77777777" w:rsidR="005A2D50" w:rsidRPr="005A2D50" w:rsidRDefault="005A2D50" w:rsidP="005A2D50">
      <w:pPr>
        <w:pStyle w:val="BodyText"/>
        <w:rPr>
          <w:lang w:val="en-US"/>
        </w:rPr>
      </w:pPr>
      <w:r w:rsidRPr="005A2D50">
        <w:rPr>
          <w:lang w:val="en-US"/>
        </w:rPr>
        <w:t>Ja tiek piemērota muitas noliktavas procedūra, muitas procedūras ievešanai noliktavā atļaujas turētājam ir jāsniedz galvojums. Atļaujas turētājs (persona, kurai jāsniedz galvojums) ir uzglabāšanas vietas īpašnieks. Attiecībā uz muitas procedūras piemērošanu ievešanai noliktavā galvojums nav nepieciešams, lai precēm piemērotu procedūru, jo galvojums ir nepieciešams tikai tās uzglabāšanas vietas darbībai, kuru izmanto preču glabāšanai muitas noliktavā. Kādā brīdī muitas dienests var secināt, ka uzglabāšanas vietas īpašnieka sniegtais galvojums nav pietiekams, un saskaņā ar SMK 97. pantu jāpieprasa papildu galvojums.</w:t>
      </w:r>
    </w:p>
    <w:p w14:paraId="7EE3607F" w14:textId="77777777" w:rsidR="005A2D50" w:rsidRPr="005A2D50" w:rsidRDefault="005A2D50" w:rsidP="005A2D50">
      <w:pPr>
        <w:pStyle w:val="BodyText"/>
        <w:rPr>
          <w:lang w:val="en-US"/>
        </w:rPr>
      </w:pPr>
      <w:r w:rsidRPr="005A2D50">
        <w:rPr>
          <w:lang w:val="en-US"/>
        </w:rPr>
        <w:t>Ja izmanto publiskās muitas noliktavas, persona, kurai ir atļauja, nav tā pati persona, kas izmanto procedūru. Lai gan būtībā atļaujas turētājam ir jāsniedz galvojums, muitas dienests var pieņemt galvojumu no procedūras izmantotāja, jo saskaņā ar SMK 242. pantu arī šī persona var kļūt par parādnieku (skat. SMK 89. panta 3. punktu).</w:t>
      </w:r>
    </w:p>
    <w:p w14:paraId="73F9D528" w14:textId="77777777" w:rsidR="005A2D50" w:rsidRPr="005A2D50" w:rsidRDefault="005A2D50" w:rsidP="005A2D50">
      <w:pPr>
        <w:pStyle w:val="BodyText"/>
        <w:rPr>
          <w:lang w:val="en-US"/>
        </w:rPr>
      </w:pPr>
      <w:r w:rsidRPr="005A2D50">
        <w:rPr>
          <w:lang w:val="en-US"/>
        </w:rPr>
        <w:t>Tomēr publiskas muitas noliktavas atļaujā var noteikt, ka atbildību var attiecināt tikai uz procedūras izmantotāju (skat. SMK 242. panta 2. punktu).</w:t>
      </w:r>
    </w:p>
    <w:p w14:paraId="52734475" w14:textId="77777777" w:rsidR="005A2D50" w:rsidRPr="005A2D50" w:rsidRDefault="005A2D50" w:rsidP="005A2D50">
      <w:pPr>
        <w:pStyle w:val="BodyText"/>
        <w:rPr>
          <w:lang w:val="en-US"/>
        </w:rPr>
      </w:pPr>
      <w:r w:rsidRPr="005A2D50">
        <w:rPr>
          <w:lang w:val="en-US"/>
        </w:rPr>
        <w:t>Tas ir īpaši lietderīgi attiecībā uz II tipa publiskajām muitas noliktavām, kur pienākumi attiecas uz procedūras izmantotāju (agrāk B tips). Attiecībā uz I tipa publiskajām muitas noliktavām pienākumi attiecas gan uz atļaujas turētāju, gan procedūras izmantotāju.</w:t>
      </w:r>
    </w:p>
    <w:p w14:paraId="2B16301F" w14:textId="77777777" w:rsidR="005A2D50" w:rsidRPr="005A2D50" w:rsidRDefault="005A2D50" w:rsidP="005A2D50">
      <w:pPr>
        <w:pStyle w:val="BodyText"/>
        <w:rPr>
          <w:lang w:val="en-US"/>
        </w:rPr>
      </w:pPr>
      <w:r w:rsidRPr="005A2D50">
        <w:rPr>
          <w:lang w:val="en-US"/>
        </w:rPr>
        <w:t>Papildu galvojumu var sniegt arī procedūras izmantotājs. Mēs iesakām nodrošināt, ka procedūras izmantotāja sniegtais papildu galvojums saistību veidā attiecas uz abu personu solidāro atbildību par iespējamiem muitas parādiem, kas izriet no šīs situācijas.</w:t>
      </w:r>
    </w:p>
    <w:p w14:paraId="0D40D328" w14:textId="77777777" w:rsidR="005A2D50" w:rsidRPr="005A2D50" w:rsidRDefault="005A2D50" w:rsidP="005A2D50">
      <w:pPr>
        <w:pStyle w:val="BodyText"/>
        <w:rPr>
          <w:lang w:val="en-US"/>
        </w:rPr>
      </w:pPr>
    </w:p>
    <w:p w14:paraId="0AF15A5C" w14:textId="77777777" w:rsidR="005A2D50" w:rsidRPr="005A2D50" w:rsidRDefault="005A2D50" w:rsidP="005A2D50">
      <w:pPr>
        <w:pStyle w:val="Heading2"/>
        <w:rPr>
          <w:rFonts w:cs="Times New Roman"/>
          <w:noProof/>
          <w:lang w:val="en-US"/>
        </w:rPr>
      </w:pPr>
      <w:bookmarkStart w:id="92" w:name="IV.3.2._Transfer_of_Rights_and_Obligatio"/>
      <w:bookmarkStart w:id="93" w:name="_bookmark28"/>
      <w:bookmarkStart w:id="94" w:name="_Toc104982786"/>
      <w:bookmarkEnd w:id="92"/>
      <w:bookmarkEnd w:id="93"/>
      <w:r w:rsidRPr="005A2D50">
        <w:rPr>
          <w:noProof/>
          <w:lang w:val="en-US"/>
        </w:rPr>
        <w:t>IV.3.2. Tiesību un pienākumu nodošana (</w:t>
      </w:r>
      <w:r w:rsidRPr="005A2D50">
        <w:rPr>
          <w:i/>
          <w:iCs/>
          <w:noProof/>
          <w:lang w:val="en-US"/>
        </w:rPr>
        <w:t>TORO</w:t>
      </w:r>
      <w:r w:rsidRPr="005A2D50">
        <w:rPr>
          <w:noProof/>
          <w:lang w:val="en-US"/>
        </w:rPr>
        <w:t>)</w:t>
      </w:r>
      <w:bookmarkEnd w:id="94"/>
    </w:p>
    <w:p w14:paraId="68243112"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4F7B5B7A" w14:textId="77777777" w:rsidR="005A2D50" w:rsidRPr="005A2D50" w:rsidRDefault="005A2D50" w:rsidP="005A2D50">
      <w:pPr>
        <w:pStyle w:val="BodyText"/>
        <w:rPr>
          <w:lang w:val="en-US"/>
        </w:rPr>
      </w:pPr>
      <w:r w:rsidRPr="005A2D50">
        <w:rPr>
          <w:lang w:val="en-US"/>
        </w:rPr>
        <w:t xml:space="preserve">Tiesību un pienākumu nodošana ir iespējama tikai attiecībā uz procedūras izmantotāja tiesībām un pienākumiem. </w:t>
      </w:r>
      <w:r w:rsidRPr="005A2D50">
        <w:rPr>
          <w:i/>
          <w:iCs/>
          <w:lang w:val="en-US"/>
        </w:rPr>
        <w:t xml:space="preserve">TORO </w:t>
      </w:r>
      <w:r w:rsidRPr="005A2D50">
        <w:rPr>
          <w:lang w:val="en-US"/>
        </w:rPr>
        <w:t>nav nepieciešama nevienas turpmākas īpašās procedūras muitas atļaujas izmantošana, jo tiesības un pienākumi, ko var nodot citai personai, ir noteikti saskaņā ar atļauju, ar kuru precēm ir piemērota īpaša procedūra. Tomēr pārņēmējam ir jāatbilst attiecīgās procedūras nosacījumiem. Nodotās tiesības un pienākumi vienmēr ir saistīti ar precēm, kurām piemērota īpašā procedūra. Nevar nodot atsevišķas “personīgas” tiesības un pienākumus, piemēram, “</w:t>
      </w:r>
      <w:r w:rsidRPr="005A2D50">
        <w:rPr>
          <w:i/>
          <w:iCs/>
          <w:lang w:val="en-US"/>
        </w:rPr>
        <w:t xml:space="preserve">AEOC </w:t>
      </w:r>
      <w:r w:rsidRPr="005A2D50">
        <w:rPr>
          <w:lang w:val="en-US"/>
        </w:rPr>
        <w:t>statusu” vai “nepieciešamo garantiju sniegšanu par darbību pienācīgu veikšanu” (skat. SMK 211. panta 3. punkta b) apakšpunktu). Tas var ietekmēt pieprasīto galvojumu, ja pārņēmējam tāds ir jāsniedz.</w:t>
      </w:r>
    </w:p>
    <w:p w14:paraId="4A712C4A" w14:textId="77777777" w:rsidR="005A2D50" w:rsidRPr="005A2D50" w:rsidRDefault="005A2D50" w:rsidP="005A2D50">
      <w:pPr>
        <w:pStyle w:val="BodyText"/>
        <w:rPr>
          <w:lang w:val="en-US"/>
        </w:rPr>
      </w:pPr>
      <w:r w:rsidRPr="005A2D50">
        <w:rPr>
          <w:i/>
          <w:iCs/>
          <w:lang w:val="en-US"/>
        </w:rPr>
        <w:t xml:space="preserve">TORO </w:t>
      </w:r>
      <w:r w:rsidRPr="005A2D50">
        <w:rPr>
          <w:lang w:val="en-US"/>
        </w:rPr>
        <w:t xml:space="preserve">vienmēr ir jāietver atļaujā, un parasti tam izmanto īpašu </w:t>
      </w:r>
      <w:r w:rsidRPr="005A2D50">
        <w:rPr>
          <w:i/>
          <w:iCs/>
          <w:lang w:val="en-US"/>
        </w:rPr>
        <w:t xml:space="preserve">TORO </w:t>
      </w:r>
      <w:r w:rsidRPr="005A2D50">
        <w:rPr>
          <w:lang w:val="en-US"/>
        </w:rPr>
        <w:t>veidlapu (skat. Vadlīniju īpašām procedūrām III pielikumu un V pielikumu</w:t>
      </w:r>
      <w:r w:rsidRPr="005A2D50">
        <w:rPr>
          <w:rStyle w:val="FootnoteReference"/>
          <w:lang w:val="en-US"/>
        </w:rPr>
        <w:footnoteReference w:id="5"/>
      </w:r>
      <w:r w:rsidRPr="005A2D50">
        <w:rPr>
          <w:lang w:val="en-US"/>
        </w:rPr>
        <w:t xml:space="preserve">). Turklāt </w:t>
      </w:r>
      <w:r w:rsidRPr="005A2D50">
        <w:rPr>
          <w:i/>
          <w:iCs/>
          <w:lang w:val="en-US"/>
        </w:rPr>
        <w:t xml:space="preserve">TORO </w:t>
      </w:r>
      <w:r w:rsidRPr="005A2D50">
        <w:rPr>
          <w:lang w:val="en-US"/>
        </w:rPr>
        <w:t xml:space="preserve">nenosaka nepieciešamību pēc turpmākas muitas deklarācijas attiecībā uz to pašu procedūru. Iesaistītie muitas dienesti (nodevēja un pārņēmēja dienesti) ir jāinformē par </w:t>
      </w:r>
      <w:r w:rsidRPr="005A2D50">
        <w:rPr>
          <w:i/>
          <w:iCs/>
          <w:lang w:val="en-US"/>
        </w:rPr>
        <w:t xml:space="preserve">TORO </w:t>
      </w:r>
      <w:r w:rsidRPr="005A2D50">
        <w:rPr>
          <w:lang w:val="en-US"/>
        </w:rPr>
        <w:t xml:space="preserve">un par </w:t>
      </w:r>
      <w:r w:rsidRPr="005A2D50">
        <w:rPr>
          <w:i/>
          <w:iCs/>
          <w:lang w:val="en-US"/>
        </w:rPr>
        <w:t xml:space="preserve">TORO </w:t>
      </w:r>
      <w:r w:rsidRPr="005A2D50">
        <w:rPr>
          <w:lang w:val="en-US"/>
        </w:rPr>
        <w:t xml:space="preserve">noteikumiem, un tiem ir jāpārliecinās, ka ir sniegts galvojums iespējamo muitas parādu segšanai (SMK 79. pants). Lēmumā par </w:t>
      </w:r>
      <w:r w:rsidRPr="005A2D50">
        <w:rPr>
          <w:i/>
          <w:iCs/>
          <w:lang w:val="en-US"/>
        </w:rPr>
        <w:t xml:space="preserve">TORO </w:t>
      </w:r>
      <w:r w:rsidRPr="005A2D50">
        <w:rPr>
          <w:lang w:val="en-US"/>
        </w:rPr>
        <w:t xml:space="preserve">ir jāparedz nosacījumi, saskaņā ar kuriem tiek veikta </w:t>
      </w:r>
      <w:r w:rsidRPr="005A2D50">
        <w:rPr>
          <w:i/>
          <w:iCs/>
          <w:lang w:val="en-US"/>
        </w:rPr>
        <w:t xml:space="preserve">TORO </w:t>
      </w:r>
      <w:r w:rsidRPr="005A2D50">
        <w:rPr>
          <w:lang w:val="en-US"/>
        </w:rPr>
        <w:t>atbilstoši SMK 218. pantam</w:t>
      </w:r>
      <w:r w:rsidRPr="005A2D50">
        <w:rPr>
          <w:vertAlign w:val="superscript"/>
          <w:lang w:val="en-US"/>
        </w:rPr>
        <w:footnoteReference w:id="6"/>
      </w:r>
      <w:r w:rsidRPr="005A2D50">
        <w:rPr>
          <w:vertAlign w:val="superscript"/>
          <w:lang w:val="en-US"/>
        </w:rPr>
        <w:t xml:space="preserve"> </w:t>
      </w:r>
      <w:r w:rsidRPr="005A2D50">
        <w:rPr>
          <w:lang w:val="en-US"/>
        </w:rPr>
        <w:t>un 211. panta 3. punkta c) apakšpunktam</w:t>
      </w:r>
      <w:r w:rsidRPr="005A2D50">
        <w:rPr>
          <w:rStyle w:val="FootnoteReference"/>
          <w:lang w:val="en-US"/>
        </w:rPr>
        <w:footnoteReference w:id="7"/>
      </w:r>
      <w:r w:rsidRPr="005A2D50">
        <w:rPr>
          <w:lang w:val="en-US"/>
        </w:rPr>
        <w:t xml:space="preserve">, un tajā jānorāda, kādas ir nodotās tiesības un pienākumi, kas pārņēmējam ir jāizpilda neatkarīgi no tā, vai tiesību un pienākumu nodošana ir “pilnīga” vai “daļēja” (tostarp galvojuma sniegšana). Galvojumam par precēm, uz kurām attiecas </w:t>
      </w:r>
      <w:r w:rsidRPr="005A2D50">
        <w:rPr>
          <w:i/>
          <w:iCs/>
          <w:lang w:val="en-US"/>
        </w:rPr>
        <w:t>TORO</w:t>
      </w:r>
      <w:r w:rsidRPr="005A2D50">
        <w:rPr>
          <w:lang w:val="en-US"/>
        </w:rPr>
        <w:t xml:space="preserve">, jābūt spēkā, pirms tiek pieņemts lēmums par </w:t>
      </w:r>
      <w:r w:rsidRPr="005A2D50">
        <w:rPr>
          <w:i/>
          <w:iCs/>
          <w:lang w:val="en-US"/>
        </w:rPr>
        <w:t>TORO</w:t>
      </w:r>
      <w:r w:rsidRPr="005A2D50">
        <w:rPr>
          <w:lang w:val="en-US"/>
        </w:rPr>
        <w:t>, un to pieprasa no personas, kura var kļūt par parādnieku, kas saskaņā ar SMK 79. pantu</w:t>
      </w:r>
      <w:r w:rsidRPr="005A2D50">
        <w:rPr>
          <w:vertAlign w:val="superscript"/>
          <w:lang w:val="en-US"/>
        </w:rPr>
        <w:footnoteReference w:id="8"/>
      </w:r>
      <w:r w:rsidRPr="005A2D50">
        <w:rPr>
          <w:vertAlign w:val="superscript"/>
          <w:lang w:val="en-US"/>
        </w:rPr>
        <w:t xml:space="preserve"> </w:t>
      </w:r>
      <w:r w:rsidRPr="005A2D50">
        <w:rPr>
          <w:lang w:val="en-US"/>
        </w:rPr>
        <w:t>ir persona, kura ir atbildīga par pienākumu izpildi attiecībā uz piešķirto atļauju un šīm precēm.</w:t>
      </w:r>
    </w:p>
    <w:p w14:paraId="72BCEBF8" w14:textId="77777777" w:rsidR="005A2D50" w:rsidRPr="005A2D50" w:rsidRDefault="005A2D50" w:rsidP="005A2D50">
      <w:pPr>
        <w:pStyle w:val="BodyText"/>
        <w:rPr>
          <w:lang w:val="en-US"/>
        </w:rPr>
      </w:pPr>
      <w:r w:rsidRPr="005A2D50">
        <w:rPr>
          <w:lang w:val="en-US"/>
        </w:rPr>
        <w:t xml:space="preserve">Lai gan muitas tiesību akti neierobežo iespējas izmantot </w:t>
      </w:r>
      <w:r w:rsidRPr="005A2D50">
        <w:rPr>
          <w:i/>
          <w:iCs/>
          <w:lang w:val="en-US"/>
        </w:rPr>
        <w:t>TORO</w:t>
      </w:r>
      <w:r w:rsidRPr="005A2D50">
        <w:rPr>
          <w:lang w:val="en-US"/>
        </w:rPr>
        <w:t xml:space="preserve">, tas būtībā nav nepieciešams precēm, kurām piemēro īpašas procedūras, kas nav tranzīts vai galapatēriņš. Kā alternatīvs risinājums </w:t>
      </w:r>
      <w:r w:rsidRPr="005A2D50">
        <w:rPr>
          <w:i/>
          <w:iCs/>
          <w:lang w:val="en-US"/>
        </w:rPr>
        <w:t>TORO</w:t>
      </w:r>
      <w:r w:rsidRPr="005A2D50">
        <w:rPr>
          <w:lang w:val="en-US"/>
        </w:rPr>
        <w:t xml:space="preserve">, pilnībā nododot tiesības un pienākumus, būtu jaunas muitas deklarācijas iesniegšana (piemēram, attiecībā uz IP, </w:t>
      </w:r>
      <w:r w:rsidRPr="005A2D50">
        <w:rPr>
          <w:i/>
          <w:iCs/>
          <w:lang w:val="en-US"/>
        </w:rPr>
        <w:t>CW</w:t>
      </w:r>
      <w:r w:rsidRPr="005A2D50">
        <w:rPr>
          <w:lang w:val="en-US"/>
        </w:rPr>
        <w:t xml:space="preserve">). Tomēr šāda prakse nav attiecināma uz galapatēriņa procedūras piemērošanu. Tā kā galapatēriņa mērķiem brīvā apgrozībā laistām precēm ir piešķirts Savienības statuss, tās nevar deklarēt turpmākai muitas procedūrai. Turklāt saskaņā ar SMK 269. panta 2. punkta b) apakšpunktu uz precēm, kas deklarētas galapatēriņa procedūrai un kurām muitas uzraudzība nav beigusies (preces vēl nav sasniegušas galapatēriņa mērķi), nevar attiecināt eksporta procedūru, ja tās izved no muitas teritorijas. Ja nevar veikt </w:t>
      </w:r>
      <w:r w:rsidRPr="005A2D50">
        <w:rPr>
          <w:i/>
          <w:iCs/>
          <w:lang w:val="en-US"/>
        </w:rPr>
        <w:t>TORO</w:t>
      </w:r>
      <w:r w:rsidRPr="005A2D50">
        <w:rPr>
          <w:lang w:val="en-US"/>
        </w:rPr>
        <w:t>, būtu praktiski pārvietot preces uz vietu, kur cita persona, kurai nav atļaujas galapatēriņam, var piešķirt minētās preces paredzētajam galapatēriņam. Šādā gadījumā līdz galapatēriņa procedūras pabeigšanai atbildību uzņemas galapatēriņa atļaujas turētājs.</w:t>
      </w:r>
    </w:p>
    <w:p w14:paraId="54B5882C" w14:textId="77777777" w:rsidR="005A2D50" w:rsidRPr="005A2D50" w:rsidRDefault="005A2D50" w:rsidP="005A2D50">
      <w:pPr>
        <w:jc w:val="both"/>
        <w:rPr>
          <w:lang w:val="en-US"/>
        </w:rPr>
      </w:pPr>
    </w:p>
    <w:p w14:paraId="5335DC38" w14:textId="77777777" w:rsidR="005A2D50" w:rsidRPr="005A2D50" w:rsidRDefault="005A2D50" w:rsidP="005A2D50">
      <w:pPr>
        <w:pStyle w:val="BodyText"/>
        <w:rPr>
          <w:b/>
          <w:bCs/>
          <w:lang w:val="en-US"/>
        </w:rPr>
      </w:pPr>
      <w:bookmarkStart w:id="95" w:name="In_principle,_two_different_procedures_c"/>
      <w:bookmarkEnd w:id="95"/>
      <w:r w:rsidRPr="005A2D50">
        <w:rPr>
          <w:b/>
          <w:bCs/>
          <w:lang w:val="en-US"/>
        </w:rPr>
        <w:t xml:space="preserve">Būtībā </w:t>
      </w:r>
      <w:r w:rsidRPr="005A2D50">
        <w:rPr>
          <w:b/>
          <w:bCs/>
          <w:i/>
          <w:iCs/>
          <w:lang w:val="en-US"/>
        </w:rPr>
        <w:t xml:space="preserve">TORO </w:t>
      </w:r>
      <w:r w:rsidRPr="005A2D50">
        <w:rPr>
          <w:b/>
          <w:bCs/>
          <w:lang w:val="en-US"/>
        </w:rPr>
        <w:t>var izmantot divas dažādas procedūras:</w:t>
      </w:r>
    </w:p>
    <w:p w14:paraId="544E412F"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5927970B" w14:textId="77777777" w:rsidR="005A2D50" w:rsidRPr="005A2D50" w:rsidRDefault="005A2D50" w:rsidP="005A2D50">
      <w:pPr>
        <w:pStyle w:val="BodyText"/>
        <w:rPr>
          <w:lang w:val="en-US"/>
        </w:rPr>
      </w:pPr>
      <w:r w:rsidRPr="005A2D50">
        <w:rPr>
          <w:lang w:val="en-US"/>
        </w:rPr>
        <w:t>1) </w:t>
      </w:r>
      <w:r w:rsidRPr="005A2D50">
        <w:rPr>
          <w:i/>
          <w:iCs/>
          <w:lang w:val="en-US"/>
        </w:rPr>
        <w:t xml:space="preserve">SPE </w:t>
      </w:r>
      <w:r w:rsidRPr="005A2D50">
        <w:rPr>
          <w:lang w:val="en-US"/>
        </w:rPr>
        <w:t xml:space="preserve">atļaujas turētājs (kuram ir arī </w:t>
      </w:r>
      <w:r w:rsidRPr="005A2D50">
        <w:rPr>
          <w:i/>
          <w:iCs/>
          <w:lang w:val="en-US"/>
        </w:rPr>
        <w:t xml:space="preserve">TORO </w:t>
      </w:r>
      <w:r w:rsidRPr="005A2D50">
        <w:rPr>
          <w:lang w:val="en-US"/>
        </w:rPr>
        <w:t>atļauja) nodod tiesības un pienākumus pārņēmējam, kam nav atļaujas; vai</w:t>
      </w:r>
    </w:p>
    <w:p w14:paraId="5EDA5B35" w14:textId="77777777" w:rsidR="005A2D50" w:rsidRPr="005A2D50" w:rsidRDefault="005A2D50" w:rsidP="005A2D50">
      <w:pPr>
        <w:pStyle w:val="BodyText"/>
        <w:rPr>
          <w:lang w:val="en-US"/>
        </w:rPr>
      </w:pPr>
      <w:r w:rsidRPr="005A2D50">
        <w:rPr>
          <w:lang w:val="en-US"/>
        </w:rPr>
        <w:t>2) </w:t>
      </w:r>
      <w:r w:rsidRPr="005A2D50">
        <w:rPr>
          <w:i/>
          <w:iCs/>
          <w:lang w:val="en-US"/>
        </w:rPr>
        <w:t xml:space="preserve">SPE </w:t>
      </w:r>
      <w:r w:rsidRPr="005A2D50">
        <w:rPr>
          <w:lang w:val="en-US"/>
        </w:rPr>
        <w:t xml:space="preserve">atļaujas turētājs (kuram ir arī </w:t>
      </w:r>
      <w:r w:rsidRPr="005A2D50">
        <w:rPr>
          <w:i/>
          <w:iCs/>
          <w:lang w:val="en-US"/>
        </w:rPr>
        <w:t xml:space="preserve">TORO </w:t>
      </w:r>
      <w:r w:rsidRPr="005A2D50">
        <w:rPr>
          <w:lang w:val="en-US"/>
        </w:rPr>
        <w:t xml:space="preserve">atļauja) nodod tiesības un pienākumus pārņēmējam, kam ir </w:t>
      </w:r>
      <w:r w:rsidRPr="005A2D50">
        <w:rPr>
          <w:i/>
          <w:iCs/>
          <w:lang w:val="en-US"/>
        </w:rPr>
        <w:t xml:space="preserve">TORO </w:t>
      </w:r>
      <w:r w:rsidRPr="005A2D50">
        <w:rPr>
          <w:lang w:val="en-US"/>
        </w:rPr>
        <w:t>atļauja.</w:t>
      </w:r>
    </w:p>
    <w:p w14:paraId="79E9F4C4" w14:textId="77777777" w:rsidR="005A2D50" w:rsidRPr="005A2D50" w:rsidRDefault="005A2D50" w:rsidP="005A2D50">
      <w:pPr>
        <w:pStyle w:val="BodyText"/>
        <w:rPr>
          <w:lang w:val="en-US"/>
        </w:rPr>
      </w:pPr>
    </w:p>
    <w:p w14:paraId="1F5FEE5A" w14:textId="77777777" w:rsidR="005A2D50" w:rsidRPr="005A2D50" w:rsidRDefault="005A2D50" w:rsidP="005A2D50">
      <w:pPr>
        <w:pStyle w:val="BodyText"/>
        <w:rPr>
          <w:lang w:val="en-US"/>
        </w:rPr>
      </w:pPr>
      <w:r w:rsidRPr="005A2D50">
        <w:rPr>
          <w:lang w:val="en-US"/>
        </w:rPr>
        <w:t xml:space="preserve">Praksē galvenokārt izmanto otro </w:t>
      </w:r>
      <w:r w:rsidRPr="005A2D50">
        <w:rPr>
          <w:i/>
          <w:iCs/>
          <w:lang w:val="en-US"/>
        </w:rPr>
        <w:t xml:space="preserve">TORO </w:t>
      </w:r>
      <w:r w:rsidRPr="005A2D50">
        <w:rPr>
          <w:lang w:val="en-US"/>
        </w:rPr>
        <w:t>veidu, pilnībā nododot tiesības un pienākumus, un tas attiecas uz precēm, kurām piemēro galapatēriņa procedūru.</w:t>
      </w:r>
    </w:p>
    <w:p w14:paraId="3E47C2F2" w14:textId="77777777" w:rsidR="005A2D50" w:rsidRPr="005A2D50" w:rsidRDefault="005A2D50" w:rsidP="005A2D50">
      <w:pPr>
        <w:jc w:val="both"/>
        <w:rPr>
          <w:rFonts w:ascii="Times New Roman" w:eastAsia="Times New Roman" w:hAnsi="Times New Roman" w:cs="Times New Roman"/>
          <w:noProof/>
          <w:sz w:val="24"/>
          <w:szCs w:val="24"/>
          <w:lang w:val="en-US"/>
        </w:rPr>
      </w:pPr>
    </w:p>
    <w:p w14:paraId="620E85FE" w14:textId="77777777" w:rsidR="005A2D50" w:rsidRPr="005A2D50" w:rsidRDefault="005A2D50" w:rsidP="005A2D50">
      <w:pPr>
        <w:pStyle w:val="BodyText"/>
        <w:keepNext/>
        <w:keepLines/>
        <w:rPr>
          <w:b/>
          <w:bCs/>
          <w:lang w:val="en-US"/>
        </w:rPr>
      </w:pPr>
      <w:r w:rsidRPr="005A2D50">
        <w:rPr>
          <w:b/>
          <w:bCs/>
          <w:lang w:val="en-US"/>
        </w:rPr>
        <w:t xml:space="preserve">IV.3.2.1. </w:t>
      </w:r>
      <w:r w:rsidRPr="005A2D50">
        <w:rPr>
          <w:b/>
          <w:bCs/>
          <w:i/>
          <w:iCs/>
          <w:lang w:val="en-US"/>
        </w:rPr>
        <w:t xml:space="preserve">SPE </w:t>
      </w:r>
      <w:r w:rsidRPr="005A2D50">
        <w:rPr>
          <w:b/>
          <w:bCs/>
          <w:lang w:val="en-US"/>
        </w:rPr>
        <w:t xml:space="preserve">atļaujas turētājs nodod tiesības un pienākumus pārņēmējam, kam ir </w:t>
      </w:r>
      <w:r w:rsidRPr="005A2D50">
        <w:rPr>
          <w:b/>
          <w:bCs/>
          <w:i/>
          <w:iCs/>
          <w:lang w:val="en-US"/>
        </w:rPr>
        <w:t xml:space="preserve">TORO </w:t>
      </w:r>
      <w:r w:rsidRPr="005A2D50">
        <w:rPr>
          <w:b/>
          <w:bCs/>
          <w:lang w:val="en-US"/>
        </w:rPr>
        <w:t>atļauja</w:t>
      </w:r>
    </w:p>
    <w:p w14:paraId="6237576F" w14:textId="77777777" w:rsidR="005A2D50" w:rsidRPr="005A2D50" w:rsidRDefault="005A2D50" w:rsidP="005A2D50">
      <w:pPr>
        <w:keepNext/>
        <w:keepLines/>
        <w:jc w:val="both"/>
        <w:rPr>
          <w:rFonts w:ascii="Times New Roman" w:eastAsia="Times New Roman" w:hAnsi="Times New Roman" w:cs="Times New Roman"/>
          <w:b/>
          <w:bCs/>
          <w:noProof/>
          <w:sz w:val="24"/>
          <w:szCs w:val="24"/>
          <w:lang w:val="en-US"/>
        </w:rPr>
      </w:pPr>
    </w:p>
    <w:p w14:paraId="00222853" w14:textId="77777777" w:rsidR="005A2D50" w:rsidRPr="005A2D50" w:rsidRDefault="005A2D50" w:rsidP="005A2D50">
      <w:pPr>
        <w:pStyle w:val="BodyText"/>
        <w:keepNext/>
        <w:keepLines/>
        <w:rPr>
          <w:lang w:val="en-US"/>
        </w:rPr>
      </w:pPr>
      <w:r w:rsidRPr="005A2D50">
        <w:rPr>
          <w:lang w:val="en-US"/>
        </w:rPr>
        <w:t xml:space="preserve">Pirms tiek veikta </w:t>
      </w:r>
      <w:r w:rsidRPr="005A2D50">
        <w:rPr>
          <w:i/>
          <w:iCs/>
          <w:lang w:val="en-US"/>
        </w:rPr>
        <w:t>TORO</w:t>
      </w:r>
      <w:r w:rsidRPr="005A2D50">
        <w:rPr>
          <w:lang w:val="en-US"/>
        </w:rPr>
        <w:t xml:space="preserve">, pārņēmējam jāsaņem </w:t>
      </w:r>
      <w:r w:rsidRPr="005A2D50">
        <w:rPr>
          <w:i/>
          <w:iCs/>
          <w:lang w:val="en-US"/>
        </w:rPr>
        <w:t xml:space="preserve">TORO </w:t>
      </w:r>
      <w:r w:rsidRPr="005A2D50">
        <w:rPr>
          <w:lang w:val="en-US"/>
        </w:rPr>
        <w:t>atļauja.</w:t>
      </w:r>
    </w:p>
    <w:p w14:paraId="3971BA51" w14:textId="77777777" w:rsidR="005A2D50" w:rsidRPr="005A2D50" w:rsidRDefault="005A2D50" w:rsidP="005A2D50">
      <w:pPr>
        <w:pStyle w:val="BodyText"/>
        <w:rPr>
          <w:lang w:val="en-US"/>
        </w:rPr>
      </w:pPr>
      <w:r w:rsidRPr="005A2D50">
        <w:rPr>
          <w:lang w:val="en-US"/>
        </w:rPr>
        <w:t xml:space="preserve">Papildus citai informācijai lēmumā par </w:t>
      </w:r>
      <w:r w:rsidRPr="005A2D50">
        <w:rPr>
          <w:i/>
          <w:iCs/>
          <w:lang w:val="en-US"/>
        </w:rPr>
        <w:t xml:space="preserve">TORO </w:t>
      </w:r>
      <w:r w:rsidRPr="005A2D50">
        <w:rPr>
          <w:lang w:val="en-US"/>
        </w:rPr>
        <w:t xml:space="preserve">(SMK ĪA 266. pants) ir jānorāda, kurš galvojums tiek pieņemts. Muitas dienestam ir jāpārliecinās, ka preces, uz kurām attiecas </w:t>
      </w:r>
      <w:r w:rsidRPr="005A2D50">
        <w:rPr>
          <w:i/>
          <w:iCs/>
          <w:lang w:val="en-US"/>
        </w:rPr>
        <w:t>TORO</w:t>
      </w:r>
      <w:r w:rsidRPr="005A2D50">
        <w:rPr>
          <w:lang w:val="en-US"/>
        </w:rPr>
        <w:t xml:space="preserve">, jebkurā laikā ir ietvertas galvojumā (pārņēmēja vai nodevēja galvojumā – atkarībā no </w:t>
      </w:r>
      <w:r w:rsidRPr="005A2D50">
        <w:rPr>
          <w:i/>
          <w:iCs/>
          <w:lang w:val="en-US"/>
        </w:rPr>
        <w:t xml:space="preserve">TORO </w:t>
      </w:r>
      <w:r w:rsidRPr="005A2D50">
        <w:rPr>
          <w:lang w:val="en-US"/>
        </w:rPr>
        <w:t>nosacījumiem), līdz muita ir pārbaudījusi un pieņēmusi izpildes dokumentu.</w:t>
      </w:r>
    </w:p>
    <w:p w14:paraId="5B0577D0" w14:textId="77777777" w:rsidR="005A2D50" w:rsidRPr="005A2D50" w:rsidRDefault="005A2D50" w:rsidP="005A2D50">
      <w:pPr>
        <w:pStyle w:val="BodyText"/>
        <w:rPr>
          <w:lang w:val="en-US"/>
        </w:rPr>
      </w:pPr>
      <w:r w:rsidRPr="005A2D50">
        <w:rPr>
          <w:lang w:val="en-US"/>
        </w:rPr>
        <w:t xml:space="preserve">Saskaņā ar </w:t>
      </w:r>
      <w:r w:rsidRPr="005A2D50">
        <w:rPr>
          <w:i/>
          <w:iCs/>
          <w:lang w:val="en-US"/>
        </w:rPr>
        <w:t xml:space="preserve">TORO </w:t>
      </w:r>
      <w:r w:rsidRPr="005A2D50">
        <w:rPr>
          <w:lang w:val="en-US"/>
        </w:rPr>
        <w:t>nodotie pienākumi ietver arī pienākumu pabeigt procedūru pabeigšanas laikposmā un pienākumu samaksāt muitas nodokļus.</w:t>
      </w:r>
    </w:p>
    <w:p w14:paraId="7BD24C3D" w14:textId="77777777" w:rsidR="005A2D50" w:rsidRPr="005A2D50" w:rsidRDefault="005A2D50" w:rsidP="005A2D50">
      <w:pPr>
        <w:pStyle w:val="BodyText"/>
        <w:rPr>
          <w:lang w:val="en-US"/>
        </w:rPr>
      </w:pPr>
      <w:r w:rsidRPr="005A2D50">
        <w:rPr>
          <w:lang w:val="en-US"/>
        </w:rPr>
        <w:t xml:space="preserve">Šajā gadījumā </w:t>
      </w:r>
      <w:r w:rsidRPr="005A2D50">
        <w:rPr>
          <w:i/>
          <w:iCs/>
          <w:lang w:val="en-US"/>
        </w:rPr>
        <w:t xml:space="preserve">SPE </w:t>
      </w:r>
      <w:r w:rsidRPr="005A2D50">
        <w:rPr>
          <w:lang w:val="en-US"/>
        </w:rPr>
        <w:t xml:space="preserve">atļaujas turētājam savā izpildes dokumentā un/vai tā uzskaites datos ir jāsniedz informācija par </w:t>
      </w:r>
      <w:r w:rsidRPr="005A2D50">
        <w:rPr>
          <w:i/>
          <w:iCs/>
          <w:lang w:val="en-US"/>
        </w:rPr>
        <w:t>TORO</w:t>
      </w:r>
      <w:r w:rsidRPr="005A2D50">
        <w:rPr>
          <w:lang w:val="en-US"/>
        </w:rPr>
        <w:t>, ja tas ir nepieciešams. Nav jāsniedz muitai informācija par (procedūras) faktisko noslēgšanu.</w:t>
      </w:r>
    </w:p>
    <w:p w14:paraId="4DC3ACA8" w14:textId="77777777" w:rsidR="005A2D50" w:rsidRPr="005A2D50" w:rsidRDefault="005A2D50" w:rsidP="005A2D50">
      <w:pPr>
        <w:pStyle w:val="BodyText"/>
        <w:rPr>
          <w:lang w:val="en-US"/>
        </w:rPr>
      </w:pPr>
      <w:r w:rsidRPr="005A2D50">
        <w:rPr>
          <w:lang w:val="en-US"/>
        </w:rPr>
        <w:t xml:space="preserve">Pārņēmējam ir jāsniedz savai uzraudzības muitas iestādei informācija par procedūras pabeigšanu vai par sekojošu </w:t>
      </w:r>
      <w:r w:rsidRPr="005A2D50">
        <w:rPr>
          <w:i/>
          <w:iCs/>
          <w:lang w:val="en-US"/>
        </w:rPr>
        <w:t>TORO</w:t>
      </w:r>
      <w:r w:rsidRPr="005A2D50">
        <w:rPr>
          <w:lang w:val="en-US"/>
        </w:rPr>
        <w:t>, tātad pārņēmējs kļūst par procedūras izmantotāju un attiecīgi par iespējamo parādnieku saskaņā ar SMK 79. pantu.</w:t>
      </w:r>
    </w:p>
    <w:p w14:paraId="66C38378" w14:textId="77777777" w:rsidR="005A2D50" w:rsidRPr="005A2D50" w:rsidRDefault="005A2D50" w:rsidP="005A2D50">
      <w:pPr>
        <w:pStyle w:val="BodyText"/>
        <w:rPr>
          <w:lang w:val="en-US"/>
        </w:rPr>
      </w:pPr>
      <w:r w:rsidRPr="005A2D50">
        <w:rPr>
          <w:lang w:val="en-US"/>
        </w:rPr>
        <w:t xml:space="preserve">Tiesību un pienākumu nodevēja atbildība par precēm, uz kurām attiecas </w:t>
      </w:r>
      <w:r w:rsidRPr="005A2D50">
        <w:rPr>
          <w:i/>
          <w:iCs/>
          <w:lang w:val="en-US"/>
        </w:rPr>
        <w:t>TORO</w:t>
      </w:r>
      <w:r w:rsidRPr="005A2D50">
        <w:rPr>
          <w:lang w:val="en-US"/>
        </w:rPr>
        <w:t xml:space="preserve">, var pilnībā beigties nodošanas brīdī, pamatojoties uz nodošanas nosacījumiem. </w:t>
      </w:r>
      <w:r w:rsidRPr="005A2D50">
        <w:rPr>
          <w:i/>
          <w:iCs/>
          <w:lang w:val="en-US"/>
        </w:rPr>
        <w:t xml:space="preserve">SPE </w:t>
      </w:r>
      <w:r w:rsidRPr="005A2D50">
        <w:rPr>
          <w:lang w:val="en-US"/>
        </w:rPr>
        <w:t xml:space="preserve">atļaujas turētājam (nodevējam) pēc nodošanas nav nekādu tiesību un pienākumu attiecībā uz precēm, kurām saskaņā ar viņa īpašo procedūru atļauju un saskaņā ar </w:t>
      </w:r>
      <w:r w:rsidRPr="005A2D50">
        <w:rPr>
          <w:i/>
          <w:iCs/>
          <w:lang w:val="en-US"/>
        </w:rPr>
        <w:t xml:space="preserve">TORO </w:t>
      </w:r>
      <w:r w:rsidRPr="005A2D50">
        <w:rPr>
          <w:lang w:val="en-US"/>
        </w:rPr>
        <w:t xml:space="preserve">piemēro īpašo procedūru, izņemot tikai pienākumu iesniegt izpildes dokumentu par pilnīgu </w:t>
      </w:r>
      <w:r w:rsidRPr="005A2D50">
        <w:rPr>
          <w:i/>
          <w:iCs/>
          <w:lang w:val="en-US"/>
        </w:rPr>
        <w:t>TORO</w:t>
      </w:r>
      <w:r w:rsidRPr="005A2D50">
        <w:rPr>
          <w:lang w:val="en-US"/>
        </w:rPr>
        <w:t xml:space="preserve">. Atbilstīgo galvojuma summu, ko nodevējs iesniedzis attiecībā uz precēm, uz kurām attiecas </w:t>
      </w:r>
      <w:r w:rsidRPr="005A2D50">
        <w:rPr>
          <w:i/>
          <w:iCs/>
          <w:lang w:val="en-US"/>
        </w:rPr>
        <w:t>TORO</w:t>
      </w:r>
      <w:r w:rsidRPr="005A2D50">
        <w:rPr>
          <w:lang w:val="en-US"/>
        </w:rPr>
        <w:t xml:space="preserve">, var izmantot citām muitas operācijām/precēm, uz kurām attiecas viņa atļauja veikt īpašas procedūras, tikai pēc tam, kad muita ir pārbaudījusi un pieņēmusi izpildes dokumentu par pilnīgu </w:t>
      </w:r>
      <w:r w:rsidRPr="005A2D50">
        <w:rPr>
          <w:i/>
          <w:iCs/>
          <w:lang w:val="en-US"/>
        </w:rPr>
        <w:t xml:space="preserve">TORO </w:t>
      </w:r>
      <w:r w:rsidRPr="005A2D50">
        <w:rPr>
          <w:lang w:val="en-US"/>
        </w:rPr>
        <w:t>un preces ir nodotas.</w:t>
      </w:r>
    </w:p>
    <w:p w14:paraId="759775A5" w14:textId="77777777" w:rsidR="005A2D50" w:rsidRPr="005A2D50" w:rsidRDefault="005A2D50" w:rsidP="005A2D50">
      <w:pPr>
        <w:pStyle w:val="BodyText"/>
        <w:rPr>
          <w:lang w:val="en-US"/>
        </w:rPr>
      </w:pPr>
      <w:r w:rsidRPr="005A2D50">
        <w:rPr>
          <w:lang w:val="en-US"/>
        </w:rPr>
        <w:t xml:space="preserve">Saskaņā ar SMK 98. pantu ir iespējams daļēji atbrīvot galvojumu, ko tiesību nodevējs iesniedzis saskaņā ar tā </w:t>
      </w:r>
      <w:r w:rsidRPr="005A2D50">
        <w:rPr>
          <w:i/>
          <w:iCs/>
          <w:lang w:val="en-US"/>
        </w:rPr>
        <w:t xml:space="preserve">SPE </w:t>
      </w:r>
      <w:r w:rsidRPr="005A2D50">
        <w:rPr>
          <w:lang w:val="en-US"/>
        </w:rPr>
        <w:t xml:space="preserve">atļauju, bet tikai attiecībā uz precēm, uz kurām attiecas </w:t>
      </w:r>
      <w:r w:rsidRPr="005A2D50">
        <w:rPr>
          <w:i/>
          <w:iCs/>
          <w:lang w:val="en-US"/>
        </w:rPr>
        <w:t>TORO</w:t>
      </w:r>
      <w:r w:rsidRPr="005A2D50">
        <w:rPr>
          <w:lang w:val="en-US"/>
        </w:rPr>
        <w:t>.</w:t>
      </w:r>
    </w:p>
    <w:p w14:paraId="4E894017" w14:textId="77777777" w:rsidR="005A2D50" w:rsidRPr="005A2D50" w:rsidRDefault="005A2D50" w:rsidP="005A2D50">
      <w:pPr>
        <w:pStyle w:val="BodyText"/>
        <w:rPr>
          <w:lang w:val="en-US"/>
        </w:rPr>
      </w:pPr>
      <w:r w:rsidRPr="005A2D50">
        <w:rPr>
          <w:lang w:val="en-US"/>
        </w:rPr>
        <w:t xml:space="preserve">Iepriekš izklāstītā prakse ir jāpiemēro arī secīgas tāda paša veida </w:t>
      </w:r>
      <w:r w:rsidRPr="005A2D50">
        <w:rPr>
          <w:i/>
          <w:iCs/>
          <w:lang w:val="en-US"/>
        </w:rPr>
        <w:t xml:space="preserve">TORO </w:t>
      </w:r>
      <w:r w:rsidRPr="005A2D50">
        <w:rPr>
          <w:lang w:val="en-US"/>
        </w:rPr>
        <w:t>gadījumā.</w:t>
      </w:r>
    </w:p>
    <w:p w14:paraId="026C83A8" w14:textId="77777777" w:rsidR="005A2D50" w:rsidRPr="005A2D50" w:rsidRDefault="005A2D50" w:rsidP="005A2D50">
      <w:pPr>
        <w:pStyle w:val="BodyText"/>
        <w:rPr>
          <w:lang w:val="en-US"/>
        </w:rPr>
      </w:pPr>
      <w:r w:rsidRPr="005A2D50">
        <w:rPr>
          <w:lang w:val="en-US"/>
        </w:rPr>
        <w:t xml:space="preserve">Ja </w:t>
      </w:r>
      <w:r w:rsidRPr="005A2D50">
        <w:rPr>
          <w:i/>
          <w:iCs/>
          <w:lang w:val="en-US"/>
        </w:rPr>
        <w:t xml:space="preserve">SPE </w:t>
      </w:r>
      <w:r w:rsidRPr="005A2D50">
        <w:rPr>
          <w:lang w:val="en-US"/>
        </w:rPr>
        <w:t xml:space="preserve">un </w:t>
      </w:r>
      <w:r w:rsidRPr="005A2D50">
        <w:rPr>
          <w:i/>
          <w:iCs/>
          <w:lang w:val="en-US"/>
        </w:rPr>
        <w:t xml:space="preserve">TORO </w:t>
      </w:r>
      <w:r w:rsidRPr="005A2D50">
        <w:rPr>
          <w:lang w:val="en-US"/>
        </w:rPr>
        <w:t xml:space="preserve">atļaujas attiecas uz vairāk nekā vienu muitas deklarāciju, ir nepieciešams vispārējais galvojums. Vienreizējo galvojumu var sniegt tad, ja lēmums par </w:t>
      </w:r>
      <w:r w:rsidRPr="005A2D50">
        <w:rPr>
          <w:i/>
          <w:iCs/>
          <w:lang w:val="en-US"/>
        </w:rPr>
        <w:t xml:space="preserve">TORO </w:t>
      </w:r>
      <w:r w:rsidRPr="005A2D50">
        <w:rPr>
          <w:lang w:val="en-US"/>
        </w:rPr>
        <w:t>attiecas tikai uz vienu darījumu (tostarp saskaņā ar SMK DA 163. pantu).</w:t>
      </w:r>
    </w:p>
    <w:p w14:paraId="18037A95" w14:textId="77777777" w:rsidR="005A2D50" w:rsidRPr="005A2D50" w:rsidRDefault="005A2D50" w:rsidP="005A2D50">
      <w:pPr>
        <w:pStyle w:val="BodyText"/>
        <w:rPr>
          <w:lang w:val="en-US"/>
        </w:rPr>
      </w:pPr>
      <w:r w:rsidRPr="005A2D50">
        <w:rPr>
          <w:lang w:val="en-US"/>
        </w:rPr>
        <w:t xml:space="preserve">Ja </w:t>
      </w:r>
      <w:r w:rsidRPr="005A2D50">
        <w:rPr>
          <w:i/>
          <w:iCs/>
          <w:lang w:val="en-US"/>
        </w:rPr>
        <w:t xml:space="preserve">TORO </w:t>
      </w:r>
      <w:r w:rsidRPr="005A2D50">
        <w:rPr>
          <w:lang w:val="en-US"/>
        </w:rPr>
        <w:t>ietver vairāk nekā vienu dalībvalsti, iepriekš ir jāapspriežas ar attiecīgajām dalībvalstīm.</w:t>
      </w:r>
    </w:p>
    <w:p w14:paraId="58826299" w14:textId="77777777" w:rsidR="005A2D50" w:rsidRPr="005A2D50" w:rsidRDefault="005A2D50" w:rsidP="005A2D50">
      <w:pPr>
        <w:pStyle w:val="BodyText"/>
        <w:rPr>
          <w:lang w:val="en-US"/>
        </w:rPr>
      </w:pPr>
      <w:r w:rsidRPr="005A2D50">
        <w:rPr>
          <w:lang w:val="en-US"/>
        </w:rPr>
        <w:t xml:space="preserve">Ja preces, uz kurām attiecas </w:t>
      </w:r>
      <w:r w:rsidRPr="005A2D50">
        <w:rPr>
          <w:i/>
          <w:iCs/>
          <w:lang w:val="en-US"/>
        </w:rPr>
        <w:t>TORO</w:t>
      </w:r>
      <w:r w:rsidRPr="005A2D50">
        <w:rPr>
          <w:lang w:val="en-US"/>
        </w:rPr>
        <w:t>, tiek pārvietotas caur dažādu dalībvalstu teritoriju, ir jāsniedz derīgs ES mēroga galvojums.</w:t>
      </w:r>
    </w:p>
    <w:p w14:paraId="1D0D6877" w14:textId="77777777" w:rsidR="005A2D50" w:rsidRPr="005A2D50" w:rsidRDefault="005A2D50" w:rsidP="005A2D50">
      <w:pPr>
        <w:pStyle w:val="BodyText"/>
        <w:rPr>
          <w:lang w:val="en-US"/>
        </w:rPr>
      </w:pPr>
      <w:r w:rsidRPr="005A2D50">
        <w:rPr>
          <w:lang w:val="en-US"/>
        </w:rPr>
        <w:t>Saskaņā ar SMK 89. panta 2. punktu, ja galvojums ir derīgs vairākās dalībvalstīs, tas sedz arī citus maksājumus. Galvojumam ir jāsedz citu maksājumu augstākā likme par tāda paša veida precēm dalībvalstī, kurā galvojums tiek sniegts.</w:t>
      </w:r>
    </w:p>
    <w:p w14:paraId="266D71C0" w14:textId="77777777" w:rsidR="005A2D50" w:rsidRPr="005A2D50" w:rsidRDefault="005A2D50" w:rsidP="005A2D50">
      <w:pPr>
        <w:pStyle w:val="BodyText"/>
        <w:rPr>
          <w:lang w:val="en-US"/>
        </w:rPr>
      </w:pPr>
      <w:r w:rsidRPr="005A2D50">
        <w:rPr>
          <w:lang w:val="en-US"/>
        </w:rPr>
        <w:t xml:space="preserve">Plašāku un atjauninātu informāciju par </w:t>
      </w:r>
      <w:r w:rsidRPr="005A2D50">
        <w:rPr>
          <w:i/>
          <w:iCs/>
          <w:lang w:val="en-US"/>
        </w:rPr>
        <w:t xml:space="preserve">TORO </w:t>
      </w:r>
      <w:r w:rsidRPr="005A2D50">
        <w:rPr>
          <w:lang w:val="en-US"/>
        </w:rPr>
        <w:t xml:space="preserve">lūgums skatīt Vadlīnijās par </w:t>
      </w:r>
      <w:r w:rsidRPr="005A2D50">
        <w:rPr>
          <w:i/>
          <w:iCs/>
          <w:lang w:val="en-US"/>
        </w:rPr>
        <w:t>SPE</w:t>
      </w:r>
      <w:r w:rsidRPr="005A2D50">
        <w:rPr>
          <w:rStyle w:val="FootnoteReference"/>
          <w:lang w:val="en-US"/>
        </w:rPr>
        <w:footnoteReference w:id="9"/>
      </w:r>
      <w:r w:rsidRPr="005A2D50">
        <w:rPr>
          <w:lang w:val="en-US"/>
        </w:rPr>
        <w:t>.</w:t>
      </w:r>
    </w:p>
    <w:p w14:paraId="4FB1A864" w14:textId="77777777" w:rsidR="005A2D50" w:rsidRPr="005A2D50" w:rsidRDefault="005A2D50" w:rsidP="005A2D50">
      <w:pPr>
        <w:pStyle w:val="BodyText"/>
        <w:rPr>
          <w:lang w:val="en-US"/>
        </w:rPr>
      </w:pPr>
      <w:bookmarkStart w:id="96" w:name="IV.4._Deferment_of_payments_and_other_pa"/>
      <w:bookmarkStart w:id="97" w:name="_bookmark29"/>
      <w:bookmarkEnd w:id="96"/>
      <w:bookmarkEnd w:id="97"/>
    </w:p>
    <w:p w14:paraId="6D95F5C4" w14:textId="77777777" w:rsidR="005A2D50" w:rsidRPr="005A2D50" w:rsidRDefault="005A2D50" w:rsidP="005A2D50">
      <w:pPr>
        <w:pStyle w:val="Heading1"/>
        <w:rPr>
          <w:noProof/>
          <w:lang w:val="en-US"/>
        </w:rPr>
      </w:pPr>
      <w:bookmarkStart w:id="98" w:name="_Toc104982787"/>
      <w:r w:rsidRPr="005A2D50">
        <w:rPr>
          <w:noProof/>
          <w:lang w:val="en-US"/>
        </w:rPr>
        <w:t>IV.4. Maksājumu atlikšana un citi maksājumu atvieglojumi</w:t>
      </w:r>
      <w:bookmarkEnd w:id="98"/>
    </w:p>
    <w:p w14:paraId="2D02608F"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4F3F0745" w14:textId="77777777" w:rsidR="005A2D50" w:rsidRPr="005A2D50" w:rsidRDefault="005A2D50" w:rsidP="005A2D50">
      <w:pPr>
        <w:pStyle w:val="BodyText"/>
        <w:rPr>
          <w:lang w:val="en-US"/>
        </w:rPr>
      </w:pPr>
      <w:r w:rsidRPr="005A2D50">
        <w:rPr>
          <w:lang w:val="en-US"/>
        </w:rPr>
        <w:t>Saskaņā ar SMK 195. pantu preces izlaiž, ja ir samaksāts muitas parāds vai ir sniegts galvojums. Minētais galvojums var attiekties tikai uz laišanu brīvā apgrozībā vai laišanu brīvā apgrozībā ar atlikto maksājumu (skat. SMK ĪA 32-01.–32-03. pielikumu), ja to pieprasa uzņēmējs.</w:t>
      </w:r>
    </w:p>
    <w:p w14:paraId="4006BA2F" w14:textId="77777777" w:rsidR="005A2D50" w:rsidRPr="005A2D50" w:rsidRDefault="005A2D50" w:rsidP="005A2D50">
      <w:pPr>
        <w:pStyle w:val="BodyText"/>
        <w:rPr>
          <w:lang w:val="en-US"/>
        </w:rPr>
      </w:pPr>
      <w:r w:rsidRPr="005A2D50">
        <w:rPr>
          <w:lang w:val="en-US"/>
        </w:rPr>
        <w:t xml:space="preserve">Saskaņā ar SMK 110. pantu </w:t>
      </w:r>
      <w:r w:rsidRPr="005A2D50">
        <w:rPr>
          <w:i/>
          <w:iCs/>
          <w:lang w:val="en-US"/>
        </w:rPr>
        <w:t xml:space="preserve">CA </w:t>
      </w:r>
      <w:r w:rsidRPr="005A2D50">
        <w:rPr>
          <w:lang w:val="en-US"/>
        </w:rPr>
        <w:t>atļauj maksājamā muitas nodokļa samaksu atlikt tikai tad, ja tiek sniegts galvojums.</w:t>
      </w:r>
    </w:p>
    <w:p w14:paraId="5D2167ED" w14:textId="77777777" w:rsidR="005A2D50" w:rsidRPr="005A2D50" w:rsidRDefault="005A2D50" w:rsidP="005A2D50">
      <w:pPr>
        <w:pStyle w:val="BodyText"/>
        <w:rPr>
          <w:lang w:val="en-US"/>
        </w:rPr>
      </w:pPr>
    </w:p>
    <w:p w14:paraId="659CDA8B" w14:textId="77777777" w:rsidR="005A2D50" w:rsidRPr="005A2D50" w:rsidRDefault="005A2D50" w:rsidP="005A2D50">
      <w:pPr>
        <w:pStyle w:val="BodyText"/>
        <w:rPr>
          <w:lang w:val="en-US"/>
        </w:rPr>
      </w:pPr>
      <w:r w:rsidRPr="005A2D50">
        <w:rPr>
          <w:lang w:val="en-US"/>
        </w:rPr>
        <w:t>SMK 111. pants nosaka, ka termiņš, uz kādu atliek samaksu, ir 30 dienas. Saskaņā ar to pašu noteikumu laiku, kad sākas atlikto maksājumu periods, nosaka atbilstoši maksājuma atlikšanas veidam, kas katrā gadījumā ir atšķirīgs, kā paredzēts SMK 110. pantā. Tātad:</w:t>
      </w:r>
    </w:p>
    <w:p w14:paraId="4D78F278" w14:textId="77777777" w:rsidR="005A2D50" w:rsidRPr="005A2D50" w:rsidRDefault="005A2D50" w:rsidP="005A2D50">
      <w:pPr>
        <w:pStyle w:val="BodyText"/>
        <w:rPr>
          <w:lang w:val="en-US"/>
        </w:rPr>
      </w:pPr>
    </w:p>
    <w:p w14:paraId="33FAB59E" w14:textId="77777777" w:rsidR="005A2D50" w:rsidRPr="005A2D50" w:rsidRDefault="005A2D50" w:rsidP="005A2D50">
      <w:pPr>
        <w:pStyle w:val="BodyText"/>
        <w:ind w:left="284"/>
        <w:rPr>
          <w:lang w:val="en-US"/>
        </w:rPr>
      </w:pPr>
      <w:r w:rsidRPr="005A2D50">
        <w:rPr>
          <w:lang w:val="en-US"/>
        </w:rPr>
        <w:t>i) SMK 110. panta a) punktā noteiktajos gadījumos minētais termiņš sākas nākamajā dienā pēc dienas, kad parādniekam ir paziņots muitas parāds;</w:t>
      </w:r>
    </w:p>
    <w:p w14:paraId="341647F0" w14:textId="77777777" w:rsidR="005A2D50" w:rsidRPr="005A2D50" w:rsidRDefault="005A2D50" w:rsidP="005A2D50">
      <w:pPr>
        <w:pStyle w:val="BodyText"/>
        <w:ind w:left="284"/>
        <w:rPr>
          <w:lang w:val="en-US"/>
        </w:rPr>
      </w:pPr>
      <w:r w:rsidRPr="005A2D50">
        <w:rPr>
          <w:lang w:val="en-US"/>
        </w:rPr>
        <w:t>ii) ja samaksa ir atlikta saskaņā ar SMK 110. panta b) vai c) punktu, minētais termiņš sākas nākamajā dienā pēc dienas, kad beidzas apkopošanas laikposms. To samazina par tik dienām, cik atbilst pusei no apkopošanas laikposma dienu skaita.</w:t>
      </w:r>
    </w:p>
    <w:p w14:paraId="55D29E59" w14:textId="77777777" w:rsidR="005A2D50" w:rsidRPr="005A2D50" w:rsidRDefault="005A2D50" w:rsidP="005A2D50">
      <w:pPr>
        <w:pStyle w:val="BodyText"/>
        <w:rPr>
          <w:lang w:val="en-US"/>
        </w:rPr>
      </w:pPr>
    </w:p>
    <w:p w14:paraId="0C11A636" w14:textId="77777777" w:rsidR="005A2D50" w:rsidRPr="005A2D50" w:rsidRDefault="005A2D50" w:rsidP="005A2D50">
      <w:pPr>
        <w:pStyle w:val="BodyText"/>
        <w:rPr>
          <w:lang w:val="en-US"/>
        </w:rPr>
      </w:pPr>
      <w:r w:rsidRPr="005A2D50">
        <w:rPr>
          <w:lang w:val="en-US"/>
        </w:rPr>
        <w:t xml:space="preserve">Lai saņemtu citus samaksas atvieglojumus, ko </w:t>
      </w:r>
      <w:r w:rsidRPr="005A2D50">
        <w:rPr>
          <w:i/>
          <w:iCs/>
          <w:lang w:val="en-US"/>
        </w:rPr>
        <w:t xml:space="preserve">CA </w:t>
      </w:r>
      <w:r w:rsidRPr="005A2D50">
        <w:rPr>
          <w:lang w:val="en-US"/>
        </w:rPr>
        <w:t xml:space="preserve">var piešķirt parādniekam saskaņā ar SMK 112. pantu, tāpat ir jāsniedz galvojums. Saskaņā ar SMK 112. panta 3. punktu </w:t>
      </w:r>
      <w:r w:rsidRPr="005A2D50">
        <w:rPr>
          <w:i/>
          <w:iCs/>
          <w:lang w:val="en-US"/>
        </w:rPr>
        <w:t xml:space="preserve">CA </w:t>
      </w:r>
      <w:r w:rsidRPr="005A2D50">
        <w:rPr>
          <w:lang w:val="en-US"/>
        </w:rPr>
        <w:t>“var neprasīt iesniegt galvojumu, ja, pamatojoties uz parādnieka stāvokļa dokumentētu novērtējumu, ir konstatēts, ka tas radītu nopietnus ekonomiskus vai sociālus sarežģījumus”.</w:t>
      </w:r>
    </w:p>
    <w:p w14:paraId="1C220BFC" w14:textId="77777777" w:rsidR="005A2D50" w:rsidRPr="005A2D50" w:rsidRDefault="005A2D50" w:rsidP="005A2D50">
      <w:pPr>
        <w:jc w:val="both"/>
        <w:rPr>
          <w:rFonts w:ascii="Times New Roman" w:hAnsi="Times New Roman"/>
          <w:noProof/>
          <w:sz w:val="24"/>
          <w:lang w:val="en-US"/>
        </w:rPr>
      </w:pPr>
      <w:r w:rsidRPr="005A2D50">
        <w:rPr>
          <w:rFonts w:ascii="Times New Roman" w:hAnsi="Times New Roman"/>
          <w:noProof/>
          <w:sz w:val="24"/>
          <w:lang w:val="en-US"/>
        </w:rPr>
        <w:t>Galvojums ir jāsniedz, pirms tiek piešķirta atļauja atlikt maksājumus vai atļauja saņemt citus maksājumu atvieglojumus.</w:t>
      </w:r>
    </w:p>
    <w:p w14:paraId="61327605" w14:textId="77777777" w:rsidR="005A2D50" w:rsidRPr="005A2D50" w:rsidRDefault="005A2D50" w:rsidP="005A2D50">
      <w:pPr>
        <w:pStyle w:val="BodyText"/>
        <w:rPr>
          <w:lang w:val="en-US"/>
        </w:rPr>
      </w:pPr>
      <w:bookmarkStart w:id="99" w:name="IV.4.1._Calculation_of_the_period_for_wh"/>
      <w:bookmarkStart w:id="100" w:name="_bookmark30"/>
      <w:bookmarkEnd w:id="99"/>
      <w:bookmarkEnd w:id="100"/>
    </w:p>
    <w:p w14:paraId="67E695D9" w14:textId="77777777" w:rsidR="005A2D50" w:rsidRPr="005A2D50" w:rsidRDefault="005A2D50" w:rsidP="005A2D50">
      <w:pPr>
        <w:pStyle w:val="Heading2"/>
        <w:rPr>
          <w:noProof/>
          <w:lang w:val="en-US"/>
        </w:rPr>
      </w:pPr>
      <w:bookmarkStart w:id="101" w:name="_Toc104982788"/>
      <w:r w:rsidRPr="005A2D50">
        <w:rPr>
          <w:noProof/>
          <w:lang w:val="en-US"/>
        </w:rPr>
        <w:t xml:space="preserve">IV.4.1. Maksājuma atlikšanas termiņa </w:t>
      </w:r>
      <w:bookmarkEnd w:id="101"/>
      <w:r w:rsidRPr="005A2D50">
        <w:rPr>
          <w:noProof/>
          <w:lang w:val="en-US"/>
        </w:rPr>
        <w:t>noteikšana</w:t>
      </w:r>
    </w:p>
    <w:p w14:paraId="140FA596" w14:textId="77777777" w:rsidR="005A2D50" w:rsidRPr="005A2D50" w:rsidRDefault="005A2D50" w:rsidP="005A2D50">
      <w:pPr>
        <w:jc w:val="both"/>
        <w:rPr>
          <w:rFonts w:ascii="Times New Roman" w:eastAsia="Times New Roman" w:hAnsi="Times New Roman" w:cs="Times New Roman"/>
          <w:noProof/>
          <w:sz w:val="24"/>
          <w:szCs w:val="24"/>
          <w:lang w:val="en-US"/>
        </w:rPr>
      </w:pPr>
    </w:p>
    <w:p w14:paraId="375039B8" w14:textId="77777777" w:rsidR="005A2D50" w:rsidRPr="005A2D50" w:rsidRDefault="005A2D50" w:rsidP="005A2D50">
      <w:pPr>
        <w:jc w:val="both"/>
        <w:rPr>
          <w:rFonts w:ascii="Times New Roman" w:hAnsi="Times New Roman"/>
          <w:b/>
          <w:noProof/>
          <w:sz w:val="24"/>
          <w:lang w:val="en-US"/>
        </w:rPr>
      </w:pPr>
      <w:r w:rsidRPr="005A2D50">
        <w:rPr>
          <w:rFonts w:ascii="Times New Roman" w:hAnsi="Times New Roman"/>
          <w:b/>
          <w:noProof/>
          <w:sz w:val="24"/>
          <w:lang w:val="en-US"/>
        </w:rPr>
        <w:t>1. shēma. SMK 110. panta b) punkta piemērošana saistībā ar 111. panta 3. punktu</w:t>
      </w:r>
    </w:p>
    <w:p w14:paraId="1BC31399" w14:textId="77777777" w:rsidR="005A2D50" w:rsidRPr="005A2D50" w:rsidRDefault="005A2D50" w:rsidP="005A2D50">
      <w:pPr>
        <w:jc w:val="both"/>
        <w:rPr>
          <w:rFonts w:ascii="Times New Roman" w:eastAsia="Times New Roman" w:hAnsi="Times New Roman" w:cs="Times New Roman"/>
          <w:noProof/>
          <w:sz w:val="24"/>
          <w:szCs w:val="24"/>
          <w:lang w:val="en-US"/>
        </w:rPr>
      </w:pPr>
    </w:p>
    <w:p w14:paraId="25D3A090" w14:textId="77777777" w:rsidR="005A2D50" w:rsidRPr="005A2D50" w:rsidRDefault="005A2D50" w:rsidP="005A2D50">
      <w:pPr>
        <w:jc w:val="center"/>
        <w:rPr>
          <w:rFonts w:ascii="Times New Roman" w:eastAsia="Times New Roman" w:hAnsi="Times New Roman" w:cs="Times New Roman"/>
          <w:noProof/>
          <w:sz w:val="24"/>
          <w:szCs w:val="24"/>
          <w:lang w:val="en-US"/>
        </w:rPr>
      </w:pPr>
      <w:r w:rsidRPr="005A2D50">
        <w:rPr>
          <w:rFonts w:ascii="Times New Roman" w:eastAsia="Times New Roman" w:hAnsi="Times New Roman" w:cs="Times New Roman"/>
          <w:noProof/>
          <w:sz w:val="24"/>
          <w:szCs w:val="24"/>
          <w:lang w:val="en-US"/>
        </w:rPr>
        <w:drawing>
          <wp:inline distT="0" distB="0" distL="0" distR="0" wp14:anchorId="4ECA7CB1" wp14:editId="491E7BBA">
            <wp:extent cx="5664023" cy="1043940"/>
            <wp:effectExtent l="0" t="0" r="0" b="0"/>
            <wp:docPr id="1" name="image4.png"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png" descr="Table&#10;&#10;Description automatically generated"/>
                    <pic:cNvPicPr/>
                  </pic:nvPicPr>
                  <pic:blipFill rotWithShape="1">
                    <a:blip r:embed="rId13" cstate="print"/>
                    <a:srcRect t="18125" r="7243"/>
                    <a:stretch/>
                  </pic:blipFill>
                  <pic:spPr bwMode="auto">
                    <a:xfrm>
                      <a:off x="0" y="0"/>
                      <a:ext cx="5690876" cy="1048889"/>
                    </a:xfrm>
                    <a:prstGeom prst="rect">
                      <a:avLst/>
                    </a:prstGeom>
                    <a:ln>
                      <a:noFill/>
                    </a:ln>
                    <a:extLst>
                      <a:ext uri="{53640926-AAD7-44D8-BBD7-CCE9431645EC}">
                        <a14:shadowObscured xmlns:a14="http://schemas.microsoft.com/office/drawing/2010/main"/>
                      </a:ext>
                    </a:extLst>
                  </pic:spPr>
                </pic:pic>
              </a:graphicData>
            </a:graphic>
          </wp:inline>
        </w:drawing>
      </w:r>
    </w:p>
    <w:p w14:paraId="42C36ED5" w14:textId="77777777" w:rsidR="005A2D50" w:rsidRPr="005A2D50" w:rsidRDefault="005A2D50" w:rsidP="005A2D50">
      <w:pPr>
        <w:pStyle w:val="BodyText"/>
        <w:rPr>
          <w:lang w:val="en-US"/>
        </w:rPr>
      </w:pPr>
    </w:p>
    <w:p w14:paraId="5E7FB5E6" w14:textId="77777777" w:rsidR="005A2D50" w:rsidRPr="005A2D50" w:rsidRDefault="005A2D50" w:rsidP="005A2D50">
      <w:pPr>
        <w:pStyle w:val="BodyText"/>
        <w:rPr>
          <w:lang w:val="en-US"/>
        </w:rPr>
      </w:pPr>
      <w:r w:rsidRPr="005A2D50">
        <w:rPr>
          <w:lang w:val="en-US"/>
        </w:rPr>
        <w:t xml:space="preserve">Ja laikposms, ko </w:t>
      </w:r>
      <w:r w:rsidRPr="005A2D50">
        <w:rPr>
          <w:i/>
          <w:iCs/>
          <w:lang w:val="en-US"/>
        </w:rPr>
        <w:t xml:space="preserve">CA </w:t>
      </w:r>
      <w:r w:rsidRPr="005A2D50">
        <w:rPr>
          <w:lang w:val="en-US"/>
        </w:rPr>
        <w:t>nosaka saskaņā ar 110. panta b) punktu, ir 31 diena, maksājuma termiņš ir vēlākais 15. diena pēc minētā perioda beigām (apkopošanas laikposms) saskaņā ar SMK 108. panta 2. punktu. Praksē summai, kas atbilst muitas parādam, kurš radies par precēm, kas brīvā apgrozībā laistas 2019. gada 4. martā, piemēro ilgāku maksājuma atlikšanas periodu nekā summai, kas atbilst muitas parādam par precēm, kas brīvā apgrozībā laistas minētā mēneša 25. datumā. Abas summas samaksā ne vēlāk kā 2019. gada 15. aprīlī.</w:t>
      </w:r>
    </w:p>
    <w:p w14:paraId="64720E32" w14:textId="77777777" w:rsidR="005A2D50" w:rsidRPr="005A2D50" w:rsidRDefault="005A2D50" w:rsidP="005A2D50">
      <w:pPr>
        <w:jc w:val="both"/>
        <w:rPr>
          <w:lang w:val="en-US"/>
        </w:rPr>
      </w:pPr>
    </w:p>
    <w:p w14:paraId="0697859C" w14:textId="77777777" w:rsidR="005A2D50" w:rsidRPr="005A2D50" w:rsidRDefault="005A2D50" w:rsidP="005A2D50">
      <w:pPr>
        <w:jc w:val="both"/>
        <w:rPr>
          <w:rFonts w:ascii="Times New Roman" w:hAnsi="Times New Roman"/>
          <w:b/>
          <w:noProof/>
          <w:sz w:val="24"/>
          <w:lang w:val="en-US"/>
        </w:rPr>
      </w:pPr>
      <w:r w:rsidRPr="005A2D50">
        <w:rPr>
          <w:rFonts w:ascii="Times New Roman" w:hAnsi="Times New Roman"/>
          <w:b/>
          <w:noProof/>
          <w:sz w:val="24"/>
          <w:lang w:val="en-US"/>
        </w:rPr>
        <w:t>2. shēma. SMK 110. panta c) punkta piemērošana saistībā ar 111. panta 4. punktu</w:t>
      </w:r>
    </w:p>
    <w:p w14:paraId="7DED654B" w14:textId="77777777" w:rsidR="005A2D50" w:rsidRPr="005A2D50" w:rsidRDefault="005A2D50" w:rsidP="005A2D50">
      <w:pPr>
        <w:jc w:val="both"/>
        <w:rPr>
          <w:rFonts w:ascii="Times New Roman" w:eastAsia="Times New Roman" w:hAnsi="Times New Roman" w:cs="Times New Roman"/>
          <w:noProof/>
          <w:sz w:val="24"/>
          <w:szCs w:val="24"/>
          <w:lang w:val="en-US"/>
        </w:rPr>
      </w:pPr>
    </w:p>
    <w:p w14:paraId="1753F438" w14:textId="77777777" w:rsidR="005A2D50" w:rsidRPr="005A2D50" w:rsidRDefault="005A2D50" w:rsidP="005A2D50">
      <w:pPr>
        <w:jc w:val="center"/>
        <w:rPr>
          <w:rFonts w:ascii="Times New Roman" w:eastAsia="Times New Roman" w:hAnsi="Times New Roman" w:cs="Times New Roman"/>
          <w:noProof/>
          <w:sz w:val="24"/>
          <w:szCs w:val="24"/>
          <w:lang w:val="en-US"/>
        </w:rPr>
      </w:pPr>
      <w:r w:rsidRPr="005A2D50">
        <w:rPr>
          <w:rFonts w:ascii="Times New Roman" w:eastAsia="Times New Roman" w:hAnsi="Times New Roman" w:cs="Times New Roman"/>
          <w:noProof/>
          <w:sz w:val="24"/>
          <w:szCs w:val="24"/>
          <w:lang w:val="en-US"/>
        </w:rPr>
        <w:drawing>
          <wp:inline distT="0" distB="0" distL="0" distR="0" wp14:anchorId="317D57DA" wp14:editId="30A01266">
            <wp:extent cx="5219700" cy="1237615"/>
            <wp:effectExtent l="0" t="0" r="0" b="0"/>
            <wp:docPr id="3" name="image5.png" descr="A picture containing text, antenna,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5.png" descr="A picture containing text, antenna, screenshot&#10;&#10;Description automatically generated"/>
                    <pic:cNvPicPr/>
                  </pic:nvPicPr>
                  <pic:blipFill rotWithShape="1">
                    <a:blip r:embed="rId14" cstate="print"/>
                    <a:srcRect l="-1" t="19754" r="13615"/>
                    <a:stretch/>
                  </pic:blipFill>
                  <pic:spPr bwMode="auto">
                    <a:xfrm>
                      <a:off x="0" y="0"/>
                      <a:ext cx="5222336" cy="1238240"/>
                    </a:xfrm>
                    <a:prstGeom prst="rect">
                      <a:avLst/>
                    </a:prstGeom>
                    <a:ln>
                      <a:noFill/>
                    </a:ln>
                    <a:extLst>
                      <a:ext uri="{53640926-AAD7-44D8-BBD7-CCE9431645EC}">
                        <a14:shadowObscured xmlns:a14="http://schemas.microsoft.com/office/drawing/2010/main"/>
                      </a:ext>
                    </a:extLst>
                  </pic:spPr>
                </pic:pic>
              </a:graphicData>
            </a:graphic>
          </wp:inline>
        </w:drawing>
      </w:r>
    </w:p>
    <w:p w14:paraId="0ACCD97F" w14:textId="77777777" w:rsidR="005A2D50" w:rsidRPr="005A2D50" w:rsidRDefault="005A2D50" w:rsidP="005A2D50">
      <w:pPr>
        <w:jc w:val="both"/>
        <w:rPr>
          <w:rFonts w:ascii="Times New Roman" w:eastAsia="Times New Roman" w:hAnsi="Times New Roman" w:cs="Times New Roman"/>
          <w:noProof/>
          <w:sz w:val="24"/>
          <w:szCs w:val="24"/>
          <w:lang w:val="en-US"/>
        </w:rPr>
      </w:pPr>
    </w:p>
    <w:p w14:paraId="6FC085BF" w14:textId="77777777" w:rsidR="005A2D50" w:rsidRPr="005A2D50" w:rsidRDefault="005A2D50" w:rsidP="005A2D50">
      <w:pPr>
        <w:pStyle w:val="BodyText"/>
        <w:rPr>
          <w:lang w:val="en-US"/>
        </w:rPr>
      </w:pPr>
      <w:r w:rsidRPr="005A2D50">
        <w:rPr>
          <w:lang w:val="en-US"/>
        </w:rPr>
        <w:t>Tas varētu attiekties uz uzņēmēju, kuram ir atļauts iesniegt muitas deklarāciju kā ierakstu deklarētāja reģistros (SMK 182. pants) divu nedēļu laikā (piemēram, laikposmā no 1. līdz 15. martam).</w:t>
      </w:r>
    </w:p>
    <w:p w14:paraId="47D7DB76" w14:textId="77777777" w:rsidR="005A2D50" w:rsidRPr="005A2D50" w:rsidRDefault="005A2D50" w:rsidP="005A2D50">
      <w:pPr>
        <w:pStyle w:val="BodyText"/>
        <w:rPr>
          <w:lang w:val="en-US"/>
        </w:rPr>
      </w:pPr>
      <w:r w:rsidRPr="005A2D50">
        <w:rPr>
          <w:lang w:val="en-US"/>
        </w:rPr>
        <w:t>Laikposms, uz kādu maksājums tiek atlikts (30 dienas), sākas nākamajā dienā pēc dienas, kad beidzas apkopošanas periods, kas ir 16. marts. Šis laikposms beidzas 7. aprīlī (30 dienu periodu samazina par tik dienām, cik atbilst pusei no dienu skaita divu nedēļu periodā (30 – 7 = 23) saskaņā ar SMK 111. panta 4. un 5. punktu).</w:t>
      </w:r>
    </w:p>
    <w:p w14:paraId="3F0B0713" w14:textId="77777777" w:rsidR="005A2D50" w:rsidRPr="005A2D50" w:rsidRDefault="005A2D50" w:rsidP="005A2D50">
      <w:pPr>
        <w:pStyle w:val="BodyText"/>
        <w:rPr>
          <w:lang w:val="en-US"/>
        </w:rPr>
      </w:pPr>
      <w:r w:rsidRPr="005A2D50">
        <w:rPr>
          <w:lang w:val="en-US"/>
        </w:rPr>
        <w:t>Kopējais laikposms, uz kādu maksājums tiek atlikts, ir 23 dienas.</w:t>
      </w:r>
    </w:p>
    <w:p w14:paraId="251B2923" w14:textId="77777777" w:rsidR="005A2D50" w:rsidRPr="005A2D50" w:rsidRDefault="005A2D50" w:rsidP="005A2D50">
      <w:pPr>
        <w:pStyle w:val="BodyText"/>
        <w:rPr>
          <w:b/>
          <w:lang w:val="en-US"/>
        </w:rPr>
      </w:pPr>
    </w:p>
    <w:p w14:paraId="1E05F743" w14:textId="77777777" w:rsidR="005A2D50" w:rsidRPr="005A2D50" w:rsidRDefault="005A2D50" w:rsidP="005A2D50">
      <w:pPr>
        <w:pStyle w:val="BodyText"/>
        <w:rPr>
          <w:lang w:val="en-US"/>
        </w:rPr>
      </w:pPr>
      <w:r w:rsidRPr="005A2D50">
        <w:rPr>
          <w:b/>
          <w:lang w:val="en-US"/>
        </w:rPr>
        <w:t xml:space="preserve">R </w:t>
      </w:r>
      <w:r w:rsidRPr="005A2D50">
        <w:rPr>
          <w:lang w:val="en-US"/>
        </w:rPr>
        <w:t>– preču izlaišanas datums / maksājuma atlikšanas veids; SMK 110. panta b) punkts</w:t>
      </w:r>
    </w:p>
    <w:p w14:paraId="65EB8D1F" w14:textId="77777777" w:rsidR="005A2D50" w:rsidRPr="005A2D50" w:rsidRDefault="005A2D50" w:rsidP="005A2D50">
      <w:pPr>
        <w:pStyle w:val="BodyText"/>
        <w:rPr>
          <w:lang w:val="en-US"/>
        </w:rPr>
      </w:pPr>
      <w:r w:rsidRPr="005A2D50">
        <w:rPr>
          <w:b/>
          <w:lang w:val="en-US"/>
        </w:rPr>
        <w:t xml:space="preserve">R1 </w:t>
      </w:r>
      <w:r w:rsidRPr="005A2D50">
        <w:rPr>
          <w:lang w:val="en-US"/>
        </w:rPr>
        <w:t>– preču izlaišanas datums / maksājuma atlikšanas veids; SMK 110. panta c) punkts</w:t>
      </w:r>
    </w:p>
    <w:p w14:paraId="1891B88E" w14:textId="77777777" w:rsidR="005A2D50" w:rsidRPr="005A2D50" w:rsidRDefault="005A2D50" w:rsidP="005A2D50">
      <w:pPr>
        <w:pStyle w:val="BodyText"/>
        <w:rPr>
          <w:lang w:val="en-US"/>
        </w:rPr>
      </w:pPr>
      <w:r w:rsidRPr="005A2D50">
        <w:rPr>
          <w:b/>
          <w:lang w:val="en-US"/>
        </w:rPr>
        <w:t xml:space="preserve">X </w:t>
      </w:r>
      <w:r w:rsidRPr="005A2D50">
        <w:rPr>
          <w:lang w:val="en-US"/>
        </w:rPr>
        <w:t>– dienu skaits apkopošanas laikposmā / laikposmā, kas noteikts preču izlaišanai</w:t>
      </w:r>
    </w:p>
    <w:p w14:paraId="2961CE58" w14:textId="77777777" w:rsidR="005A2D50" w:rsidRPr="005A2D50" w:rsidRDefault="005A2D50" w:rsidP="005A2D50">
      <w:pPr>
        <w:pStyle w:val="BodyText"/>
        <w:rPr>
          <w:lang w:val="en-US"/>
        </w:rPr>
      </w:pPr>
      <w:r w:rsidRPr="005A2D50">
        <w:rPr>
          <w:b/>
          <w:lang w:val="en-US"/>
        </w:rPr>
        <w:t xml:space="preserve">Y </w:t>
      </w:r>
      <w:r w:rsidRPr="005A2D50">
        <w:rPr>
          <w:lang w:val="en-US"/>
        </w:rPr>
        <w:t>– laikposms, uz kādu maksājums tiek atlikts</w:t>
      </w:r>
    </w:p>
    <w:p w14:paraId="2835C6A2" w14:textId="77777777" w:rsidR="005A2D50" w:rsidRPr="005A2D50" w:rsidRDefault="005A2D50" w:rsidP="005A2D50">
      <w:pPr>
        <w:pStyle w:val="BodyText"/>
        <w:rPr>
          <w:lang w:val="en-US"/>
        </w:rPr>
      </w:pPr>
      <w:r w:rsidRPr="005A2D50">
        <w:rPr>
          <w:b/>
          <w:lang w:val="en-US"/>
        </w:rPr>
        <w:t xml:space="preserve">P </w:t>
      </w:r>
      <w:r w:rsidRPr="005A2D50">
        <w:rPr>
          <w:lang w:val="en-US"/>
        </w:rPr>
        <w:t>– maksājuma termiņš (SMK 108. panta 2. punkts)</w:t>
      </w:r>
    </w:p>
    <w:p w14:paraId="32120553" w14:textId="77777777" w:rsidR="005A2D50" w:rsidRPr="005A2D50" w:rsidRDefault="005A2D50" w:rsidP="005A2D50">
      <w:pPr>
        <w:pStyle w:val="BodyText"/>
        <w:rPr>
          <w:lang w:val="en-US"/>
        </w:rPr>
      </w:pPr>
    </w:p>
    <w:p w14:paraId="78631E23" w14:textId="77777777" w:rsidR="005A2D50" w:rsidRPr="005A2D50" w:rsidRDefault="005A2D50" w:rsidP="005A2D50">
      <w:pPr>
        <w:pStyle w:val="Heading1"/>
        <w:rPr>
          <w:noProof/>
          <w:lang w:val="en-US"/>
        </w:rPr>
      </w:pPr>
      <w:bookmarkStart w:id="102" w:name="IV.5._Suspension_of_the_implementation_o"/>
      <w:bookmarkStart w:id="103" w:name="_bookmark31"/>
      <w:bookmarkStart w:id="104" w:name="_Toc104982789"/>
      <w:bookmarkEnd w:id="102"/>
      <w:bookmarkEnd w:id="103"/>
      <w:r w:rsidRPr="005A2D50">
        <w:rPr>
          <w:noProof/>
          <w:lang w:val="en-US"/>
        </w:rPr>
        <w:t>IV.5. Lēmuma izpildes atlikšana saistībā ar pārsūdzības iesniegšanu (SMK 45. pants)</w:t>
      </w:r>
      <w:bookmarkEnd w:id="104"/>
    </w:p>
    <w:p w14:paraId="0D880E84"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37A1A3B6" w14:textId="77777777" w:rsidR="005A2D50" w:rsidRPr="005A2D50" w:rsidRDefault="005A2D50" w:rsidP="005A2D50">
      <w:pPr>
        <w:pStyle w:val="BodyText"/>
        <w:rPr>
          <w:lang w:val="en-US"/>
        </w:rPr>
      </w:pPr>
      <w:r w:rsidRPr="005A2D50">
        <w:rPr>
          <w:lang w:val="en-US"/>
        </w:rPr>
        <w:t xml:space="preserve">Pārsūdzības iesniegšana neaptur </w:t>
      </w:r>
      <w:r w:rsidRPr="005A2D50">
        <w:rPr>
          <w:i/>
          <w:iCs/>
          <w:lang w:val="en-US"/>
        </w:rPr>
        <w:t xml:space="preserve">CA </w:t>
      </w:r>
      <w:r w:rsidRPr="005A2D50">
        <w:rPr>
          <w:lang w:val="en-US"/>
        </w:rPr>
        <w:t>pieņemtā apstrīdamā lēmuma izpildi. Tomēr, ja apstrīdamais lēmums neatbilst tiesību aktiem muitas jomā vai attiecīgajai personai var tikt nodarīts nelabojams kaitējums, šāda lēmuma izpildi var apturēt ar nosacījumu, ka tiek sniegts galvojums, lai nodrošinātu iespējamā muitas parāda samaksu.</w:t>
      </w:r>
    </w:p>
    <w:p w14:paraId="4F125B14" w14:textId="77777777" w:rsidR="005A2D50" w:rsidRPr="005A2D50" w:rsidRDefault="005A2D50" w:rsidP="005A2D50">
      <w:pPr>
        <w:pStyle w:val="BodyText"/>
        <w:rPr>
          <w:lang w:val="en-US"/>
        </w:rPr>
      </w:pPr>
      <w:r w:rsidRPr="005A2D50">
        <w:rPr>
          <w:lang w:val="en-US"/>
        </w:rPr>
        <w:t>Apstrīdamā lēmuma izpildes apturēšana nav atkarīga no galvojuma sniegšanas, ja tas attiecīgajai personai izraisītu nopietnus ekonomiskus vai sociālus sarežģījumus. Novērtējums par iespējamo kaitējumu attiecīgās personas ekonomiskajam vai sociālajam stāvoklim ir pienācīgi jādokumentē.</w:t>
      </w:r>
    </w:p>
    <w:p w14:paraId="0E3CDF91" w14:textId="77777777" w:rsidR="005A2D50" w:rsidRPr="005A2D50" w:rsidRDefault="005A2D50" w:rsidP="005A2D50">
      <w:pPr>
        <w:jc w:val="both"/>
        <w:rPr>
          <w:rFonts w:ascii="Times New Roman" w:hAnsi="Times New Roman" w:cs="Times New Roman"/>
          <w:noProof/>
          <w:sz w:val="24"/>
          <w:szCs w:val="24"/>
          <w:lang w:val="en-US"/>
        </w:rPr>
      </w:pPr>
    </w:p>
    <w:p w14:paraId="50597439" w14:textId="77777777" w:rsidR="005A2D50" w:rsidRPr="005A2D50" w:rsidRDefault="005A2D50" w:rsidP="005A2D50">
      <w:pPr>
        <w:pStyle w:val="Heading1"/>
        <w:rPr>
          <w:noProof/>
          <w:lang w:val="en-US"/>
        </w:rPr>
      </w:pPr>
      <w:bookmarkStart w:id="105" w:name="V._Individual_and_comprehensive_guarante"/>
      <w:bookmarkStart w:id="106" w:name="_bookmark32"/>
      <w:bookmarkStart w:id="107" w:name="_Toc104982790"/>
      <w:bookmarkEnd w:id="105"/>
      <w:bookmarkEnd w:id="106"/>
      <w:r w:rsidRPr="005A2D50">
        <w:rPr>
          <w:noProof/>
          <w:lang w:val="en-US"/>
        </w:rPr>
        <w:t>V. VIENREIZĒJIE UN VISPĀRĒJIE GALVOJUMI</w:t>
      </w:r>
      <w:bookmarkEnd w:id="107"/>
    </w:p>
    <w:p w14:paraId="12CC918A"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4CF82503" w14:textId="77777777" w:rsidR="005A2D50" w:rsidRPr="005A2D50" w:rsidRDefault="005A2D50" w:rsidP="005A2D50">
      <w:pPr>
        <w:pStyle w:val="BodyText"/>
        <w:rPr>
          <w:lang w:val="en-US"/>
        </w:rPr>
      </w:pPr>
      <w:r w:rsidRPr="005A2D50">
        <w:rPr>
          <w:lang w:val="en-US"/>
        </w:rPr>
        <w:t xml:space="preserve">Kā noteikts SMK ĪA 154. pantā, ja vienreizējo vai vispārējo galvojumu var izmantot vairāk nekā vienā dalībvalstī, </w:t>
      </w:r>
      <w:r w:rsidRPr="005A2D50">
        <w:rPr>
          <w:i/>
          <w:iCs/>
          <w:lang w:val="en-US"/>
        </w:rPr>
        <w:t xml:space="preserve">COG </w:t>
      </w:r>
      <w:r w:rsidRPr="005A2D50">
        <w:rPr>
          <w:lang w:val="en-US"/>
        </w:rPr>
        <w:t>paziņo personai, kura sniegusi galvojumu, šādu informāciju:</w:t>
      </w:r>
    </w:p>
    <w:p w14:paraId="66B0C1AC" w14:textId="77777777" w:rsidR="005A2D50" w:rsidRPr="005A2D50" w:rsidRDefault="005A2D50" w:rsidP="005A2D50">
      <w:pPr>
        <w:pStyle w:val="BodyText"/>
        <w:rPr>
          <w:lang w:val="en-US"/>
        </w:rPr>
      </w:pPr>
    </w:p>
    <w:p w14:paraId="2602DEAB" w14:textId="77777777" w:rsidR="005A2D50" w:rsidRPr="005A2D50" w:rsidRDefault="005A2D50" w:rsidP="005A2D50">
      <w:pPr>
        <w:pStyle w:val="BodyText"/>
        <w:numPr>
          <w:ilvl w:val="0"/>
          <w:numId w:val="43"/>
        </w:numPr>
        <w:tabs>
          <w:tab w:val="left" w:pos="851"/>
        </w:tabs>
        <w:ind w:left="284" w:firstLine="0"/>
        <w:rPr>
          <w:lang w:val="en-US"/>
        </w:rPr>
      </w:pPr>
      <w:r w:rsidRPr="005A2D50">
        <w:rPr>
          <w:lang w:val="en-US"/>
        </w:rPr>
        <w:t>galvojuma atsauces numurs (</w:t>
      </w:r>
      <w:r w:rsidRPr="005A2D50">
        <w:rPr>
          <w:i/>
          <w:iCs/>
          <w:lang w:val="en-US"/>
        </w:rPr>
        <w:t>GRN</w:t>
      </w:r>
      <w:r w:rsidRPr="005A2D50">
        <w:rPr>
          <w:lang w:val="en-US"/>
        </w:rPr>
        <w:t xml:space="preserve">). Attiecībā uz vispārējo galvojumu </w:t>
      </w:r>
      <w:r w:rsidRPr="005A2D50">
        <w:rPr>
          <w:i/>
          <w:iCs/>
          <w:lang w:val="en-US"/>
        </w:rPr>
        <w:t xml:space="preserve">GRN </w:t>
      </w:r>
      <w:r w:rsidRPr="005A2D50">
        <w:rPr>
          <w:lang w:val="en-US"/>
        </w:rPr>
        <w:t>jāpiešķir katrai atsauces summas daļai atbilstoši pārraudzības veidam, kā precizēts SMK ĪA 157. pantā;</w:t>
      </w:r>
    </w:p>
    <w:p w14:paraId="57251146" w14:textId="77777777" w:rsidR="005A2D50" w:rsidRPr="005A2D50" w:rsidRDefault="005A2D50" w:rsidP="005A2D50">
      <w:pPr>
        <w:pStyle w:val="BodyText"/>
        <w:numPr>
          <w:ilvl w:val="0"/>
          <w:numId w:val="43"/>
        </w:numPr>
        <w:tabs>
          <w:tab w:val="left" w:pos="851"/>
        </w:tabs>
        <w:ind w:left="284" w:firstLine="0"/>
        <w:rPr>
          <w:lang w:val="en-US"/>
        </w:rPr>
      </w:pPr>
      <w:r w:rsidRPr="005A2D50">
        <w:rPr>
          <w:lang w:val="en-US"/>
        </w:rPr>
        <w:t xml:space="preserve">piekļuves kods, kas saistīts ar </w:t>
      </w:r>
      <w:r w:rsidRPr="005A2D50">
        <w:rPr>
          <w:i/>
          <w:iCs/>
          <w:lang w:val="en-US"/>
        </w:rPr>
        <w:t>GRN</w:t>
      </w:r>
      <w:r w:rsidRPr="005A2D50">
        <w:rPr>
          <w:lang w:val="en-US"/>
        </w:rPr>
        <w:t>.</w:t>
      </w:r>
    </w:p>
    <w:p w14:paraId="44148B63" w14:textId="77777777" w:rsidR="005A2D50" w:rsidRPr="005A2D50" w:rsidRDefault="005A2D50" w:rsidP="005A2D50">
      <w:pPr>
        <w:pStyle w:val="BodyText"/>
        <w:rPr>
          <w:lang w:val="en-US"/>
        </w:rPr>
      </w:pPr>
    </w:p>
    <w:p w14:paraId="63343073" w14:textId="77777777" w:rsidR="005A2D50" w:rsidRPr="005A2D50" w:rsidRDefault="005A2D50" w:rsidP="005A2D50">
      <w:pPr>
        <w:pStyle w:val="BodyText"/>
        <w:rPr>
          <w:lang w:val="en-US"/>
        </w:rPr>
      </w:pPr>
      <w:r w:rsidRPr="005A2D50">
        <w:rPr>
          <w:lang w:val="en-US"/>
        </w:rPr>
        <w:t xml:space="preserve">Saskaņā ar SMK ĪA 152. panta 2. punktu, ja ir sniegts vienreizējais galvojums saistību veidā, procedūras izmantotājs nedrīkst mainīt piekļuves kodu, kas saistīts ar </w:t>
      </w:r>
      <w:r w:rsidRPr="005A2D50">
        <w:rPr>
          <w:i/>
          <w:iCs/>
          <w:lang w:val="en-US"/>
        </w:rPr>
        <w:t>GRN</w:t>
      </w:r>
      <w:r w:rsidRPr="005A2D50">
        <w:rPr>
          <w:lang w:val="en-US"/>
        </w:rPr>
        <w:t>. Vienreizējā galvojuma gadījumā papildu piekļuves kodus nenodrošina.</w:t>
      </w:r>
    </w:p>
    <w:p w14:paraId="6433A3A9" w14:textId="77777777" w:rsidR="005A2D50" w:rsidRPr="005A2D50" w:rsidRDefault="005A2D50" w:rsidP="005A2D50">
      <w:pPr>
        <w:pStyle w:val="BodyText"/>
        <w:rPr>
          <w:lang w:val="en-US"/>
        </w:rPr>
      </w:pPr>
      <w:r w:rsidRPr="005A2D50">
        <w:rPr>
          <w:lang w:val="en-US"/>
        </w:rPr>
        <w:t>Attiecībā uz vienreizēju galvojumu ar kvītīm iepriekš minētā informācija ir jāsniedz galviniekam.</w:t>
      </w:r>
    </w:p>
    <w:p w14:paraId="2C1A7C36" w14:textId="77777777" w:rsidR="005A2D50" w:rsidRPr="005A2D50" w:rsidRDefault="005A2D50" w:rsidP="005A2D50">
      <w:pPr>
        <w:pStyle w:val="BodyText"/>
        <w:rPr>
          <w:lang w:val="en-US"/>
        </w:rPr>
      </w:pPr>
      <w:r w:rsidRPr="005A2D50">
        <w:rPr>
          <w:lang w:val="en-US"/>
        </w:rPr>
        <w:t>Ja sniedz vispārējo galvojumu, pēc personas, kas sniedz galvojumu, pieprasījuma var piešķirt papildu piekļuves kodus. Šos kodus var izmantot arī viņa pārstāvji.</w:t>
      </w:r>
    </w:p>
    <w:p w14:paraId="0F1BFA16" w14:textId="77777777" w:rsidR="005A2D50" w:rsidRPr="005A2D50" w:rsidRDefault="005A2D50" w:rsidP="005A2D50">
      <w:pPr>
        <w:pStyle w:val="BodyText"/>
        <w:rPr>
          <w:lang w:val="en-US"/>
        </w:rPr>
      </w:pPr>
      <w:r w:rsidRPr="005A2D50">
        <w:rPr>
          <w:lang w:val="en-US"/>
        </w:rPr>
        <w:t xml:space="preserve">Saskaņā ar SMK ĪA 154. panta 3. punktu katru reizi, kad persona </w:t>
      </w:r>
      <w:r w:rsidRPr="005A2D50">
        <w:rPr>
          <w:i/>
          <w:iCs/>
          <w:lang w:val="en-US"/>
        </w:rPr>
        <w:t xml:space="preserve">CA </w:t>
      </w:r>
      <w:r w:rsidRPr="005A2D50">
        <w:rPr>
          <w:lang w:val="en-US"/>
        </w:rPr>
        <w:t xml:space="preserve">informē par </w:t>
      </w:r>
      <w:r w:rsidRPr="005A2D50">
        <w:rPr>
          <w:i/>
          <w:iCs/>
          <w:lang w:val="en-US"/>
        </w:rPr>
        <w:t xml:space="preserve">GRN </w:t>
      </w:r>
      <w:r w:rsidRPr="005A2D50">
        <w:rPr>
          <w:lang w:val="en-US"/>
        </w:rPr>
        <w:t xml:space="preserve">un saistītajiem piekļuves kodiem, </w:t>
      </w:r>
      <w:r w:rsidRPr="005A2D50">
        <w:rPr>
          <w:i/>
          <w:iCs/>
          <w:lang w:val="en-US"/>
        </w:rPr>
        <w:t xml:space="preserve">CA </w:t>
      </w:r>
      <w:r w:rsidRPr="005A2D50">
        <w:rPr>
          <w:lang w:val="en-US"/>
        </w:rPr>
        <w:t>pārbauda tā galvojuma esību un derīgumu, kas ir nepieciešams, lai nodrošinātu muitas parāda un citu maksājumu samaksu.</w:t>
      </w:r>
    </w:p>
    <w:p w14:paraId="3F55E8FF" w14:textId="77777777" w:rsidR="005A2D50" w:rsidRPr="005A2D50" w:rsidRDefault="005A2D50" w:rsidP="005A2D50">
      <w:pPr>
        <w:pStyle w:val="BodyText"/>
        <w:rPr>
          <w:lang w:val="en-US"/>
        </w:rPr>
      </w:pPr>
      <w:r w:rsidRPr="005A2D50">
        <w:rPr>
          <w:lang w:val="en-US"/>
        </w:rPr>
        <w:t xml:space="preserve">Sniedzot atsauci uz galvojuma atsauces numuru, </w:t>
      </w:r>
      <w:r w:rsidRPr="005A2D50">
        <w:rPr>
          <w:i/>
          <w:iCs/>
          <w:lang w:val="en-US"/>
        </w:rPr>
        <w:t xml:space="preserve">CA </w:t>
      </w:r>
      <w:r w:rsidRPr="005A2D50">
        <w:rPr>
          <w:lang w:val="en-US"/>
        </w:rPr>
        <w:t xml:space="preserve">ir ieteicams pārbaudīt saikni starp personu, kas sniedz informāciju par </w:t>
      </w:r>
      <w:r w:rsidRPr="005A2D50">
        <w:rPr>
          <w:i/>
          <w:iCs/>
          <w:lang w:val="en-US"/>
        </w:rPr>
        <w:t>GRN</w:t>
      </w:r>
      <w:r w:rsidRPr="005A2D50">
        <w:rPr>
          <w:lang w:val="en-US"/>
        </w:rPr>
        <w:t>, un personu, kurai radies muitas parāds (parādnieks vai iespējamais parādnieks).</w:t>
      </w:r>
    </w:p>
    <w:p w14:paraId="5DD851A8" w14:textId="77777777" w:rsidR="005A2D50" w:rsidRPr="005A2D50" w:rsidRDefault="005A2D50" w:rsidP="005A2D50">
      <w:pPr>
        <w:pStyle w:val="BodyText"/>
        <w:rPr>
          <w:lang w:val="en-US"/>
        </w:rPr>
      </w:pPr>
    </w:p>
    <w:p w14:paraId="4EC17DC3" w14:textId="77777777" w:rsidR="005A2D50" w:rsidRPr="005A2D50" w:rsidRDefault="005A2D50" w:rsidP="005A2D50">
      <w:pPr>
        <w:pStyle w:val="BodyText"/>
        <w:rPr>
          <w:b/>
          <w:bCs/>
          <w:u w:color="000000"/>
          <w:lang w:val="en-US"/>
        </w:rPr>
      </w:pPr>
      <w:r w:rsidRPr="005A2D50">
        <w:rPr>
          <w:b/>
          <w:bCs/>
          <w:u w:color="000000"/>
          <w:lang w:val="en-US"/>
        </w:rPr>
        <w:t>Praktiski tas nozīmētu turpmāk minēto.</w:t>
      </w:r>
    </w:p>
    <w:p w14:paraId="7002729C" w14:textId="77777777" w:rsidR="005A2D50" w:rsidRPr="005A2D50" w:rsidRDefault="005A2D50" w:rsidP="005A2D50">
      <w:pPr>
        <w:jc w:val="both"/>
        <w:rPr>
          <w:rFonts w:ascii="Times New Roman" w:hAnsi="Times New Roman"/>
          <w:i/>
          <w:noProof/>
          <w:sz w:val="24"/>
          <w:lang w:val="en-US"/>
        </w:rPr>
      </w:pPr>
      <w:r w:rsidRPr="005A2D50">
        <w:rPr>
          <w:rFonts w:ascii="Times New Roman" w:hAnsi="Times New Roman"/>
          <w:i/>
          <w:noProof/>
          <w:sz w:val="24"/>
          <w:lang w:val="en-US"/>
        </w:rPr>
        <w:t>Kad galvojums ir reģistrēts, CA izdod galvojuma atsauces numuru un sākotnējo piekļuves kodu.</w:t>
      </w:r>
    </w:p>
    <w:p w14:paraId="28F3C388" w14:textId="77777777" w:rsidR="005A2D50" w:rsidRPr="005A2D50" w:rsidRDefault="005A2D50" w:rsidP="005A2D50">
      <w:pPr>
        <w:jc w:val="both"/>
        <w:rPr>
          <w:rFonts w:ascii="Times New Roman" w:hAnsi="Times New Roman"/>
          <w:i/>
          <w:noProof/>
          <w:sz w:val="24"/>
          <w:lang w:val="en-US"/>
        </w:rPr>
      </w:pPr>
      <w:r w:rsidRPr="005A2D50">
        <w:rPr>
          <w:rFonts w:ascii="Times New Roman" w:hAnsi="Times New Roman"/>
          <w:i/>
          <w:noProof/>
          <w:sz w:val="24"/>
          <w:lang w:val="en-US"/>
        </w:rPr>
        <w:t>Ja kāda iemesla dēļ nepiederošai personai ir piekļuve galvojuma atsauces numuram un sākotnējam piekļuves kodam, nav iespējams liegt tai ļaunprātīgi izmantot galvojumu. CA pēc iespējas jāsamazina šādi riski darījumdarbībai. Lai novērstu šādas situācijas, ir svarīgi identificēt vienu personu, kas veic visas ar galvojumiem saistītās darbības.</w:t>
      </w:r>
    </w:p>
    <w:p w14:paraId="2AA111CC" w14:textId="77777777" w:rsidR="005A2D50" w:rsidRPr="005A2D50" w:rsidRDefault="005A2D50" w:rsidP="005A2D50">
      <w:pPr>
        <w:pStyle w:val="BodyText"/>
        <w:rPr>
          <w:lang w:val="en-US"/>
        </w:rPr>
      </w:pPr>
    </w:p>
    <w:p w14:paraId="00348D57" w14:textId="77777777" w:rsidR="005A2D50" w:rsidRPr="005A2D50" w:rsidRDefault="005A2D50" w:rsidP="005A2D50">
      <w:pPr>
        <w:pStyle w:val="BodyText"/>
        <w:rPr>
          <w:lang w:val="en-US"/>
        </w:rPr>
      </w:pPr>
      <w:r w:rsidRPr="005A2D50">
        <w:rPr>
          <w:lang w:val="en-US"/>
        </w:rPr>
        <w:t>Ja galvojums ir derīgs tikai vienā dalībvalstī, attiecīgās personas autentifikācijai un sniegtajam galvojumam var piemērot valsts tiesību normas.</w:t>
      </w:r>
    </w:p>
    <w:p w14:paraId="7B1EE7FE" w14:textId="77777777" w:rsidR="005A2D50" w:rsidRPr="005A2D50" w:rsidRDefault="005A2D50" w:rsidP="005A2D50">
      <w:pPr>
        <w:pStyle w:val="BodyText"/>
        <w:rPr>
          <w:lang w:val="en-US"/>
        </w:rPr>
      </w:pPr>
    </w:p>
    <w:p w14:paraId="6BB6ED9D" w14:textId="77777777" w:rsidR="005A2D50" w:rsidRPr="005A2D50" w:rsidRDefault="005A2D50" w:rsidP="005A2D50">
      <w:pPr>
        <w:pStyle w:val="Heading1"/>
        <w:rPr>
          <w:noProof/>
          <w:lang w:val="en-US"/>
        </w:rPr>
      </w:pPr>
      <w:bookmarkStart w:id="108" w:name="V.1._Individual_guarantee"/>
      <w:bookmarkStart w:id="109" w:name="_bookmark33"/>
      <w:bookmarkStart w:id="110" w:name="_Toc104982791"/>
      <w:bookmarkEnd w:id="108"/>
      <w:bookmarkEnd w:id="109"/>
      <w:r w:rsidRPr="005A2D50">
        <w:rPr>
          <w:noProof/>
          <w:lang w:val="en-US"/>
        </w:rPr>
        <w:t>V.1. Vienreizējais galvojums</w:t>
      </w:r>
      <w:bookmarkEnd w:id="110"/>
    </w:p>
    <w:p w14:paraId="63C68F4D"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53747322" w14:textId="77777777" w:rsidR="005A2D50" w:rsidRPr="005A2D50" w:rsidRDefault="005A2D50" w:rsidP="005A2D50">
      <w:pPr>
        <w:pStyle w:val="BodyText"/>
        <w:rPr>
          <w:lang w:val="en-US"/>
        </w:rPr>
      </w:pPr>
      <w:r w:rsidRPr="005A2D50">
        <w:rPr>
          <w:lang w:val="en-US"/>
        </w:rPr>
        <w:t xml:space="preserve">Vienreizējais galvojums sedz vienu darbību/deklarāciju un, ja atbilstīgi, nodrošina esoša vai iespējama muitas parāda un citu maksājumu samaksu. Attiecībā uz saistībām, kas nodrošinātas kā vienreizējais galvojums, ieteicams, ka </w:t>
      </w:r>
      <w:r w:rsidRPr="005A2D50">
        <w:rPr>
          <w:i/>
          <w:iCs/>
          <w:lang w:val="en-US"/>
        </w:rPr>
        <w:t xml:space="preserve">CA </w:t>
      </w:r>
      <w:r w:rsidRPr="005A2D50">
        <w:rPr>
          <w:lang w:val="en-US"/>
        </w:rPr>
        <w:t xml:space="preserve">norāda attiecīgās MD reģistrācijas numuru (galveno atsauces numuru) vai </w:t>
      </w:r>
      <w:r w:rsidRPr="005A2D50">
        <w:rPr>
          <w:i/>
          <w:iCs/>
          <w:lang w:val="en-US"/>
        </w:rPr>
        <w:t xml:space="preserve">TS </w:t>
      </w:r>
      <w:r w:rsidRPr="005A2D50">
        <w:rPr>
          <w:lang w:val="en-US"/>
        </w:rPr>
        <w:t>deklarāciju, uz kuru attiecas minētais galvojums. Šī informācija ir obligāts datu elements, kas noteikts SMK ĪA 32-01. pielikumā.</w:t>
      </w:r>
    </w:p>
    <w:p w14:paraId="3571CA5A" w14:textId="77777777" w:rsidR="005A2D50" w:rsidRPr="005A2D50" w:rsidRDefault="005A2D50" w:rsidP="005A2D50">
      <w:pPr>
        <w:pStyle w:val="BodyText"/>
        <w:rPr>
          <w:lang w:val="en-US"/>
        </w:rPr>
      </w:pPr>
      <w:r w:rsidRPr="005A2D50">
        <w:rPr>
          <w:lang w:val="en-US"/>
        </w:rPr>
        <w:t>Saskaņā ar SMK ĪA 148. panta 1. punktu vienreizējais galvojums par iespējamo muitas parādu sedz “ievedmuitas vai izvedmuitas nodokļa summu atbilstoši muitas parādam, kas var rasties, aprēķinot pēc augstākajām nodokļa likmēm, kas piemērojamas tā paša veida precēm”. Pārējos maksājumus aprēķina pēc “augstākajām likmēm, kas piemērojamas tā paša veida precēm dalībvalstī, kurā attiecīgajām precēm piemēro muitas procedūru vai kur tās ir pagaidu uzglabāšanā”.</w:t>
      </w:r>
    </w:p>
    <w:p w14:paraId="696CA0DB" w14:textId="77777777" w:rsidR="005A2D50" w:rsidRPr="005A2D50" w:rsidRDefault="005A2D50" w:rsidP="005A2D50">
      <w:pPr>
        <w:pStyle w:val="BodyText"/>
        <w:rPr>
          <w:lang w:val="en-US"/>
        </w:rPr>
      </w:pPr>
      <w:r w:rsidRPr="005A2D50">
        <w:rPr>
          <w:lang w:val="en-US"/>
        </w:rPr>
        <w:t>SMK ĪA 152. panta 1. punktā noteikts: “Ja sniedz vienreizēju galvojumu kā galvinieka saistības, minēto saistību apliecinājumu galvojuma derīguma perioda laikā glabā galvojuma muitas iestāde.”</w:t>
      </w:r>
    </w:p>
    <w:p w14:paraId="0763DA50" w14:textId="77777777" w:rsidR="005A2D50" w:rsidRPr="005A2D50" w:rsidRDefault="005A2D50" w:rsidP="005A2D50">
      <w:pPr>
        <w:pStyle w:val="BodyText"/>
        <w:rPr>
          <w:lang w:val="en-US"/>
        </w:rPr>
      </w:pPr>
      <w:r w:rsidRPr="005A2D50">
        <w:rPr>
          <w:lang w:val="en-US"/>
        </w:rPr>
        <w:t xml:space="preserve">Vienreizējā galvojuma derīguma termiņš jānosaka saskaņā ar darbības ilgumu, sākot no brīža, kad preces tiek izlaistas muitas procedūrai / </w:t>
      </w:r>
      <w:r w:rsidRPr="005A2D50">
        <w:rPr>
          <w:i/>
          <w:iCs/>
          <w:lang w:val="en-US"/>
        </w:rPr>
        <w:t>TS</w:t>
      </w:r>
      <w:r w:rsidRPr="005A2D50">
        <w:rPr>
          <w:lang w:val="en-US"/>
        </w:rPr>
        <w:t xml:space="preserve">, līdz brīdim, kad muitas parāds tiek dzēsts vai nevar vairs rasties un </w:t>
      </w:r>
      <w:r w:rsidRPr="005A2D50">
        <w:rPr>
          <w:i/>
          <w:iCs/>
          <w:lang w:val="en-US"/>
        </w:rPr>
        <w:t xml:space="preserve">CA </w:t>
      </w:r>
      <w:r w:rsidRPr="005A2D50">
        <w:rPr>
          <w:lang w:val="en-US"/>
        </w:rPr>
        <w:t>to atbrīvo. To sniedz katrā gadījumā atsevišķi atbilstīgi muitas parādam un, ja atbilstīgi, citiem maksājumiem, kas var rasties vai ir radušies no vienas darbības / muitas deklarācijas (pamatojoties uz darījumu).</w:t>
      </w:r>
    </w:p>
    <w:p w14:paraId="1CBADFFE" w14:textId="77777777" w:rsidR="005A2D50" w:rsidRPr="005A2D50" w:rsidRDefault="005A2D50" w:rsidP="005A2D50">
      <w:pPr>
        <w:pStyle w:val="BodyText"/>
        <w:rPr>
          <w:lang w:val="en-US"/>
        </w:rPr>
      </w:pPr>
      <w:r w:rsidRPr="005A2D50">
        <w:rPr>
          <w:lang w:val="en-US"/>
        </w:rPr>
        <w:t xml:space="preserve">Saskaņā ar SMK 89. panta 6. punktu </w:t>
      </w:r>
      <w:r w:rsidRPr="005A2D50">
        <w:rPr>
          <w:i/>
          <w:iCs/>
          <w:lang w:val="en-US"/>
        </w:rPr>
        <w:t xml:space="preserve">CA </w:t>
      </w:r>
      <w:r w:rsidRPr="005A2D50">
        <w:rPr>
          <w:lang w:val="en-US"/>
        </w:rPr>
        <w:t>uzrauga arī vienreizējo galvojumu.</w:t>
      </w:r>
    </w:p>
    <w:p w14:paraId="482FDE34" w14:textId="77777777" w:rsidR="005A2D50" w:rsidRPr="005A2D50" w:rsidRDefault="005A2D50" w:rsidP="005A2D50">
      <w:pPr>
        <w:pStyle w:val="BodyText"/>
        <w:rPr>
          <w:lang w:val="en-US"/>
        </w:rPr>
      </w:pPr>
    </w:p>
    <w:p w14:paraId="6F6C3CF1" w14:textId="77777777" w:rsidR="005A2D50" w:rsidRPr="005A2D50" w:rsidRDefault="005A2D50" w:rsidP="005A2D50">
      <w:pPr>
        <w:pStyle w:val="Heading1"/>
        <w:rPr>
          <w:noProof/>
          <w:lang w:val="en-US"/>
        </w:rPr>
      </w:pPr>
      <w:bookmarkStart w:id="111" w:name="V.2._Comprehensive_guarantee"/>
      <w:bookmarkStart w:id="112" w:name="_bookmark34"/>
      <w:bookmarkStart w:id="113" w:name="_Toc104982792"/>
      <w:bookmarkEnd w:id="111"/>
      <w:bookmarkEnd w:id="112"/>
      <w:r w:rsidRPr="005A2D50">
        <w:rPr>
          <w:noProof/>
          <w:lang w:val="en-US"/>
        </w:rPr>
        <w:t>V.2. Vispārējais galvojums</w:t>
      </w:r>
      <w:bookmarkEnd w:id="113"/>
    </w:p>
    <w:p w14:paraId="266AD167"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6AF02CF7" w14:textId="77777777" w:rsidR="005A2D50" w:rsidRPr="005A2D50" w:rsidRDefault="005A2D50" w:rsidP="005A2D50">
      <w:pPr>
        <w:pStyle w:val="BodyText"/>
        <w:rPr>
          <w:lang w:val="en-US"/>
        </w:rPr>
      </w:pPr>
      <w:r w:rsidRPr="005A2D50">
        <w:rPr>
          <w:lang w:val="en-US"/>
        </w:rPr>
        <w:t>Vispārējais galvojums sedz esoša un iespējama muitas parāda vai, ja atbilstīgi, citu maksājumu summu, kas atbilst vairāk nekā vienai uzņēmēja muitas operācijai/deklarācijai/procedūrai.</w:t>
      </w:r>
    </w:p>
    <w:p w14:paraId="1AF9E3B0" w14:textId="77777777" w:rsidR="005A2D50" w:rsidRPr="005A2D50" w:rsidRDefault="005A2D50" w:rsidP="005A2D50">
      <w:pPr>
        <w:pStyle w:val="BodyText"/>
        <w:rPr>
          <w:lang w:val="en-US"/>
        </w:rPr>
      </w:pPr>
      <w:r w:rsidRPr="005A2D50">
        <w:rPr>
          <w:lang w:val="en-US"/>
        </w:rPr>
        <w:t>SMK ĪA 155. pantā noteikts, ka vispārējā galvojuma atsauces summu veido dažādas daļas, kuru pamatā ir praktiski pasākumi, kas nepieciešami galvojumu pienācīgai pārvaldībai.</w:t>
      </w:r>
    </w:p>
    <w:p w14:paraId="7FA09666" w14:textId="77777777" w:rsidR="005A2D50" w:rsidRPr="005A2D50" w:rsidRDefault="005A2D50" w:rsidP="005A2D50">
      <w:pPr>
        <w:pStyle w:val="BodyText"/>
        <w:rPr>
          <w:lang w:val="en-US"/>
        </w:rPr>
      </w:pPr>
      <w:r w:rsidRPr="005A2D50">
        <w:rPr>
          <w:lang w:val="en-US"/>
        </w:rPr>
        <w:t>Visupirms atsauces summa ir jāsadala, ja piemēro SMK TDA 8. pantu. Pēc tam to dara atbilstoši tās pārraudzības veidam, kas aprakstīts SMK ĪA 157. pantā.</w:t>
      </w:r>
    </w:p>
    <w:p w14:paraId="4EB6C17D" w14:textId="77777777" w:rsidR="005A2D50" w:rsidRPr="005A2D50" w:rsidRDefault="005A2D50" w:rsidP="005A2D50">
      <w:pPr>
        <w:pStyle w:val="BodyText"/>
        <w:rPr>
          <w:lang w:val="en-US"/>
        </w:rPr>
      </w:pPr>
      <w:r w:rsidRPr="005A2D50">
        <w:rPr>
          <w:lang w:val="en-US"/>
        </w:rPr>
        <w:t>Iespējams, atsauces summas ir jāsadala sīkāk, lai nodrošinātu pienācīgu pārraudzību atbilstoši turpmāk minētajam:</w:t>
      </w:r>
    </w:p>
    <w:p w14:paraId="5429AAC1" w14:textId="77777777" w:rsidR="005A2D50" w:rsidRPr="005A2D50" w:rsidRDefault="005A2D50" w:rsidP="005A2D50">
      <w:pPr>
        <w:pStyle w:val="BodyText"/>
        <w:rPr>
          <w:lang w:val="en-US"/>
        </w:rPr>
      </w:pPr>
    </w:p>
    <w:p w14:paraId="5D889FDA" w14:textId="77777777" w:rsidR="005A2D50" w:rsidRPr="005A2D50" w:rsidRDefault="005A2D50" w:rsidP="005A2D50">
      <w:pPr>
        <w:pStyle w:val="BodyText"/>
        <w:numPr>
          <w:ilvl w:val="0"/>
          <w:numId w:val="42"/>
        </w:numPr>
        <w:tabs>
          <w:tab w:val="left" w:pos="851"/>
        </w:tabs>
        <w:ind w:left="284" w:firstLine="0"/>
        <w:rPr>
          <w:lang w:val="en-US"/>
        </w:rPr>
      </w:pPr>
      <w:r w:rsidRPr="005A2D50">
        <w:rPr>
          <w:lang w:val="en-US"/>
        </w:rPr>
        <w:t>attiecīgā galvojuma samazinājuma apmēram (SMK ĪA 158. pants – dažādām muitas procedūrām var noteikt dažādus samazinājuma apmērus);</w:t>
      </w:r>
    </w:p>
    <w:p w14:paraId="5D69640E" w14:textId="77777777" w:rsidR="005A2D50" w:rsidRPr="005A2D50" w:rsidRDefault="005A2D50" w:rsidP="005A2D50">
      <w:pPr>
        <w:pStyle w:val="BodyText"/>
        <w:numPr>
          <w:ilvl w:val="0"/>
          <w:numId w:val="42"/>
        </w:numPr>
        <w:tabs>
          <w:tab w:val="left" w:pos="851"/>
        </w:tabs>
        <w:ind w:left="284" w:firstLine="0"/>
        <w:rPr>
          <w:lang w:val="en-US"/>
        </w:rPr>
      </w:pPr>
      <w:r w:rsidRPr="005A2D50">
        <w:rPr>
          <w:lang w:val="en-US"/>
        </w:rPr>
        <w:t xml:space="preserve">muitas procedūrai, uz kuru attiecas galvojums (atsauces summas daļa, kas atbilst katrai atļaujai, kura piešķirta attiecībā uz īpašu procedūru vai </w:t>
      </w:r>
      <w:r w:rsidRPr="005A2D50">
        <w:rPr>
          <w:i/>
          <w:iCs/>
          <w:lang w:val="en-US"/>
        </w:rPr>
        <w:t>TS</w:t>
      </w:r>
      <w:r w:rsidRPr="005A2D50">
        <w:rPr>
          <w:lang w:val="en-US"/>
        </w:rPr>
        <w:t>, pēc tam tiks saistīta ar šo atļauju, SMK DA A pielikumā norādīto datu elementu, un pēc tam pārraudzīta). Ja atbilstīgi, katra atsauces summas daļa var attiekties uz vairāk nekā vienu režīmu, ja tas neietekmē atsauces summas pārraudzību.</w:t>
      </w:r>
    </w:p>
    <w:p w14:paraId="2F306293" w14:textId="77777777" w:rsidR="005A2D50" w:rsidRPr="005A2D50" w:rsidRDefault="005A2D50" w:rsidP="005A2D50">
      <w:pPr>
        <w:pStyle w:val="BodyText"/>
        <w:rPr>
          <w:lang w:val="en-US"/>
        </w:rPr>
      </w:pPr>
    </w:p>
    <w:p w14:paraId="6E42740C" w14:textId="77777777" w:rsidR="005A2D50" w:rsidRPr="005A2D50" w:rsidRDefault="005A2D50" w:rsidP="005A2D50">
      <w:pPr>
        <w:pStyle w:val="BodyText"/>
        <w:rPr>
          <w:lang w:val="en-US"/>
        </w:rPr>
      </w:pPr>
      <w:r w:rsidRPr="005A2D50">
        <w:rPr>
          <w:lang w:val="en-US"/>
        </w:rPr>
        <w:t xml:space="preserve">Iepriekš minētie norādījumi par atsauces summas sadalīšanu starp dažādām muitas procedūrām un/vai </w:t>
      </w:r>
      <w:r w:rsidRPr="005A2D50">
        <w:rPr>
          <w:i/>
          <w:iCs/>
          <w:lang w:val="en-US"/>
        </w:rPr>
        <w:t xml:space="preserve">TS </w:t>
      </w:r>
      <w:r w:rsidRPr="005A2D50">
        <w:rPr>
          <w:lang w:val="en-US"/>
        </w:rPr>
        <w:t xml:space="preserve">neliedz iesniegt vienu vispārējo galvojumu (vienas galvinieka saistības) visiem režīmiem, tostarp, ja atbilstīgi, </w:t>
      </w:r>
      <w:r w:rsidRPr="005A2D50">
        <w:rPr>
          <w:i/>
          <w:iCs/>
          <w:lang w:val="en-US"/>
        </w:rPr>
        <w:t xml:space="preserve">TS </w:t>
      </w:r>
      <w:r w:rsidRPr="005A2D50">
        <w:rPr>
          <w:lang w:val="en-US"/>
        </w:rPr>
        <w:t>(skat. galvinieka saistību paraugu), vai veikt vienreizēju maksājumu muitas depozītu kontā.</w:t>
      </w:r>
    </w:p>
    <w:p w14:paraId="066AD79D" w14:textId="77777777" w:rsidR="005A2D50" w:rsidRPr="005A2D50" w:rsidRDefault="005A2D50" w:rsidP="005A2D50">
      <w:pPr>
        <w:pStyle w:val="BodyText"/>
        <w:rPr>
          <w:lang w:val="en-US"/>
        </w:rPr>
      </w:pPr>
    </w:p>
    <w:p w14:paraId="4BDE6133" w14:textId="77777777" w:rsidR="005A2D50" w:rsidRPr="005A2D50" w:rsidRDefault="005A2D50" w:rsidP="005A2D50">
      <w:pPr>
        <w:pStyle w:val="Heading2"/>
        <w:rPr>
          <w:noProof/>
          <w:lang w:val="en-US"/>
        </w:rPr>
      </w:pPr>
      <w:bookmarkStart w:id="114" w:name="V.2.1._Forms_of_comprehensive_guarantee"/>
      <w:bookmarkStart w:id="115" w:name="_bookmark35"/>
      <w:bookmarkStart w:id="116" w:name="_Toc104982793"/>
      <w:bookmarkEnd w:id="114"/>
      <w:bookmarkEnd w:id="115"/>
      <w:r w:rsidRPr="005A2D50">
        <w:rPr>
          <w:noProof/>
          <w:lang w:val="en-US"/>
        </w:rPr>
        <w:t>V.2.1. Vispārējā galvojuma veidi</w:t>
      </w:r>
      <w:bookmarkEnd w:id="116"/>
    </w:p>
    <w:p w14:paraId="2D43C017"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1B2CEEAD" w14:textId="77777777" w:rsidR="005A2D50" w:rsidRPr="005A2D50" w:rsidRDefault="005A2D50" w:rsidP="005A2D50">
      <w:pPr>
        <w:tabs>
          <w:tab w:val="left" w:pos="938"/>
        </w:tabs>
        <w:jc w:val="both"/>
        <w:rPr>
          <w:rFonts w:ascii="Times New Roman" w:hAnsi="Times New Roman"/>
          <w:b/>
          <w:noProof/>
          <w:sz w:val="24"/>
          <w:lang w:val="en-US"/>
        </w:rPr>
      </w:pPr>
      <w:bookmarkStart w:id="117" w:name="V.2.1.1._Comprehensive_guarantee_in_the_"/>
      <w:bookmarkEnd w:id="117"/>
      <w:r w:rsidRPr="005A2D50">
        <w:rPr>
          <w:rFonts w:ascii="Times New Roman" w:hAnsi="Times New Roman"/>
          <w:b/>
          <w:noProof/>
          <w:sz w:val="24"/>
          <w:lang w:val="en-US"/>
        </w:rPr>
        <w:t>V.2.1.1. Vispārējais galvojums saistību veidā (SMK ĪA 32-03. pielikums)</w:t>
      </w:r>
    </w:p>
    <w:p w14:paraId="25CD1ECB"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49231136" w14:textId="77777777" w:rsidR="005A2D50" w:rsidRPr="005A2D50" w:rsidRDefault="005A2D50" w:rsidP="005A2D50">
      <w:pPr>
        <w:pStyle w:val="BodyText"/>
        <w:rPr>
          <w:lang w:val="en-US"/>
        </w:rPr>
      </w:pPr>
      <w:r w:rsidRPr="005A2D50">
        <w:rPr>
          <w:lang w:val="en-US"/>
        </w:rPr>
        <w:t>Saskaņā ar SMK ĪA 151. panta 6. punktu un 151. panta 7. punktu vispārējo galvojumu, kas sniegts kā saistības, var sniegt, izmantojot SMK ĪA 32-03. pielikumā norādīto veidlapu vai citā valsts tiesību aktiem atbilstošā veidā, kam ir tāds pats juridiskais spēks.</w:t>
      </w:r>
    </w:p>
    <w:p w14:paraId="615818AF" w14:textId="77777777" w:rsidR="005A2D50" w:rsidRPr="005A2D50" w:rsidRDefault="005A2D50" w:rsidP="005A2D50">
      <w:pPr>
        <w:pStyle w:val="BodyText"/>
        <w:rPr>
          <w:lang w:val="en-US"/>
        </w:rPr>
      </w:pPr>
      <w:r w:rsidRPr="005A2D50">
        <w:rPr>
          <w:lang w:val="en-US"/>
        </w:rPr>
        <w:t>Saistībā ar Savienības tranzīta procedūru vispārējo galvojumu var sniegt tikai kā galvinieka saistības (SMK ĪA 162. pants), un tam principā jābūt derīgam visās dalībvalstīs.</w:t>
      </w:r>
    </w:p>
    <w:p w14:paraId="0BB7EA23" w14:textId="77777777" w:rsidR="005A2D50" w:rsidRPr="005A2D50" w:rsidRDefault="005A2D50" w:rsidP="005A2D50">
      <w:pPr>
        <w:pStyle w:val="BodyText"/>
        <w:rPr>
          <w:lang w:val="en-US"/>
        </w:rPr>
      </w:pPr>
      <w:r w:rsidRPr="005A2D50">
        <w:rPr>
          <w:lang w:val="en-US"/>
        </w:rPr>
        <w:t xml:space="preserve">Ja vispārējais galvojums, kas sniegts kā saistības, ir paredzēts laišanai brīvā apgrozībā, </w:t>
      </w:r>
      <w:r w:rsidRPr="005A2D50">
        <w:rPr>
          <w:i/>
          <w:iCs/>
          <w:lang w:val="en-US"/>
        </w:rPr>
        <w:t>SPE</w:t>
      </w:r>
      <w:r w:rsidRPr="005A2D50">
        <w:rPr>
          <w:lang w:val="en-US"/>
        </w:rPr>
        <w:t xml:space="preserve">, kas nav tranzīts, vai </w:t>
      </w:r>
      <w:r w:rsidRPr="005A2D50">
        <w:rPr>
          <w:i/>
          <w:iCs/>
          <w:lang w:val="en-US"/>
        </w:rPr>
        <w:t>TS</w:t>
      </w:r>
      <w:r w:rsidRPr="005A2D50">
        <w:rPr>
          <w:lang w:val="en-US"/>
        </w:rPr>
        <w:t>, tas var būt derīgs tikai vienā dalībvalstī vai vairākās dalībvalstīs atkarībā no tā, vai muitas parāds ir radies/var rasties citā dalībvalstī.</w:t>
      </w:r>
    </w:p>
    <w:p w14:paraId="299DFE28" w14:textId="77777777" w:rsidR="005A2D50" w:rsidRPr="005A2D50" w:rsidRDefault="005A2D50" w:rsidP="005A2D50">
      <w:pPr>
        <w:pStyle w:val="BodyText"/>
        <w:rPr>
          <w:lang w:val="en-US"/>
        </w:rPr>
      </w:pPr>
      <w:r w:rsidRPr="005A2D50">
        <w:rPr>
          <w:lang w:val="en-US"/>
        </w:rPr>
        <w:t xml:space="preserve">Vienas </w:t>
      </w:r>
      <w:r w:rsidRPr="005A2D50">
        <w:rPr>
          <w:i/>
          <w:iCs/>
          <w:lang w:val="en-US"/>
        </w:rPr>
        <w:t xml:space="preserve">CGU </w:t>
      </w:r>
      <w:r w:rsidRPr="005A2D50">
        <w:rPr>
          <w:lang w:val="en-US"/>
        </w:rPr>
        <w:t xml:space="preserve">atļaujas ietvaros uzņēmējs var nodrošināt vienu vai vairākas saistības. Visām saistībām, kas sniegtas kā vienas </w:t>
      </w:r>
      <w:r w:rsidRPr="005A2D50">
        <w:rPr>
          <w:i/>
          <w:iCs/>
          <w:lang w:val="en-US"/>
        </w:rPr>
        <w:t xml:space="preserve">CGU </w:t>
      </w:r>
      <w:r w:rsidRPr="005A2D50">
        <w:rPr>
          <w:lang w:val="en-US"/>
        </w:rPr>
        <w:t>atļaujas daļa, ir jāatbilst derīguma ģeogrāfiskā areāla prasībām un atsauces summai, kas noteikta muitas procedūrai vai procedūrām, attiecībā uz kurām tās tika sniegtas.</w:t>
      </w:r>
    </w:p>
    <w:p w14:paraId="2D2C1C46" w14:textId="77777777" w:rsidR="005A2D50" w:rsidRPr="005A2D50" w:rsidRDefault="005A2D50" w:rsidP="005A2D50">
      <w:pPr>
        <w:pStyle w:val="BodyText"/>
        <w:rPr>
          <w:lang w:val="en-US"/>
        </w:rPr>
      </w:pPr>
    </w:p>
    <w:p w14:paraId="104577CF" w14:textId="77777777" w:rsidR="005A2D50" w:rsidRPr="005A2D50" w:rsidRDefault="005A2D50" w:rsidP="005A2D50">
      <w:pPr>
        <w:pStyle w:val="BodyText"/>
        <w:rPr>
          <w:b/>
          <w:bCs/>
          <w:lang w:val="en-US"/>
        </w:rPr>
      </w:pPr>
      <w:bookmarkStart w:id="118" w:name="V.2.1.2._Comprehensive_guarantee_in_the_"/>
      <w:bookmarkEnd w:id="118"/>
      <w:r w:rsidRPr="005A2D50">
        <w:rPr>
          <w:b/>
          <w:bCs/>
          <w:lang w:val="en-US"/>
        </w:rPr>
        <w:t>V.2.1.2. Vispārējais galvojums kā skaidras naudas iemaksa / citā veidā (SMK DA 83. panta 1. punkta d) apakšpunkts)</w:t>
      </w:r>
    </w:p>
    <w:p w14:paraId="5411F386"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4FB845C7" w14:textId="77777777" w:rsidR="005A2D50" w:rsidRPr="005A2D50" w:rsidRDefault="005A2D50" w:rsidP="005A2D50">
      <w:pPr>
        <w:pStyle w:val="BodyText"/>
        <w:rPr>
          <w:lang w:val="en-US"/>
        </w:rPr>
      </w:pPr>
      <w:r w:rsidRPr="005A2D50">
        <w:rPr>
          <w:lang w:val="en-US"/>
        </w:rPr>
        <w:t xml:space="preserve">Ja vispārējo galvojumu sniedz kā skaidras naudas iemaksu tās dalībvalsts valūtā, kurā </w:t>
      </w:r>
      <w:r w:rsidRPr="005A2D50">
        <w:rPr>
          <w:i/>
          <w:iCs/>
          <w:lang w:val="en-US"/>
        </w:rPr>
        <w:t xml:space="preserve">COG </w:t>
      </w:r>
      <w:r w:rsidRPr="005A2D50">
        <w:rPr>
          <w:lang w:val="en-US"/>
        </w:rPr>
        <w:t xml:space="preserve">ir reģistrēts, izņemot </w:t>
      </w:r>
      <w:r w:rsidRPr="005A2D50">
        <w:rPr>
          <w:i/>
          <w:iCs/>
          <w:lang w:val="en-US"/>
        </w:rPr>
        <w:t>euro</w:t>
      </w:r>
      <w:r w:rsidRPr="005A2D50">
        <w:rPr>
          <w:lang w:val="en-US"/>
        </w:rPr>
        <w:t xml:space="preserve">, lai tas būtu derīgs kā vispārējais galvojums citā dalībvalstī, tas jāpieņem visu to dalībvalstu </w:t>
      </w:r>
      <w:r w:rsidRPr="005A2D50">
        <w:rPr>
          <w:i/>
          <w:iCs/>
          <w:lang w:val="en-US"/>
        </w:rPr>
        <w:t>CA</w:t>
      </w:r>
      <w:r w:rsidRPr="005A2D50">
        <w:rPr>
          <w:lang w:val="en-US"/>
        </w:rPr>
        <w:t>, kurās to pieprasa (kur muitas parāds ir radies vai var rasties), ciktāl tas ir pieņemami saskaņā ar attiecīgās dalībvalsts tiesību aktiem (SMK ĪA 83. panta 3. punkts). Ja tiek uzsākta parāda piedziņas procedūra, piemēro SMK ĪA 153. pantu (savstarpēja palīdzība).</w:t>
      </w:r>
    </w:p>
    <w:p w14:paraId="6B59C4EC" w14:textId="77777777" w:rsidR="005A2D50" w:rsidRPr="005A2D50" w:rsidRDefault="005A2D50" w:rsidP="005A2D50">
      <w:pPr>
        <w:pStyle w:val="BodyText"/>
        <w:rPr>
          <w:lang w:val="en-US"/>
        </w:rPr>
      </w:pPr>
      <w:r w:rsidRPr="005A2D50">
        <w:rPr>
          <w:lang w:val="en-US"/>
        </w:rPr>
        <w:t xml:space="preserve">Saskaņā ar SMK 92. panta 2. punktu vispārējo galvojumu skaidras naudas iemaksas veidā </w:t>
      </w:r>
      <w:r w:rsidRPr="005A2D50">
        <w:rPr>
          <w:i/>
          <w:iCs/>
          <w:lang w:val="en-US"/>
        </w:rPr>
        <w:t xml:space="preserve">euro </w:t>
      </w:r>
      <w:r w:rsidRPr="005A2D50">
        <w:rPr>
          <w:lang w:val="en-US"/>
        </w:rPr>
        <w:t>var izmantot vairāk nekā vienā dalībvalstī, ja to sniedz saskaņā ar noteikumiem, kas ir spēkā dalībvalstī, kurā galvojumu pieprasa.</w:t>
      </w:r>
    </w:p>
    <w:p w14:paraId="6DE48592" w14:textId="77777777" w:rsidR="005A2D50" w:rsidRPr="005A2D50" w:rsidRDefault="005A2D50" w:rsidP="005A2D50">
      <w:pPr>
        <w:pStyle w:val="BodyText"/>
        <w:rPr>
          <w:lang w:val="en-US"/>
        </w:rPr>
      </w:pPr>
    </w:p>
    <w:p w14:paraId="72E52B58" w14:textId="77777777" w:rsidR="005A2D50" w:rsidRPr="005A2D50" w:rsidRDefault="005A2D50" w:rsidP="005A2D50">
      <w:pPr>
        <w:pStyle w:val="Heading2"/>
        <w:rPr>
          <w:rFonts w:cs="Times New Roman"/>
          <w:noProof/>
          <w:lang w:val="en-US"/>
        </w:rPr>
      </w:pPr>
      <w:bookmarkStart w:id="119" w:name="V.2.2._Authorisation_for_the_provision_o"/>
      <w:bookmarkStart w:id="120" w:name="_bookmark36"/>
      <w:bookmarkStart w:id="121" w:name="_Toc104982794"/>
      <w:bookmarkEnd w:id="119"/>
      <w:bookmarkEnd w:id="120"/>
      <w:r w:rsidRPr="005A2D50">
        <w:rPr>
          <w:noProof/>
          <w:lang w:val="en-US"/>
        </w:rPr>
        <w:t>V.2.2. Atļauja, lai sniegtu vispārējo galvojumu, ieskaitot iespējamo samazinājumu vai atbrīvojumu (</w:t>
      </w:r>
      <w:r w:rsidRPr="005A2D50">
        <w:rPr>
          <w:i/>
          <w:iCs/>
          <w:noProof/>
          <w:lang w:val="en-US"/>
        </w:rPr>
        <w:t xml:space="preserve">CGU </w:t>
      </w:r>
      <w:r w:rsidRPr="005A2D50">
        <w:rPr>
          <w:noProof/>
          <w:lang w:val="en-US"/>
        </w:rPr>
        <w:t>atļauja)</w:t>
      </w:r>
      <w:bookmarkEnd w:id="121"/>
    </w:p>
    <w:p w14:paraId="5CBCD22B"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52D7978F" w14:textId="77777777" w:rsidR="005A2D50" w:rsidRPr="005A2D50" w:rsidRDefault="005A2D50" w:rsidP="005A2D50">
      <w:pPr>
        <w:pStyle w:val="BodyText"/>
        <w:rPr>
          <w:lang w:val="en-US"/>
        </w:rPr>
      </w:pPr>
      <w:r w:rsidRPr="005A2D50">
        <w:rPr>
          <w:lang w:val="en-US"/>
        </w:rPr>
        <w:t xml:space="preserve">Saskaņā ar SMK 89. panta 5. punktu un 95. pantu, </w:t>
      </w:r>
      <w:r w:rsidRPr="005A2D50">
        <w:rPr>
          <w:i/>
          <w:iCs/>
          <w:lang w:val="en-US"/>
        </w:rPr>
        <w:t xml:space="preserve">CA </w:t>
      </w:r>
      <w:r w:rsidRPr="005A2D50">
        <w:rPr>
          <w:lang w:val="en-US"/>
        </w:rPr>
        <w:t>pēc pieteikuma saņemšanas “var atļaut iesniegt vispārēju galvojumu, lai segtu muitas parādam atbilstīgo ievedmuitas vai izvedmuitas nodokļa summu attiecībā uz divām vai vairākām darbībām, deklarācijām vai muitas procedūrām”.</w:t>
      </w:r>
    </w:p>
    <w:p w14:paraId="33DE1DEB" w14:textId="77777777" w:rsidR="005A2D50" w:rsidRPr="005A2D50" w:rsidRDefault="005A2D50" w:rsidP="005A2D50">
      <w:pPr>
        <w:pStyle w:val="BodyText"/>
        <w:rPr>
          <w:lang w:val="en-US"/>
        </w:rPr>
      </w:pPr>
    </w:p>
    <w:p w14:paraId="6B2E9975" w14:textId="77777777" w:rsidR="005A2D50" w:rsidRPr="005A2D50" w:rsidRDefault="005A2D50" w:rsidP="005A2D50">
      <w:pPr>
        <w:pStyle w:val="BodyText"/>
        <w:rPr>
          <w:b/>
          <w:bCs/>
          <w:lang w:val="en-US"/>
        </w:rPr>
      </w:pPr>
      <w:bookmarkStart w:id="122" w:name="V.2.2.1._Procedure_for_granting_the_CGU_"/>
      <w:bookmarkEnd w:id="122"/>
      <w:r w:rsidRPr="005A2D50">
        <w:rPr>
          <w:b/>
          <w:bCs/>
          <w:lang w:val="en-US"/>
        </w:rPr>
        <w:t xml:space="preserve">V.2.2.1. Procedūra </w:t>
      </w:r>
      <w:r w:rsidRPr="005A2D50">
        <w:rPr>
          <w:b/>
          <w:bCs/>
          <w:i/>
          <w:iCs/>
          <w:lang w:val="en-US"/>
        </w:rPr>
        <w:t xml:space="preserve">CGU </w:t>
      </w:r>
      <w:r w:rsidRPr="005A2D50">
        <w:rPr>
          <w:b/>
          <w:bCs/>
          <w:lang w:val="en-US"/>
        </w:rPr>
        <w:t>atļaujas piešķiršanai</w:t>
      </w:r>
    </w:p>
    <w:p w14:paraId="75C21C94"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32CF5C5E" w14:textId="77777777" w:rsidR="005A2D50" w:rsidRPr="005A2D50" w:rsidRDefault="005A2D50" w:rsidP="005A2D50">
      <w:pPr>
        <w:pStyle w:val="BodyText"/>
        <w:rPr>
          <w:lang w:val="en-US"/>
        </w:rPr>
      </w:pPr>
      <w:r w:rsidRPr="005A2D50">
        <w:rPr>
          <w:lang w:val="en-US"/>
        </w:rPr>
        <w:t xml:space="preserve">Pieteikums </w:t>
      </w:r>
      <w:r w:rsidRPr="005A2D50">
        <w:rPr>
          <w:i/>
          <w:iCs/>
          <w:lang w:val="en-US"/>
        </w:rPr>
        <w:t xml:space="preserve">CGU </w:t>
      </w:r>
      <w:r w:rsidRPr="005A2D50">
        <w:rPr>
          <w:lang w:val="en-US"/>
        </w:rPr>
        <w:t xml:space="preserve">atļaujas saņemšanai ir jāiesniedz kompetentajam </w:t>
      </w:r>
      <w:r w:rsidRPr="005A2D50">
        <w:rPr>
          <w:i/>
          <w:iCs/>
          <w:lang w:val="en-US"/>
        </w:rPr>
        <w:t>CA</w:t>
      </w:r>
      <w:r w:rsidRPr="005A2D50">
        <w:rPr>
          <w:lang w:val="en-US"/>
        </w:rPr>
        <w:t xml:space="preserve">, kā noteikts SMK 22. panta 1. punktā. Saskaņā ar SMK ĪA 11. pantu dalībvalstis paziņo Komisijai to </w:t>
      </w:r>
      <w:r w:rsidRPr="005A2D50">
        <w:rPr>
          <w:i/>
          <w:iCs/>
          <w:lang w:val="en-US"/>
        </w:rPr>
        <w:t xml:space="preserve">CA </w:t>
      </w:r>
      <w:r w:rsidRPr="005A2D50">
        <w:rPr>
          <w:lang w:val="en-US"/>
        </w:rPr>
        <w:t>sarakstu, kuri izraudzīti saņemt pieteikumus, un informē arī par visām turpmākām izmaiņām šajā sarakstā.</w:t>
      </w:r>
    </w:p>
    <w:p w14:paraId="58174CB3" w14:textId="77777777" w:rsidR="005A2D50" w:rsidRPr="005A2D50" w:rsidRDefault="005A2D50" w:rsidP="005A2D50">
      <w:pPr>
        <w:pStyle w:val="BodyText"/>
        <w:rPr>
          <w:lang w:val="en-US"/>
        </w:rPr>
      </w:pPr>
    </w:p>
    <w:p w14:paraId="10E664F8" w14:textId="77777777" w:rsidR="005A2D50" w:rsidRPr="005A2D50" w:rsidRDefault="005A2D50" w:rsidP="005A2D50">
      <w:pPr>
        <w:pStyle w:val="BodyText"/>
        <w:rPr>
          <w:b/>
          <w:bCs/>
          <w:lang w:val="en-US"/>
        </w:rPr>
      </w:pPr>
      <w:bookmarkStart w:id="123" w:name="V.2.2.1.1._Competent_customs_authority"/>
      <w:bookmarkEnd w:id="123"/>
      <w:r w:rsidRPr="005A2D50">
        <w:rPr>
          <w:b/>
          <w:bCs/>
          <w:lang w:val="en-US"/>
        </w:rPr>
        <w:t>V.2.2.1.1. Kompetentais muitas dienests</w:t>
      </w:r>
    </w:p>
    <w:p w14:paraId="71BC2DD2"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5B36C62D" w14:textId="77777777" w:rsidR="005A2D50" w:rsidRPr="005A2D50" w:rsidRDefault="005A2D50" w:rsidP="005A2D50">
      <w:pPr>
        <w:pStyle w:val="BodyText"/>
        <w:rPr>
          <w:lang w:val="en-US"/>
        </w:rPr>
      </w:pPr>
      <w:r w:rsidRPr="005A2D50">
        <w:rPr>
          <w:lang w:val="en-US"/>
        </w:rPr>
        <w:t>SMK 22. panta 1. punkta trešajā daļā ir noteikts: “Ja nav norādīts citādi, kompetentais muitas dienests ir tās vietas muitas dienests, kurā tiek kārtota pieteikuma iesniedzēja galvenā uzskaite muitas vajadzībām un kur tiks veikta vismaz daļa no darbībām, uz kurām lēmums attieksies.” Šajā sakarā jāatzīmē, ka “pieejams” ir ne tikai fiziski pieejams, bet arī elektroniski pieejams.</w:t>
      </w:r>
    </w:p>
    <w:p w14:paraId="5F5D93F9" w14:textId="77777777" w:rsidR="005A2D50" w:rsidRPr="005A2D50" w:rsidRDefault="005A2D50" w:rsidP="005A2D50">
      <w:pPr>
        <w:pStyle w:val="BodyText"/>
        <w:rPr>
          <w:lang w:val="en-US"/>
        </w:rPr>
      </w:pPr>
      <w:r w:rsidRPr="005A2D50">
        <w:rPr>
          <w:lang w:val="en-US"/>
        </w:rPr>
        <w:t>No iepriekš minētās tiesību normas izriet, ka principā ir jāizpilda divi kritēriji, lai izraudzītu kompetento muitas iestādi, kura ir viena no vietām, kurā:</w:t>
      </w:r>
    </w:p>
    <w:p w14:paraId="24029951" w14:textId="77777777" w:rsidR="005A2D50" w:rsidRPr="005A2D50" w:rsidRDefault="005A2D50" w:rsidP="005A2D50">
      <w:pPr>
        <w:pStyle w:val="BodyText"/>
        <w:rPr>
          <w:lang w:val="en-US"/>
        </w:rPr>
      </w:pPr>
    </w:p>
    <w:p w14:paraId="12C07472" w14:textId="77777777" w:rsidR="005A2D50" w:rsidRPr="005A2D50" w:rsidRDefault="005A2D50" w:rsidP="005A2D50">
      <w:pPr>
        <w:pStyle w:val="BodyText"/>
        <w:ind w:left="284"/>
        <w:rPr>
          <w:lang w:val="en-US"/>
        </w:rPr>
      </w:pPr>
      <w:r w:rsidRPr="005A2D50">
        <w:rPr>
          <w:lang w:val="en-US"/>
        </w:rPr>
        <w:t>i) tiek kārtota un ir pieejama pieteikuma iesniedzēja galvenā uzskaite muitas vajadzībām un</w:t>
      </w:r>
    </w:p>
    <w:p w14:paraId="7C3FFFD8" w14:textId="77777777" w:rsidR="005A2D50" w:rsidRPr="005A2D50" w:rsidRDefault="005A2D50" w:rsidP="005A2D50">
      <w:pPr>
        <w:pStyle w:val="BodyText"/>
        <w:ind w:left="284"/>
        <w:rPr>
          <w:lang w:val="en-US"/>
        </w:rPr>
      </w:pPr>
      <w:r w:rsidRPr="005A2D50">
        <w:rPr>
          <w:lang w:val="en-US"/>
        </w:rPr>
        <w:t>ii) tiks veikta vismaz daļa no darbībām, uz kurām lēmums attieksies.</w:t>
      </w:r>
    </w:p>
    <w:p w14:paraId="3E46F7C8" w14:textId="77777777" w:rsidR="005A2D50" w:rsidRPr="005A2D50" w:rsidRDefault="005A2D50" w:rsidP="005A2D50">
      <w:pPr>
        <w:pStyle w:val="BodyText"/>
        <w:rPr>
          <w:lang w:val="en-US"/>
        </w:rPr>
      </w:pPr>
    </w:p>
    <w:p w14:paraId="439C864D" w14:textId="77777777" w:rsidR="005A2D50" w:rsidRPr="005A2D50" w:rsidRDefault="005A2D50" w:rsidP="005A2D50">
      <w:pPr>
        <w:pStyle w:val="BodyText"/>
        <w:rPr>
          <w:lang w:val="en-US"/>
        </w:rPr>
      </w:pPr>
      <w:r w:rsidRPr="005A2D50">
        <w:rPr>
          <w:lang w:val="en-US"/>
        </w:rPr>
        <w:t>Lai secinātu, ka muitas dienests ir kompetentais muitas dienests, šie divi kritēriji ir kumulatīvi jāizpilda. Praktiski tas nozīmē, ka tad, ja vieta, kurā tiek kārtota pieteikuma iesniedzēja uzskaite, atšķiras no vietas(-ām), kurā(-ās) uzskaite ir pieejama, noteicošais kritērijs būtu vieta, kurā veicamas lēmumā ietvertās darbības.</w:t>
      </w:r>
    </w:p>
    <w:p w14:paraId="66D91F39" w14:textId="77777777" w:rsidR="005A2D50" w:rsidRPr="005A2D50" w:rsidRDefault="005A2D50" w:rsidP="005A2D50">
      <w:pPr>
        <w:pStyle w:val="BodyText"/>
        <w:rPr>
          <w:lang w:val="en-US"/>
        </w:rPr>
      </w:pPr>
      <w:r w:rsidRPr="005A2D50">
        <w:rPr>
          <w:lang w:val="en-US"/>
        </w:rPr>
        <w:t>Tomēr, ņemot vērā progresīvās tendences uzņēmumu organizatoriskajās struktūrās un darījumdarbības plūsmās, kā arī pieaugošo tendenci nodot atsevišķas darbības ārpakalpojumu sniedzējiem, pareizais lēmums ne vienmēr ir acīmredzams. Ja nav iespējams skaidri noteikt dalībvalsti, kurā vajadzētu atrasties kompetentajam dienestam, balstoties uz iepriekš minēto vispārējo principu (citiem vārdiem sakot, ja uzskaite netiek veikta un nav pieejama vietā, kurā persona veic savas muitas darbības), piemēro SMK DA 12. pantu. Saskaņā ar pilnvarojumu SMK 24. panta a) punktā un atkāpjoties no SMK 22. panta 1. punkta SMK DA 12. pants paredz:</w:t>
      </w:r>
    </w:p>
    <w:p w14:paraId="328FB316" w14:textId="77777777" w:rsidR="005A2D50" w:rsidRPr="005A2D50" w:rsidRDefault="005A2D50" w:rsidP="005A2D50">
      <w:pPr>
        <w:pStyle w:val="BodyText"/>
        <w:ind w:left="284"/>
        <w:rPr>
          <w:lang w:val="en-US"/>
        </w:rPr>
      </w:pPr>
      <w:r w:rsidRPr="005A2D50">
        <w:rPr>
          <w:lang w:val="en-US"/>
        </w:rPr>
        <w:t>“Ja nav iespējams noteikt kompetento muitas dienestu saskaņā ar Kodeksa 22. panta 1. punkta trešo daļu, kompetentais muitas dienests ir tās vietas muitas dienests, kurā tiek glabāti vai ir pieejami pieteikuma iesniedzēja reģistri un dokumentācija, kas ļauj muitas dienestam pieņemt lēmumu (galvenie uzskaites reģistri muitas vajadzībām).”</w:t>
      </w:r>
    </w:p>
    <w:p w14:paraId="4DD6239D" w14:textId="77777777" w:rsidR="005A2D50" w:rsidRPr="005A2D50" w:rsidRDefault="005A2D50" w:rsidP="005A2D50">
      <w:pPr>
        <w:pStyle w:val="BodyText"/>
        <w:rPr>
          <w:lang w:val="en-US"/>
        </w:rPr>
      </w:pPr>
    </w:p>
    <w:p w14:paraId="2B2128F6" w14:textId="77777777" w:rsidR="005A2D50" w:rsidRPr="005A2D50" w:rsidRDefault="005A2D50" w:rsidP="005A2D50">
      <w:pPr>
        <w:pStyle w:val="BodyText"/>
        <w:rPr>
          <w:lang w:val="en-US"/>
        </w:rPr>
      </w:pPr>
      <w:r w:rsidRPr="005A2D50">
        <w:rPr>
          <w:lang w:val="en-US"/>
        </w:rPr>
        <w:t>Vispārējais princips paredz, ka pieteikums jāiesniedz dalībvalstī, kas vislabāk pārzina ar muitu saistītās pieteikuma iesniedzēja darbības.</w:t>
      </w:r>
    </w:p>
    <w:p w14:paraId="322D2090" w14:textId="77777777" w:rsidR="005A2D50" w:rsidRPr="005A2D50" w:rsidRDefault="005A2D50" w:rsidP="005A2D50">
      <w:pPr>
        <w:pStyle w:val="BodyText"/>
        <w:rPr>
          <w:lang w:val="en-US"/>
        </w:rPr>
      </w:pPr>
      <w:r w:rsidRPr="005A2D50">
        <w:rPr>
          <w:lang w:val="en-US"/>
        </w:rPr>
        <w:t>Gan 22. panta 1. punkta trešajā daļā, gan DA 12. pantā ir lietots formulējums “</w:t>
      </w:r>
      <w:r w:rsidRPr="005A2D50">
        <w:rPr>
          <w:i/>
          <w:iCs/>
          <w:lang w:val="en-US"/>
        </w:rPr>
        <w:t>ir glabāti vai ir pieejami</w:t>
      </w:r>
      <w:r w:rsidRPr="005A2D50">
        <w:rPr>
          <w:lang w:val="en-US"/>
        </w:rPr>
        <w:t>”. Nosacījumam “</w:t>
      </w:r>
      <w:r w:rsidRPr="005A2D50">
        <w:rPr>
          <w:i/>
          <w:iCs/>
          <w:lang w:val="en-US"/>
        </w:rPr>
        <w:t>glabāti</w:t>
      </w:r>
      <w:r w:rsidRPr="005A2D50">
        <w:rPr>
          <w:lang w:val="en-US"/>
        </w:rPr>
        <w:t>” un nosacījumam “</w:t>
      </w:r>
      <w:r w:rsidRPr="005A2D50">
        <w:rPr>
          <w:i/>
          <w:iCs/>
          <w:lang w:val="en-US"/>
        </w:rPr>
        <w:t>pieejami</w:t>
      </w:r>
      <w:r w:rsidRPr="005A2D50">
        <w:rPr>
          <w:lang w:val="en-US"/>
        </w:rPr>
        <w:t>” jābūt vienlīdz stingriem, un tos nedrīkst neņemt vērā. Tiesību akti dod muitas dienestam iespēju izvēlēties, pie kāda nosacījuma uzskatīt sevi par kompetentu – ja uzskaite tiek veikta vai ir pieejama tādā veidā, kas ļauj muitai pieņemt lēmumu, uzraudzīt atļauju, būt spējīgai revidēt turētāju un citā veidā veikt visus nepieciešamos pasākumus nodokļu iekasēšanai.</w:t>
      </w:r>
    </w:p>
    <w:p w14:paraId="0846FAD3" w14:textId="77777777" w:rsidR="005A2D50" w:rsidRPr="005A2D50" w:rsidRDefault="005A2D50" w:rsidP="005A2D50">
      <w:pPr>
        <w:pStyle w:val="BodyText"/>
        <w:rPr>
          <w:lang w:val="en-US"/>
        </w:rPr>
      </w:pPr>
      <w:r w:rsidRPr="005A2D50">
        <w:rPr>
          <w:lang w:val="en-US"/>
        </w:rPr>
        <w:t xml:space="preserve">Muitas dienestam, kas sevi uzskata par kompetentu piešķirt </w:t>
      </w:r>
      <w:r w:rsidRPr="005A2D50">
        <w:rPr>
          <w:i/>
          <w:iCs/>
          <w:lang w:val="en-US"/>
        </w:rPr>
        <w:t xml:space="preserve">CGU </w:t>
      </w:r>
      <w:r w:rsidRPr="005A2D50">
        <w:rPr>
          <w:lang w:val="en-US"/>
        </w:rPr>
        <w:t>atļauju, ir katrā gadījumā jānovērtē, vai uzskaite ir pieejama tādā apjomā, lai tas varētu:</w:t>
      </w:r>
    </w:p>
    <w:p w14:paraId="26112135" w14:textId="77777777" w:rsidR="005A2D50" w:rsidRPr="005A2D50" w:rsidRDefault="005A2D50" w:rsidP="005A2D50">
      <w:pPr>
        <w:pStyle w:val="BodyText"/>
        <w:rPr>
          <w:lang w:val="en-US"/>
        </w:rPr>
      </w:pPr>
    </w:p>
    <w:p w14:paraId="7A33BCB3" w14:textId="77777777" w:rsidR="005A2D50" w:rsidRPr="005A2D50" w:rsidRDefault="005A2D50" w:rsidP="005A2D50">
      <w:pPr>
        <w:pStyle w:val="BodyText"/>
        <w:numPr>
          <w:ilvl w:val="0"/>
          <w:numId w:val="39"/>
        </w:numPr>
        <w:tabs>
          <w:tab w:val="left" w:pos="851"/>
        </w:tabs>
        <w:ind w:left="284" w:firstLine="0"/>
        <w:rPr>
          <w:lang w:val="en-US"/>
        </w:rPr>
      </w:pPr>
      <w:r w:rsidRPr="005A2D50">
        <w:rPr>
          <w:lang w:val="en-US"/>
        </w:rPr>
        <w:t>pieņemt minētos lēmumus (apstākļu novērtējums galvojuma samazināšanas piešķiršanai, jo īpaši attiecībā uz finanšu maksātspēju utt.);</w:t>
      </w:r>
    </w:p>
    <w:p w14:paraId="2DDB260D" w14:textId="77777777" w:rsidR="005A2D50" w:rsidRPr="005A2D50" w:rsidRDefault="005A2D50" w:rsidP="005A2D50">
      <w:pPr>
        <w:pStyle w:val="BodyText"/>
        <w:numPr>
          <w:ilvl w:val="0"/>
          <w:numId w:val="39"/>
        </w:numPr>
        <w:tabs>
          <w:tab w:val="left" w:pos="851"/>
        </w:tabs>
        <w:ind w:left="284" w:firstLine="0"/>
        <w:rPr>
          <w:lang w:val="en-US"/>
        </w:rPr>
      </w:pPr>
      <w:r w:rsidRPr="005A2D50">
        <w:rPr>
          <w:lang w:val="en-US"/>
        </w:rPr>
        <w:t>pildīt savus pienākumus attiecībā uz minētajām atļaujām (piemēram, uzraudzīt izpildāmos nosacījumus, pārraudzīt atsauces summu un atgūt galvojuma nesegtās summas, ja ir piešķirti samazinājumi/atbrīvojumi utt.).</w:t>
      </w:r>
    </w:p>
    <w:p w14:paraId="4B4F807C" w14:textId="77777777" w:rsidR="005A2D50" w:rsidRPr="005A2D50" w:rsidRDefault="005A2D50" w:rsidP="005A2D50">
      <w:pPr>
        <w:pStyle w:val="BodyText"/>
        <w:rPr>
          <w:lang w:val="en-US"/>
        </w:rPr>
      </w:pPr>
    </w:p>
    <w:p w14:paraId="440104FD" w14:textId="77777777" w:rsidR="005A2D50" w:rsidRPr="005A2D50" w:rsidRDefault="005A2D50" w:rsidP="005A2D50">
      <w:pPr>
        <w:pStyle w:val="BodyText"/>
        <w:rPr>
          <w:lang w:val="en-US"/>
        </w:rPr>
      </w:pPr>
      <w:r w:rsidRPr="005A2D50">
        <w:rPr>
          <w:lang w:val="en-US"/>
        </w:rPr>
        <w:t>Praktiski tas nozīmētu turpmāk minēto.</w:t>
      </w:r>
    </w:p>
    <w:p w14:paraId="762945FC" w14:textId="77777777" w:rsidR="005A2D50" w:rsidRPr="005A2D50" w:rsidRDefault="005A2D50" w:rsidP="005A2D50">
      <w:pPr>
        <w:pStyle w:val="BodyText"/>
        <w:rPr>
          <w:lang w:val="en-US"/>
        </w:rPr>
      </w:pPr>
    </w:p>
    <w:p w14:paraId="286EB9DA" w14:textId="77777777" w:rsidR="005A2D50" w:rsidRPr="005A2D50" w:rsidRDefault="005A2D50" w:rsidP="005A2D50">
      <w:pPr>
        <w:pStyle w:val="BodyText"/>
        <w:keepNext/>
        <w:keepLines/>
        <w:rPr>
          <w:lang w:val="en-US"/>
        </w:rPr>
      </w:pPr>
      <w:r w:rsidRPr="005A2D50">
        <w:rPr>
          <w:lang w:val="en-US"/>
        </w:rPr>
        <w:t>1. piemērs.</w:t>
      </w:r>
    </w:p>
    <w:p w14:paraId="3ADCA9DA" w14:textId="77777777" w:rsidR="005A2D50" w:rsidRPr="005A2D50" w:rsidRDefault="005A2D50" w:rsidP="005A2D50">
      <w:pPr>
        <w:pStyle w:val="BodyText"/>
        <w:keepNext/>
        <w:keepLines/>
        <w:rPr>
          <w:lang w:val="en-US"/>
        </w:rPr>
      </w:pPr>
      <w:r w:rsidRPr="005A2D50">
        <w:rPr>
          <w:lang w:val="en-US"/>
        </w:rPr>
        <w:t>Uzņēmējs vēlas iesniegt pieteikumu atļaujai sniegt vispārējo galvojumu. Tā galvenā uzskaite muitas vajadzībām tiek kārtota dalībvalstī A un ir pieejama dalībvalstī B. Darbības, uz kurām lēmums attiecas, veic dalībvalstī B. Tādēļ kompetentais muitas dienests ir dalībvalsts B muitas dienests.</w:t>
      </w:r>
    </w:p>
    <w:p w14:paraId="3E6CD8E0" w14:textId="77777777" w:rsidR="005A2D50" w:rsidRPr="005A2D50" w:rsidRDefault="005A2D50" w:rsidP="005A2D50">
      <w:pPr>
        <w:pStyle w:val="BodyText"/>
        <w:rPr>
          <w:lang w:val="en-US"/>
        </w:rPr>
      </w:pPr>
    </w:p>
    <w:p w14:paraId="70C8EA8E" w14:textId="77777777" w:rsidR="005A2D50" w:rsidRPr="005A2D50" w:rsidRDefault="005A2D50" w:rsidP="005A2D50">
      <w:pPr>
        <w:pStyle w:val="BodyText"/>
        <w:rPr>
          <w:lang w:val="en-US"/>
        </w:rPr>
      </w:pPr>
      <w:r w:rsidRPr="005A2D50">
        <w:rPr>
          <w:lang w:val="en-US"/>
        </w:rPr>
        <w:t>2. piemērs.</w:t>
      </w:r>
    </w:p>
    <w:p w14:paraId="66DB39FA" w14:textId="77777777" w:rsidR="005A2D50" w:rsidRPr="005A2D50" w:rsidRDefault="005A2D50" w:rsidP="005A2D50">
      <w:pPr>
        <w:pStyle w:val="BodyText"/>
        <w:rPr>
          <w:lang w:val="en-US"/>
        </w:rPr>
      </w:pPr>
      <w:r w:rsidRPr="005A2D50">
        <w:rPr>
          <w:lang w:val="en-US"/>
        </w:rPr>
        <w:t>Uzņēmējs vēlas iesniegt pieteikumu atļaujai veikt ievešanu pārstrādei. Tā galvenā uzskaite muitas vajadzībām tiek kārtota dalībvalstī A un ir pieejama dalībvalstī B. Darbības, uz kurām lēmums attiecas, veic dalībvalstī C. Tādēļ kompetentais muitas dienests ir dalībvalsts A vai B muitas dienests. Uzņēmējs var izvēlēties iesniegt pieteikumu dalībvalstī A vai B.</w:t>
      </w:r>
    </w:p>
    <w:p w14:paraId="034C1759" w14:textId="77777777" w:rsidR="005A2D50" w:rsidRPr="005A2D50" w:rsidRDefault="005A2D50" w:rsidP="005A2D50">
      <w:pPr>
        <w:pStyle w:val="BodyText"/>
        <w:rPr>
          <w:lang w:val="en-US"/>
        </w:rPr>
      </w:pPr>
    </w:p>
    <w:p w14:paraId="1928578C" w14:textId="77777777" w:rsidR="005A2D50" w:rsidRPr="005A2D50" w:rsidRDefault="005A2D50" w:rsidP="005A2D50">
      <w:pPr>
        <w:pStyle w:val="BodyText"/>
        <w:rPr>
          <w:lang w:val="en-US"/>
        </w:rPr>
      </w:pPr>
      <w:r w:rsidRPr="005A2D50">
        <w:rPr>
          <w:lang w:val="en-US"/>
        </w:rPr>
        <w:t>3. piemērs.</w:t>
      </w:r>
    </w:p>
    <w:p w14:paraId="3BB361C4" w14:textId="77777777" w:rsidR="005A2D50" w:rsidRPr="005A2D50" w:rsidRDefault="005A2D50" w:rsidP="005A2D50">
      <w:pPr>
        <w:pStyle w:val="BodyText"/>
        <w:rPr>
          <w:lang w:val="en-US"/>
        </w:rPr>
      </w:pPr>
      <w:r w:rsidRPr="005A2D50">
        <w:rPr>
          <w:lang w:val="en-US"/>
        </w:rPr>
        <w:t>Uzņēmējs vēlas iesniegt pieteikumu atļaujai veikt ievešanu pārstrādei. Tā galvenā uzskaite muitas vajadzībām tiek kārtota trešā valstī un ir pieejama dalībvalstī A. Darbības, uz kurām lēmums attiecas, veic dalībvalstī B. Tādēļ kompetentais muitas dienests ir A dalībvalsts muitas dienests.</w:t>
      </w:r>
    </w:p>
    <w:p w14:paraId="6BBA66C1" w14:textId="77777777" w:rsidR="005A2D50" w:rsidRPr="005A2D50" w:rsidRDefault="005A2D50" w:rsidP="005A2D50">
      <w:pPr>
        <w:pStyle w:val="BodyText"/>
        <w:rPr>
          <w:lang w:val="en-US"/>
        </w:rPr>
      </w:pPr>
      <w:r w:rsidRPr="005A2D50">
        <w:rPr>
          <w:lang w:val="en-US"/>
        </w:rPr>
        <w:t xml:space="preserve">Praksē uzskaite var būt pieejama no dažādām vietām, kas atrodas dažādās dalībvalstīs. Uzņēmējam jāpieprasa </w:t>
      </w:r>
      <w:r w:rsidRPr="005A2D50">
        <w:rPr>
          <w:i/>
          <w:iCs/>
          <w:lang w:val="en-US"/>
        </w:rPr>
        <w:t xml:space="preserve">CGU </w:t>
      </w:r>
      <w:r w:rsidRPr="005A2D50">
        <w:rPr>
          <w:lang w:val="en-US"/>
        </w:rPr>
        <w:t xml:space="preserve">atļauja dalībvalstīs, kurā tiks veikta vismaz daļa no viņa muitas darbībām. Piemēram, dalībvalstis, kas piešķir atļauju attiecīgajai muitas procedūrai, var būt arī kompetenta piešķirt </w:t>
      </w:r>
      <w:r w:rsidRPr="005A2D50">
        <w:rPr>
          <w:i/>
          <w:iCs/>
          <w:lang w:val="en-US"/>
        </w:rPr>
        <w:t xml:space="preserve">CGU </w:t>
      </w:r>
      <w:r w:rsidRPr="005A2D50">
        <w:rPr>
          <w:lang w:val="en-US"/>
        </w:rPr>
        <w:t xml:space="preserve">atļauju. Ja uzņēmējam ir jāsaņem atļauja no dažādām dalībvalstīm, lai tas varētu veikt muitas darbības, visas minētās dalībvalstis principā var būt kompetentas jautājumā par pamata vispārējo galvojumu, bet tikai tad, ja uzņēmēja uzskaite ir pieejama vai tiek glabāta visās šajās dalībvalstīs. Termins “darbības, uz kurām lēmums attieksies”, kā noteikts SMK 22. panta 1. punktā, ietver visas darbības, kas uzņēmējam veicamas attiecībā uz piešķiramo atļauju, sākot no īpašās procedūras piemērošanas precēm līdz tās izpildei. Tostarp tas ietver preču uzglabāšanu, pārstrādi vai pārvietošanu. Uzņēmējam ir pienākums norādīt galveno uzskaiti SMK 22. panta 1. punkta vajadzībām, jo saistībā ar uzņēmēja iesniegto īpašo pieteikumu ir tikai viena “galvenā uzskaite muitas vajadzībām”. Kompetentais muitas dienests var pieņemt vai noraidīt tās informācijas pieejamības līmeni, kas uzņēmēja iesniegtajā pieteikumā minēta par galveno uzskaiti muitas vajadzībām, atkarībā no tā, vai tas ir pietiekams vai nav, lai veiktu darbības saistībā ar minētās atļaujas piešķiršanu un uzraudzību. Plašāka informācija par ar muitu saistītās dokumentācijas pieejamību ir pieejama </w:t>
      </w:r>
      <w:r w:rsidRPr="005A2D50">
        <w:rPr>
          <w:i/>
          <w:iCs/>
          <w:lang w:val="en-US"/>
        </w:rPr>
        <w:t xml:space="preserve">AEO </w:t>
      </w:r>
      <w:r w:rsidRPr="005A2D50">
        <w:rPr>
          <w:lang w:val="en-US"/>
        </w:rPr>
        <w:t>vadlīniju 3.I.2. sadaļā (63. lpp.).</w:t>
      </w:r>
      <w:r w:rsidRPr="005A2D50">
        <w:rPr>
          <w:rStyle w:val="FootnoteReference"/>
          <w:lang w:val="en-US"/>
        </w:rPr>
        <w:footnoteReference w:id="10"/>
      </w:r>
    </w:p>
    <w:p w14:paraId="6904F00C" w14:textId="77777777" w:rsidR="005A2D50" w:rsidRPr="005A2D50" w:rsidRDefault="005A2D50" w:rsidP="005A2D50">
      <w:pPr>
        <w:pStyle w:val="BodyText"/>
        <w:rPr>
          <w:lang w:val="en-US"/>
        </w:rPr>
      </w:pPr>
      <w:r w:rsidRPr="005A2D50">
        <w:rPr>
          <w:lang w:val="en-US"/>
        </w:rPr>
        <w:t xml:space="preserve">Lai gūtu pilnīgu priekšstatu par pieteikuma iesniedzēja ekonomisko stāvokli un muitas darbībām, tostarp viņa finansiālo stāvokli un maksātspēju, jābūt tikai vienam muitas dienestam, kas ir kompetents piešķirt </w:t>
      </w:r>
      <w:r w:rsidRPr="005A2D50">
        <w:rPr>
          <w:i/>
          <w:iCs/>
          <w:lang w:val="en-US"/>
        </w:rPr>
        <w:t xml:space="preserve">CGU </w:t>
      </w:r>
      <w:r w:rsidRPr="005A2D50">
        <w:rPr>
          <w:b/>
          <w:bCs/>
          <w:lang w:val="en-US"/>
        </w:rPr>
        <w:t>atļauju, lai segtu iespējamos muitas parādus un citus maksājumus</w:t>
      </w:r>
      <w:r w:rsidRPr="005A2D50">
        <w:rPr>
          <w:lang w:val="en-US"/>
        </w:rPr>
        <w:t xml:space="preserve">, ja piemērojami. Lai atvieglotu pieteikuma novērtēšanu attiecībā uz SMK DA 84. panta nosacījumiem, ir ieteicams, lai </w:t>
      </w:r>
      <w:r w:rsidRPr="005A2D50">
        <w:rPr>
          <w:i/>
          <w:iCs/>
          <w:lang w:val="en-US"/>
        </w:rPr>
        <w:t xml:space="preserve">CGU </w:t>
      </w:r>
      <w:r w:rsidRPr="005A2D50">
        <w:rPr>
          <w:lang w:val="en-US"/>
        </w:rPr>
        <w:t xml:space="preserve">atļauju piešķirtu tas kompetentais muitas dienests, kurš ir atbildīgs arī par </w:t>
      </w:r>
      <w:r w:rsidRPr="005A2D50">
        <w:rPr>
          <w:i/>
          <w:iCs/>
          <w:lang w:val="en-US"/>
        </w:rPr>
        <w:t xml:space="preserve">AEOC </w:t>
      </w:r>
      <w:r w:rsidRPr="005A2D50">
        <w:rPr>
          <w:lang w:val="en-US"/>
        </w:rPr>
        <w:t>atļaujas piešķiršanu.</w:t>
      </w:r>
    </w:p>
    <w:p w14:paraId="7D79F8F6" w14:textId="77777777" w:rsidR="005A2D50" w:rsidRPr="005A2D50" w:rsidRDefault="005A2D50" w:rsidP="005A2D50">
      <w:pPr>
        <w:pStyle w:val="BodyText"/>
        <w:rPr>
          <w:lang w:val="en-US"/>
        </w:rPr>
      </w:pPr>
      <w:r w:rsidRPr="005A2D50">
        <w:rPr>
          <w:lang w:val="en-US"/>
        </w:rPr>
        <w:t xml:space="preserve">Tas attiecas arī uz </w:t>
      </w:r>
      <w:r w:rsidRPr="005A2D50">
        <w:rPr>
          <w:i/>
          <w:iCs/>
          <w:lang w:val="en-US"/>
        </w:rPr>
        <w:t xml:space="preserve">CGU </w:t>
      </w:r>
      <w:r w:rsidRPr="005A2D50">
        <w:rPr>
          <w:b/>
          <w:bCs/>
          <w:lang w:val="en-US"/>
        </w:rPr>
        <w:t xml:space="preserve">atļaujām, kas sedz radušos muitas parādus </w:t>
      </w:r>
      <w:r w:rsidRPr="005A2D50">
        <w:rPr>
          <w:lang w:val="en-US"/>
        </w:rPr>
        <w:t xml:space="preserve">un citus maksājumus, ja piemērojami, kas piešķirtas </w:t>
      </w:r>
      <w:r w:rsidRPr="005A2D50">
        <w:rPr>
          <w:i/>
          <w:iCs/>
          <w:lang w:val="en-US"/>
        </w:rPr>
        <w:t>AEOC</w:t>
      </w:r>
      <w:r w:rsidRPr="005A2D50">
        <w:rPr>
          <w:lang w:val="en-US"/>
        </w:rPr>
        <w:t xml:space="preserve">. Šādā gadījumā muitas dienestam jāpārbauda </w:t>
      </w:r>
      <w:r w:rsidRPr="005A2D50">
        <w:rPr>
          <w:i/>
          <w:iCs/>
          <w:lang w:val="en-US"/>
        </w:rPr>
        <w:t xml:space="preserve">AEOC </w:t>
      </w:r>
      <w:r w:rsidRPr="005A2D50">
        <w:rPr>
          <w:lang w:val="en-US"/>
        </w:rPr>
        <w:t xml:space="preserve">statusa piešķiršanas datums, tostarp </w:t>
      </w:r>
      <w:r w:rsidRPr="005A2D50">
        <w:rPr>
          <w:i/>
          <w:iCs/>
          <w:lang w:val="en-US"/>
        </w:rPr>
        <w:t xml:space="preserve">AEOC </w:t>
      </w:r>
      <w:r w:rsidRPr="005A2D50">
        <w:rPr>
          <w:lang w:val="en-US"/>
        </w:rPr>
        <w:t xml:space="preserve">statusa uzraudzības rezultāti. Dažos gadījumos, kad var rasties šaubas par finanšu maksātspējas kritērija izpildi, pirms </w:t>
      </w:r>
      <w:r w:rsidRPr="005A2D50">
        <w:rPr>
          <w:i/>
          <w:iCs/>
          <w:lang w:val="en-US"/>
        </w:rPr>
        <w:t xml:space="preserve">CGU </w:t>
      </w:r>
      <w:r w:rsidRPr="005A2D50">
        <w:rPr>
          <w:lang w:val="en-US"/>
        </w:rPr>
        <w:t xml:space="preserve">atļaujas piešķiršanas muita var nolemt atkārtoti novērtēt </w:t>
      </w:r>
      <w:r w:rsidRPr="005A2D50">
        <w:rPr>
          <w:i/>
          <w:iCs/>
          <w:lang w:val="en-US"/>
        </w:rPr>
        <w:t xml:space="preserve">AEOC </w:t>
      </w:r>
      <w:r w:rsidRPr="005A2D50">
        <w:rPr>
          <w:lang w:val="en-US"/>
        </w:rPr>
        <w:t>statusu.</w:t>
      </w:r>
    </w:p>
    <w:p w14:paraId="4B50F831" w14:textId="77777777" w:rsidR="005A2D50" w:rsidRPr="005A2D50" w:rsidRDefault="005A2D50" w:rsidP="005A2D50">
      <w:pPr>
        <w:pStyle w:val="BodyText"/>
        <w:rPr>
          <w:lang w:val="en-US"/>
        </w:rPr>
      </w:pPr>
      <w:r w:rsidRPr="005A2D50">
        <w:rPr>
          <w:lang w:val="en-US"/>
        </w:rPr>
        <w:t xml:space="preserve">Ja pieteikuma iesniedzējs nav saņēmis atļauju muitas vienkāršojumiem, dalībvalstis ir vienojušās, ka ikvienai dalībvalstij, kurā uzņēmējs veic darbības saistībā ar laišanu brīvā apgrozībā, ir jābūt kompetentai piešķirt </w:t>
      </w:r>
      <w:r w:rsidRPr="005A2D50">
        <w:rPr>
          <w:i/>
          <w:iCs/>
          <w:lang w:val="en-US"/>
        </w:rPr>
        <w:t xml:space="preserve">CGU </w:t>
      </w:r>
      <w:r w:rsidRPr="005A2D50">
        <w:rPr>
          <w:lang w:val="en-US"/>
        </w:rPr>
        <w:t>atļauju attiecībā uz atliktajiem maksājumiem / radušos parādu. Ja nepieciešams, kompetentā dalībvalsts var nolemt atļaujas piešķiršanas procesā apspriesties ar citu dalībvalsti attiecībā uz to, kā pieteikuma iesniedzējs izpilda īpašos nosacījumus. Tomēr saskaņā ar SMK ĪA 14. pantu apspriešanās par to, vai pieteikuma iesniedzējs izpilda īpašos nosacījumus, nav obligāta.</w:t>
      </w:r>
    </w:p>
    <w:p w14:paraId="7C4E4F55" w14:textId="77777777" w:rsidR="005A2D50" w:rsidRPr="005A2D50" w:rsidRDefault="005A2D50" w:rsidP="005A2D50">
      <w:pPr>
        <w:pStyle w:val="BodyText"/>
        <w:rPr>
          <w:lang w:val="en-US"/>
        </w:rPr>
      </w:pPr>
      <w:r w:rsidRPr="005A2D50">
        <w:rPr>
          <w:lang w:val="en-US"/>
        </w:rPr>
        <w:t xml:space="preserve">Pašlaik pieteikumus un lēmumus par </w:t>
      </w:r>
      <w:r w:rsidRPr="005A2D50">
        <w:rPr>
          <w:i/>
          <w:iCs/>
          <w:lang w:val="en-US"/>
        </w:rPr>
        <w:t xml:space="preserve">CGU </w:t>
      </w:r>
      <w:r w:rsidRPr="005A2D50">
        <w:rPr>
          <w:lang w:val="en-US"/>
        </w:rPr>
        <w:t xml:space="preserve">atļaujām pārvalda, izmantojot </w:t>
      </w:r>
      <w:r w:rsidRPr="005A2D50">
        <w:rPr>
          <w:i/>
          <w:iCs/>
          <w:lang w:val="en-US"/>
        </w:rPr>
        <w:t>CDS</w:t>
      </w:r>
      <w:r w:rsidRPr="005A2D50">
        <w:rPr>
          <w:lang w:val="en-US"/>
        </w:rPr>
        <w:t>, kas ir īpašs lēmumu pārvaldības IT rīks.</w:t>
      </w:r>
    </w:p>
    <w:p w14:paraId="6346606B" w14:textId="77777777" w:rsidR="005A2D50" w:rsidRPr="005A2D50" w:rsidRDefault="005A2D50" w:rsidP="005A2D50">
      <w:pPr>
        <w:jc w:val="both"/>
        <w:rPr>
          <w:rFonts w:ascii="Times New Roman" w:eastAsia="Times New Roman" w:hAnsi="Times New Roman" w:cs="Times New Roman"/>
          <w:noProof/>
          <w:sz w:val="24"/>
          <w:szCs w:val="24"/>
          <w:lang w:val="en-US"/>
        </w:rPr>
      </w:pPr>
    </w:p>
    <w:p w14:paraId="1DEDE27B" w14:textId="77777777" w:rsidR="005A2D50" w:rsidRPr="005A2D50" w:rsidRDefault="005A2D50" w:rsidP="005A2D50">
      <w:pPr>
        <w:pStyle w:val="BodyText"/>
        <w:rPr>
          <w:b/>
          <w:bCs/>
          <w:lang w:val="en-US"/>
        </w:rPr>
      </w:pPr>
      <w:bookmarkStart w:id="124" w:name="V.2.2.1.2._Application_for_an_authorisat"/>
      <w:bookmarkEnd w:id="124"/>
      <w:r w:rsidRPr="005A2D50">
        <w:rPr>
          <w:b/>
          <w:bCs/>
          <w:lang w:val="en-US"/>
        </w:rPr>
        <w:t>V.2.2.1.2. Pieteikums atļaujai sniegt vispārējo galvojumu ar iespējamiem samazinājumiem vai atbrīvojumiem</w:t>
      </w:r>
    </w:p>
    <w:p w14:paraId="4A165AF4"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56AC2D6A" w14:textId="77777777" w:rsidR="005A2D50" w:rsidRPr="005A2D50" w:rsidRDefault="005A2D50" w:rsidP="005A2D50">
      <w:pPr>
        <w:pStyle w:val="BodyText"/>
        <w:rPr>
          <w:lang w:val="en-US"/>
        </w:rPr>
      </w:pPr>
      <w:r w:rsidRPr="005A2D50">
        <w:rPr>
          <w:lang w:val="en-US"/>
        </w:rPr>
        <w:t>Pieteikumā ir jānorāda konkrētie datu elementi, kas uzskaitīti SMK DA A pielikuma I un VI sadaļā (šā dokumenta 1. pielikums).</w:t>
      </w:r>
    </w:p>
    <w:p w14:paraId="26570F21" w14:textId="77777777" w:rsidR="005A2D50" w:rsidRPr="005A2D50" w:rsidRDefault="005A2D50" w:rsidP="005A2D50">
      <w:pPr>
        <w:pStyle w:val="BodyText"/>
        <w:rPr>
          <w:vertAlign w:val="superscript"/>
          <w:lang w:val="en-US"/>
        </w:rPr>
      </w:pPr>
      <w:r w:rsidRPr="005A2D50">
        <w:rPr>
          <w:lang w:val="en-US"/>
        </w:rPr>
        <w:t>Pieteikumu pieņem muitas dienests, ja tas atbilst vispārējiem noteikumiem par pieteikumiem un lēmumiem.</w:t>
      </w:r>
      <w:r w:rsidRPr="005A2D50">
        <w:rPr>
          <w:vertAlign w:val="superscript"/>
          <w:lang w:val="en-US"/>
        </w:rPr>
        <w:footnoteReference w:id="11"/>
      </w:r>
    </w:p>
    <w:p w14:paraId="74EC33BC" w14:textId="77777777" w:rsidR="005A2D50" w:rsidRPr="005A2D50" w:rsidRDefault="005A2D50" w:rsidP="005A2D50">
      <w:pPr>
        <w:pStyle w:val="BodyText"/>
        <w:rPr>
          <w:lang w:val="en-US"/>
        </w:rPr>
      </w:pPr>
      <w:r w:rsidRPr="005A2D50">
        <w:rPr>
          <w:lang w:val="en-US"/>
        </w:rPr>
        <w:t>Pieteikums, kas ir pieņemts, tiek tālāk apstrādāts saskaņā ar vispārējiem noteikumiem un nosacījumiem attiecībā uz lēmumiem, kas uzskaitīti SMK 22. pantā un SMK DA 8., 9. un 13. pantā.</w:t>
      </w:r>
    </w:p>
    <w:p w14:paraId="2489AFD4" w14:textId="77777777" w:rsidR="005A2D50" w:rsidRPr="005A2D50" w:rsidRDefault="005A2D50" w:rsidP="005A2D50">
      <w:pPr>
        <w:pStyle w:val="BodyText"/>
        <w:rPr>
          <w:lang w:val="en-US"/>
        </w:rPr>
      </w:pPr>
      <w:r w:rsidRPr="005A2D50">
        <w:rPr>
          <w:lang w:val="en-US"/>
        </w:rPr>
        <w:t xml:space="preserve">Ja tiek iesniegts pieteikums atļaujai, kuras derīgums ir paredzēts vairāk nekā vienā dalībvalstī, kompetentajam </w:t>
      </w:r>
      <w:r w:rsidRPr="005A2D50">
        <w:rPr>
          <w:i/>
          <w:iCs/>
          <w:lang w:val="en-US"/>
        </w:rPr>
        <w:t>CA</w:t>
      </w:r>
      <w:r w:rsidRPr="005A2D50">
        <w:rPr>
          <w:lang w:val="en-US"/>
        </w:rPr>
        <w:t xml:space="preserve">, iespējams, ir jākonsultējas ar citiem attiecīgajiem </w:t>
      </w:r>
      <w:r w:rsidRPr="005A2D50">
        <w:rPr>
          <w:i/>
          <w:iCs/>
          <w:lang w:val="en-US"/>
        </w:rPr>
        <w:t>CA</w:t>
      </w:r>
      <w:r w:rsidRPr="005A2D50">
        <w:rPr>
          <w:lang w:val="en-US"/>
        </w:rPr>
        <w:t>, lai nodrošinātu, ka nosacījumi ir izpildīti pirms lēmuma pieņemšanas (SMK 22. pants, SMK ĪA 14. pants). Tas ietver atsauces summas noteikšanu un nosacījumus, kas minēti SMK 95. pantā.</w:t>
      </w:r>
    </w:p>
    <w:p w14:paraId="512B2DA8" w14:textId="77777777" w:rsidR="005A2D50" w:rsidRPr="005A2D50" w:rsidRDefault="005A2D50" w:rsidP="005A2D50">
      <w:pPr>
        <w:pStyle w:val="BodyText"/>
        <w:rPr>
          <w:lang w:val="en-US"/>
        </w:rPr>
      </w:pPr>
    </w:p>
    <w:p w14:paraId="0083777A" w14:textId="77777777" w:rsidR="005A2D50" w:rsidRPr="005A2D50" w:rsidRDefault="005A2D50" w:rsidP="005A2D50">
      <w:pPr>
        <w:pStyle w:val="BodyText"/>
        <w:rPr>
          <w:b/>
          <w:bCs/>
          <w:lang w:val="en-US"/>
        </w:rPr>
      </w:pPr>
      <w:bookmarkStart w:id="125" w:name="V.2.2.1.3._Decisions_by_the_customs_auth"/>
      <w:bookmarkEnd w:id="125"/>
      <w:r w:rsidRPr="005A2D50">
        <w:rPr>
          <w:b/>
          <w:bCs/>
          <w:lang w:val="en-US"/>
        </w:rPr>
        <w:t>V.2.2.1.3. Muitas dienesta lēmumi</w:t>
      </w:r>
    </w:p>
    <w:p w14:paraId="4E8B36F2"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4DC7C186" w14:textId="77777777" w:rsidR="005A2D50" w:rsidRPr="005A2D50" w:rsidRDefault="005A2D50" w:rsidP="005A2D50">
      <w:pPr>
        <w:pStyle w:val="BodyText"/>
        <w:rPr>
          <w:lang w:val="en-US"/>
        </w:rPr>
      </w:pPr>
      <w:r w:rsidRPr="005A2D50">
        <w:rPr>
          <w:lang w:val="en-US"/>
        </w:rPr>
        <w:t xml:space="preserve">Lēmumi par </w:t>
      </w:r>
      <w:r w:rsidRPr="005A2D50">
        <w:rPr>
          <w:i/>
          <w:iCs/>
          <w:lang w:val="en-US"/>
        </w:rPr>
        <w:t xml:space="preserve">CGU </w:t>
      </w:r>
      <w:r w:rsidRPr="005A2D50">
        <w:rPr>
          <w:lang w:val="en-US"/>
        </w:rPr>
        <w:t>atļaujas piešķiršanu jāpieņem saskaņā ar SMK 22. un 95. pantu un SMK ĪA 14. pantu. Papildu norādījumi ir sniegti vispārīgajās vadlīnijās par lēmumiem muitas jomā.</w:t>
      </w:r>
      <w:r w:rsidRPr="005A2D50">
        <w:rPr>
          <w:rStyle w:val="FootnoteReference"/>
          <w:lang w:val="en-US"/>
        </w:rPr>
        <w:footnoteReference w:id="12"/>
      </w:r>
    </w:p>
    <w:p w14:paraId="03580E4C" w14:textId="77777777" w:rsidR="005A2D50" w:rsidRPr="005A2D50" w:rsidRDefault="005A2D50" w:rsidP="005A2D50">
      <w:pPr>
        <w:pStyle w:val="BodyText"/>
        <w:rPr>
          <w:lang w:val="en-US"/>
        </w:rPr>
      </w:pPr>
      <w:r w:rsidRPr="005A2D50">
        <w:rPr>
          <w:lang w:val="en-US"/>
        </w:rPr>
        <w:t xml:space="preserve">Šajā nolūkā kompetentajam </w:t>
      </w:r>
      <w:r w:rsidRPr="005A2D50">
        <w:rPr>
          <w:i/>
          <w:iCs/>
          <w:lang w:val="en-US"/>
        </w:rPr>
        <w:t xml:space="preserve">CA </w:t>
      </w:r>
      <w:r w:rsidRPr="005A2D50">
        <w:rPr>
          <w:lang w:val="en-US"/>
        </w:rPr>
        <w:t xml:space="preserve">ir jābūt pieejamiem datiem par citiem derīgiem galvojumiem, ko sniedzis pieteikuma iesniedzējs, un par </w:t>
      </w:r>
      <w:r w:rsidRPr="005A2D50">
        <w:rPr>
          <w:i/>
          <w:iCs/>
          <w:lang w:val="en-US"/>
        </w:rPr>
        <w:t xml:space="preserve">CGU </w:t>
      </w:r>
      <w:r w:rsidRPr="005A2D50">
        <w:rPr>
          <w:lang w:val="en-US"/>
        </w:rPr>
        <w:t>atļaujām.</w:t>
      </w:r>
    </w:p>
    <w:p w14:paraId="64291A34" w14:textId="77777777" w:rsidR="005A2D50" w:rsidRPr="005A2D50" w:rsidRDefault="005A2D50" w:rsidP="005A2D50">
      <w:pPr>
        <w:pStyle w:val="BodyText"/>
        <w:rPr>
          <w:lang w:val="en-US"/>
        </w:rPr>
      </w:pPr>
      <w:r w:rsidRPr="005A2D50">
        <w:rPr>
          <w:lang w:val="en-US"/>
        </w:rPr>
        <w:t xml:space="preserve">Saskaņā ar SMK ĪA 14. panta 4. punktu visu pārējo dalībvalstu attiecīgo </w:t>
      </w:r>
      <w:r w:rsidRPr="005A2D50">
        <w:rPr>
          <w:i/>
          <w:iCs/>
          <w:lang w:val="en-US"/>
        </w:rPr>
        <w:t xml:space="preserve">CA </w:t>
      </w:r>
      <w:r w:rsidRPr="005A2D50">
        <w:rPr>
          <w:lang w:val="en-US"/>
        </w:rPr>
        <w:t>apspriešanās var būt nepieciešama šādos gadījumos:</w:t>
      </w:r>
    </w:p>
    <w:p w14:paraId="17DF1742" w14:textId="77777777" w:rsidR="005A2D50" w:rsidRPr="005A2D50" w:rsidRDefault="005A2D50" w:rsidP="005A2D50">
      <w:pPr>
        <w:pStyle w:val="BodyText"/>
        <w:rPr>
          <w:lang w:val="en-US"/>
        </w:rPr>
      </w:pPr>
    </w:p>
    <w:p w14:paraId="648BF4B3" w14:textId="77777777" w:rsidR="005A2D50" w:rsidRPr="005A2D50" w:rsidRDefault="005A2D50" w:rsidP="005A2D50">
      <w:pPr>
        <w:pStyle w:val="BodyText"/>
        <w:numPr>
          <w:ilvl w:val="0"/>
          <w:numId w:val="38"/>
        </w:numPr>
        <w:tabs>
          <w:tab w:val="left" w:pos="851"/>
        </w:tabs>
        <w:ind w:left="284" w:firstLine="0"/>
        <w:rPr>
          <w:lang w:val="en-US"/>
        </w:rPr>
      </w:pPr>
      <w:r w:rsidRPr="005A2D50">
        <w:rPr>
          <w:lang w:val="en-US"/>
        </w:rPr>
        <w:t xml:space="preserve">lai uzraudzītu un/vai novērtētu nosacījumus, kas jāizpilda, lai piešķirtu </w:t>
      </w:r>
      <w:r w:rsidRPr="005A2D50">
        <w:rPr>
          <w:i/>
          <w:iCs/>
          <w:lang w:val="en-US"/>
        </w:rPr>
        <w:t xml:space="preserve">CGU </w:t>
      </w:r>
      <w:r w:rsidRPr="005A2D50">
        <w:rPr>
          <w:lang w:val="en-US"/>
        </w:rPr>
        <w:t>atļauju (piemēram, ja pieteikuma iesniedzējs ir reģistrēts vai veic citas muitas darbības citās dalībvalstīs);</w:t>
      </w:r>
    </w:p>
    <w:p w14:paraId="683759EE" w14:textId="77777777" w:rsidR="005A2D50" w:rsidRPr="005A2D50" w:rsidRDefault="005A2D50" w:rsidP="005A2D50">
      <w:pPr>
        <w:pStyle w:val="BodyText"/>
        <w:numPr>
          <w:ilvl w:val="0"/>
          <w:numId w:val="38"/>
        </w:numPr>
        <w:tabs>
          <w:tab w:val="left" w:pos="851"/>
        </w:tabs>
        <w:ind w:left="284" w:firstLine="0"/>
        <w:rPr>
          <w:lang w:val="en-US"/>
        </w:rPr>
      </w:pPr>
      <w:r w:rsidRPr="005A2D50">
        <w:rPr>
          <w:lang w:val="en-US"/>
        </w:rPr>
        <w:t>lai noteiktu atsauces summu pārējiem maksājumiem, ja piemērojami, pat ja galvojums ir derīgs tikai vienā dalībvalstī (piemēram, centralizētā muitošana).</w:t>
      </w:r>
    </w:p>
    <w:p w14:paraId="2E81F6AC" w14:textId="77777777" w:rsidR="005A2D50" w:rsidRPr="005A2D50" w:rsidRDefault="005A2D50" w:rsidP="005A2D50">
      <w:pPr>
        <w:pStyle w:val="BodyText"/>
        <w:rPr>
          <w:lang w:val="en-US"/>
        </w:rPr>
      </w:pPr>
    </w:p>
    <w:p w14:paraId="4AE0FDF3" w14:textId="77777777" w:rsidR="005A2D50" w:rsidRPr="005A2D50" w:rsidRDefault="005A2D50" w:rsidP="005A2D50">
      <w:pPr>
        <w:pStyle w:val="BodyText"/>
        <w:rPr>
          <w:lang w:val="en-US"/>
        </w:rPr>
      </w:pPr>
      <w:r w:rsidRPr="005A2D50">
        <w:rPr>
          <w:lang w:val="en-US"/>
        </w:rPr>
        <w:t>Ja galvojums ir derīgs vairāk nekā vienā dalībvalstī un atsauces summa ir jāsadala starp vairākām dalībvalstīm, apspriešanās ir obligāta pārejas periodā, kas ilgst no 2016. gada 1. maija līdz brīdim, kad ir ieviesta galvojumu pārvaldības sistēma. Apspriešanās par atsauces summas sadali neattiecas uz galvojumiem, kas sniegti kā daļa no Savienības tranzīta procedūras, jo tranzītam dalībvalstij, kas atļauj tranzīta operāciju, ir pieejami visi tās rīcībā esošie elementi saistībā ar tranzīta procedūru un pieprasīto galvojumu. Plašāka informācija par apspriešanās procedūru atsauces summas sadalīšanai ir sniegta šā dokumenta VI.3. sadaļā (Apspriešanās procedūra).</w:t>
      </w:r>
    </w:p>
    <w:p w14:paraId="347B2879" w14:textId="77777777" w:rsidR="005A2D50" w:rsidRPr="005A2D50" w:rsidRDefault="005A2D50" w:rsidP="005A2D50">
      <w:pPr>
        <w:pStyle w:val="BodyText"/>
        <w:rPr>
          <w:lang w:val="en-US"/>
        </w:rPr>
      </w:pPr>
      <w:r w:rsidRPr="005A2D50">
        <w:rPr>
          <w:lang w:val="en-US"/>
        </w:rPr>
        <w:t>Kompetentais dienests sadarbībā ar uzņēmēju nosaka atsauces summu saskaņā ar SMK ĪA 155. pantu.</w:t>
      </w:r>
    </w:p>
    <w:p w14:paraId="73CC7196" w14:textId="77777777" w:rsidR="005A2D50" w:rsidRPr="005A2D50" w:rsidRDefault="005A2D50" w:rsidP="005A2D50">
      <w:pPr>
        <w:pStyle w:val="BodyText"/>
        <w:rPr>
          <w:lang w:val="en-US"/>
        </w:rPr>
      </w:pPr>
      <w:r w:rsidRPr="005A2D50">
        <w:rPr>
          <w:lang w:val="en-US"/>
        </w:rPr>
        <w:t xml:space="preserve">Ja pieteikuma iesniedzējs izpilda nosacījumus atļaujas saņemšanai (izklāstīti SMK 95. pantā, ko papildina arī SMK DA un SMK ĪA noteikumi), </w:t>
      </w:r>
      <w:r w:rsidRPr="005A2D50">
        <w:rPr>
          <w:i/>
          <w:iCs/>
          <w:lang w:val="en-US"/>
        </w:rPr>
        <w:t xml:space="preserve">CGU </w:t>
      </w:r>
      <w:r w:rsidRPr="005A2D50">
        <w:rPr>
          <w:lang w:val="en-US"/>
        </w:rPr>
        <w:t xml:space="preserve">atļauja, tostarp iespējamie samazinājumi vai atbrīvojums attiecībā uz noteikto atsauces summu, tiek piešķirta (skat. V.2.6. iedaļu). Pieņemot pieteikumu </w:t>
      </w:r>
      <w:r w:rsidRPr="005A2D50">
        <w:rPr>
          <w:i/>
          <w:iCs/>
          <w:lang w:val="en-US"/>
        </w:rPr>
        <w:t xml:space="preserve">CGU </w:t>
      </w:r>
      <w:r w:rsidRPr="005A2D50">
        <w:rPr>
          <w:lang w:val="en-US"/>
        </w:rPr>
        <w:t>atļaujas saņemšanai, muitas dienests pārbauda, vai pieteikuma iesniedzējs atbilst SMK 95. panta 1. punkta nosacījumiem.</w:t>
      </w:r>
    </w:p>
    <w:p w14:paraId="052E7A36" w14:textId="77777777" w:rsidR="005A2D50" w:rsidRPr="005A2D50" w:rsidRDefault="005A2D50" w:rsidP="005A2D50">
      <w:pPr>
        <w:pStyle w:val="BodyText"/>
        <w:rPr>
          <w:lang w:val="en-US"/>
        </w:rPr>
      </w:pPr>
    </w:p>
    <w:p w14:paraId="631320B0" w14:textId="77777777" w:rsidR="005A2D50" w:rsidRPr="005A2D50" w:rsidRDefault="005A2D50" w:rsidP="005A2D50">
      <w:pPr>
        <w:pStyle w:val="BodyText"/>
        <w:tabs>
          <w:tab w:val="left" w:pos="851"/>
        </w:tabs>
        <w:ind w:left="284"/>
        <w:rPr>
          <w:lang w:val="en-US"/>
        </w:rPr>
      </w:pPr>
      <w:r w:rsidRPr="005A2D50">
        <w:rPr>
          <w:lang w:val="en-US"/>
        </w:rPr>
        <w:t>1) Vai šī persona veic uzņēmējdarbību Savienības muitas teritorijā?</w:t>
      </w:r>
    </w:p>
    <w:p w14:paraId="6FD9ED2E" w14:textId="77777777" w:rsidR="005A2D50" w:rsidRPr="005A2D50" w:rsidRDefault="005A2D50" w:rsidP="005A2D50">
      <w:pPr>
        <w:pStyle w:val="BodyText"/>
        <w:tabs>
          <w:tab w:val="left" w:pos="851"/>
        </w:tabs>
        <w:ind w:left="284"/>
        <w:rPr>
          <w:lang w:val="en-US"/>
        </w:rPr>
      </w:pPr>
      <w:r w:rsidRPr="005A2D50">
        <w:rPr>
          <w:lang w:val="en-US"/>
        </w:rPr>
        <w:t>Atbilstīgi SMK 5. panta 4. punktam “persona” ir:</w:t>
      </w:r>
    </w:p>
    <w:p w14:paraId="166CF779" w14:textId="77777777" w:rsidR="005A2D50" w:rsidRPr="005A2D50" w:rsidRDefault="005A2D50" w:rsidP="005A2D50">
      <w:pPr>
        <w:pStyle w:val="BodyText"/>
        <w:tabs>
          <w:tab w:val="left" w:pos="851"/>
        </w:tabs>
        <w:ind w:left="284"/>
        <w:rPr>
          <w:lang w:val="en-US"/>
        </w:rPr>
      </w:pPr>
    </w:p>
    <w:p w14:paraId="6D5E96E0" w14:textId="77777777" w:rsidR="005A2D50" w:rsidRPr="005A2D50" w:rsidRDefault="005A2D50" w:rsidP="005A2D50">
      <w:pPr>
        <w:pStyle w:val="BodyText"/>
        <w:numPr>
          <w:ilvl w:val="1"/>
          <w:numId w:val="36"/>
        </w:numPr>
        <w:tabs>
          <w:tab w:val="left" w:pos="851"/>
        </w:tabs>
        <w:ind w:left="284" w:firstLine="0"/>
        <w:rPr>
          <w:lang w:val="en-US"/>
        </w:rPr>
      </w:pPr>
      <w:r w:rsidRPr="005A2D50">
        <w:rPr>
          <w:lang w:val="en-US"/>
        </w:rPr>
        <w:t>fiziska persona;</w:t>
      </w:r>
    </w:p>
    <w:p w14:paraId="60CEF8DF" w14:textId="77777777" w:rsidR="005A2D50" w:rsidRPr="005A2D50" w:rsidRDefault="005A2D50" w:rsidP="005A2D50">
      <w:pPr>
        <w:pStyle w:val="BodyText"/>
        <w:numPr>
          <w:ilvl w:val="1"/>
          <w:numId w:val="36"/>
        </w:numPr>
        <w:tabs>
          <w:tab w:val="left" w:pos="851"/>
        </w:tabs>
        <w:ind w:left="284" w:firstLine="0"/>
        <w:rPr>
          <w:lang w:val="en-US"/>
        </w:rPr>
      </w:pPr>
      <w:r w:rsidRPr="005A2D50">
        <w:rPr>
          <w:lang w:val="en-US"/>
        </w:rPr>
        <w:t>juridiska persona;</w:t>
      </w:r>
    </w:p>
    <w:p w14:paraId="7F2E799F" w14:textId="77777777" w:rsidR="005A2D50" w:rsidRPr="005A2D50" w:rsidRDefault="005A2D50" w:rsidP="005A2D50">
      <w:pPr>
        <w:pStyle w:val="BodyText"/>
        <w:numPr>
          <w:ilvl w:val="1"/>
          <w:numId w:val="36"/>
        </w:numPr>
        <w:tabs>
          <w:tab w:val="left" w:pos="851"/>
        </w:tabs>
        <w:ind w:left="284" w:firstLine="0"/>
        <w:rPr>
          <w:lang w:val="en-US"/>
        </w:rPr>
      </w:pPr>
      <w:r w:rsidRPr="005A2D50">
        <w:rPr>
          <w:lang w:val="en-US"/>
        </w:rPr>
        <w:t>jebkura personu apvienība, kam nav juridiskas personas statusa, bet kas saskaņā ar Savienības vai valsts tiesību aktiem ir tiesīga veikt juridiskas darbības.</w:t>
      </w:r>
    </w:p>
    <w:p w14:paraId="34FCB735" w14:textId="77777777" w:rsidR="005A2D50" w:rsidRPr="005A2D50" w:rsidRDefault="005A2D50" w:rsidP="005A2D50">
      <w:pPr>
        <w:pStyle w:val="BodyText"/>
        <w:tabs>
          <w:tab w:val="left" w:pos="851"/>
        </w:tabs>
        <w:ind w:left="284"/>
        <w:rPr>
          <w:lang w:val="en-US"/>
        </w:rPr>
      </w:pPr>
    </w:p>
    <w:p w14:paraId="5E0D3C33" w14:textId="77777777" w:rsidR="005A2D50" w:rsidRPr="005A2D50" w:rsidRDefault="005A2D50" w:rsidP="005A2D50">
      <w:pPr>
        <w:pStyle w:val="BodyText"/>
        <w:tabs>
          <w:tab w:val="left" w:pos="851"/>
        </w:tabs>
        <w:ind w:left="284"/>
        <w:rPr>
          <w:lang w:val="en-US"/>
        </w:rPr>
      </w:pPr>
      <w:r w:rsidRPr="005A2D50">
        <w:rPr>
          <w:lang w:val="en-US"/>
        </w:rPr>
        <w:t>Katras dalībvalsts tiesību aktos noteikts, ko var uzskatīt par fizisku personu, juridisku personu vai tādu personu apvienību, kam ir tiesības veikt juridiskas darbības, bet nav juridiskas personas statusa.</w:t>
      </w:r>
    </w:p>
    <w:p w14:paraId="3CCB6976" w14:textId="77777777" w:rsidR="005A2D50" w:rsidRPr="005A2D50" w:rsidRDefault="005A2D50" w:rsidP="005A2D50">
      <w:pPr>
        <w:pStyle w:val="BodyText"/>
        <w:tabs>
          <w:tab w:val="left" w:pos="851"/>
        </w:tabs>
        <w:ind w:left="284"/>
        <w:rPr>
          <w:lang w:val="en-US"/>
        </w:rPr>
      </w:pPr>
      <w:r w:rsidRPr="005A2D50">
        <w:rPr>
          <w:lang w:val="en-US"/>
        </w:rPr>
        <w:t>Saskaņā ar SMK 5. panta 31. punktu persona veic uzņēmējdarbību Savienības muitas teritorijā, ja:</w:t>
      </w:r>
    </w:p>
    <w:p w14:paraId="6299B426" w14:textId="77777777" w:rsidR="005A2D50" w:rsidRPr="005A2D50" w:rsidRDefault="005A2D50" w:rsidP="005A2D50">
      <w:pPr>
        <w:pStyle w:val="BodyText"/>
        <w:tabs>
          <w:tab w:val="left" w:pos="851"/>
        </w:tabs>
        <w:ind w:left="284"/>
        <w:rPr>
          <w:lang w:val="en-US"/>
        </w:rPr>
      </w:pPr>
    </w:p>
    <w:p w14:paraId="3DA0FF4E" w14:textId="77777777" w:rsidR="005A2D50" w:rsidRPr="005A2D50" w:rsidRDefault="005A2D50" w:rsidP="005A2D50">
      <w:pPr>
        <w:pStyle w:val="BodyText"/>
        <w:numPr>
          <w:ilvl w:val="0"/>
          <w:numId w:val="35"/>
        </w:numPr>
        <w:tabs>
          <w:tab w:val="left" w:pos="1134"/>
        </w:tabs>
        <w:ind w:left="567" w:firstLine="0"/>
        <w:rPr>
          <w:lang w:val="en-US"/>
        </w:rPr>
      </w:pPr>
      <w:r w:rsidRPr="005A2D50">
        <w:rPr>
          <w:lang w:val="en-US"/>
        </w:rPr>
        <w:t>fiziskas personas gadījumā – personas pastāvīgā dzīvesvieta atrodas Savienības muitas teritorijā;</w:t>
      </w:r>
    </w:p>
    <w:p w14:paraId="646F2395" w14:textId="77777777" w:rsidR="005A2D50" w:rsidRPr="005A2D50" w:rsidRDefault="005A2D50" w:rsidP="005A2D50">
      <w:pPr>
        <w:pStyle w:val="BodyText"/>
        <w:numPr>
          <w:ilvl w:val="0"/>
          <w:numId w:val="35"/>
        </w:numPr>
        <w:tabs>
          <w:tab w:val="left" w:pos="1134"/>
        </w:tabs>
        <w:ind w:left="567" w:firstLine="0"/>
        <w:rPr>
          <w:lang w:val="en-US"/>
        </w:rPr>
      </w:pPr>
      <w:r w:rsidRPr="005A2D50">
        <w:rPr>
          <w:lang w:val="en-US"/>
        </w:rPr>
        <w:t>juridiskas personas vai personu apvienības gadījumā – personas juridiskā adrese, galvenā mītne vai pastāvīgā darījumdarbības vieta atrodas Savienības muitas teritorijā.</w:t>
      </w:r>
    </w:p>
    <w:p w14:paraId="16B4F993" w14:textId="77777777" w:rsidR="005A2D50" w:rsidRPr="005A2D50" w:rsidRDefault="005A2D50" w:rsidP="005A2D50">
      <w:pPr>
        <w:pStyle w:val="BodyText"/>
        <w:tabs>
          <w:tab w:val="left" w:pos="851"/>
        </w:tabs>
        <w:ind w:left="284"/>
        <w:rPr>
          <w:lang w:val="en-US"/>
        </w:rPr>
      </w:pPr>
    </w:p>
    <w:p w14:paraId="37D74C34" w14:textId="77777777" w:rsidR="005A2D50" w:rsidRPr="005A2D50" w:rsidRDefault="005A2D50" w:rsidP="005A2D50">
      <w:pPr>
        <w:pStyle w:val="BodyText"/>
        <w:tabs>
          <w:tab w:val="left" w:pos="851"/>
        </w:tabs>
        <w:ind w:left="284"/>
        <w:rPr>
          <w:lang w:val="en-US"/>
        </w:rPr>
      </w:pPr>
      <w:r w:rsidRPr="005A2D50">
        <w:rPr>
          <w:lang w:val="en-US"/>
        </w:rPr>
        <w:t>SMK 5. panta 32. punktā noteikts, ka “pastāvīga darījumdarbības vieta” ir konkrēta darījumdarbības vieta, kurā pastāvīgi atrodas nepieciešamie cilvēkresursi un tehniskie resursi un caur kuru persona pilnībā vai daļēji veic ar muitu saistītās darbības.</w:t>
      </w:r>
    </w:p>
    <w:p w14:paraId="59932B86" w14:textId="77777777" w:rsidR="005A2D50" w:rsidRPr="005A2D50" w:rsidRDefault="005A2D50" w:rsidP="005A2D50">
      <w:pPr>
        <w:pStyle w:val="BodyText"/>
        <w:tabs>
          <w:tab w:val="left" w:pos="851"/>
        </w:tabs>
        <w:ind w:left="284"/>
        <w:rPr>
          <w:lang w:val="en-US"/>
        </w:rPr>
      </w:pPr>
    </w:p>
    <w:p w14:paraId="7DF99C34" w14:textId="77777777" w:rsidR="005A2D50" w:rsidRPr="005A2D50" w:rsidRDefault="005A2D50" w:rsidP="005A2D50">
      <w:pPr>
        <w:pStyle w:val="BodyText"/>
        <w:tabs>
          <w:tab w:val="left" w:pos="851"/>
        </w:tabs>
        <w:ind w:left="284"/>
        <w:rPr>
          <w:lang w:val="en-US"/>
        </w:rPr>
      </w:pPr>
      <w:r w:rsidRPr="005A2D50">
        <w:rPr>
          <w:lang w:val="en-US"/>
        </w:rPr>
        <w:t>2) Vai šī persona atbilst kritērijiem, kas noteikti SMK 39. panta a) punktā (nav nopietnu pārkāpumu un nav ziņu par smagu noziedzīgu nodarījumu)?</w:t>
      </w:r>
    </w:p>
    <w:p w14:paraId="6BEA5FA3" w14:textId="77777777" w:rsidR="005A2D50" w:rsidRPr="005A2D50" w:rsidRDefault="005A2D50" w:rsidP="005A2D50">
      <w:pPr>
        <w:pStyle w:val="BodyText"/>
        <w:tabs>
          <w:tab w:val="left" w:pos="851"/>
        </w:tabs>
        <w:ind w:left="284"/>
        <w:rPr>
          <w:lang w:val="en-US"/>
        </w:rPr>
      </w:pPr>
      <w:r w:rsidRPr="005A2D50">
        <w:rPr>
          <w:lang w:val="en-US"/>
        </w:rPr>
        <w:t>SMK 39. panta a) punktā noteikts, ka nedrīkst būt smagu vai atkārtotu tiesību aktu muitas jomā un nodokļu noteikumu pārkāpumu, tostarp smagu noziedzīgu nodarījumu, kas saistīti ar pieteikuma iesniedzēja saimniecisko darbību. Turklāt saskaņā ar SMK ĪA 24. pantu šis kritērijs tiek atzīts par izpildītu, ja pēdējo trīs gadu laikā nav izdarīti smagi vai atkārtoti tiesību aktu muitas jomā vai nodokļu noteikumu pārkāpumi un pieteikuma iesniedzējs saistībā ar savu saimniecisko darbību nav izdarījis smagus noziedzīgus nodarījumus.</w:t>
      </w:r>
    </w:p>
    <w:p w14:paraId="1963EE06" w14:textId="77777777" w:rsidR="005A2D50" w:rsidRPr="005A2D50" w:rsidRDefault="005A2D50" w:rsidP="005A2D50">
      <w:pPr>
        <w:pStyle w:val="BodyText"/>
        <w:tabs>
          <w:tab w:val="left" w:pos="851"/>
        </w:tabs>
        <w:ind w:left="284"/>
        <w:rPr>
          <w:lang w:val="en-US"/>
        </w:rPr>
      </w:pPr>
    </w:p>
    <w:p w14:paraId="29AF0EC2" w14:textId="77777777" w:rsidR="005A2D50" w:rsidRPr="005A2D50" w:rsidRDefault="005A2D50" w:rsidP="005A2D50">
      <w:pPr>
        <w:pStyle w:val="BodyText"/>
        <w:tabs>
          <w:tab w:val="left" w:pos="851"/>
        </w:tabs>
        <w:ind w:left="284"/>
        <w:rPr>
          <w:lang w:val="en-US"/>
        </w:rPr>
      </w:pPr>
      <w:r w:rsidRPr="005A2D50">
        <w:rPr>
          <w:lang w:val="en-US"/>
        </w:rPr>
        <w:t xml:space="preserve">3) Vai šī persona regulāri izmanto attiecīgās muitas procedūras vai </w:t>
      </w:r>
      <w:r w:rsidRPr="005A2D50">
        <w:rPr>
          <w:i/>
          <w:iCs/>
          <w:lang w:val="en-US"/>
        </w:rPr>
        <w:t xml:space="preserve">TS </w:t>
      </w:r>
      <w:r w:rsidRPr="005A2D50">
        <w:rPr>
          <w:lang w:val="en-US"/>
        </w:rPr>
        <w:t>vietu turētājus, vai tā var pierādīt praktiskus kompetences vai profesionālās kvalifikācijas standartus, kas tieši saistīti ar veikto darbību?</w:t>
      </w:r>
    </w:p>
    <w:p w14:paraId="3BD5F341" w14:textId="77777777" w:rsidR="005A2D50" w:rsidRPr="005A2D50" w:rsidRDefault="005A2D50" w:rsidP="005A2D50">
      <w:pPr>
        <w:pStyle w:val="BodyText"/>
        <w:tabs>
          <w:tab w:val="left" w:pos="851"/>
        </w:tabs>
        <w:ind w:left="284"/>
        <w:rPr>
          <w:lang w:val="en-US"/>
        </w:rPr>
      </w:pPr>
      <w:r w:rsidRPr="005A2D50">
        <w:rPr>
          <w:lang w:val="en-US"/>
        </w:rPr>
        <w:t xml:space="preserve">Pieteikumus </w:t>
      </w:r>
      <w:r w:rsidRPr="005A2D50">
        <w:rPr>
          <w:i/>
          <w:iCs/>
          <w:lang w:val="en-US"/>
        </w:rPr>
        <w:t xml:space="preserve">CGU </w:t>
      </w:r>
      <w:r w:rsidRPr="005A2D50">
        <w:rPr>
          <w:lang w:val="en-US"/>
        </w:rPr>
        <w:t>atļauju saņemšanai var pieņemt vienīgi no tāda uzņēmēja, kas savā darījumdarbībā ir iesaistīts darbībās, uz kurām attiecināma muitas procedūra vai tiesību akti muitas jomā. Ir skaidri jānorāda, ka SMK 95. panta 1. punkta c) apakšpunktā ir noteikts, ka persona, kas sniedz vispārējo galvojumu, faktiski “regulāri izmanto muitas procedūru”, nevis tikai “veic kādas ar muitu saistītas darbības”.</w:t>
      </w:r>
    </w:p>
    <w:p w14:paraId="19E1E918" w14:textId="77777777" w:rsidR="005A2D50" w:rsidRPr="005A2D50" w:rsidRDefault="005A2D50" w:rsidP="005A2D50">
      <w:pPr>
        <w:pStyle w:val="BodyText"/>
        <w:rPr>
          <w:lang w:val="en-US"/>
        </w:rPr>
      </w:pPr>
    </w:p>
    <w:p w14:paraId="0AB80774" w14:textId="77777777" w:rsidR="005A2D50" w:rsidRPr="005A2D50" w:rsidRDefault="005A2D50" w:rsidP="005A2D50">
      <w:pPr>
        <w:pStyle w:val="BodyText"/>
        <w:keepNext/>
        <w:keepLines/>
        <w:rPr>
          <w:lang w:val="en-US"/>
        </w:rPr>
      </w:pPr>
      <w:r w:rsidRPr="005A2D50">
        <w:rPr>
          <w:lang w:val="en-US"/>
        </w:rPr>
        <w:t>Atļaujā jānorāda konkrētie dati, kas uzskaitīti SMK DA A pielikuma I un VI sadaļā (1. pielikums).</w:t>
      </w:r>
    </w:p>
    <w:p w14:paraId="5102966D" w14:textId="77777777" w:rsidR="005A2D50" w:rsidRPr="005A2D50" w:rsidRDefault="005A2D50" w:rsidP="005A2D50">
      <w:pPr>
        <w:pStyle w:val="BodyText"/>
        <w:rPr>
          <w:lang w:val="en-US"/>
        </w:rPr>
      </w:pPr>
      <w:r w:rsidRPr="005A2D50">
        <w:rPr>
          <w:lang w:val="en-US"/>
        </w:rPr>
        <w:t xml:space="preserve">Ja </w:t>
      </w:r>
      <w:r w:rsidRPr="005A2D50">
        <w:rPr>
          <w:i/>
          <w:iCs/>
          <w:lang w:val="en-US"/>
        </w:rPr>
        <w:t xml:space="preserve">COG </w:t>
      </w:r>
      <w:r w:rsidRPr="005A2D50">
        <w:rPr>
          <w:lang w:val="en-US"/>
        </w:rPr>
        <w:t xml:space="preserve">pieņem labvēlīgu lēmumu piešķirt </w:t>
      </w:r>
      <w:r w:rsidRPr="005A2D50">
        <w:rPr>
          <w:i/>
          <w:iCs/>
          <w:lang w:val="en-US"/>
        </w:rPr>
        <w:t xml:space="preserve">CGU </w:t>
      </w:r>
      <w:r w:rsidRPr="005A2D50">
        <w:rPr>
          <w:lang w:val="en-US"/>
        </w:rPr>
        <w:t xml:space="preserve">atļauju (vispārējā galvojuma sniegšanai, ieskaitot noteiktās atsauces summas iespējamajai samazināšanai vai atbrīvošanai), kas derīga vairāk nekā vienā dalībvalstī, kompetentajam </w:t>
      </w:r>
      <w:r w:rsidRPr="005A2D50">
        <w:rPr>
          <w:i/>
          <w:iCs/>
          <w:lang w:val="en-US"/>
        </w:rPr>
        <w:t xml:space="preserve">CA </w:t>
      </w:r>
      <w:r w:rsidRPr="005A2D50">
        <w:rPr>
          <w:lang w:val="en-US"/>
        </w:rPr>
        <w:t xml:space="preserve">ir jāinformē attiecīgais </w:t>
      </w:r>
      <w:r w:rsidRPr="005A2D50">
        <w:rPr>
          <w:i/>
          <w:iCs/>
          <w:lang w:val="en-US"/>
        </w:rPr>
        <w:t xml:space="preserve">CA </w:t>
      </w:r>
      <w:r w:rsidRPr="005A2D50">
        <w:rPr>
          <w:lang w:val="en-US"/>
        </w:rPr>
        <w:t>par šādu lēmumu saskaņā ar ĪA 14. pantu.</w:t>
      </w:r>
    </w:p>
    <w:p w14:paraId="6B51B0A8" w14:textId="77777777" w:rsidR="005A2D50" w:rsidRPr="005A2D50" w:rsidRDefault="005A2D50" w:rsidP="005A2D50">
      <w:pPr>
        <w:pStyle w:val="BodyText"/>
        <w:rPr>
          <w:lang w:val="en-US"/>
        </w:rPr>
      </w:pPr>
      <w:r w:rsidRPr="005A2D50">
        <w:rPr>
          <w:lang w:val="en-US"/>
        </w:rPr>
        <w:t xml:space="preserve">Ja atsauces summa, ko atļaujas saņemšanai noteicis </w:t>
      </w:r>
      <w:r w:rsidRPr="005A2D50">
        <w:rPr>
          <w:i/>
          <w:iCs/>
          <w:lang w:val="en-US"/>
        </w:rPr>
        <w:t>CA</w:t>
      </w:r>
      <w:r w:rsidRPr="005A2D50">
        <w:rPr>
          <w:lang w:val="en-US"/>
        </w:rPr>
        <w:t>, kurš pieņem lēmumu, atšķiras no pieteikumā norādītās summas, atšķirības iemesls ir jāpamato.</w:t>
      </w:r>
    </w:p>
    <w:p w14:paraId="37F30DCD" w14:textId="77777777" w:rsidR="005A2D50" w:rsidRPr="005A2D50" w:rsidRDefault="005A2D50" w:rsidP="005A2D50">
      <w:pPr>
        <w:pStyle w:val="BodyText"/>
        <w:rPr>
          <w:lang w:val="en-US"/>
        </w:rPr>
      </w:pPr>
      <w:r w:rsidRPr="005A2D50">
        <w:rPr>
          <w:lang w:val="en-US"/>
        </w:rPr>
        <w:t xml:space="preserve">Pēc pieteikuma saņemšanas kompetentais </w:t>
      </w:r>
      <w:r w:rsidRPr="005A2D50">
        <w:rPr>
          <w:i/>
          <w:iCs/>
          <w:lang w:val="en-US"/>
        </w:rPr>
        <w:t xml:space="preserve">CA </w:t>
      </w:r>
      <w:r w:rsidRPr="005A2D50">
        <w:rPr>
          <w:lang w:val="en-US"/>
        </w:rPr>
        <w:t xml:space="preserve">var piešķirt pieteikuma iesniedzējam vienu vai vairākas </w:t>
      </w:r>
      <w:r w:rsidRPr="005A2D50">
        <w:rPr>
          <w:i/>
          <w:iCs/>
          <w:lang w:val="en-US"/>
        </w:rPr>
        <w:t xml:space="preserve">CGU </w:t>
      </w:r>
      <w:r w:rsidRPr="005A2D50">
        <w:rPr>
          <w:lang w:val="en-US"/>
        </w:rPr>
        <w:t>atļaujas, ņemot vērā turpmāk minēto:</w:t>
      </w:r>
    </w:p>
    <w:p w14:paraId="02653330" w14:textId="77777777" w:rsidR="005A2D50" w:rsidRPr="005A2D50" w:rsidRDefault="005A2D50" w:rsidP="005A2D50">
      <w:pPr>
        <w:pStyle w:val="BodyText"/>
        <w:rPr>
          <w:lang w:val="en-US"/>
        </w:rPr>
      </w:pPr>
    </w:p>
    <w:p w14:paraId="7F697760" w14:textId="77777777" w:rsidR="005A2D50" w:rsidRPr="005A2D50" w:rsidRDefault="005A2D50" w:rsidP="005A2D50">
      <w:pPr>
        <w:pStyle w:val="BodyText"/>
        <w:numPr>
          <w:ilvl w:val="0"/>
          <w:numId w:val="34"/>
        </w:numPr>
        <w:tabs>
          <w:tab w:val="left" w:pos="851"/>
        </w:tabs>
        <w:ind w:left="284" w:firstLine="0"/>
        <w:rPr>
          <w:lang w:val="en-US"/>
        </w:rPr>
      </w:pPr>
      <w:r w:rsidRPr="005A2D50">
        <w:rPr>
          <w:lang w:val="en-US"/>
        </w:rPr>
        <w:t>to, kā atsauces summa ir pārraudzīta saskaņā ar SMK ĪA 157. pantu;</w:t>
      </w:r>
    </w:p>
    <w:p w14:paraId="0C158DE6" w14:textId="77777777" w:rsidR="005A2D50" w:rsidRPr="005A2D50" w:rsidRDefault="005A2D50" w:rsidP="005A2D50">
      <w:pPr>
        <w:pStyle w:val="BodyText"/>
        <w:numPr>
          <w:ilvl w:val="0"/>
          <w:numId w:val="34"/>
        </w:numPr>
        <w:tabs>
          <w:tab w:val="left" w:pos="851"/>
        </w:tabs>
        <w:ind w:left="284" w:firstLine="0"/>
        <w:rPr>
          <w:lang w:val="en-US"/>
        </w:rPr>
      </w:pPr>
      <w:r w:rsidRPr="005A2D50">
        <w:rPr>
          <w:lang w:val="en-US"/>
        </w:rPr>
        <w:t xml:space="preserve">pieteikumu skaitu (kopumā pieteikuma iesniedzējam jāvēršas tajā pašā </w:t>
      </w:r>
      <w:r w:rsidRPr="005A2D50">
        <w:rPr>
          <w:i/>
          <w:iCs/>
          <w:lang w:val="en-US"/>
        </w:rPr>
        <w:t>CA</w:t>
      </w:r>
      <w:r w:rsidRPr="005A2D50">
        <w:rPr>
          <w:lang w:val="en-US"/>
        </w:rPr>
        <w:t xml:space="preserve">, ja viņš jau izmanto </w:t>
      </w:r>
      <w:r w:rsidRPr="005A2D50">
        <w:rPr>
          <w:i/>
          <w:iCs/>
          <w:lang w:val="en-US"/>
        </w:rPr>
        <w:t xml:space="preserve">CGU </w:t>
      </w:r>
      <w:r w:rsidRPr="005A2D50">
        <w:rPr>
          <w:lang w:val="en-US"/>
        </w:rPr>
        <w:t xml:space="preserve">atļauju, lai palielinātu savu atsauces summu, pievienojot citas muitas procedūras, kas sedzamas ar to pašu galvojumu. Tomēr, ja viņš nav </w:t>
      </w:r>
      <w:r w:rsidRPr="005A2D50">
        <w:rPr>
          <w:i/>
          <w:iCs/>
          <w:lang w:val="en-US"/>
        </w:rPr>
        <w:t>AEOC</w:t>
      </w:r>
      <w:r w:rsidRPr="005A2D50">
        <w:rPr>
          <w:lang w:val="en-US"/>
        </w:rPr>
        <w:t>, viņš var pieteikties uz vispārējo galvojumu maksājumu atlikšanai katrā dalībvalstī, kurā viņš veic darbības, kas saistītas ar laišanu brīvā apgrozībā);</w:t>
      </w:r>
    </w:p>
    <w:p w14:paraId="31F169E0" w14:textId="77777777" w:rsidR="005A2D50" w:rsidRPr="005A2D50" w:rsidRDefault="005A2D50" w:rsidP="005A2D50">
      <w:pPr>
        <w:pStyle w:val="BodyText"/>
        <w:numPr>
          <w:ilvl w:val="0"/>
          <w:numId w:val="34"/>
        </w:numPr>
        <w:tabs>
          <w:tab w:val="left" w:pos="851"/>
        </w:tabs>
        <w:ind w:left="284" w:firstLine="0"/>
        <w:rPr>
          <w:lang w:val="en-US"/>
        </w:rPr>
      </w:pPr>
      <w:r w:rsidRPr="005A2D50">
        <w:rPr>
          <w:i/>
          <w:iCs/>
          <w:lang w:val="en-US"/>
        </w:rPr>
        <w:t xml:space="preserve">CGU </w:t>
      </w:r>
      <w:r w:rsidRPr="005A2D50">
        <w:rPr>
          <w:lang w:val="en-US"/>
        </w:rPr>
        <w:t xml:space="preserve">atļaujas derīguma ģeogrāfisko areālu (datu elements 1/4, I sadaļa, SMK DA A pielikums). SMK ĪA A pielikumā norādīta kardinalitāte “1x” attiecībā uz datu elementu “derīguma ģeogrāfisko areālu”, tātad katrai atļaujai var izmantot kādu no šādiem kodiem: visas dalībvalstis (ES līmenī), noteiktas dalībvalstis, viena dalībvalsts. Tranzītam paredzētajam galvojumam principā ir jābūt derīgam visā ES (kods “visas”). Attiecībā uz citām muitas procedūrām vai pagaidu uzglabāšanu galvojums parasti var būt derīgs vairākās dalībvalstīs vai tikai vienā dalībvalstī (kods “noteiktas” vai kods “viena”). Tāpēc nav iespējams saglabāt </w:t>
      </w:r>
      <w:r w:rsidRPr="005A2D50">
        <w:rPr>
          <w:i/>
          <w:iCs/>
          <w:lang w:val="en-US"/>
        </w:rPr>
        <w:t xml:space="preserve">CGU </w:t>
      </w:r>
      <w:r w:rsidRPr="005A2D50">
        <w:rPr>
          <w:lang w:val="en-US"/>
        </w:rPr>
        <w:t xml:space="preserve">atļauju tranzīta procedūrai, kurai jābūt derīgai visā ES, un vienlaikus citām muitas procedūrām vai </w:t>
      </w:r>
      <w:r w:rsidRPr="005A2D50">
        <w:rPr>
          <w:i/>
          <w:iCs/>
          <w:lang w:val="en-US"/>
        </w:rPr>
        <w:t>TS</w:t>
      </w:r>
      <w:r w:rsidRPr="005A2D50">
        <w:rPr>
          <w:lang w:val="en-US"/>
        </w:rPr>
        <w:t>, ja derīguma ģeogrāfiskais areāls var attiekties tikai uz vienu dalībvalsti vai vairākām dalībvalstīm;</w:t>
      </w:r>
    </w:p>
    <w:p w14:paraId="15778E7E" w14:textId="77777777" w:rsidR="005A2D50" w:rsidRPr="005A2D50" w:rsidRDefault="005A2D50" w:rsidP="005A2D50">
      <w:pPr>
        <w:pStyle w:val="BodyText"/>
        <w:numPr>
          <w:ilvl w:val="0"/>
          <w:numId w:val="34"/>
        </w:numPr>
        <w:tabs>
          <w:tab w:val="left" w:pos="851"/>
        </w:tabs>
        <w:ind w:left="284" w:firstLine="0"/>
        <w:rPr>
          <w:lang w:val="en-US"/>
        </w:rPr>
      </w:pPr>
      <w:r w:rsidRPr="005A2D50">
        <w:rPr>
          <w:lang w:val="en-US"/>
        </w:rPr>
        <w:t>muitas parāda samaksas termiņu (datu elements VI/6, VI sadaļa, SMK DA A pielikums) – parasts vai atlikts. SMK ĪA A pielikumā norādīta kardinalitāte “1x” attiecībā uz datu elementu “maksājuma termiņš”, tātad katrai atļaujai var izmantot kādu no šādiem kodiem: 1 (parasts maksājums), 2 (atlikts maksājums).</w:t>
      </w:r>
    </w:p>
    <w:p w14:paraId="26A242A1" w14:textId="77777777" w:rsidR="005A2D50" w:rsidRPr="005A2D50" w:rsidRDefault="005A2D50" w:rsidP="005A2D50">
      <w:pPr>
        <w:pStyle w:val="BodyText"/>
        <w:rPr>
          <w:lang w:val="en-US"/>
        </w:rPr>
      </w:pPr>
    </w:p>
    <w:p w14:paraId="39E2DF93" w14:textId="77777777" w:rsidR="005A2D50" w:rsidRPr="005A2D50" w:rsidRDefault="005A2D50" w:rsidP="005A2D50">
      <w:pPr>
        <w:pStyle w:val="BodyText"/>
        <w:rPr>
          <w:lang w:val="en-US"/>
        </w:rPr>
      </w:pPr>
      <w:r w:rsidRPr="005A2D50">
        <w:rPr>
          <w:lang w:val="en-US"/>
        </w:rPr>
        <w:t xml:space="preserve">Saskaņā ar SMK 23. panta 5. punktu kompetentais dienests pārrauga nosacījumus un kritērijus, kas jāizpilda </w:t>
      </w:r>
      <w:r w:rsidRPr="005A2D50">
        <w:rPr>
          <w:i/>
          <w:iCs/>
          <w:lang w:val="en-US"/>
        </w:rPr>
        <w:t xml:space="preserve">CGU </w:t>
      </w:r>
      <w:r w:rsidRPr="005A2D50">
        <w:rPr>
          <w:lang w:val="en-US"/>
        </w:rPr>
        <w:t>atļaujas(-u) turētājam. Tas arī pārrauga, vai tiek ievēroti no attiecīgā lēmuma izrietošie pienākumi (piemēram, nosacījumi, kas jāizpilda, lai piešķirtu galvojuma samazinājumu/atbrīvojumu, pārraudzītu atsauces summu utt.).</w:t>
      </w:r>
    </w:p>
    <w:p w14:paraId="4FA7D003" w14:textId="77777777" w:rsidR="005A2D50" w:rsidRPr="005A2D50" w:rsidRDefault="005A2D50" w:rsidP="005A2D50">
      <w:pPr>
        <w:pStyle w:val="BodyText"/>
        <w:rPr>
          <w:lang w:val="en-US"/>
        </w:rPr>
      </w:pPr>
      <w:r w:rsidRPr="005A2D50">
        <w:rPr>
          <w:lang w:val="en-US"/>
        </w:rPr>
        <w:t xml:space="preserve">Vienlaikus jāpārskata kopējie nosacījumi attiecībā uz </w:t>
      </w:r>
      <w:r w:rsidRPr="005A2D50">
        <w:rPr>
          <w:i/>
          <w:iCs/>
          <w:lang w:val="en-US"/>
        </w:rPr>
        <w:t xml:space="preserve">AEOC </w:t>
      </w:r>
      <w:r w:rsidRPr="005A2D50">
        <w:rPr>
          <w:lang w:val="en-US"/>
        </w:rPr>
        <w:t xml:space="preserve">statusu (SMK 39. pants) un </w:t>
      </w:r>
      <w:r w:rsidRPr="005A2D50">
        <w:rPr>
          <w:i/>
          <w:iCs/>
          <w:lang w:val="en-US"/>
        </w:rPr>
        <w:t xml:space="preserve">CGU </w:t>
      </w:r>
      <w:r w:rsidRPr="005A2D50">
        <w:rPr>
          <w:lang w:val="en-US"/>
        </w:rPr>
        <w:t>atļaujām (SMK 95. panta 2. punkts un SMK DA 84. pants).</w:t>
      </w:r>
    </w:p>
    <w:p w14:paraId="73E3D31C" w14:textId="77777777" w:rsidR="005A2D50" w:rsidRPr="005A2D50" w:rsidRDefault="005A2D50" w:rsidP="005A2D50">
      <w:pPr>
        <w:pStyle w:val="BodyText"/>
        <w:rPr>
          <w:lang w:val="en-US"/>
        </w:rPr>
      </w:pPr>
      <w:r w:rsidRPr="005A2D50">
        <w:rPr>
          <w:lang w:val="en-US"/>
        </w:rPr>
        <w:t xml:space="preserve">Dažādu īpašo nosacījumu atkārtotai novērtēšanai varētu būt dažādi termiņi. Tā kā dažus nosacījumus var nevērtēt atkārtoti katru gadu, </w:t>
      </w:r>
      <w:r w:rsidRPr="005A2D50">
        <w:rPr>
          <w:i/>
          <w:iCs/>
          <w:lang w:val="en-US"/>
        </w:rPr>
        <w:t xml:space="preserve">CGU </w:t>
      </w:r>
      <w:r w:rsidRPr="005A2D50">
        <w:rPr>
          <w:lang w:val="en-US"/>
        </w:rPr>
        <w:t>atļaujas turētāja finansiālais stāvoklis atkārtoti jānovērtē ik pēc 12 mēnešiem, jo īpaši tad, ja ir piešķirts galvojuma samazinājums vai atbrīvojums. Praksē dažas dalībvalstis visus nosacījumus atkārtoti novērtē katru gadu. Citas katru gadu atkārtoti novērtē nosacījumu par pietiekami labu finansiālo stāvokli, bet citus nosacījumus – ik pēc trim gadiem.</w:t>
      </w:r>
    </w:p>
    <w:p w14:paraId="0626D914" w14:textId="77777777" w:rsidR="005A2D50" w:rsidRPr="005A2D50" w:rsidRDefault="005A2D50" w:rsidP="005A2D50">
      <w:pPr>
        <w:pStyle w:val="BodyText"/>
        <w:rPr>
          <w:lang w:val="en-US"/>
        </w:rPr>
      </w:pPr>
      <w:r w:rsidRPr="005A2D50">
        <w:rPr>
          <w:lang w:val="en-US"/>
        </w:rPr>
        <w:t xml:space="preserve">Ja muitas dienesti saņem informāciju par to, ka uzņēmējs vairs neatbilst kādam no nosacījumiem, vai ja ir notikušas izmaiņas uzņēmēja darbībā vai organizācijā, tiem ir atkārtoti jānovērtē </w:t>
      </w:r>
      <w:r w:rsidRPr="005A2D50">
        <w:rPr>
          <w:i/>
          <w:iCs/>
          <w:lang w:val="en-US"/>
        </w:rPr>
        <w:t xml:space="preserve">CGU </w:t>
      </w:r>
      <w:r w:rsidRPr="005A2D50">
        <w:rPr>
          <w:lang w:val="en-US"/>
        </w:rPr>
        <w:t>atļauja. Atkārtoti novērtējot nosacījumu par pietiekami labu finansiālo stāvokli, muitas dienestam ir jāņem vērā atsauces summas pārraudzības rezultāti.</w:t>
      </w:r>
    </w:p>
    <w:p w14:paraId="1B628A24" w14:textId="77777777" w:rsidR="005A2D50" w:rsidRPr="005A2D50" w:rsidRDefault="005A2D50" w:rsidP="005A2D50">
      <w:pPr>
        <w:pStyle w:val="BodyText"/>
        <w:rPr>
          <w:lang w:val="en-US"/>
        </w:rPr>
      </w:pPr>
      <w:r w:rsidRPr="005A2D50">
        <w:rPr>
          <w:i/>
          <w:iCs/>
          <w:lang w:val="en-US"/>
        </w:rPr>
        <w:t xml:space="preserve">CGU </w:t>
      </w:r>
      <w:r w:rsidRPr="005A2D50">
        <w:rPr>
          <w:lang w:val="en-US"/>
        </w:rPr>
        <w:t>atļauju var atkārtoti novērtēt arī pēc uzņēmēja pieprasījuma, ievērojot viņa pienākumu pārraudzīt galvojumus un viņa atļaujas, jo viņš labāk pārzina to, kā tiek izpildīti atļaujas piešķiršanas nosacījumi un kāda ir viņa darbība un organizācija.</w:t>
      </w:r>
    </w:p>
    <w:p w14:paraId="2E5A518F" w14:textId="77777777" w:rsidR="005A2D50" w:rsidRPr="005A2D50" w:rsidRDefault="005A2D50" w:rsidP="005A2D50">
      <w:pPr>
        <w:pStyle w:val="BodyText"/>
        <w:rPr>
          <w:lang w:val="en-US"/>
        </w:rPr>
      </w:pPr>
      <w:r w:rsidRPr="005A2D50">
        <w:rPr>
          <w:i/>
          <w:iCs/>
          <w:lang w:val="en-US"/>
        </w:rPr>
        <w:t xml:space="preserve">CGU </w:t>
      </w:r>
      <w:r w:rsidRPr="005A2D50">
        <w:rPr>
          <w:lang w:val="en-US"/>
        </w:rPr>
        <w:t>atļaujas atkārtotas novērtēšanas procesā muitas dienestiem ir jāpiemēro vispārīgie noteikumi par to lēmumu pārvaldību, kas attiecas uz atļaujām, kuras piešķirtas, pamatojoties uz SMK 22. panta 5. punktu.</w:t>
      </w:r>
    </w:p>
    <w:p w14:paraId="59F7A38E" w14:textId="77777777" w:rsidR="005A2D50" w:rsidRPr="005A2D50" w:rsidRDefault="005A2D50" w:rsidP="005A2D50">
      <w:pPr>
        <w:pStyle w:val="BodyText"/>
        <w:rPr>
          <w:lang w:val="en-US"/>
        </w:rPr>
      </w:pPr>
      <w:r w:rsidRPr="005A2D50">
        <w:rPr>
          <w:lang w:val="en-US"/>
        </w:rPr>
        <w:t xml:space="preserve">Atbilstoši pārraudzības rezultātiem, atļaujas turētāja priekšlikumiem un to dalībvalstu </w:t>
      </w:r>
      <w:r w:rsidRPr="005A2D50">
        <w:rPr>
          <w:i/>
          <w:iCs/>
          <w:lang w:val="en-US"/>
        </w:rPr>
        <w:t xml:space="preserve">CA </w:t>
      </w:r>
      <w:r w:rsidRPr="005A2D50">
        <w:rPr>
          <w:lang w:val="en-US"/>
        </w:rPr>
        <w:t xml:space="preserve">priekšlikumiem, kurās galvojums ir derīgs, kā arī ņemot vērā citus nosacījumus, kas var ietekmēt atļaujas derīgumu un/vai saturu, saskaņā ar SMK 23. panta 3. punktu </w:t>
      </w:r>
      <w:r w:rsidRPr="005A2D50">
        <w:rPr>
          <w:i/>
          <w:iCs/>
          <w:lang w:val="en-US"/>
        </w:rPr>
        <w:t xml:space="preserve">CA </w:t>
      </w:r>
      <w:r w:rsidRPr="005A2D50">
        <w:rPr>
          <w:lang w:val="en-US"/>
        </w:rPr>
        <w:t>var pieņemt šādus lēmumus:</w:t>
      </w:r>
    </w:p>
    <w:p w14:paraId="0C4A58CE" w14:textId="77777777" w:rsidR="005A2D50" w:rsidRPr="005A2D50" w:rsidRDefault="005A2D50" w:rsidP="005A2D50">
      <w:pPr>
        <w:pStyle w:val="BodyText"/>
        <w:rPr>
          <w:lang w:val="en-US"/>
        </w:rPr>
      </w:pPr>
    </w:p>
    <w:p w14:paraId="1B3D7EA0" w14:textId="77777777" w:rsidR="005A2D50" w:rsidRPr="005A2D50" w:rsidRDefault="005A2D50" w:rsidP="005A2D50">
      <w:pPr>
        <w:pStyle w:val="BodyText"/>
        <w:numPr>
          <w:ilvl w:val="0"/>
          <w:numId w:val="33"/>
        </w:numPr>
        <w:tabs>
          <w:tab w:val="left" w:pos="851"/>
        </w:tabs>
        <w:ind w:left="284" w:firstLine="0"/>
        <w:rPr>
          <w:lang w:val="en-US"/>
        </w:rPr>
      </w:pPr>
      <w:r w:rsidRPr="005A2D50">
        <w:rPr>
          <w:lang w:val="en-US"/>
        </w:rPr>
        <w:t>anulēt atļauju saskaņā ar SMK 27. pantu;</w:t>
      </w:r>
    </w:p>
    <w:p w14:paraId="212F84E9" w14:textId="77777777" w:rsidR="005A2D50" w:rsidRPr="005A2D50" w:rsidRDefault="005A2D50" w:rsidP="005A2D50">
      <w:pPr>
        <w:pStyle w:val="BodyText"/>
        <w:numPr>
          <w:ilvl w:val="0"/>
          <w:numId w:val="33"/>
        </w:numPr>
        <w:tabs>
          <w:tab w:val="left" w:pos="851"/>
        </w:tabs>
        <w:ind w:left="284" w:firstLine="0"/>
        <w:rPr>
          <w:lang w:val="en-US"/>
        </w:rPr>
      </w:pPr>
      <w:r w:rsidRPr="005A2D50">
        <w:rPr>
          <w:lang w:val="en-US"/>
        </w:rPr>
        <w:t>atcelt vai grozīt atļauju saskaņā ar SMK 28. pantu;</w:t>
      </w:r>
    </w:p>
    <w:p w14:paraId="370AAEBE" w14:textId="77777777" w:rsidR="005A2D50" w:rsidRPr="005A2D50" w:rsidRDefault="005A2D50" w:rsidP="005A2D50">
      <w:pPr>
        <w:pStyle w:val="BodyText"/>
        <w:numPr>
          <w:ilvl w:val="0"/>
          <w:numId w:val="33"/>
        </w:numPr>
        <w:tabs>
          <w:tab w:val="left" w:pos="851"/>
        </w:tabs>
        <w:ind w:left="284" w:firstLine="0"/>
        <w:rPr>
          <w:lang w:val="en-US"/>
        </w:rPr>
      </w:pPr>
      <w:r w:rsidRPr="005A2D50">
        <w:rPr>
          <w:lang w:val="en-US"/>
        </w:rPr>
        <w:t>apturēt atļauju saskaņā ar SMK 23. panta 4. punkta b) apakšpunktu, SMK DA 16.–18. pantu un SMK ĪA 15. pantu.</w:t>
      </w:r>
    </w:p>
    <w:p w14:paraId="2FDE8F88" w14:textId="77777777" w:rsidR="005A2D50" w:rsidRPr="005A2D50" w:rsidRDefault="005A2D50" w:rsidP="005A2D50">
      <w:pPr>
        <w:pStyle w:val="BodyText"/>
        <w:rPr>
          <w:lang w:val="en-US"/>
        </w:rPr>
      </w:pPr>
    </w:p>
    <w:p w14:paraId="08352C73" w14:textId="77777777" w:rsidR="005A2D50" w:rsidRPr="005A2D50" w:rsidRDefault="005A2D50" w:rsidP="005A2D50">
      <w:pPr>
        <w:pStyle w:val="BodyText"/>
        <w:rPr>
          <w:lang w:val="en-US"/>
        </w:rPr>
      </w:pPr>
      <w:r w:rsidRPr="005A2D50">
        <w:rPr>
          <w:lang w:val="en-US"/>
        </w:rPr>
        <w:t xml:space="preserve">Ja galvojums ir derīgs vairāk nekā vienā dalībvalstī, iepriekš minētos lēmumus kompetentais </w:t>
      </w:r>
      <w:r w:rsidRPr="005A2D50">
        <w:rPr>
          <w:i/>
          <w:iCs/>
          <w:lang w:val="en-US"/>
        </w:rPr>
        <w:t xml:space="preserve">CA </w:t>
      </w:r>
      <w:r w:rsidRPr="005A2D50">
        <w:rPr>
          <w:lang w:val="en-US"/>
        </w:rPr>
        <w:t xml:space="preserve">var pieņemt tikai pēc apspriešanās ar visiem pārējo dalībvalstu attiecīgajiem </w:t>
      </w:r>
      <w:r w:rsidRPr="005A2D50">
        <w:rPr>
          <w:i/>
          <w:iCs/>
          <w:lang w:val="en-US"/>
        </w:rPr>
        <w:t xml:space="preserve">CA </w:t>
      </w:r>
      <w:r w:rsidRPr="005A2D50">
        <w:rPr>
          <w:lang w:val="en-US"/>
        </w:rPr>
        <w:t>saskaņā ar SMK ĪA 14. panta 4. punktu.</w:t>
      </w:r>
    </w:p>
    <w:p w14:paraId="7AF6FBA9" w14:textId="77777777" w:rsidR="005A2D50" w:rsidRPr="005A2D50" w:rsidRDefault="005A2D50" w:rsidP="005A2D50">
      <w:pPr>
        <w:pStyle w:val="BodyText"/>
        <w:rPr>
          <w:lang w:val="en-US"/>
        </w:rPr>
      </w:pPr>
      <w:r w:rsidRPr="005A2D50">
        <w:rPr>
          <w:lang w:val="en-US"/>
        </w:rPr>
        <w:t xml:space="preserve">Atļauju vienkāršojumiem, kas ir daļa no atļaujas veikt īpašu procedūru, kura minēta SMK 210. panta b)–d) punktā, nevar piešķirt, pirms nav piešķirta atļauja veikt īpašu procedūru. Turklāt šiem gadījumiem nav nepieciešams papildu galvojums, izņemot vispārējo galvojumu, ko sniedz saistībā ar </w:t>
      </w:r>
      <w:r w:rsidRPr="005A2D50">
        <w:rPr>
          <w:i/>
          <w:iCs/>
          <w:lang w:val="en-US"/>
        </w:rPr>
        <w:t xml:space="preserve">SPE </w:t>
      </w:r>
      <w:r w:rsidRPr="005A2D50">
        <w:rPr>
          <w:lang w:val="en-US"/>
        </w:rPr>
        <w:t>atļauju. Tomēr, ja ir paredzēts mainīt (grozīt, apturēt, anulēt vai atcelt) īpašas procedūras atļauju, jo šīs atļaujas turētājs nepilda pienākumu attiecībā uz sniegto galvojumu, attiecīgi jāmaina arī atļauja vienkāršojumam un atļauja sniegt vispārējo galvojumu.</w:t>
      </w:r>
    </w:p>
    <w:p w14:paraId="702171F6" w14:textId="77777777" w:rsidR="005A2D50" w:rsidRPr="005A2D50" w:rsidRDefault="005A2D50" w:rsidP="005A2D50">
      <w:pPr>
        <w:pStyle w:val="BodyText"/>
        <w:rPr>
          <w:lang w:val="en-US"/>
        </w:rPr>
      </w:pPr>
    </w:p>
    <w:p w14:paraId="4E1DD60A" w14:textId="77777777" w:rsidR="005A2D50" w:rsidRPr="005A2D50" w:rsidRDefault="005A2D50" w:rsidP="005A2D50">
      <w:pPr>
        <w:pStyle w:val="BodyText"/>
        <w:rPr>
          <w:b/>
          <w:bCs/>
          <w:lang w:val="en-US"/>
        </w:rPr>
      </w:pPr>
      <w:bookmarkStart w:id="126" w:name="V.2.2.2._Temporary_prohibition_relating_"/>
      <w:bookmarkEnd w:id="126"/>
      <w:r w:rsidRPr="005A2D50">
        <w:rPr>
          <w:b/>
          <w:bCs/>
          <w:lang w:val="en-US"/>
        </w:rPr>
        <w:t>V.2.2.2. Pagaidu aizliegumi saistībā ar vispārējo galvojumu izmantošanu – SMK 96. pants</w:t>
      </w:r>
    </w:p>
    <w:p w14:paraId="69A91838"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17130D57" w14:textId="77777777" w:rsidR="005A2D50" w:rsidRPr="005A2D50" w:rsidRDefault="005A2D50" w:rsidP="005A2D50">
      <w:pPr>
        <w:pStyle w:val="BodyText"/>
        <w:rPr>
          <w:lang w:val="en-US"/>
        </w:rPr>
      </w:pPr>
      <w:r w:rsidRPr="005A2D50">
        <w:rPr>
          <w:lang w:val="en-US"/>
        </w:rPr>
        <w:t>Saskaņā ar SMK 96. pantu īpašos gadījumos (īpašas procedūras vai pagaidu uzglabāšana) Komisija var nolemt uz laiku aizliegt izmantot vispārējo galvojumu vai izmantot vispārējo galvojumu par samazinātu summu vai atbrīvojumu no galvojuma attiecībā uz precēm, par kurām ir konstatēts, ka tās ir bijušas liela mēroga krāpšanas objekts.</w:t>
      </w:r>
    </w:p>
    <w:p w14:paraId="50F372C9" w14:textId="77777777" w:rsidR="005A2D50" w:rsidRPr="005A2D50" w:rsidRDefault="005A2D50" w:rsidP="005A2D50">
      <w:pPr>
        <w:pStyle w:val="BodyText"/>
        <w:rPr>
          <w:lang w:val="en-US"/>
        </w:rPr>
      </w:pPr>
      <w:r w:rsidRPr="005A2D50">
        <w:rPr>
          <w:lang w:val="en-US"/>
        </w:rPr>
        <w:t xml:space="preserve">Attiecīgā persona var iesniegt pieteikumu, lai saņemtu atļauju izmantot vispārējo galvojumu, kam ir noteikts pagaidu aizliegums, tam pašam </w:t>
      </w:r>
      <w:r w:rsidRPr="005A2D50">
        <w:rPr>
          <w:i/>
          <w:iCs/>
          <w:lang w:val="en-US"/>
        </w:rPr>
        <w:t>CA</w:t>
      </w:r>
      <w:r w:rsidRPr="005A2D50">
        <w:rPr>
          <w:lang w:val="en-US"/>
        </w:rPr>
        <w:t xml:space="preserve">, kurš ir piešķīris </w:t>
      </w:r>
      <w:r w:rsidRPr="005A2D50">
        <w:rPr>
          <w:i/>
          <w:iCs/>
          <w:lang w:val="en-US"/>
        </w:rPr>
        <w:t xml:space="preserve">CGU </w:t>
      </w:r>
      <w:r w:rsidRPr="005A2D50">
        <w:rPr>
          <w:lang w:val="en-US"/>
        </w:rPr>
        <w:t>atļauju, ja šī persona izpilda SMK 96. panta 2. punkta a) un b) apakšpunktā paredzētos nosacījumus, kā arī SMK 39. panta b) un c) punktā noteiktos kritērijus. Apspriešanās procedūra, kas paredzēta SMK ĪA 14. pantā, var notikt, ja vispārējais galvojums ir derīgs vairāk nekā vienā dalībvalstī.</w:t>
      </w:r>
    </w:p>
    <w:p w14:paraId="26875AFE" w14:textId="77777777" w:rsidR="005A2D50" w:rsidRPr="005A2D50" w:rsidRDefault="005A2D50" w:rsidP="005A2D50">
      <w:pPr>
        <w:pStyle w:val="BodyText"/>
        <w:rPr>
          <w:lang w:val="en-US"/>
        </w:rPr>
      </w:pPr>
      <w:r w:rsidRPr="005A2D50">
        <w:rPr>
          <w:lang w:val="en-US"/>
        </w:rPr>
        <w:t>Šie lēmumi jāpieņem ar īstenošanas aktiem saskaņā ar spēkā esošajām īpašajām procedūrām.</w:t>
      </w:r>
    </w:p>
    <w:p w14:paraId="31BA912D" w14:textId="77777777" w:rsidR="005A2D50" w:rsidRPr="005A2D50" w:rsidRDefault="005A2D50" w:rsidP="005A2D50">
      <w:pPr>
        <w:pStyle w:val="BodyText"/>
        <w:rPr>
          <w:lang w:val="en-US"/>
        </w:rPr>
      </w:pPr>
    </w:p>
    <w:p w14:paraId="5D602916" w14:textId="77777777" w:rsidR="005A2D50" w:rsidRPr="005A2D50" w:rsidRDefault="005A2D50" w:rsidP="005A2D50">
      <w:pPr>
        <w:pStyle w:val="Heading2"/>
        <w:rPr>
          <w:noProof/>
          <w:lang w:val="en-US"/>
        </w:rPr>
      </w:pPr>
      <w:bookmarkStart w:id="127" w:name="V.2.3._Establishment_of_the_reference_am"/>
      <w:bookmarkStart w:id="128" w:name="_bookmark37"/>
      <w:bookmarkStart w:id="129" w:name="_Toc104982795"/>
      <w:bookmarkEnd w:id="127"/>
      <w:bookmarkEnd w:id="128"/>
      <w:r w:rsidRPr="005A2D50">
        <w:rPr>
          <w:noProof/>
          <w:lang w:val="en-US"/>
        </w:rPr>
        <w:t>V.2.3. Atsauces summas noteikšana</w:t>
      </w:r>
      <w:bookmarkEnd w:id="129"/>
    </w:p>
    <w:p w14:paraId="4D15249B"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3F2A3290" w14:textId="77777777" w:rsidR="005A2D50" w:rsidRPr="005A2D50" w:rsidRDefault="005A2D50" w:rsidP="005A2D50">
      <w:pPr>
        <w:tabs>
          <w:tab w:val="left" w:pos="938"/>
        </w:tabs>
        <w:jc w:val="both"/>
        <w:rPr>
          <w:rFonts w:ascii="Times New Roman" w:hAnsi="Times New Roman"/>
          <w:b/>
          <w:noProof/>
          <w:sz w:val="24"/>
          <w:lang w:val="en-US"/>
        </w:rPr>
      </w:pPr>
      <w:bookmarkStart w:id="130" w:name="V.2.3.1._Introduction"/>
      <w:bookmarkEnd w:id="130"/>
      <w:r w:rsidRPr="005A2D50">
        <w:rPr>
          <w:rFonts w:ascii="Times New Roman" w:hAnsi="Times New Roman"/>
          <w:b/>
          <w:noProof/>
          <w:sz w:val="24"/>
          <w:lang w:val="en-US"/>
        </w:rPr>
        <w:t>V.2.3.1. Ievads</w:t>
      </w:r>
    </w:p>
    <w:p w14:paraId="50E29980"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20279F84" w14:textId="77777777" w:rsidR="005A2D50" w:rsidRPr="005A2D50" w:rsidRDefault="005A2D50" w:rsidP="005A2D50">
      <w:pPr>
        <w:pStyle w:val="BodyText"/>
        <w:rPr>
          <w:lang w:val="en-US"/>
        </w:rPr>
      </w:pPr>
      <w:r w:rsidRPr="005A2D50">
        <w:rPr>
          <w:lang w:val="en-US"/>
        </w:rPr>
        <w:t>Saskaņā ar SMK ĪA 155. pantu vispārējo galvojumu var izmantot atbilstoši atsauces summai.</w:t>
      </w:r>
    </w:p>
    <w:p w14:paraId="2B1F4087" w14:textId="77777777" w:rsidR="005A2D50" w:rsidRPr="005A2D50" w:rsidRDefault="005A2D50" w:rsidP="005A2D50">
      <w:pPr>
        <w:pStyle w:val="BodyText"/>
        <w:rPr>
          <w:lang w:val="en-US"/>
        </w:rPr>
      </w:pPr>
      <w:r w:rsidRPr="005A2D50">
        <w:rPr>
          <w:lang w:val="en-US"/>
        </w:rPr>
        <w:t xml:space="preserve">Lai aizsargātu Savienības budžeta un dalībvalstu budžetu finansiālās intereses, </w:t>
      </w:r>
      <w:r w:rsidRPr="005A2D50">
        <w:rPr>
          <w:i/>
          <w:iCs/>
          <w:lang w:val="en-US"/>
        </w:rPr>
        <w:t xml:space="preserve">CA </w:t>
      </w:r>
      <w:r w:rsidRPr="005A2D50">
        <w:rPr>
          <w:lang w:val="en-US"/>
        </w:rPr>
        <w:t>nosaka atsauces summu, kas ir pietiekama, lai jebkurā brīdī segtu attiecīgo muitas parāda summu, kas ir radusies un var rasties, un citus maksājumus, ja piemērojami, par kuriem tiks sniegts vispārējais galvojums. Saskaņā ar SMK 89. panta 2. punktu, ja uzņēmējs iesniedz vispārējā galvojuma pieteikumu, kuru paredzēts izmantot vairāk nekā vienā dalībvalstī, atsauces summai jāsedz ievedmuitas/izvedmuitas nodokļi un citi maksājumi, tostarp PVN, kas jāmaksā saistībā ar importu/eksportu (SMK 90. pants un SMK ĪA 155. pants).</w:t>
      </w:r>
    </w:p>
    <w:p w14:paraId="68FB5002" w14:textId="77777777" w:rsidR="005A2D50" w:rsidRPr="005A2D50" w:rsidRDefault="005A2D50" w:rsidP="005A2D50">
      <w:pPr>
        <w:pStyle w:val="BodyText"/>
        <w:rPr>
          <w:lang w:val="en-US"/>
        </w:rPr>
      </w:pPr>
      <w:r w:rsidRPr="005A2D50">
        <w:rPr>
          <w:lang w:val="en-US"/>
        </w:rPr>
        <w:t>Lai noteiktu atsauces summu, jāpiemēro turpmāk minētie principi:</w:t>
      </w:r>
    </w:p>
    <w:p w14:paraId="0C395C2F" w14:textId="77777777" w:rsidR="005A2D50" w:rsidRPr="005A2D50" w:rsidRDefault="005A2D50" w:rsidP="005A2D50">
      <w:pPr>
        <w:pStyle w:val="BodyText"/>
        <w:rPr>
          <w:lang w:val="en-US"/>
        </w:rPr>
      </w:pPr>
    </w:p>
    <w:p w14:paraId="0F92296E" w14:textId="77777777" w:rsidR="005A2D50" w:rsidRPr="005A2D50" w:rsidRDefault="005A2D50" w:rsidP="005A2D50">
      <w:pPr>
        <w:pStyle w:val="BodyText"/>
        <w:numPr>
          <w:ilvl w:val="0"/>
          <w:numId w:val="31"/>
        </w:numPr>
        <w:tabs>
          <w:tab w:val="left" w:pos="851"/>
        </w:tabs>
        <w:ind w:left="284" w:firstLine="0"/>
        <w:rPr>
          <w:lang w:val="en-US"/>
        </w:rPr>
      </w:pPr>
      <w:r w:rsidRPr="005A2D50">
        <w:rPr>
          <w:lang w:val="en-US"/>
        </w:rPr>
        <w:t>atsauces summas daļai, kas paredzēta, lai segtu radušos muitas parādu, jāatbilst ievedmuitas vai izvedmuitas nodokļa un citu maksājumu summai, kas maksājama galvojuma pieprasīšanas laikā;</w:t>
      </w:r>
    </w:p>
    <w:p w14:paraId="754C16D5" w14:textId="77777777" w:rsidR="005A2D50" w:rsidRPr="005A2D50" w:rsidRDefault="005A2D50" w:rsidP="005A2D50">
      <w:pPr>
        <w:pStyle w:val="BodyText"/>
        <w:numPr>
          <w:ilvl w:val="0"/>
          <w:numId w:val="31"/>
        </w:numPr>
        <w:tabs>
          <w:tab w:val="left" w:pos="851"/>
        </w:tabs>
        <w:ind w:left="284" w:firstLine="0"/>
        <w:rPr>
          <w:lang w:val="en-US"/>
        </w:rPr>
      </w:pPr>
      <w:r w:rsidRPr="005A2D50">
        <w:rPr>
          <w:lang w:val="en-US"/>
        </w:rPr>
        <w:t xml:space="preserve">atsauces summas daļai, kas paredzēta, lai segtu iespējamo muitas parādu, jāatbilst ievedmuitas vai izvedmuitas nodokļa un citu maksājumu summai, ko aprēķina, pamatojoties uz augstākajām likmēm, kuras piemēro tāda paša veida precēm </w:t>
      </w:r>
      <w:r w:rsidRPr="005A2D50">
        <w:rPr>
          <w:i/>
          <w:iCs/>
          <w:lang w:val="en-US"/>
        </w:rPr>
        <w:t>COG</w:t>
      </w:r>
      <w:r w:rsidRPr="005A2D50">
        <w:rPr>
          <w:vertAlign w:val="superscript"/>
          <w:lang w:val="en-US"/>
        </w:rPr>
        <w:footnoteReference w:id="13"/>
      </w:r>
      <w:r w:rsidRPr="005A2D50">
        <w:rPr>
          <w:vertAlign w:val="superscript"/>
          <w:lang w:val="en-US"/>
        </w:rPr>
        <w:t xml:space="preserve"> </w:t>
      </w:r>
      <w:r w:rsidRPr="005A2D50">
        <w:rPr>
          <w:lang w:val="en-US"/>
        </w:rPr>
        <w:t xml:space="preserve">dalībvalstīs. Tās var būt maksājamas laikposmā starp attiecīgās muitas procedūras piemērošanu precēm un brīdi, kad minētā procedūra ir pabeigta vai kad tiek pabeigta galapatēriņa preču uzraudzība, vai laikā starp pagaidu uzglabāšanas sākuma un precīzu beigu datumu. Šī summa jānosaka katrai MD vai </w:t>
      </w:r>
      <w:r w:rsidRPr="005A2D50">
        <w:rPr>
          <w:i/>
          <w:iCs/>
          <w:lang w:val="en-US"/>
        </w:rPr>
        <w:t xml:space="preserve">TS </w:t>
      </w:r>
      <w:r w:rsidRPr="005A2D50">
        <w:rPr>
          <w:lang w:val="en-US"/>
        </w:rPr>
        <w:t>deklarācijai, attiecībā uz kuru sniedz galvojumu;</w:t>
      </w:r>
    </w:p>
    <w:p w14:paraId="0314DA3A" w14:textId="77777777" w:rsidR="005A2D50" w:rsidRPr="005A2D50" w:rsidRDefault="005A2D50" w:rsidP="005A2D50">
      <w:pPr>
        <w:pStyle w:val="BodyText"/>
        <w:numPr>
          <w:ilvl w:val="0"/>
          <w:numId w:val="31"/>
        </w:numPr>
        <w:tabs>
          <w:tab w:val="left" w:pos="851"/>
        </w:tabs>
        <w:ind w:left="284" w:firstLine="0"/>
        <w:rPr>
          <w:lang w:val="en-US"/>
        </w:rPr>
      </w:pPr>
      <w:r w:rsidRPr="005A2D50">
        <w:rPr>
          <w:lang w:val="en-US"/>
        </w:rPr>
        <w:t>atsauces summai jābūt pietiekamai, lai vienmēr segtu iespējamo un esošo muitas parādu un citus maksājumus, kas laika gaitā var atšķirties;</w:t>
      </w:r>
    </w:p>
    <w:p w14:paraId="52048576" w14:textId="77777777" w:rsidR="005A2D50" w:rsidRPr="005A2D50" w:rsidRDefault="005A2D50" w:rsidP="005A2D50">
      <w:pPr>
        <w:pStyle w:val="BodyText"/>
        <w:numPr>
          <w:ilvl w:val="0"/>
          <w:numId w:val="31"/>
        </w:numPr>
        <w:tabs>
          <w:tab w:val="left" w:pos="851"/>
        </w:tabs>
        <w:ind w:left="284" w:firstLine="0"/>
        <w:rPr>
          <w:lang w:val="en-US"/>
        </w:rPr>
      </w:pPr>
      <w:r w:rsidRPr="005A2D50">
        <w:rPr>
          <w:i/>
          <w:iCs/>
          <w:lang w:val="en-US"/>
        </w:rPr>
        <w:t xml:space="preserve">CA </w:t>
      </w:r>
      <w:r w:rsidRPr="005A2D50">
        <w:rPr>
          <w:lang w:val="en-US"/>
        </w:rPr>
        <w:t>nosaka atsauces summu sadarbībā ar personu, kurai prasīts sniegt galvojumu (SMK ĪA 155. panta 4. punkts);</w:t>
      </w:r>
    </w:p>
    <w:p w14:paraId="1280E806" w14:textId="77777777" w:rsidR="005A2D50" w:rsidRPr="005A2D50" w:rsidRDefault="005A2D50" w:rsidP="005A2D50">
      <w:pPr>
        <w:pStyle w:val="BodyText"/>
        <w:numPr>
          <w:ilvl w:val="0"/>
          <w:numId w:val="31"/>
        </w:numPr>
        <w:tabs>
          <w:tab w:val="left" w:pos="851"/>
        </w:tabs>
        <w:ind w:left="284" w:firstLine="0"/>
        <w:rPr>
          <w:lang w:val="en-US"/>
        </w:rPr>
      </w:pPr>
      <w:r w:rsidRPr="005A2D50">
        <w:rPr>
          <w:lang w:val="en-US"/>
        </w:rPr>
        <w:t xml:space="preserve">saskaņā ar SMK ĪA 155. panta 4. punktu </w:t>
      </w:r>
      <w:r w:rsidRPr="005A2D50">
        <w:rPr>
          <w:i/>
          <w:iCs/>
          <w:lang w:val="en-US"/>
        </w:rPr>
        <w:t xml:space="preserve">CA </w:t>
      </w:r>
      <w:r w:rsidRPr="005A2D50">
        <w:rPr>
          <w:lang w:val="en-US"/>
        </w:rPr>
        <w:t>“(..) nosaka minēto summu, pamatojoties uz informāciju par precēm, kurām piemērotas attiecīgās muitas procedūras vai kuras ir pagaidu uzglabāšanā iepriekšējos 12 mēnešos, un uz plānoto darbību apjoma aplēsi, tostarp saskaņā ar tās personas tirdzniecības dokumentāciju un uzskaites reģistriem, kurai prasīts sniegt galvojumu”;</w:t>
      </w:r>
    </w:p>
    <w:p w14:paraId="7651E4B9" w14:textId="77777777" w:rsidR="005A2D50" w:rsidRPr="005A2D50" w:rsidRDefault="005A2D50" w:rsidP="005A2D50">
      <w:pPr>
        <w:pStyle w:val="BodyText"/>
        <w:numPr>
          <w:ilvl w:val="0"/>
          <w:numId w:val="31"/>
        </w:numPr>
        <w:tabs>
          <w:tab w:val="left" w:pos="851"/>
        </w:tabs>
        <w:ind w:left="284" w:firstLine="0"/>
        <w:rPr>
          <w:lang w:val="en-US"/>
        </w:rPr>
      </w:pPr>
      <w:r w:rsidRPr="005A2D50">
        <w:rPr>
          <w:lang w:val="en-US"/>
        </w:rPr>
        <w:t xml:space="preserve">SMK ĪA 155. panta 3. punktā ir paredzēta atkāpšanās iespēja atsauces summas noteikšanai gadījumos, ja to nevar droši noteikt, jo </w:t>
      </w:r>
      <w:r w:rsidRPr="005A2D50">
        <w:rPr>
          <w:i/>
          <w:iCs/>
          <w:lang w:val="en-US"/>
        </w:rPr>
        <w:t xml:space="preserve">CA </w:t>
      </w:r>
      <w:r w:rsidRPr="005A2D50">
        <w:rPr>
          <w:lang w:val="en-US"/>
        </w:rPr>
        <w:t>trūkst nepieciešamās informācijas. Tādā gadījumā summu nosaka 10 000 EUR apmērā par katru deklarāciju;</w:t>
      </w:r>
    </w:p>
    <w:p w14:paraId="3EC09667" w14:textId="77777777" w:rsidR="005A2D50" w:rsidRPr="005A2D50" w:rsidRDefault="005A2D50" w:rsidP="005A2D50">
      <w:pPr>
        <w:pStyle w:val="BodyText"/>
        <w:numPr>
          <w:ilvl w:val="0"/>
          <w:numId w:val="31"/>
        </w:numPr>
        <w:tabs>
          <w:tab w:val="left" w:pos="851"/>
        </w:tabs>
        <w:ind w:left="284" w:firstLine="0"/>
        <w:rPr>
          <w:lang w:val="en-US"/>
        </w:rPr>
      </w:pPr>
      <w:r w:rsidRPr="005A2D50">
        <w:rPr>
          <w:lang w:val="en-US"/>
        </w:rPr>
        <w:t xml:space="preserve">šajā kontekstā termins “deklarācija” nozīmē MD muitas procedūras piemērošanai precēm vai deklarāciju par </w:t>
      </w:r>
      <w:r w:rsidRPr="005A2D50">
        <w:rPr>
          <w:i/>
          <w:iCs/>
          <w:lang w:val="en-US"/>
        </w:rPr>
        <w:t xml:space="preserve">TS </w:t>
      </w:r>
      <w:r w:rsidRPr="005A2D50">
        <w:rPr>
          <w:lang w:val="en-US"/>
        </w:rPr>
        <w:t xml:space="preserve">piemērošanu precēm. Viena deklarācija attiecas uz visām precēm, kurām piemēro noteiktu muitas procedūru vai </w:t>
      </w:r>
      <w:r w:rsidRPr="005A2D50">
        <w:rPr>
          <w:i/>
          <w:iCs/>
          <w:lang w:val="en-US"/>
        </w:rPr>
        <w:t>TS</w:t>
      </w:r>
      <w:r w:rsidRPr="005A2D50">
        <w:rPr>
          <w:lang w:val="en-US"/>
        </w:rPr>
        <w:t>, kam ir vienāds galvenais atsauces numurs;</w:t>
      </w:r>
    </w:p>
    <w:p w14:paraId="7D56B75E" w14:textId="77777777" w:rsidR="005A2D50" w:rsidRPr="005A2D50" w:rsidRDefault="005A2D50" w:rsidP="005A2D50">
      <w:pPr>
        <w:pStyle w:val="BodyText"/>
        <w:numPr>
          <w:ilvl w:val="0"/>
          <w:numId w:val="31"/>
        </w:numPr>
        <w:tabs>
          <w:tab w:val="left" w:pos="851"/>
        </w:tabs>
        <w:ind w:left="284" w:firstLine="0"/>
        <w:rPr>
          <w:lang w:val="en-US"/>
        </w:rPr>
      </w:pPr>
      <w:r w:rsidRPr="005A2D50">
        <w:rPr>
          <w:lang w:val="en-US"/>
        </w:rPr>
        <w:t>saskaņā ar kopīgā tranzīta procedūru, nosakot attiecīgo atsauces summas daļu, Savienības preces uzskata par precēm, kas nav Savienības preces;</w:t>
      </w:r>
    </w:p>
    <w:p w14:paraId="02C59C12" w14:textId="77777777" w:rsidR="005A2D50" w:rsidRPr="005A2D50" w:rsidRDefault="005A2D50" w:rsidP="005A2D50">
      <w:pPr>
        <w:pStyle w:val="BodyText"/>
        <w:numPr>
          <w:ilvl w:val="0"/>
          <w:numId w:val="31"/>
        </w:numPr>
        <w:tabs>
          <w:tab w:val="left" w:pos="851"/>
        </w:tabs>
        <w:ind w:left="284" w:firstLine="0"/>
        <w:rPr>
          <w:lang w:val="en-US"/>
        </w:rPr>
      </w:pPr>
      <w:r w:rsidRPr="005A2D50">
        <w:rPr>
          <w:lang w:val="en-US"/>
        </w:rPr>
        <w:t xml:space="preserve">atsauces summu izskata saskaņā ar SMK ĪA 155. panta 5. punktu, un, ja nepieciešams, tā ir jākoriģē. Tas ietver arī galvojuma summas un </w:t>
      </w:r>
      <w:r w:rsidRPr="005A2D50">
        <w:rPr>
          <w:i/>
          <w:iCs/>
          <w:lang w:val="en-US"/>
        </w:rPr>
        <w:t xml:space="preserve">CGU </w:t>
      </w:r>
      <w:r w:rsidRPr="005A2D50">
        <w:rPr>
          <w:lang w:val="en-US"/>
        </w:rPr>
        <w:t>atļaujas korekciju.</w:t>
      </w:r>
    </w:p>
    <w:p w14:paraId="72010905" w14:textId="77777777" w:rsidR="005A2D50" w:rsidRPr="005A2D50" w:rsidRDefault="005A2D50" w:rsidP="005A2D50">
      <w:pPr>
        <w:pStyle w:val="BodyText"/>
        <w:tabs>
          <w:tab w:val="left" w:pos="851"/>
        </w:tabs>
        <w:ind w:left="284"/>
        <w:rPr>
          <w:lang w:val="en-US"/>
        </w:rPr>
      </w:pPr>
    </w:p>
    <w:p w14:paraId="2CC404A6" w14:textId="77777777" w:rsidR="005A2D50" w:rsidRPr="005A2D50" w:rsidRDefault="005A2D50" w:rsidP="005A2D50">
      <w:pPr>
        <w:pStyle w:val="BodyText"/>
        <w:rPr>
          <w:b/>
          <w:bCs/>
          <w:lang w:val="en-US"/>
        </w:rPr>
      </w:pPr>
      <w:bookmarkStart w:id="131" w:name="V.2.3.2._Calculation_of_the_reference_am"/>
      <w:bookmarkEnd w:id="131"/>
      <w:r w:rsidRPr="005A2D50">
        <w:rPr>
          <w:b/>
          <w:bCs/>
          <w:lang w:val="en-US"/>
        </w:rPr>
        <w:t>V.2.3.2. Atsauces summas aprēķināšana</w:t>
      </w:r>
    </w:p>
    <w:p w14:paraId="76F31A36"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67417583" w14:textId="77777777" w:rsidR="005A2D50" w:rsidRPr="005A2D50" w:rsidRDefault="005A2D50" w:rsidP="005A2D50">
      <w:pPr>
        <w:pStyle w:val="BodyText"/>
        <w:rPr>
          <w:lang w:val="en-US"/>
        </w:rPr>
      </w:pPr>
      <w:r w:rsidRPr="005A2D50">
        <w:rPr>
          <w:lang w:val="en-US"/>
        </w:rPr>
        <w:t>Lai noteiktu atsauces summu ievedmuitas vai izvedmuitas nodoklim un citiem maksājumiem, kas var rasties, ir nepieciešami trīs galvenie dati.</w:t>
      </w:r>
    </w:p>
    <w:p w14:paraId="55461202" w14:textId="77777777" w:rsidR="005A2D50" w:rsidRPr="005A2D50" w:rsidRDefault="005A2D50" w:rsidP="005A2D50">
      <w:pPr>
        <w:pStyle w:val="BodyText"/>
        <w:rPr>
          <w:lang w:val="en-US"/>
        </w:rPr>
      </w:pPr>
    </w:p>
    <w:p w14:paraId="7C2DB462" w14:textId="77777777" w:rsidR="005A2D50" w:rsidRPr="005A2D50" w:rsidRDefault="005A2D50" w:rsidP="005A2D50">
      <w:pPr>
        <w:pStyle w:val="BodyText"/>
        <w:rPr>
          <w:b/>
          <w:bCs/>
          <w:u w:color="000000"/>
          <w:lang w:val="en-US"/>
        </w:rPr>
      </w:pPr>
      <w:r w:rsidRPr="005A2D50">
        <w:rPr>
          <w:b/>
          <w:bCs/>
          <w:u w:color="000000"/>
          <w:lang w:val="en-US"/>
        </w:rPr>
        <w:t xml:space="preserve">i) To preču vērtība, kurām piemēro attiecīgo muitas procedūru vai </w:t>
      </w:r>
      <w:r w:rsidRPr="005A2D50">
        <w:rPr>
          <w:b/>
          <w:bCs/>
          <w:i/>
          <w:iCs/>
          <w:u w:color="000000"/>
          <w:lang w:val="en-US"/>
        </w:rPr>
        <w:t>TS</w:t>
      </w:r>
    </w:p>
    <w:p w14:paraId="006E15C2" w14:textId="77777777" w:rsidR="005A2D50" w:rsidRPr="005A2D50" w:rsidRDefault="005A2D50" w:rsidP="005A2D50">
      <w:pPr>
        <w:pStyle w:val="BodyText"/>
        <w:rPr>
          <w:lang w:val="en-US"/>
        </w:rPr>
      </w:pPr>
    </w:p>
    <w:p w14:paraId="1A455439" w14:textId="77777777" w:rsidR="005A2D50" w:rsidRPr="005A2D50" w:rsidRDefault="005A2D50" w:rsidP="005A2D50">
      <w:pPr>
        <w:pStyle w:val="BodyText"/>
        <w:rPr>
          <w:lang w:val="en-US"/>
        </w:rPr>
      </w:pPr>
      <w:r w:rsidRPr="005A2D50">
        <w:rPr>
          <w:lang w:val="en-US"/>
        </w:rPr>
        <w:t>Personai, kurai prasīts sniegt galvojumu, šie dati jāuzrāda tirdzniecības dokumentācijā un uzskaites reģistros.</w:t>
      </w:r>
    </w:p>
    <w:p w14:paraId="70BCD0A4" w14:textId="77777777" w:rsidR="005A2D50" w:rsidRPr="005A2D50" w:rsidRDefault="005A2D50" w:rsidP="005A2D50">
      <w:pPr>
        <w:pStyle w:val="BodyText"/>
        <w:rPr>
          <w:lang w:val="en-US"/>
        </w:rPr>
      </w:pPr>
      <w:r w:rsidRPr="005A2D50">
        <w:rPr>
          <w:lang w:val="en-US"/>
        </w:rPr>
        <w:t xml:space="preserve">Ja vēsturiskie dati nav pieejami (piemēram, uzņēmējam pirmo reizi tiek piešķirta atļauja izmantot muitas noliktavu), uzņēmējam ir jāaprēķina to preču kopējā vērtība, kurām 12 mēnešu laikposmā tas vēlas piemērot attiecīgo muitas procedūru / </w:t>
      </w:r>
      <w:r w:rsidRPr="005A2D50">
        <w:rPr>
          <w:i/>
          <w:iCs/>
          <w:lang w:val="en-US"/>
        </w:rPr>
        <w:t>TS</w:t>
      </w:r>
      <w:r w:rsidRPr="005A2D50">
        <w:rPr>
          <w:lang w:val="en-US"/>
        </w:rPr>
        <w:t>.</w:t>
      </w:r>
    </w:p>
    <w:p w14:paraId="169D294A" w14:textId="77777777" w:rsidR="005A2D50" w:rsidRPr="005A2D50" w:rsidRDefault="005A2D50" w:rsidP="005A2D50">
      <w:pPr>
        <w:pStyle w:val="BodyText"/>
        <w:rPr>
          <w:b/>
          <w:bCs/>
          <w:u w:color="000000"/>
          <w:lang w:val="en-US"/>
        </w:rPr>
      </w:pPr>
    </w:p>
    <w:p w14:paraId="2645C7F0" w14:textId="77777777" w:rsidR="005A2D50" w:rsidRPr="005A2D50" w:rsidRDefault="005A2D50" w:rsidP="005A2D50">
      <w:pPr>
        <w:pStyle w:val="BodyText"/>
        <w:rPr>
          <w:b/>
          <w:bCs/>
          <w:u w:color="000000"/>
          <w:lang w:val="en-US"/>
        </w:rPr>
      </w:pPr>
      <w:r w:rsidRPr="005A2D50">
        <w:rPr>
          <w:b/>
          <w:bCs/>
          <w:u w:color="000000"/>
          <w:lang w:val="en-US"/>
        </w:rPr>
        <w:t>ii) Preču nodokļa likme</w:t>
      </w:r>
    </w:p>
    <w:p w14:paraId="5E1403AC" w14:textId="77777777" w:rsidR="005A2D50" w:rsidRPr="005A2D50" w:rsidRDefault="005A2D50" w:rsidP="005A2D50">
      <w:pPr>
        <w:jc w:val="both"/>
        <w:rPr>
          <w:rFonts w:ascii="Times New Roman" w:eastAsia="Times New Roman" w:hAnsi="Times New Roman" w:cs="Times New Roman"/>
          <w:noProof/>
          <w:sz w:val="24"/>
          <w:szCs w:val="24"/>
          <w:lang w:val="en-US"/>
        </w:rPr>
      </w:pPr>
    </w:p>
    <w:p w14:paraId="40DDD43F" w14:textId="77777777" w:rsidR="005A2D50" w:rsidRPr="005A2D50" w:rsidRDefault="005A2D50" w:rsidP="005A2D50">
      <w:pPr>
        <w:pStyle w:val="BodyText"/>
        <w:rPr>
          <w:lang w:val="en-US"/>
        </w:rPr>
      </w:pPr>
      <w:r w:rsidRPr="005A2D50">
        <w:rPr>
          <w:lang w:val="en-US"/>
        </w:rPr>
        <w:t xml:space="preserve">Atsauces summu aprēķina, pamatojoties uz augstākajām ievedmuitas vai izvedmuitas nodokļa likmēm, kuras piemērojamas tāda paša veida precēm, un, ja atbilstīgi, augstākajām citu maksājumu likmēm, kas piemērojamas saistībā ar tāda paša veida preču importu vai eksportu </w:t>
      </w:r>
      <w:r w:rsidRPr="005A2D50">
        <w:rPr>
          <w:i/>
          <w:iCs/>
          <w:lang w:val="en-US"/>
        </w:rPr>
        <w:t xml:space="preserve">COG </w:t>
      </w:r>
      <w:r w:rsidRPr="005A2D50">
        <w:rPr>
          <w:lang w:val="en-US"/>
        </w:rPr>
        <w:t>dalībvalstī.</w:t>
      </w:r>
    </w:p>
    <w:p w14:paraId="19244AE8" w14:textId="77777777" w:rsidR="005A2D50" w:rsidRPr="005A2D50" w:rsidRDefault="005A2D50" w:rsidP="005A2D50">
      <w:pPr>
        <w:pStyle w:val="BodyText"/>
        <w:rPr>
          <w:lang w:val="en-US"/>
        </w:rPr>
      </w:pPr>
      <w:r w:rsidRPr="005A2D50">
        <w:rPr>
          <w:lang w:val="en-US"/>
        </w:rPr>
        <w:t>Tāda paša veida preces ir preces, kurām ir līdzīgas īpašības kā precēm, par kurām ir prasīts sniegt galvojumu, tāpēc tās var pildīt tādas pašas funkcijas, lai gan tās var nebūt vienādas visos aspektos. Norādei uz tāda paša veida precēm jāpalīdz aprēķināt atsauces summu, ja informācijas trūkuma dēļ nav iespējams precīzi klasificēt preces, kurām piemēro muitas tarifu.</w:t>
      </w:r>
    </w:p>
    <w:p w14:paraId="205A6DD7" w14:textId="77777777" w:rsidR="005A2D50" w:rsidRPr="005A2D50" w:rsidRDefault="005A2D50" w:rsidP="005A2D50">
      <w:pPr>
        <w:pStyle w:val="BodyText"/>
        <w:rPr>
          <w:lang w:val="en-US"/>
        </w:rPr>
      </w:pPr>
      <w:r w:rsidRPr="005A2D50">
        <w:rPr>
          <w:lang w:val="en-US"/>
        </w:rPr>
        <w:t>Tāpēc aprēķins jāveic, pamatojoties uz ievedmuitas nodokļiem un, ja atbilstīgi, citiem maksājumiem, kas būtu piemērojami tāda paša veida precēm, ja tās laistu brīvā apgrozībā, vai pamatojoties uz ievedmuitas nodokļiem un citiem maksājumiem, ko piemēro tāda paša veida precēm, kuras agrāk laistas brīvā apgrozībā.</w:t>
      </w:r>
    </w:p>
    <w:p w14:paraId="4834967D" w14:textId="77777777" w:rsidR="005A2D50" w:rsidRPr="005A2D50" w:rsidRDefault="005A2D50" w:rsidP="005A2D50">
      <w:pPr>
        <w:pStyle w:val="BodyText"/>
        <w:rPr>
          <w:lang w:val="en-US"/>
        </w:rPr>
      </w:pPr>
      <w:r w:rsidRPr="005A2D50">
        <w:rPr>
          <w:lang w:val="en-US"/>
        </w:rPr>
        <w:t xml:space="preserve">Uzņēmējs kā daļu no </w:t>
      </w:r>
      <w:r w:rsidRPr="005A2D50">
        <w:rPr>
          <w:i/>
          <w:iCs/>
          <w:lang w:val="en-US"/>
        </w:rPr>
        <w:t xml:space="preserve">CGU </w:t>
      </w:r>
      <w:r w:rsidRPr="005A2D50">
        <w:rPr>
          <w:lang w:val="en-US"/>
        </w:rPr>
        <w:t>atļaujas pieteikuma iesniedz informāciju par lielāko nodokļa summu un citiem maksājumiem, kas piemērojami katram atsevišķam sūtījumam un attiecas uz pēdējo 12 mēnešu periodu, vai, ja šāda informācija nav pieejama, informāciju par iespējamo augstāko nodokļa summu un citiem maksājumiem, kas piemērojami jebkuram atsevišķam sūtījumam turpmākajā 12 mēnešu periodā.</w:t>
      </w:r>
    </w:p>
    <w:p w14:paraId="247E1AE5" w14:textId="77777777" w:rsidR="005A2D50" w:rsidRPr="005A2D50" w:rsidRDefault="005A2D50" w:rsidP="005A2D50">
      <w:pPr>
        <w:pStyle w:val="BodyText"/>
        <w:rPr>
          <w:lang w:val="en-US"/>
        </w:rPr>
      </w:pPr>
      <w:r w:rsidRPr="005A2D50">
        <w:rPr>
          <w:lang w:val="en-US"/>
        </w:rPr>
        <w:t>Attiecīgās preces jāklasificē, pamatojoties uz muitas tarifu. Nosakot atsauces summu, nedrīkst ņemt vērā kādus labvēlīgus tarifa pasākumus.</w:t>
      </w:r>
    </w:p>
    <w:p w14:paraId="14DA82BC" w14:textId="77777777" w:rsidR="005A2D50" w:rsidRPr="005A2D50" w:rsidRDefault="005A2D50" w:rsidP="005A2D50">
      <w:pPr>
        <w:pStyle w:val="BodyText"/>
        <w:rPr>
          <w:lang w:val="en-US"/>
        </w:rPr>
      </w:pPr>
      <w:r w:rsidRPr="005A2D50">
        <w:rPr>
          <w:lang w:val="en-US"/>
        </w:rPr>
        <w:t>Nosakot atsauces summu, jāņem vērā antidempinga nodoklis, kompensācijas nodoklis vai papildu nodoklis, kas izriet no koncesiju apturēšanas.</w:t>
      </w:r>
    </w:p>
    <w:p w14:paraId="1DD61AF9" w14:textId="77777777" w:rsidR="005A2D50" w:rsidRPr="005A2D50" w:rsidRDefault="005A2D50" w:rsidP="005A2D50">
      <w:pPr>
        <w:pStyle w:val="BodyText"/>
        <w:rPr>
          <w:lang w:val="en-US"/>
        </w:rPr>
      </w:pPr>
    </w:p>
    <w:p w14:paraId="39D59088" w14:textId="77777777" w:rsidR="005A2D50" w:rsidRPr="005A2D50" w:rsidRDefault="005A2D50" w:rsidP="005A2D50">
      <w:pPr>
        <w:pStyle w:val="BodyText"/>
        <w:rPr>
          <w:b/>
          <w:bCs/>
          <w:u w:color="000000"/>
          <w:lang w:val="en-US"/>
        </w:rPr>
      </w:pPr>
      <w:r w:rsidRPr="005A2D50">
        <w:rPr>
          <w:b/>
          <w:bCs/>
          <w:u w:color="000000"/>
          <w:lang w:val="en-US"/>
        </w:rPr>
        <w:t>iii) Noslēgšanas laikposms</w:t>
      </w:r>
    </w:p>
    <w:p w14:paraId="51169596" w14:textId="77777777" w:rsidR="005A2D50" w:rsidRPr="005A2D50" w:rsidRDefault="005A2D50" w:rsidP="005A2D50">
      <w:pPr>
        <w:pStyle w:val="BodyText"/>
        <w:rPr>
          <w:lang w:val="en-US"/>
        </w:rPr>
      </w:pPr>
    </w:p>
    <w:p w14:paraId="6A756FB6" w14:textId="77777777" w:rsidR="005A2D50" w:rsidRPr="005A2D50" w:rsidRDefault="005A2D50" w:rsidP="005A2D50">
      <w:pPr>
        <w:pStyle w:val="BodyText"/>
        <w:rPr>
          <w:lang w:val="en-US"/>
        </w:rPr>
      </w:pPr>
      <w:r w:rsidRPr="005A2D50">
        <w:rPr>
          <w:lang w:val="en-US"/>
        </w:rPr>
        <w:t xml:space="preserve">Noslēgšanas laikposms ir tāds periods, kad </w:t>
      </w:r>
      <w:r w:rsidRPr="005A2D50">
        <w:rPr>
          <w:b/>
          <w:bCs/>
          <w:lang w:val="en-US"/>
        </w:rPr>
        <w:t>precēm, kurām piemērota īpaša procedūra</w:t>
      </w:r>
      <w:r w:rsidRPr="005A2D50">
        <w:rPr>
          <w:lang w:val="en-US"/>
        </w:rPr>
        <w:t xml:space="preserve">, izņemot tranzītu, </w:t>
      </w:r>
      <w:r w:rsidRPr="005A2D50">
        <w:rPr>
          <w:b/>
          <w:bCs/>
          <w:lang w:val="en-US"/>
        </w:rPr>
        <w:t xml:space="preserve">vai pārstrādātiem produktiem </w:t>
      </w:r>
      <w:r w:rsidRPr="005A2D50">
        <w:rPr>
          <w:lang w:val="en-US"/>
        </w:rPr>
        <w:t>jāpiemēro nākamā muitas procedūra, tie jāiznīcina, jāizved no Savienības muitas teritorijas vai jānodod paredzētajam galapatēriņam. Attiecībā uz izvešanu pārstrādei tas ir laiks, kurā uz laiku izvestās preces jāieved atpakaļ pārstrādātu produktu veidā un jālaiž brīvā apgrozībā, lai daļēji vai pilnībā izmantotu atbrīvojumu no ievedmuitas nodokļa.</w:t>
      </w:r>
    </w:p>
    <w:p w14:paraId="364B7940" w14:textId="77777777" w:rsidR="005A2D50" w:rsidRPr="005A2D50" w:rsidRDefault="005A2D50" w:rsidP="005A2D50">
      <w:pPr>
        <w:pStyle w:val="BodyText"/>
        <w:rPr>
          <w:lang w:val="en-US"/>
        </w:rPr>
      </w:pPr>
      <w:r w:rsidRPr="005A2D50">
        <w:rPr>
          <w:i/>
          <w:iCs/>
          <w:lang w:val="en-US"/>
        </w:rPr>
        <w:t xml:space="preserve">CGU </w:t>
      </w:r>
      <w:r w:rsidRPr="005A2D50">
        <w:rPr>
          <w:lang w:val="en-US"/>
        </w:rPr>
        <w:t xml:space="preserve">atļaujas pieteikuma ietvaros uzņēmējam ir jāsniedz informācija par vidējo laikposmu starp procedūras piemērošanu precēm un procedūras noslēgšanu (skat. </w:t>
      </w:r>
      <w:r w:rsidRPr="005A2D50">
        <w:rPr>
          <w:i/>
          <w:iCs/>
          <w:lang w:val="en-US"/>
        </w:rPr>
        <w:t xml:space="preserve">CGU </w:t>
      </w:r>
      <w:r w:rsidRPr="005A2D50">
        <w:rPr>
          <w:lang w:val="en-US"/>
        </w:rPr>
        <w:t>atļaujas VI/2 datu elementu) attiecībā uz pēdējo 12 mēnešu periodu.</w:t>
      </w:r>
    </w:p>
    <w:p w14:paraId="087767D1" w14:textId="77777777" w:rsidR="005A2D50" w:rsidRPr="005A2D50" w:rsidRDefault="005A2D50" w:rsidP="005A2D50">
      <w:pPr>
        <w:pStyle w:val="BodyText"/>
        <w:rPr>
          <w:lang w:val="en-US"/>
        </w:rPr>
      </w:pPr>
      <w:r w:rsidRPr="005A2D50">
        <w:rPr>
          <w:lang w:val="en-US"/>
        </w:rPr>
        <w:t xml:space="preserve">Tomēr, ja </w:t>
      </w:r>
      <w:r w:rsidRPr="005A2D50">
        <w:rPr>
          <w:i/>
          <w:iCs/>
          <w:lang w:val="en-US"/>
        </w:rPr>
        <w:t xml:space="preserve">CA </w:t>
      </w:r>
      <w:r w:rsidRPr="005A2D50">
        <w:rPr>
          <w:lang w:val="en-US"/>
        </w:rPr>
        <w:t>nav pieejami vēsturiskie dati vai ja uzņēmējs nav iesniedzis dokumentus noslēgšanas laikposma aprēķināšanai, jāņem vērā šai īpašajai procedūrai paredzētais maksimālais laikposms, lai nodrošinātu, ka atsauces summa nevienā brīdī netiek pārsniegta (SMK DA 174. pants – noslēgšanas laikposmu, kas noteikts īpašās procedūras atļaujā, var pagarināt automātiski vai pēc uzņēmēja pieprasījuma pēc tam, kad ir beidzies attiecīgais laikposms).</w:t>
      </w:r>
    </w:p>
    <w:p w14:paraId="67D66F0D" w14:textId="77777777" w:rsidR="005A2D50" w:rsidRPr="005A2D50" w:rsidRDefault="005A2D50" w:rsidP="005A2D50">
      <w:pPr>
        <w:pStyle w:val="BodyText"/>
        <w:rPr>
          <w:lang w:val="en-US"/>
        </w:rPr>
      </w:pPr>
      <w:r w:rsidRPr="005A2D50">
        <w:rPr>
          <w:lang w:val="en-US"/>
        </w:rPr>
        <w:t xml:space="preserve">Trūkstot vēsturiskajiem datiem, atsauces summas aprēķināšanā jābalstās uz maksimālo laikposmu, kas noteikts attiecīgajai muitas procedūrai/darbībai (skat. turpmākos piemērus IV.2.3.4. punktā). Preču uzglabāšanai muitas noliktavā nav noteikta termiņa. Attiecībā uz </w:t>
      </w:r>
      <w:r w:rsidRPr="005A2D50">
        <w:rPr>
          <w:i/>
          <w:iCs/>
          <w:lang w:val="en-US"/>
        </w:rPr>
        <w:t xml:space="preserve">TS  </w:t>
      </w:r>
      <w:r w:rsidRPr="005A2D50">
        <w:rPr>
          <w:lang w:val="en-US"/>
        </w:rPr>
        <w:t>vietām termiņš nedrīkst pārsniegt 90 dienas. Šādā gadījumā uzglabāšanas vietas īpašniekam ir jāsniedz precīza attiecīgā laikposma aplēse, pamatojoties uz tirdzniecības dokumentāciju un uzskaites reģistriem.</w:t>
      </w:r>
    </w:p>
    <w:p w14:paraId="286F336B" w14:textId="77777777" w:rsidR="005A2D50" w:rsidRPr="005A2D50" w:rsidRDefault="005A2D50" w:rsidP="005A2D50">
      <w:pPr>
        <w:pStyle w:val="BodyText"/>
        <w:rPr>
          <w:lang w:val="en-US"/>
        </w:rPr>
      </w:pPr>
      <w:r w:rsidRPr="005A2D50">
        <w:rPr>
          <w:lang w:val="en-US"/>
        </w:rPr>
        <w:t xml:space="preserve">Ja maksājumus atliek, tad, nosakot atsauces summu, ir jāņem vērā informācija par laikposmu starp </w:t>
      </w:r>
      <w:r w:rsidRPr="005A2D50">
        <w:rPr>
          <w:b/>
          <w:bCs/>
          <w:lang w:val="en-US"/>
        </w:rPr>
        <w:t xml:space="preserve">paziņojumu par muitas parādu </w:t>
      </w:r>
      <w:r w:rsidRPr="005A2D50">
        <w:rPr>
          <w:lang w:val="en-US"/>
        </w:rPr>
        <w:t>un datumu, kurā faktiski veikts maksājums par darbībām, kas veiktas pēdējo 12 mēnešu laikā.</w:t>
      </w:r>
    </w:p>
    <w:p w14:paraId="4D1466B6" w14:textId="77777777" w:rsidR="005A2D50" w:rsidRPr="005A2D50" w:rsidRDefault="005A2D50" w:rsidP="005A2D50">
      <w:pPr>
        <w:jc w:val="both"/>
        <w:rPr>
          <w:rFonts w:ascii="Times New Roman" w:hAnsi="Times New Roman" w:cs="Times New Roman"/>
          <w:noProof/>
          <w:sz w:val="24"/>
          <w:szCs w:val="24"/>
          <w:lang w:val="en-US"/>
        </w:rPr>
      </w:pPr>
    </w:p>
    <w:p w14:paraId="22B541F7" w14:textId="77777777" w:rsidR="005A2D50" w:rsidRPr="005A2D50" w:rsidRDefault="005A2D50" w:rsidP="005A2D50">
      <w:pPr>
        <w:pStyle w:val="BodyText"/>
        <w:rPr>
          <w:b/>
          <w:bCs/>
          <w:lang w:val="en-US"/>
        </w:rPr>
      </w:pPr>
      <w:bookmarkStart w:id="132" w:name="V.2.3.3._Methods_of_assessment_or_facili"/>
      <w:bookmarkEnd w:id="132"/>
      <w:r w:rsidRPr="005A2D50">
        <w:rPr>
          <w:b/>
          <w:bCs/>
          <w:lang w:val="en-US"/>
        </w:rPr>
        <w:t>V.2.3.3. Vērtēšanas metodes vai atvieglojumi atsauces summas aprēķināšanai</w:t>
      </w:r>
    </w:p>
    <w:p w14:paraId="1EB05F26"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6F3EF40B" w14:textId="77777777" w:rsidR="005A2D50" w:rsidRPr="005A2D50" w:rsidRDefault="005A2D50" w:rsidP="005A2D50">
      <w:pPr>
        <w:pStyle w:val="BodyText"/>
        <w:rPr>
          <w:lang w:val="en-US"/>
        </w:rPr>
      </w:pPr>
      <w:r w:rsidRPr="005A2D50">
        <w:rPr>
          <w:lang w:val="en-US"/>
        </w:rPr>
        <w:t>Būtībā atsauces summa jāaprēķina pēc iespējas precīzāk, pamatojoties uz iepriekš minētajiem galvenajiem datiem.</w:t>
      </w:r>
    </w:p>
    <w:p w14:paraId="5D252F86" w14:textId="77777777" w:rsidR="005A2D50" w:rsidRPr="005A2D50" w:rsidRDefault="005A2D50" w:rsidP="005A2D50">
      <w:pPr>
        <w:pStyle w:val="BodyText"/>
        <w:rPr>
          <w:lang w:val="en-US"/>
        </w:rPr>
      </w:pPr>
      <w:r w:rsidRPr="005A2D50">
        <w:rPr>
          <w:lang w:val="en-US"/>
        </w:rPr>
        <w:t>Ja nav pieejami vēsturiskie dati par darbībām, kuras pēdējo 12 mēnešu laikā veiktas objekta telpās un attiecībā uz kurām tiek prasīts galvojums, atsauces summu var noteikt saskaņā ar datiem, kas ir pieejami par salīdzināmu laikposmu, vai uzņēmēja paredzamo darījumdarbības apjomu attiecībā uz šo objektu.</w:t>
      </w:r>
    </w:p>
    <w:p w14:paraId="769D0650" w14:textId="77777777" w:rsidR="005A2D50" w:rsidRPr="005A2D50" w:rsidRDefault="005A2D50" w:rsidP="005A2D50">
      <w:pPr>
        <w:pStyle w:val="BodyText"/>
        <w:rPr>
          <w:lang w:val="en-US"/>
        </w:rPr>
      </w:pPr>
      <w:r w:rsidRPr="005A2D50">
        <w:rPr>
          <w:lang w:val="en-US"/>
        </w:rPr>
        <w:t xml:space="preserve">Lai veiktu aprēķinu tad, kad vajadzīgie dati </w:t>
      </w:r>
      <w:r w:rsidRPr="005A2D50">
        <w:rPr>
          <w:i/>
          <w:iCs/>
          <w:lang w:val="en-US"/>
        </w:rPr>
        <w:t xml:space="preserve">CA </w:t>
      </w:r>
      <w:r w:rsidRPr="005A2D50">
        <w:rPr>
          <w:lang w:val="en-US"/>
        </w:rPr>
        <w:t xml:space="preserve">nav pieejami vai uzņēmējs tos nav sniedzis, </w:t>
      </w:r>
      <w:r w:rsidRPr="005A2D50">
        <w:rPr>
          <w:i/>
          <w:iCs/>
          <w:lang w:val="en-US"/>
        </w:rPr>
        <w:t xml:space="preserve">CA </w:t>
      </w:r>
      <w:r w:rsidRPr="005A2D50">
        <w:rPr>
          <w:lang w:val="en-US"/>
        </w:rPr>
        <w:t>varētu ņemt vērā uzņēmēja noteikto atsauces summu attiecībā uz viņa darījumdarbības apjoma aplēsi. Šādā gadījumā, lai pārbaudītu atsauces summas noteikšanas pareizību, ir ieteicams savlaicīgi revidēt atsauces summas pārraudzību (skat. V.5.2.4. iedaļu).</w:t>
      </w:r>
    </w:p>
    <w:p w14:paraId="010814B7" w14:textId="77777777" w:rsidR="005A2D50" w:rsidRPr="005A2D50" w:rsidRDefault="005A2D50" w:rsidP="005A2D50">
      <w:pPr>
        <w:pStyle w:val="BodyText"/>
        <w:rPr>
          <w:lang w:val="en-US"/>
        </w:rPr>
      </w:pPr>
      <w:r w:rsidRPr="005A2D50">
        <w:rPr>
          <w:lang w:val="en-US"/>
        </w:rPr>
        <w:t xml:space="preserve">Attiecībā uz I vai II tipa publiskajām muitas noliktavām vai </w:t>
      </w:r>
      <w:r w:rsidRPr="005A2D50">
        <w:rPr>
          <w:i/>
          <w:iCs/>
          <w:lang w:val="en-US"/>
        </w:rPr>
        <w:t xml:space="preserve">TS </w:t>
      </w:r>
      <w:r w:rsidRPr="005A2D50">
        <w:rPr>
          <w:lang w:val="en-US"/>
        </w:rPr>
        <w:t xml:space="preserve">vietām uzņēmējiem bieži vien nav informācijas, kas nepieciešama, lai aprēķinātu muitas nodokļus, kas var rasties, jo preces bieži glabā sūtījumos. Turklāt, lai gan personai, kurai ir atļauja izmantot muitas noliktavu, vai </w:t>
      </w:r>
      <w:r w:rsidRPr="005A2D50">
        <w:rPr>
          <w:i/>
          <w:iCs/>
          <w:lang w:val="en-US"/>
        </w:rPr>
        <w:t xml:space="preserve">TS </w:t>
      </w:r>
      <w:r w:rsidRPr="005A2D50">
        <w:rPr>
          <w:lang w:val="en-US"/>
        </w:rPr>
        <w:t>vietas turētājam ir prasīts sniegt galvojumu, tas nav attiecīgo preču deklarētājs. Lai aprēķinātu jaunās uzglabāšanas vietas apjomu, var izmantot visus datus, kas attiecas uz līdzīgām uzglabāšanas vietām, kuras izmanto tā pati persona vai cita persona, un uz tajās glabātajām precēm.</w:t>
      </w:r>
    </w:p>
    <w:p w14:paraId="2E0F6874" w14:textId="77777777" w:rsidR="005A2D50" w:rsidRPr="005A2D50" w:rsidRDefault="005A2D50" w:rsidP="005A2D50">
      <w:pPr>
        <w:jc w:val="both"/>
        <w:rPr>
          <w:lang w:val="en-US"/>
        </w:rPr>
      </w:pPr>
    </w:p>
    <w:p w14:paraId="2026F7EB" w14:textId="77777777" w:rsidR="005A2D50" w:rsidRPr="005A2D50" w:rsidRDefault="005A2D50" w:rsidP="005A2D50">
      <w:pPr>
        <w:pStyle w:val="BodyText"/>
        <w:rPr>
          <w:b/>
          <w:bCs/>
          <w:lang w:val="en-US"/>
        </w:rPr>
      </w:pPr>
      <w:bookmarkStart w:id="133" w:name="V.2.3.4._Examples_for_calculation_of_the"/>
      <w:bookmarkEnd w:id="133"/>
      <w:r w:rsidRPr="005A2D50">
        <w:rPr>
          <w:b/>
          <w:bCs/>
          <w:lang w:val="en-US"/>
        </w:rPr>
        <w:t>V.2.3.4. Piemēri atsauces summas aprēķināšanai</w:t>
      </w:r>
      <w:r w:rsidRPr="005A2D50">
        <w:rPr>
          <w:b/>
          <w:bCs/>
          <w:vertAlign w:val="superscript"/>
          <w:lang w:val="en-US"/>
        </w:rPr>
        <w:footnoteReference w:id="14"/>
      </w:r>
    </w:p>
    <w:p w14:paraId="1201C62E" w14:textId="77777777" w:rsidR="005A2D50" w:rsidRPr="005A2D50" w:rsidRDefault="005A2D50" w:rsidP="005A2D50">
      <w:pPr>
        <w:jc w:val="both"/>
        <w:rPr>
          <w:rFonts w:ascii="Times New Roman" w:eastAsia="Arial" w:hAnsi="Times New Roman" w:cs="Times New Roman"/>
          <w:b/>
          <w:bCs/>
          <w:noProof/>
          <w:sz w:val="24"/>
          <w:szCs w:val="24"/>
          <w:lang w:val="en-US"/>
        </w:rPr>
      </w:pPr>
    </w:p>
    <w:p w14:paraId="691C9FB3" w14:textId="77777777" w:rsidR="005A2D50" w:rsidRPr="005A2D50" w:rsidRDefault="005A2D50" w:rsidP="005A2D50">
      <w:pPr>
        <w:pStyle w:val="BodyText"/>
        <w:rPr>
          <w:lang w:val="en-US"/>
        </w:rPr>
      </w:pPr>
      <w:r w:rsidRPr="005A2D50">
        <w:rPr>
          <w:lang w:val="en-US"/>
        </w:rPr>
        <w:t>Šajā iedaļā sniegti piemēri iespējamajām aprēķinu metodēm, bet tajā nav aprakstīta ierobežojoša metode atsauces summas noteikšanai. Piedāvātie “varianti” ir tikai piemēri. Piemēru saraksts ir papildināms. Citus “variantus”, kas nav norādīti sarakstā, var piemērot, ja tie nodrošina, ka atsauces summa ir noteikta pareizi.</w:t>
      </w:r>
    </w:p>
    <w:p w14:paraId="0A277514" w14:textId="77777777" w:rsidR="005A2D50" w:rsidRPr="005A2D50" w:rsidRDefault="005A2D50" w:rsidP="005A2D50">
      <w:pPr>
        <w:pStyle w:val="BodyText"/>
        <w:rPr>
          <w:lang w:val="en-US"/>
        </w:rPr>
      </w:pPr>
      <w:r w:rsidRPr="005A2D50">
        <w:rPr>
          <w:lang w:val="en-US"/>
        </w:rPr>
        <w:t>Kopumā piemēri ir sniegti par katru muitas procedūru vai pagaidu uzglabāšanu. Tomēr jāņem vērā, ka arī darījumdarbības veidam ir nozīme pat attiecībā uz vienu un to pašu procedūru.</w:t>
      </w:r>
    </w:p>
    <w:p w14:paraId="26C3305F" w14:textId="77777777" w:rsidR="005A2D50" w:rsidRPr="005A2D50" w:rsidRDefault="005A2D50" w:rsidP="005A2D50">
      <w:pPr>
        <w:pStyle w:val="BodyText"/>
        <w:rPr>
          <w:lang w:val="en-US"/>
        </w:rPr>
      </w:pPr>
      <w:r w:rsidRPr="005A2D50">
        <w:rPr>
          <w:lang w:val="en-US"/>
        </w:rPr>
        <w:t>Neatkarīgi no izmantotās metodes ir svarīgi uzsvērt, ka atsauces summa jānosaka tādā līmenī, kas visos iespējamajos gadījumos nodrošina ES finansiālo interešu aizsardzību.</w:t>
      </w:r>
    </w:p>
    <w:p w14:paraId="29237784" w14:textId="77777777" w:rsidR="005A2D50" w:rsidRPr="005A2D50" w:rsidRDefault="005A2D50" w:rsidP="005A2D50">
      <w:pPr>
        <w:pStyle w:val="BodyText"/>
        <w:rPr>
          <w:lang w:val="en-US"/>
        </w:rPr>
      </w:pPr>
    </w:p>
    <w:p w14:paraId="50ACD5F9" w14:textId="77777777" w:rsidR="005A2D50" w:rsidRPr="005A2D50" w:rsidRDefault="005A2D50" w:rsidP="005A2D50">
      <w:pPr>
        <w:pStyle w:val="BodyText"/>
        <w:rPr>
          <w:b/>
          <w:bCs/>
          <w:lang w:val="en-US"/>
        </w:rPr>
      </w:pPr>
      <w:r w:rsidRPr="005A2D50">
        <w:rPr>
          <w:b/>
          <w:bCs/>
          <w:lang w:val="en-US"/>
        </w:rPr>
        <w:t>a) Ievešana pārstrādei (IP)</w:t>
      </w:r>
    </w:p>
    <w:p w14:paraId="11999531" w14:textId="77777777" w:rsidR="005A2D50" w:rsidRPr="005A2D50" w:rsidRDefault="005A2D50" w:rsidP="005A2D50">
      <w:pPr>
        <w:pStyle w:val="BodyText"/>
        <w:rPr>
          <w:lang w:val="en-US"/>
        </w:rPr>
      </w:pPr>
    </w:p>
    <w:p w14:paraId="4BFD2336" w14:textId="77777777" w:rsidR="005A2D50" w:rsidRPr="005A2D50" w:rsidRDefault="005A2D50" w:rsidP="005A2D50">
      <w:pPr>
        <w:pStyle w:val="BodyText"/>
        <w:rPr>
          <w:lang w:val="en-US"/>
        </w:rPr>
      </w:pPr>
      <w:r w:rsidRPr="005A2D50">
        <w:rPr>
          <w:lang w:val="en-US"/>
        </w:rPr>
        <w:t>Atbilstoši noteikumiem atļaujai veikt ievešanu pārstrādei maksimālais noslēgšanas laikposms ir 6 mēneši. Aprēķinot to preču vērtību, kurām piemēro procedūru un noslēgšanu, ir jāņem vērā vēsturiskie dati, kā arī darījumdarbības apjoma aplēse.</w:t>
      </w:r>
    </w:p>
    <w:p w14:paraId="493CA11D" w14:textId="77777777" w:rsidR="005A2D50" w:rsidRPr="005A2D50" w:rsidRDefault="005A2D50" w:rsidP="005A2D50">
      <w:pPr>
        <w:jc w:val="both"/>
        <w:rPr>
          <w:rFonts w:ascii="Times New Roman" w:hAnsi="Times New Roman"/>
          <w:noProof/>
          <w:sz w:val="24"/>
          <w:lang w:val="en-US"/>
        </w:rPr>
      </w:pPr>
      <w:r w:rsidRPr="005A2D50">
        <w:rPr>
          <w:rFonts w:ascii="Times New Roman" w:hAnsi="Times New Roman"/>
          <w:noProof/>
          <w:sz w:val="24"/>
          <w:lang w:val="en-US"/>
        </w:rPr>
        <w:t>Galvojuma atsauces summu var aprēķināt tā, kā rādīts piemērā.</w:t>
      </w:r>
    </w:p>
    <w:p w14:paraId="35FDAEDA" w14:textId="77777777" w:rsidR="005A2D50" w:rsidRPr="005A2D50" w:rsidRDefault="005A2D50" w:rsidP="005A2D50">
      <w:pPr>
        <w:jc w:val="both"/>
        <w:rPr>
          <w:rFonts w:ascii="Times New Roman" w:hAnsi="Times New Roman" w:cs="Times New Roman"/>
          <w:noProof/>
          <w:sz w:val="24"/>
          <w:szCs w:val="24"/>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6143"/>
        <w:gridCol w:w="2988"/>
      </w:tblGrid>
      <w:tr w:rsidR="005A2D50" w:rsidRPr="005A2D50" w14:paraId="39303A04" w14:textId="77777777" w:rsidTr="00F14166">
        <w:tc>
          <w:tcPr>
            <w:tcW w:w="5000" w:type="pct"/>
            <w:gridSpan w:val="2"/>
          </w:tcPr>
          <w:p w14:paraId="6029A873" w14:textId="77777777" w:rsidR="005A2D50" w:rsidRPr="005A2D50" w:rsidRDefault="005A2D50" w:rsidP="00F14166">
            <w:pPr>
              <w:numPr>
                <w:ilvl w:val="0"/>
                <w:numId w:val="28"/>
              </w:numPr>
              <w:tabs>
                <w:tab w:val="left" w:pos="426"/>
              </w:tabs>
              <w:ind w:left="0" w:firstLine="0"/>
              <w:jc w:val="both"/>
              <w:rPr>
                <w:rFonts w:ascii="Times New Roman" w:hAnsi="Times New Roman"/>
                <w:noProof/>
                <w:sz w:val="24"/>
                <w:lang w:val="en-US"/>
              </w:rPr>
            </w:pPr>
            <w:r w:rsidRPr="005A2D50">
              <w:rPr>
                <w:rFonts w:ascii="Times New Roman" w:hAnsi="Times New Roman"/>
                <w:noProof/>
                <w:sz w:val="24"/>
                <w:lang w:val="en-US"/>
              </w:rPr>
              <w:t>To preču kopējā vērtība, kurām var piemērot IP procedūru 5 gadu laikā</w:t>
            </w:r>
          </w:p>
        </w:tc>
      </w:tr>
      <w:tr w:rsidR="005A2D50" w:rsidRPr="005A2D50" w14:paraId="3E75FC89" w14:textId="77777777" w:rsidTr="00F14166">
        <w:tc>
          <w:tcPr>
            <w:tcW w:w="3364" w:type="pct"/>
          </w:tcPr>
          <w:p w14:paraId="0A2E770F" w14:textId="77777777" w:rsidR="005A2D50" w:rsidRPr="005A2D50" w:rsidRDefault="005A2D50" w:rsidP="00F14166">
            <w:pPr>
              <w:tabs>
                <w:tab w:val="left" w:pos="5886"/>
              </w:tabs>
              <w:jc w:val="both"/>
              <w:rPr>
                <w:rFonts w:ascii="Times New Roman" w:hAnsi="Times New Roman"/>
                <w:noProof/>
                <w:sz w:val="24"/>
                <w:lang w:val="en-US"/>
              </w:rPr>
            </w:pPr>
            <w:r w:rsidRPr="005A2D50">
              <w:rPr>
                <w:rFonts w:ascii="Times New Roman" w:hAnsi="Times New Roman"/>
                <w:noProof/>
                <w:sz w:val="24"/>
                <w:lang w:val="en-US"/>
              </w:rPr>
              <w:t>(skat. atļaujas 7. datu lauku):</w:t>
            </w:r>
          </w:p>
        </w:tc>
        <w:tc>
          <w:tcPr>
            <w:tcW w:w="1636" w:type="pct"/>
          </w:tcPr>
          <w:p w14:paraId="339A387E" w14:textId="77777777" w:rsidR="005A2D50" w:rsidRPr="005A2D50" w:rsidRDefault="005A2D50" w:rsidP="00F14166">
            <w:pPr>
              <w:jc w:val="both"/>
              <w:rPr>
                <w:rFonts w:ascii="Times New Roman" w:hAnsi="Times New Roman"/>
                <w:noProof/>
                <w:sz w:val="24"/>
                <w:lang w:val="en-US"/>
              </w:rPr>
            </w:pPr>
            <w:r w:rsidRPr="005A2D50">
              <w:rPr>
                <w:rFonts w:ascii="Times New Roman" w:hAnsi="Times New Roman"/>
                <w:noProof/>
                <w:sz w:val="24"/>
                <w:lang w:val="en-US"/>
              </w:rPr>
              <w:t>EUR 600 000</w:t>
            </w:r>
          </w:p>
        </w:tc>
      </w:tr>
      <w:tr w:rsidR="005A2D50" w:rsidRPr="005A2D50" w14:paraId="5C64C737" w14:textId="77777777" w:rsidTr="00F14166">
        <w:tc>
          <w:tcPr>
            <w:tcW w:w="3364" w:type="pct"/>
          </w:tcPr>
          <w:p w14:paraId="4F65E78A" w14:textId="77777777" w:rsidR="005A2D50" w:rsidRPr="005A2D50" w:rsidRDefault="005A2D50" w:rsidP="00F14166">
            <w:pPr>
              <w:numPr>
                <w:ilvl w:val="0"/>
                <w:numId w:val="28"/>
              </w:numPr>
              <w:tabs>
                <w:tab w:val="left" w:pos="426"/>
                <w:tab w:val="left" w:pos="5886"/>
              </w:tabs>
              <w:ind w:left="0" w:firstLine="0"/>
              <w:jc w:val="both"/>
              <w:rPr>
                <w:rFonts w:ascii="Times New Roman" w:hAnsi="Times New Roman"/>
                <w:noProof/>
                <w:sz w:val="24"/>
                <w:lang w:val="en-US"/>
              </w:rPr>
            </w:pPr>
            <w:r w:rsidRPr="005A2D50">
              <w:rPr>
                <w:rFonts w:ascii="Times New Roman" w:hAnsi="Times New Roman"/>
                <w:noProof/>
                <w:sz w:val="24"/>
                <w:lang w:val="en-US"/>
              </w:rPr>
              <w:t>Nodokļa likme:</w:t>
            </w:r>
          </w:p>
        </w:tc>
        <w:tc>
          <w:tcPr>
            <w:tcW w:w="1636" w:type="pct"/>
          </w:tcPr>
          <w:p w14:paraId="137075D2" w14:textId="77777777" w:rsidR="005A2D50" w:rsidRPr="005A2D50" w:rsidRDefault="005A2D50" w:rsidP="00F14166">
            <w:pPr>
              <w:jc w:val="both"/>
              <w:rPr>
                <w:rFonts w:ascii="Times New Roman" w:hAnsi="Times New Roman" w:cs="Times New Roman"/>
                <w:noProof/>
                <w:sz w:val="24"/>
                <w:szCs w:val="24"/>
                <w:lang w:val="en-US"/>
              </w:rPr>
            </w:pPr>
            <w:r w:rsidRPr="005A2D50">
              <w:rPr>
                <w:rFonts w:ascii="Times New Roman" w:hAnsi="Times New Roman"/>
                <w:noProof/>
                <w:sz w:val="24"/>
                <w:lang w:val="en-US"/>
              </w:rPr>
              <w:t>10 %</w:t>
            </w:r>
            <w:r w:rsidRPr="005A2D50">
              <w:rPr>
                <w:rStyle w:val="FootnoteReference"/>
                <w:rFonts w:ascii="Times New Roman" w:hAnsi="Times New Roman" w:cs="Times New Roman"/>
                <w:noProof/>
                <w:sz w:val="24"/>
                <w:szCs w:val="24"/>
                <w:lang w:val="en-US"/>
              </w:rPr>
              <w:footnoteReference w:id="15"/>
            </w:r>
          </w:p>
        </w:tc>
      </w:tr>
      <w:tr w:rsidR="005A2D50" w:rsidRPr="005A2D50" w14:paraId="6CE45301" w14:textId="77777777" w:rsidTr="00F14166">
        <w:tc>
          <w:tcPr>
            <w:tcW w:w="3364" w:type="pct"/>
          </w:tcPr>
          <w:p w14:paraId="213B5F3A" w14:textId="77777777" w:rsidR="005A2D50" w:rsidRPr="005A2D50" w:rsidRDefault="005A2D50" w:rsidP="00F14166">
            <w:pPr>
              <w:numPr>
                <w:ilvl w:val="0"/>
                <w:numId w:val="28"/>
              </w:numPr>
              <w:tabs>
                <w:tab w:val="left" w:pos="426"/>
                <w:tab w:val="left" w:pos="5886"/>
              </w:tabs>
              <w:ind w:left="0" w:firstLine="0"/>
              <w:jc w:val="both"/>
              <w:rPr>
                <w:rFonts w:ascii="Times New Roman" w:hAnsi="Times New Roman"/>
                <w:noProof/>
                <w:sz w:val="24"/>
                <w:lang w:val="en-US"/>
              </w:rPr>
            </w:pPr>
            <w:r w:rsidRPr="005A2D50">
              <w:rPr>
                <w:rFonts w:ascii="Times New Roman" w:hAnsi="Times New Roman"/>
                <w:noProof/>
                <w:sz w:val="24"/>
                <w:lang w:val="en-US"/>
              </w:rPr>
              <w:t>PVN likme:</w:t>
            </w:r>
          </w:p>
        </w:tc>
        <w:tc>
          <w:tcPr>
            <w:tcW w:w="1636" w:type="pct"/>
          </w:tcPr>
          <w:p w14:paraId="7DC0EA2A" w14:textId="77777777" w:rsidR="005A2D50" w:rsidRPr="005A2D50" w:rsidRDefault="005A2D50" w:rsidP="00F14166">
            <w:pPr>
              <w:jc w:val="both"/>
              <w:rPr>
                <w:rFonts w:ascii="Times New Roman" w:hAnsi="Times New Roman" w:cs="Times New Roman"/>
                <w:noProof/>
                <w:sz w:val="24"/>
                <w:szCs w:val="24"/>
                <w:lang w:val="en-US"/>
              </w:rPr>
            </w:pPr>
            <w:r w:rsidRPr="005A2D50">
              <w:rPr>
                <w:rFonts w:ascii="Times New Roman" w:hAnsi="Times New Roman"/>
                <w:noProof/>
                <w:sz w:val="24"/>
                <w:lang w:val="en-US"/>
              </w:rPr>
              <w:t>20 %</w:t>
            </w:r>
            <w:r w:rsidRPr="005A2D50">
              <w:rPr>
                <w:rStyle w:val="FootnoteReference"/>
                <w:rFonts w:ascii="Times New Roman" w:hAnsi="Times New Roman" w:cs="Times New Roman"/>
                <w:noProof/>
                <w:sz w:val="24"/>
                <w:szCs w:val="24"/>
                <w:lang w:val="en-US"/>
              </w:rPr>
              <w:footnoteReference w:id="16"/>
            </w:r>
          </w:p>
        </w:tc>
      </w:tr>
    </w:tbl>
    <w:p w14:paraId="0E51300C" w14:textId="77777777" w:rsidR="005A2D50" w:rsidRPr="005A2D50" w:rsidRDefault="005A2D50" w:rsidP="005A2D50">
      <w:pPr>
        <w:jc w:val="both"/>
        <w:rPr>
          <w:rFonts w:ascii="Times New Roman" w:eastAsia="Times New Roman" w:hAnsi="Times New Roman" w:cs="Times New Roman"/>
          <w:noProof/>
          <w:sz w:val="24"/>
          <w:szCs w:val="24"/>
          <w:lang w:val="en-US"/>
        </w:rPr>
      </w:pPr>
    </w:p>
    <w:tbl>
      <w:tblPr>
        <w:tblW w:w="5000" w:type="pct"/>
        <w:tblCellMar>
          <w:top w:w="28" w:type="dxa"/>
          <w:left w:w="28" w:type="dxa"/>
          <w:bottom w:w="28" w:type="dxa"/>
          <w:right w:w="28" w:type="dxa"/>
        </w:tblCellMar>
        <w:tblLook w:val="01E0" w:firstRow="1" w:lastRow="1" w:firstColumn="1" w:lastColumn="1" w:noHBand="0" w:noVBand="0"/>
      </w:tblPr>
      <w:tblGrid>
        <w:gridCol w:w="1446"/>
        <w:gridCol w:w="2409"/>
        <w:gridCol w:w="2502"/>
        <w:gridCol w:w="2774"/>
      </w:tblGrid>
      <w:tr w:rsidR="005A2D50" w:rsidRPr="005A2D50" w14:paraId="76631E79" w14:textId="77777777" w:rsidTr="00F14166">
        <w:tc>
          <w:tcPr>
            <w:tcW w:w="792" w:type="pct"/>
            <w:tcBorders>
              <w:top w:val="single" w:sz="5" w:space="0" w:color="000000"/>
              <w:left w:val="single" w:sz="5" w:space="0" w:color="000000"/>
              <w:bottom w:val="single" w:sz="5" w:space="0" w:color="000000"/>
              <w:right w:val="single" w:sz="5" w:space="0" w:color="000000"/>
            </w:tcBorders>
          </w:tcPr>
          <w:p w14:paraId="5BACF860" w14:textId="77777777" w:rsidR="005A2D50" w:rsidRPr="005A2D50" w:rsidRDefault="005A2D50" w:rsidP="00F14166">
            <w:pPr>
              <w:pStyle w:val="TableParagraph"/>
              <w:keepNext/>
              <w:keepLines/>
              <w:jc w:val="both"/>
              <w:rPr>
                <w:rFonts w:ascii="Times New Roman" w:hAnsi="Times New Roman"/>
                <w:noProof/>
                <w:sz w:val="24"/>
                <w:lang w:val="en-US"/>
              </w:rPr>
            </w:pPr>
            <w:r w:rsidRPr="005A2D50">
              <w:rPr>
                <w:rFonts w:ascii="Times New Roman" w:hAnsi="Times New Roman"/>
                <w:noProof/>
                <w:sz w:val="24"/>
                <w:lang w:val="en-US"/>
              </w:rPr>
              <w:t>Datums</w:t>
            </w:r>
          </w:p>
        </w:tc>
        <w:tc>
          <w:tcPr>
            <w:tcW w:w="1319" w:type="pct"/>
            <w:tcBorders>
              <w:top w:val="single" w:sz="5" w:space="0" w:color="000000"/>
              <w:left w:val="single" w:sz="5" w:space="0" w:color="000000"/>
              <w:bottom w:val="single" w:sz="5" w:space="0" w:color="000000"/>
              <w:right w:val="single" w:sz="5" w:space="0" w:color="000000"/>
            </w:tcBorders>
          </w:tcPr>
          <w:p w14:paraId="15C167AC" w14:textId="77777777" w:rsidR="005A2D50" w:rsidRPr="005A2D50" w:rsidRDefault="005A2D50" w:rsidP="00F14166">
            <w:pPr>
              <w:pStyle w:val="TableParagraph"/>
              <w:keepNext/>
              <w:keepLines/>
              <w:tabs>
                <w:tab w:val="left" w:pos="877"/>
                <w:tab w:val="left" w:pos="1283"/>
              </w:tabs>
              <w:jc w:val="both"/>
              <w:rPr>
                <w:rFonts w:ascii="Times New Roman" w:hAnsi="Times New Roman"/>
                <w:noProof/>
                <w:sz w:val="24"/>
                <w:lang w:val="en-US"/>
              </w:rPr>
            </w:pPr>
            <w:r w:rsidRPr="005A2D50">
              <w:rPr>
                <w:rFonts w:ascii="Times New Roman" w:hAnsi="Times New Roman"/>
                <w:noProof/>
                <w:sz w:val="24"/>
                <w:lang w:val="en-US"/>
              </w:rPr>
              <w:t>To preču vērtība, kurām piemēro IP procedūru</w:t>
            </w:r>
          </w:p>
        </w:tc>
        <w:tc>
          <w:tcPr>
            <w:tcW w:w="1370" w:type="pct"/>
            <w:tcBorders>
              <w:top w:val="single" w:sz="5" w:space="0" w:color="000000"/>
              <w:left w:val="single" w:sz="5" w:space="0" w:color="000000"/>
              <w:bottom w:val="single" w:sz="5" w:space="0" w:color="000000"/>
              <w:right w:val="single" w:sz="5" w:space="0" w:color="000000"/>
            </w:tcBorders>
          </w:tcPr>
          <w:p w14:paraId="37B3016F" w14:textId="77777777" w:rsidR="005A2D50" w:rsidRPr="005A2D50" w:rsidRDefault="005A2D50" w:rsidP="00F14166">
            <w:pPr>
              <w:pStyle w:val="TableParagraph"/>
              <w:keepNext/>
              <w:keepLines/>
              <w:tabs>
                <w:tab w:val="left" w:pos="961"/>
                <w:tab w:val="left" w:pos="1452"/>
              </w:tabs>
              <w:jc w:val="both"/>
              <w:rPr>
                <w:rFonts w:ascii="Times New Roman" w:hAnsi="Times New Roman"/>
                <w:noProof/>
                <w:sz w:val="24"/>
                <w:lang w:val="en-US"/>
              </w:rPr>
            </w:pPr>
            <w:r w:rsidRPr="005A2D50">
              <w:rPr>
                <w:rFonts w:ascii="Times New Roman" w:hAnsi="Times New Roman"/>
                <w:noProof/>
                <w:sz w:val="24"/>
                <w:lang w:val="en-US"/>
              </w:rPr>
              <w:t>To preču vērtība, kurām noslēgta IP procedūra</w:t>
            </w:r>
          </w:p>
        </w:tc>
        <w:tc>
          <w:tcPr>
            <w:tcW w:w="1519" w:type="pct"/>
            <w:tcBorders>
              <w:top w:val="single" w:sz="5" w:space="0" w:color="000000"/>
              <w:left w:val="single" w:sz="5" w:space="0" w:color="000000"/>
              <w:bottom w:val="single" w:sz="5" w:space="0" w:color="000000"/>
              <w:right w:val="single" w:sz="5" w:space="0" w:color="000000"/>
            </w:tcBorders>
          </w:tcPr>
          <w:p w14:paraId="694AD1E5" w14:textId="77777777" w:rsidR="005A2D50" w:rsidRPr="005A2D50" w:rsidRDefault="005A2D50" w:rsidP="00F14166">
            <w:pPr>
              <w:pStyle w:val="TableParagraph"/>
              <w:keepNext/>
              <w:keepLines/>
              <w:jc w:val="both"/>
              <w:rPr>
                <w:rFonts w:ascii="Times New Roman" w:hAnsi="Times New Roman"/>
                <w:noProof/>
                <w:sz w:val="24"/>
                <w:lang w:val="en-US"/>
              </w:rPr>
            </w:pPr>
            <w:r w:rsidRPr="005A2D50">
              <w:rPr>
                <w:rFonts w:ascii="Times New Roman" w:hAnsi="Times New Roman"/>
                <w:noProof/>
                <w:sz w:val="24"/>
                <w:lang w:val="en-US"/>
              </w:rPr>
              <w:t>To preču vērtība, uz kurām attiecas IP procedūra</w:t>
            </w:r>
          </w:p>
        </w:tc>
      </w:tr>
      <w:tr w:rsidR="005A2D50" w:rsidRPr="005A2D50" w14:paraId="6C898E5D" w14:textId="77777777" w:rsidTr="00F14166">
        <w:tc>
          <w:tcPr>
            <w:tcW w:w="792" w:type="pct"/>
            <w:tcBorders>
              <w:top w:val="single" w:sz="5" w:space="0" w:color="000000"/>
              <w:left w:val="single" w:sz="5" w:space="0" w:color="000000"/>
              <w:bottom w:val="single" w:sz="5" w:space="0" w:color="000000"/>
              <w:right w:val="single" w:sz="5" w:space="0" w:color="000000"/>
            </w:tcBorders>
          </w:tcPr>
          <w:p w14:paraId="5394F175" w14:textId="77777777" w:rsidR="005A2D50" w:rsidRPr="005A2D50" w:rsidRDefault="005A2D50" w:rsidP="00F14166">
            <w:pPr>
              <w:pStyle w:val="TableParagraph"/>
              <w:keepNext/>
              <w:keepLines/>
              <w:jc w:val="both"/>
              <w:rPr>
                <w:rFonts w:ascii="Times New Roman" w:hAnsi="Times New Roman"/>
                <w:noProof/>
                <w:sz w:val="24"/>
                <w:lang w:val="en-US"/>
              </w:rPr>
            </w:pPr>
            <w:r w:rsidRPr="005A2D50">
              <w:rPr>
                <w:rFonts w:ascii="Times New Roman" w:hAnsi="Times New Roman"/>
                <w:noProof/>
                <w:sz w:val="24"/>
                <w:lang w:val="en-US"/>
              </w:rPr>
              <w:t>1. janv. N</w:t>
            </w:r>
          </w:p>
        </w:tc>
        <w:tc>
          <w:tcPr>
            <w:tcW w:w="1319" w:type="pct"/>
            <w:tcBorders>
              <w:top w:val="single" w:sz="5" w:space="0" w:color="000000"/>
              <w:left w:val="single" w:sz="5" w:space="0" w:color="000000"/>
              <w:bottom w:val="single" w:sz="5" w:space="0" w:color="000000"/>
              <w:right w:val="single" w:sz="5" w:space="0" w:color="000000"/>
            </w:tcBorders>
          </w:tcPr>
          <w:p w14:paraId="13FFE5C1" w14:textId="77777777" w:rsidR="005A2D50" w:rsidRPr="005A2D50" w:rsidRDefault="005A2D50" w:rsidP="00F14166">
            <w:pPr>
              <w:pStyle w:val="TableParagraph"/>
              <w:keepNext/>
              <w:keepLines/>
              <w:jc w:val="both"/>
              <w:rPr>
                <w:rFonts w:ascii="Times New Roman" w:hAnsi="Times New Roman"/>
                <w:noProof/>
                <w:sz w:val="24"/>
                <w:lang w:val="en-US"/>
              </w:rPr>
            </w:pPr>
            <w:r w:rsidRPr="005A2D50">
              <w:rPr>
                <w:rFonts w:ascii="Times New Roman" w:hAnsi="Times New Roman"/>
                <w:noProof/>
                <w:sz w:val="24"/>
                <w:lang w:val="en-US"/>
              </w:rPr>
              <w:t>45 000</w:t>
            </w:r>
          </w:p>
        </w:tc>
        <w:tc>
          <w:tcPr>
            <w:tcW w:w="1370" w:type="pct"/>
            <w:tcBorders>
              <w:top w:val="single" w:sz="5" w:space="0" w:color="000000"/>
              <w:left w:val="single" w:sz="5" w:space="0" w:color="000000"/>
              <w:bottom w:val="single" w:sz="5" w:space="0" w:color="000000"/>
              <w:right w:val="single" w:sz="5" w:space="0" w:color="000000"/>
            </w:tcBorders>
          </w:tcPr>
          <w:p w14:paraId="5B1DE531" w14:textId="77777777" w:rsidR="005A2D50" w:rsidRPr="005A2D50" w:rsidRDefault="005A2D50" w:rsidP="00F14166">
            <w:pPr>
              <w:pStyle w:val="TableParagraph"/>
              <w:keepNext/>
              <w:keepLines/>
              <w:jc w:val="both"/>
              <w:rPr>
                <w:rFonts w:ascii="Times New Roman" w:hAnsi="Times New Roman"/>
                <w:noProof/>
                <w:sz w:val="24"/>
                <w:lang w:val="en-US"/>
              </w:rPr>
            </w:pPr>
            <w:r w:rsidRPr="005A2D50">
              <w:rPr>
                <w:rFonts w:ascii="Times New Roman" w:hAnsi="Times New Roman"/>
                <w:noProof/>
                <w:sz w:val="24"/>
                <w:lang w:val="en-US"/>
              </w:rPr>
              <w:t>0</w:t>
            </w:r>
          </w:p>
        </w:tc>
        <w:tc>
          <w:tcPr>
            <w:tcW w:w="1519" w:type="pct"/>
            <w:tcBorders>
              <w:top w:val="single" w:sz="5" w:space="0" w:color="000000"/>
              <w:left w:val="single" w:sz="5" w:space="0" w:color="000000"/>
              <w:bottom w:val="single" w:sz="5" w:space="0" w:color="000000"/>
              <w:right w:val="single" w:sz="5" w:space="0" w:color="000000"/>
            </w:tcBorders>
          </w:tcPr>
          <w:p w14:paraId="24EE7EF7" w14:textId="77777777" w:rsidR="005A2D50" w:rsidRPr="005A2D50" w:rsidRDefault="005A2D50" w:rsidP="00F14166">
            <w:pPr>
              <w:pStyle w:val="TableParagraph"/>
              <w:keepNext/>
              <w:keepLines/>
              <w:jc w:val="both"/>
              <w:rPr>
                <w:rFonts w:ascii="Times New Roman" w:hAnsi="Times New Roman"/>
                <w:noProof/>
                <w:sz w:val="24"/>
                <w:lang w:val="en-US"/>
              </w:rPr>
            </w:pPr>
            <w:r w:rsidRPr="005A2D50">
              <w:rPr>
                <w:rFonts w:ascii="Times New Roman" w:hAnsi="Times New Roman"/>
                <w:noProof/>
                <w:sz w:val="24"/>
                <w:lang w:val="en-US"/>
              </w:rPr>
              <w:t>45 000</w:t>
            </w:r>
          </w:p>
        </w:tc>
      </w:tr>
      <w:tr w:rsidR="005A2D50" w:rsidRPr="005A2D50" w14:paraId="14AA5EBE" w14:textId="77777777" w:rsidTr="00F14166">
        <w:tc>
          <w:tcPr>
            <w:tcW w:w="792" w:type="pct"/>
            <w:tcBorders>
              <w:top w:val="single" w:sz="5" w:space="0" w:color="000000"/>
              <w:left w:val="single" w:sz="5" w:space="0" w:color="000000"/>
              <w:bottom w:val="single" w:sz="5" w:space="0" w:color="000000"/>
              <w:right w:val="single" w:sz="5" w:space="0" w:color="000000"/>
            </w:tcBorders>
          </w:tcPr>
          <w:p w14:paraId="74276E4F"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1. febr. N</w:t>
            </w:r>
          </w:p>
        </w:tc>
        <w:tc>
          <w:tcPr>
            <w:tcW w:w="1319" w:type="pct"/>
            <w:tcBorders>
              <w:top w:val="single" w:sz="5" w:space="0" w:color="000000"/>
              <w:left w:val="single" w:sz="5" w:space="0" w:color="000000"/>
              <w:bottom w:val="single" w:sz="5" w:space="0" w:color="000000"/>
              <w:right w:val="single" w:sz="5" w:space="0" w:color="000000"/>
            </w:tcBorders>
          </w:tcPr>
          <w:p w14:paraId="27BFB587"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10 000</w:t>
            </w:r>
          </w:p>
        </w:tc>
        <w:tc>
          <w:tcPr>
            <w:tcW w:w="1370" w:type="pct"/>
            <w:tcBorders>
              <w:top w:val="single" w:sz="5" w:space="0" w:color="000000"/>
              <w:left w:val="single" w:sz="5" w:space="0" w:color="000000"/>
              <w:bottom w:val="single" w:sz="5" w:space="0" w:color="000000"/>
              <w:right w:val="single" w:sz="5" w:space="0" w:color="000000"/>
            </w:tcBorders>
          </w:tcPr>
          <w:p w14:paraId="00A3B405"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15 000</w:t>
            </w:r>
          </w:p>
        </w:tc>
        <w:tc>
          <w:tcPr>
            <w:tcW w:w="1519" w:type="pct"/>
            <w:tcBorders>
              <w:top w:val="single" w:sz="5" w:space="0" w:color="000000"/>
              <w:left w:val="single" w:sz="5" w:space="0" w:color="000000"/>
              <w:bottom w:val="single" w:sz="5" w:space="0" w:color="000000"/>
              <w:right w:val="single" w:sz="5" w:space="0" w:color="000000"/>
            </w:tcBorders>
          </w:tcPr>
          <w:p w14:paraId="233DCB3B"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40 000</w:t>
            </w:r>
          </w:p>
        </w:tc>
      </w:tr>
      <w:tr w:rsidR="005A2D50" w:rsidRPr="005A2D50" w14:paraId="42487DCA" w14:textId="77777777" w:rsidTr="00F14166">
        <w:tc>
          <w:tcPr>
            <w:tcW w:w="792" w:type="pct"/>
            <w:tcBorders>
              <w:top w:val="single" w:sz="5" w:space="0" w:color="000000"/>
              <w:left w:val="single" w:sz="5" w:space="0" w:color="000000"/>
              <w:bottom w:val="single" w:sz="5" w:space="0" w:color="000000"/>
              <w:right w:val="single" w:sz="5" w:space="0" w:color="000000"/>
            </w:tcBorders>
          </w:tcPr>
          <w:p w14:paraId="670168DD"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1. marts N</w:t>
            </w:r>
          </w:p>
        </w:tc>
        <w:tc>
          <w:tcPr>
            <w:tcW w:w="1319" w:type="pct"/>
            <w:tcBorders>
              <w:top w:val="single" w:sz="5" w:space="0" w:color="000000"/>
              <w:left w:val="single" w:sz="5" w:space="0" w:color="000000"/>
              <w:bottom w:val="single" w:sz="5" w:space="0" w:color="000000"/>
              <w:right w:val="single" w:sz="5" w:space="0" w:color="000000"/>
            </w:tcBorders>
          </w:tcPr>
          <w:p w14:paraId="3C20D392"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5000</w:t>
            </w:r>
          </w:p>
        </w:tc>
        <w:tc>
          <w:tcPr>
            <w:tcW w:w="1370" w:type="pct"/>
            <w:tcBorders>
              <w:top w:val="single" w:sz="5" w:space="0" w:color="000000"/>
              <w:left w:val="single" w:sz="5" w:space="0" w:color="000000"/>
              <w:bottom w:val="single" w:sz="5" w:space="0" w:color="000000"/>
              <w:right w:val="single" w:sz="5" w:space="0" w:color="000000"/>
            </w:tcBorders>
          </w:tcPr>
          <w:p w14:paraId="52614BC6"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10 000</w:t>
            </w:r>
          </w:p>
        </w:tc>
        <w:tc>
          <w:tcPr>
            <w:tcW w:w="1519" w:type="pct"/>
            <w:tcBorders>
              <w:top w:val="single" w:sz="5" w:space="0" w:color="000000"/>
              <w:left w:val="single" w:sz="5" w:space="0" w:color="000000"/>
              <w:bottom w:val="single" w:sz="5" w:space="0" w:color="000000"/>
              <w:right w:val="single" w:sz="5" w:space="0" w:color="000000"/>
            </w:tcBorders>
          </w:tcPr>
          <w:p w14:paraId="79A4CC8F"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35 000</w:t>
            </w:r>
          </w:p>
        </w:tc>
      </w:tr>
      <w:tr w:rsidR="005A2D50" w:rsidRPr="005A2D50" w14:paraId="0D5FE212" w14:textId="77777777" w:rsidTr="00F14166">
        <w:tc>
          <w:tcPr>
            <w:tcW w:w="792" w:type="pct"/>
            <w:tcBorders>
              <w:top w:val="single" w:sz="5" w:space="0" w:color="000000"/>
              <w:left w:val="single" w:sz="5" w:space="0" w:color="000000"/>
              <w:bottom w:val="single" w:sz="5" w:space="0" w:color="000000"/>
              <w:right w:val="single" w:sz="5" w:space="0" w:color="000000"/>
            </w:tcBorders>
          </w:tcPr>
          <w:p w14:paraId="720E8153"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1. apr. N</w:t>
            </w:r>
          </w:p>
        </w:tc>
        <w:tc>
          <w:tcPr>
            <w:tcW w:w="1319" w:type="pct"/>
            <w:tcBorders>
              <w:top w:val="single" w:sz="5" w:space="0" w:color="000000"/>
              <w:left w:val="single" w:sz="5" w:space="0" w:color="000000"/>
              <w:bottom w:val="single" w:sz="5" w:space="0" w:color="000000"/>
              <w:right w:val="single" w:sz="5" w:space="0" w:color="000000"/>
            </w:tcBorders>
          </w:tcPr>
          <w:p w14:paraId="31845047"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12 000</w:t>
            </w:r>
          </w:p>
        </w:tc>
        <w:tc>
          <w:tcPr>
            <w:tcW w:w="1370" w:type="pct"/>
            <w:tcBorders>
              <w:top w:val="single" w:sz="5" w:space="0" w:color="000000"/>
              <w:left w:val="single" w:sz="5" w:space="0" w:color="000000"/>
              <w:bottom w:val="single" w:sz="5" w:space="0" w:color="000000"/>
              <w:right w:val="single" w:sz="5" w:space="0" w:color="000000"/>
            </w:tcBorders>
          </w:tcPr>
          <w:p w14:paraId="3C0888D6"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5000</w:t>
            </w:r>
          </w:p>
        </w:tc>
        <w:tc>
          <w:tcPr>
            <w:tcW w:w="1519" w:type="pct"/>
            <w:tcBorders>
              <w:top w:val="single" w:sz="5" w:space="0" w:color="000000"/>
              <w:left w:val="single" w:sz="5" w:space="0" w:color="000000"/>
              <w:bottom w:val="single" w:sz="5" w:space="0" w:color="000000"/>
              <w:right w:val="single" w:sz="5" w:space="0" w:color="000000"/>
            </w:tcBorders>
          </w:tcPr>
          <w:p w14:paraId="2E7659CD"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42 000</w:t>
            </w:r>
          </w:p>
        </w:tc>
      </w:tr>
      <w:tr w:rsidR="005A2D50" w:rsidRPr="005A2D50" w14:paraId="696D8E9D" w14:textId="77777777" w:rsidTr="00F14166">
        <w:tc>
          <w:tcPr>
            <w:tcW w:w="792" w:type="pct"/>
            <w:tcBorders>
              <w:top w:val="single" w:sz="5" w:space="0" w:color="000000"/>
              <w:left w:val="single" w:sz="5" w:space="0" w:color="000000"/>
              <w:bottom w:val="single" w:sz="5" w:space="0" w:color="000000"/>
              <w:right w:val="single" w:sz="5" w:space="0" w:color="000000"/>
            </w:tcBorders>
          </w:tcPr>
          <w:p w14:paraId="327082CA"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1. maijs N</w:t>
            </w:r>
          </w:p>
        </w:tc>
        <w:tc>
          <w:tcPr>
            <w:tcW w:w="1319" w:type="pct"/>
            <w:tcBorders>
              <w:top w:val="single" w:sz="5" w:space="0" w:color="000000"/>
              <w:left w:val="single" w:sz="5" w:space="0" w:color="000000"/>
              <w:bottom w:val="single" w:sz="5" w:space="0" w:color="000000"/>
              <w:right w:val="single" w:sz="5" w:space="0" w:color="000000"/>
            </w:tcBorders>
          </w:tcPr>
          <w:p w14:paraId="21564658"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8000</w:t>
            </w:r>
          </w:p>
        </w:tc>
        <w:tc>
          <w:tcPr>
            <w:tcW w:w="1370" w:type="pct"/>
            <w:tcBorders>
              <w:top w:val="single" w:sz="5" w:space="0" w:color="000000"/>
              <w:left w:val="single" w:sz="5" w:space="0" w:color="000000"/>
              <w:bottom w:val="single" w:sz="5" w:space="0" w:color="000000"/>
              <w:right w:val="single" w:sz="5" w:space="0" w:color="000000"/>
            </w:tcBorders>
          </w:tcPr>
          <w:p w14:paraId="05D551F9"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0</w:t>
            </w:r>
          </w:p>
        </w:tc>
        <w:tc>
          <w:tcPr>
            <w:tcW w:w="1519" w:type="pct"/>
            <w:tcBorders>
              <w:top w:val="single" w:sz="5" w:space="0" w:color="000000"/>
              <w:left w:val="single" w:sz="5" w:space="0" w:color="000000"/>
              <w:bottom w:val="single" w:sz="5" w:space="0" w:color="000000"/>
              <w:right w:val="single" w:sz="5" w:space="0" w:color="000000"/>
            </w:tcBorders>
          </w:tcPr>
          <w:p w14:paraId="63B6732E"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50 000</w:t>
            </w:r>
          </w:p>
        </w:tc>
      </w:tr>
      <w:tr w:rsidR="005A2D50" w:rsidRPr="005A2D50" w14:paraId="3102A417" w14:textId="77777777" w:rsidTr="00F14166">
        <w:tc>
          <w:tcPr>
            <w:tcW w:w="792" w:type="pct"/>
            <w:tcBorders>
              <w:top w:val="single" w:sz="5" w:space="0" w:color="000000"/>
              <w:left w:val="single" w:sz="5" w:space="0" w:color="000000"/>
              <w:bottom w:val="single" w:sz="5" w:space="0" w:color="000000"/>
              <w:right w:val="single" w:sz="5" w:space="0" w:color="000000"/>
            </w:tcBorders>
          </w:tcPr>
          <w:p w14:paraId="2B05143F"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1. jūn. N</w:t>
            </w:r>
          </w:p>
        </w:tc>
        <w:tc>
          <w:tcPr>
            <w:tcW w:w="1319" w:type="pct"/>
            <w:tcBorders>
              <w:top w:val="single" w:sz="5" w:space="0" w:color="000000"/>
              <w:left w:val="single" w:sz="5" w:space="0" w:color="000000"/>
              <w:bottom w:val="single" w:sz="5" w:space="0" w:color="000000"/>
              <w:right w:val="single" w:sz="5" w:space="0" w:color="000000"/>
            </w:tcBorders>
          </w:tcPr>
          <w:p w14:paraId="7CE68E59"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5000</w:t>
            </w:r>
          </w:p>
        </w:tc>
        <w:tc>
          <w:tcPr>
            <w:tcW w:w="1370" w:type="pct"/>
            <w:tcBorders>
              <w:top w:val="single" w:sz="5" w:space="0" w:color="000000"/>
              <w:left w:val="single" w:sz="5" w:space="0" w:color="000000"/>
              <w:bottom w:val="single" w:sz="5" w:space="0" w:color="000000"/>
              <w:right w:val="single" w:sz="5" w:space="0" w:color="000000"/>
            </w:tcBorders>
          </w:tcPr>
          <w:p w14:paraId="33EFE7E4"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8000</w:t>
            </w:r>
          </w:p>
        </w:tc>
        <w:tc>
          <w:tcPr>
            <w:tcW w:w="1519" w:type="pct"/>
            <w:tcBorders>
              <w:top w:val="single" w:sz="5" w:space="0" w:color="000000"/>
              <w:left w:val="single" w:sz="5" w:space="0" w:color="000000"/>
              <w:bottom w:val="single" w:sz="5" w:space="0" w:color="000000"/>
              <w:right w:val="single" w:sz="5" w:space="0" w:color="000000"/>
            </w:tcBorders>
          </w:tcPr>
          <w:p w14:paraId="159FDD8A"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47 000</w:t>
            </w:r>
          </w:p>
        </w:tc>
      </w:tr>
      <w:tr w:rsidR="005A2D50" w:rsidRPr="005A2D50" w14:paraId="2965BA91" w14:textId="77777777" w:rsidTr="00F14166">
        <w:tc>
          <w:tcPr>
            <w:tcW w:w="792" w:type="pct"/>
            <w:tcBorders>
              <w:top w:val="single" w:sz="5" w:space="0" w:color="000000"/>
              <w:left w:val="single" w:sz="5" w:space="0" w:color="000000"/>
              <w:bottom w:val="single" w:sz="5" w:space="0" w:color="000000"/>
              <w:right w:val="single" w:sz="5" w:space="0" w:color="000000"/>
            </w:tcBorders>
          </w:tcPr>
          <w:p w14:paraId="4D5DDF98"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1. jūl. N</w:t>
            </w:r>
          </w:p>
        </w:tc>
        <w:tc>
          <w:tcPr>
            <w:tcW w:w="1319" w:type="pct"/>
            <w:tcBorders>
              <w:top w:val="single" w:sz="5" w:space="0" w:color="000000"/>
              <w:left w:val="single" w:sz="5" w:space="0" w:color="000000"/>
              <w:bottom w:val="single" w:sz="5" w:space="0" w:color="000000"/>
              <w:right w:val="single" w:sz="5" w:space="0" w:color="000000"/>
            </w:tcBorders>
          </w:tcPr>
          <w:p w14:paraId="2557B0DF"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5000</w:t>
            </w:r>
          </w:p>
        </w:tc>
        <w:tc>
          <w:tcPr>
            <w:tcW w:w="1370" w:type="pct"/>
            <w:tcBorders>
              <w:top w:val="single" w:sz="5" w:space="0" w:color="000000"/>
              <w:left w:val="single" w:sz="5" w:space="0" w:color="000000"/>
              <w:bottom w:val="single" w:sz="5" w:space="0" w:color="000000"/>
              <w:right w:val="single" w:sz="5" w:space="0" w:color="000000"/>
            </w:tcBorders>
          </w:tcPr>
          <w:p w14:paraId="30292F02"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5000</w:t>
            </w:r>
          </w:p>
        </w:tc>
        <w:tc>
          <w:tcPr>
            <w:tcW w:w="1519" w:type="pct"/>
            <w:tcBorders>
              <w:top w:val="single" w:sz="5" w:space="0" w:color="000000"/>
              <w:left w:val="single" w:sz="5" w:space="0" w:color="000000"/>
              <w:bottom w:val="single" w:sz="5" w:space="0" w:color="000000"/>
              <w:right w:val="single" w:sz="5" w:space="0" w:color="000000"/>
            </w:tcBorders>
          </w:tcPr>
          <w:p w14:paraId="36FD2AF5"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45 000</w:t>
            </w:r>
          </w:p>
        </w:tc>
      </w:tr>
      <w:tr w:rsidR="005A2D50" w:rsidRPr="005A2D50" w14:paraId="7CDA195C" w14:textId="77777777" w:rsidTr="00F14166">
        <w:tc>
          <w:tcPr>
            <w:tcW w:w="792" w:type="pct"/>
            <w:tcBorders>
              <w:top w:val="single" w:sz="5" w:space="0" w:color="000000"/>
              <w:left w:val="single" w:sz="5" w:space="0" w:color="000000"/>
              <w:bottom w:val="single" w:sz="5" w:space="0" w:color="000000"/>
              <w:right w:val="single" w:sz="5" w:space="0" w:color="000000"/>
            </w:tcBorders>
          </w:tcPr>
          <w:p w14:paraId="3EB3240B"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1. aug. N</w:t>
            </w:r>
          </w:p>
        </w:tc>
        <w:tc>
          <w:tcPr>
            <w:tcW w:w="1319" w:type="pct"/>
            <w:tcBorders>
              <w:top w:val="single" w:sz="5" w:space="0" w:color="000000"/>
              <w:left w:val="single" w:sz="5" w:space="0" w:color="000000"/>
              <w:bottom w:val="single" w:sz="5" w:space="0" w:color="000000"/>
              <w:right w:val="single" w:sz="5" w:space="0" w:color="000000"/>
            </w:tcBorders>
          </w:tcPr>
          <w:p w14:paraId="797A8BE4"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0</w:t>
            </w:r>
          </w:p>
        </w:tc>
        <w:tc>
          <w:tcPr>
            <w:tcW w:w="1370" w:type="pct"/>
            <w:tcBorders>
              <w:top w:val="single" w:sz="5" w:space="0" w:color="000000"/>
              <w:left w:val="single" w:sz="5" w:space="0" w:color="000000"/>
              <w:bottom w:val="single" w:sz="5" w:space="0" w:color="000000"/>
              <w:right w:val="single" w:sz="5" w:space="0" w:color="000000"/>
            </w:tcBorders>
          </w:tcPr>
          <w:p w14:paraId="6D55981F"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5000</w:t>
            </w:r>
          </w:p>
        </w:tc>
        <w:tc>
          <w:tcPr>
            <w:tcW w:w="1519" w:type="pct"/>
            <w:tcBorders>
              <w:top w:val="single" w:sz="5" w:space="0" w:color="000000"/>
              <w:left w:val="single" w:sz="5" w:space="0" w:color="000000"/>
              <w:bottom w:val="single" w:sz="5" w:space="0" w:color="000000"/>
              <w:right w:val="single" w:sz="5" w:space="0" w:color="000000"/>
            </w:tcBorders>
          </w:tcPr>
          <w:p w14:paraId="07B9C57E"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40 000</w:t>
            </w:r>
          </w:p>
        </w:tc>
      </w:tr>
      <w:tr w:rsidR="005A2D50" w:rsidRPr="005A2D50" w14:paraId="48CC0AC1" w14:textId="77777777" w:rsidTr="00F14166">
        <w:tc>
          <w:tcPr>
            <w:tcW w:w="792" w:type="pct"/>
            <w:tcBorders>
              <w:top w:val="single" w:sz="5" w:space="0" w:color="000000"/>
              <w:left w:val="single" w:sz="5" w:space="0" w:color="000000"/>
              <w:bottom w:val="single" w:sz="5" w:space="0" w:color="000000"/>
              <w:right w:val="single" w:sz="5" w:space="0" w:color="000000"/>
            </w:tcBorders>
          </w:tcPr>
          <w:p w14:paraId="560BCD2A"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1. sept. N</w:t>
            </w:r>
          </w:p>
        </w:tc>
        <w:tc>
          <w:tcPr>
            <w:tcW w:w="1319" w:type="pct"/>
            <w:tcBorders>
              <w:top w:val="single" w:sz="5" w:space="0" w:color="000000"/>
              <w:left w:val="single" w:sz="5" w:space="0" w:color="000000"/>
              <w:bottom w:val="single" w:sz="5" w:space="0" w:color="000000"/>
              <w:right w:val="single" w:sz="5" w:space="0" w:color="000000"/>
            </w:tcBorders>
          </w:tcPr>
          <w:p w14:paraId="1DCAB015"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5000</w:t>
            </w:r>
          </w:p>
        </w:tc>
        <w:tc>
          <w:tcPr>
            <w:tcW w:w="1370" w:type="pct"/>
            <w:tcBorders>
              <w:top w:val="single" w:sz="5" w:space="0" w:color="000000"/>
              <w:left w:val="single" w:sz="5" w:space="0" w:color="000000"/>
              <w:bottom w:val="single" w:sz="5" w:space="0" w:color="000000"/>
              <w:right w:val="single" w:sz="5" w:space="0" w:color="000000"/>
            </w:tcBorders>
          </w:tcPr>
          <w:p w14:paraId="03D1D7B8"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10 000</w:t>
            </w:r>
          </w:p>
        </w:tc>
        <w:tc>
          <w:tcPr>
            <w:tcW w:w="1519" w:type="pct"/>
            <w:tcBorders>
              <w:top w:val="single" w:sz="5" w:space="0" w:color="000000"/>
              <w:left w:val="single" w:sz="5" w:space="0" w:color="000000"/>
              <w:bottom w:val="single" w:sz="5" w:space="0" w:color="000000"/>
              <w:right w:val="single" w:sz="5" w:space="0" w:color="000000"/>
            </w:tcBorders>
          </w:tcPr>
          <w:p w14:paraId="244D6944"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35 000</w:t>
            </w:r>
          </w:p>
        </w:tc>
      </w:tr>
      <w:tr w:rsidR="005A2D50" w:rsidRPr="005A2D50" w14:paraId="74A8997E" w14:textId="77777777" w:rsidTr="00F14166">
        <w:tc>
          <w:tcPr>
            <w:tcW w:w="792" w:type="pct"/>
            <w:tcBorders>
              <w:top w:val="single" w:sz="5" w:space="0" w:color="000000"/>
              <w:left w:val="single" w:sz="5" w:space="0" w:color="000000"/>
              <w:bottom w:val="single" w:sz="5" w:space="0" w:color="000000"/>
              <w:right w:val="single" w:sz="5" w:space="0" w:color="000000"/>
            </w:tcBorders>
          </w:tcPr>
          <w:p w14:paraId="56C558AA"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1. okt. N</w:t>
            </w:r>
          </w:p>
        </w:tc>
        <w:tc>
          <w:tcPr>
            <w:tcW w:w="1319" w:type="pct"/>
            <w:tcBorders>
              <w:top w:val="single" w:sz="5" w:space="0" w:color="000000"/>
              <w:left w:val="single" w:sz="5" w:space="0" w:color="000000"/>
              <w:bottom w:val="single" w:sz="5" w:space="0" w:color="000000"/>
              <w:right w:val="single" w:sz="5" w:space="0" w:color="000000"/>
            </w:tcBorders>
          </w:tcPr>
          <w:p w14:paraId="6BE767B1"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15 000</w:t>
            </w:r>
          </w:p>
        </w:tc>
        <w:tc>
          <w:tcPr>
            <w:tcW w:w="1370" w:type="pct"/>
            <w:tcBorders>
              <w:top w:val="single" w:sz="5" w:space="0" w:color="000000"/>
              <w:left w:val="single" w:sz="5" w:space="0" w:color="000000"/>
              <w:bottom w:val="single" w:sz="5" w:space="0" w:color="000000"/>
              <w:right w:val="single" w:sz="5" w:space="0" w:color="000000"/>
            </w:tcBorders>
          </w:tcPr>
          <w:p w14:paraId="2781EDC2"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10 000</w:t>
            </w:r>
          </w:p>
        </w:tc>
        <w:tc>
          <w:tcPr>
            <w:tcW w:w="1519" w:type="pct"/>
            <w:tcBorders>
              <w:top w:val="single" w:sz="5" w:space="0" w:color="000000"/>
              <w:left w:val="single" w:sz="5" w:space="0" w:color="000000"/>
              <w:bottom w:val="single" w:sz="5" w:space="0" w:color="000000"/>
              <w:right w:val="single" w:sz="5" w:space="0" w:color="000000"/>
            </w:tcBorders>
          </w:tcPr>
          <w:p w14:paraId="3E8AFA14"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40 000</w:t>
            </w:r>
          </w:p>
        </w:tc>
      </w:tr>
      <w:tr w:rsidR="005A2D50" w:rsidRPr="005A2D50" w14:paraId="73638E7C" w14:textId="77777777" w:rsidTr="00F14166">
        <w:tc>
          <w:tcPr>
            <w:tcW w:w="792" w:type="pct"/>
            <w:tcBorders>
              <w:top w:val="single" w:sz="5" w:space="0" w:color="000000"/>
              <w:left w:val="single" w:sz="5" w:space="0" w:color="000000"/>
              <w:bottom w:val="single" w:sz="5" w:space="0" w:color="000000"/>
              <w:right w:val="single" w:sz="5" w:space="0" w:color="000000"/>
            </w:tcBorders>
          </w:tcPr>
          <w:p w14:paraId="03157AE0"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1. nov. N</w:t>
            </w:r>
          </w:p>
        </w:tc>
        <w:tc>
          <w:tcPr>
            <w:tcW w:w="1319" w:type="pct"/>
            <w:tcBorders>
              <w:top w:val="single" w:sz="5" w:space="0" w:color="000000"/>
              <w:left w:val="single" w:sz="5" w:space="0" w:color="000000"/>
              <w:bottom w:val="single" w:sz="5" w:space="0" w:color="000000"/>
              <w:right w:val="single" w:sz="5" w:space="0" w:color="000000"/>
            </w:tcBorders>
          </w:tcPr>
          <w:p w14:paraId="6A179FD7"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15 000</w:t>
            </w:r>
          </w:p>
        </w:tc>
        <w:tc>
          <w:tcPr>
            <w:tcW w:w="1370" w:type="pct"/>
            <w:tcBorders>
              <w:top w:val="single" w:sz="5" w:space="0" w:color="000000"/>
              <w:left w:val="single" w:sz="5" w:space="0" w:color="000000"/>
              <w:bottom w:val="single" w:sz="5" w:space="0" w:color="000000"/>
              <w:right w:val="single" w:sz="5" w:space="0" w:color="000000"/>
            </w:tcBorders>
          </w:tcPr>
          <w:p w14:paraId="275BEB5A"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12 000</w:t>
            </w:r>
          </w:p>
        </w:tc>
        <w:tc>
          <w:tcPr>
            <w:tcW w:w="1519" w:type="pct"/>
            <w:tcBorders>
              <w:top w:val="single" w:sz="5" w:space="0" w:color="000000"/>
              <w:left w:val="single" w:sz="5" w:space="0" w:color="000000"/>
              <w:bottom w:val="single" w:sz="5" w:space="0" w:color="000000"/>
              <w:right w:val="single" w:sz="5" w:space="0" w:color="000000"/>
            </w:tcBorders>
          </w:tcPr>
          <w:p w14:paraId="0C60A9ED"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42 000</w:t>
            </w:r>
          </w:p>
        </w:tc>
      </w:tr>
      <w:tr w:rsidR="005A2D50" w:rsidRPr="005A2D50" w14:paraId="71F95B29" w14:textId="77777777" w:rsidTr="00F14166">
        <w:tc>
          <w:tcPr>
            <w:tcW w:w="792" w:type="pct"/>
            <w:tcBorders>
              <w:top w:val="single" w:sz="5" w:space="0" w:color="000000"/>
              <w:left w:val="single" w:sz="5" w:space="0" w:color="000000"/>
              <w:bottom w:val="single" w:sz="5" w:space="0" w:color="000000"/>
              <w:right w:val="single" w:sz="5" w:space="0" w:color="000000"/>
            </w:tcBorders>
          </w:tcPr>
          <w:p w14:paraId="4D5E1D63"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1. dec. N+1</w:t>
            </w:r>
          </w:p>
        </w:tc>
        <w:tc>
          <w:tcPr>
            <w:tcW w:w="1319" w:type="pct"/>
            <w:tcBorders>
              <w:top w:val="single" w:sz="5" w:space="0" w:color="000000"/>
              <w:left w:val="single" w:sz="5" w:space="0" w:color="000000"/>
              <w:bottom w:val="single" w:sz="5" w:space="0" w:color="000000"/>
              <w:right w:val="single" w:sz="5" w:space="0" w:color="000000"/>
            </w:tcBorders>
          </w:tcPr>
          <w:p w14:paraId="2E9A4000"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8000</w:t>
            </w:r>
          </w:p>
        </w:tc>
        <w:tc>
          <w:tcPr>
            <w:tcW w:w="1370" w:type="pct"/>
            <w:tcBorders>
              <w:top w:val="single" w:sz="5" w:space="0" w:color="000000"/>
              <w:left w:val="single" w:sz="5" w:space="0" w:color="000000"/>
              <w:bottom w:val="single" w:sz="5" w:space="0" w:color="000000"/>
              <w:right w:val="single" w:sz="5" w:space="0" w:color="000000"/>
            </w:tcBorders>
          </w:tcPr>
          <w:p w14:paraId="6E95FC17"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5000</w:t>
            </w:r>
          </w:p>
        </w:tc>
        <w:tc>
          <w:tcPr>
            <w:tcW w:w="1519" w:type="pct"/>
            <w:tcBorders>
              <w:top w:val="single" w:sz="5" w:space="0" w:color="000000"/>
              <w:left w:val="single" w:sz="5" w:space="0" w:color="000000"/>
              <w:bottom w:val="single" w:sz="5" w:space="0" w:color="000000"/>
              <w:right w:val="single" w:sz="5" w:space="0" w:color="000000"/>
            </w:tcBorders>
          </w:tcPr>
          <w:p w14:paraId="0AF4F220"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45 000</w:t>
            </w:r>
          </w:p>
        </w:tc>
      </w:tr>
    </w:tbl>
    <w:p w14:paraId="062B342D" w14:textId="77777777" w:rsidR="005A2D50" w:rsidRPr="005A2D50" w:rsidRDefault="005A2D50" w:rsidP="005A2D50">
      <w:pPr>
        <w:jc w:val="both"/>
        <w:rPr>
          <w:rFonts w:ascii="Times New Roman" w:eastAsia="Times New Roman" w:hAnsi="Times New Roman" w:cs="Times New Roman"/>
          <w:noProof/>
          <w:sz w:val="24"/>
          <w:szCs w:val="24"/>
          <w:lang w:val="en-US"/>
        </w:rPr>
      </w:pPr>
    </w:p>
    <w:p w14:paraId="427D54A0" w14:textId="77777777" w:rsidR="005A2D50" w:rsidRPr="005A2D50" w:rsidRDefault="005A2D50" w:rsidP="005A2D50">
      <w:pPr>
        <w:jc w:val="center"/>
        <w:rPr>
          <w:rFonts w:ascii="Times New Roman" w:eastAsia="Times New Roman" w:hAnsi="Times New Roman" w:cs="Times New Roman"/>
          <w:noProof/>
          <w:sz w:val="24"/>
          <w:szCs w:val="24"/>
          <w:lang w:val="en-US"/>
        </w:rPr>
      </w:pPr>
      <w:r w:rsidRPr="005A2D50">
        <w:rPr>
          <w:rFonts w:ascii="Times New Roman" w:eastAsia="Times New Roman" w:hAnsi="Times New Roman" w:cs="Times New Roman"/>
          <w:noProof/>
          <w:sz w:val="24"/>
          <w:szCs w:val="24"/>
          <w:lang w:val="en-US"/>
        </w:rPr>
        <w:drawing>
          <wp:inline distT="0" distB="0" distL="0" distR="0" wp14:anchorId="07EEA27C" wp14:editId="68DC10D6">
            <wp:extent cx="5762625" cy="2011680"/>
            <wp:effectExtent l="0" t="0" r="0" b="0"/>
            <wp:docPr id="8" name="Picture 8"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line char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5762625" cy="2011680"/>
                    </a:xfrm>
                    <a:prstGeom prst="rect">
                      <a:avLst/>
                    </a:prstGeom>
                  </pic:spPr>
                </pic:pic>
              </a:graphicData>
            </a:graphic>
          </wp:inline>
        </w:drawing>
      </w:r>
    </w:p>
    <w:p w14:paraId="5D245364" w14:textId="77777777" w:rsidR="005A2D50" w:rsidRPr="005A2D50" w:rsidRDefault="005A2D50" w:rsidP="005A2D50">
      <w:pPr>
        <w:jc w:val="both"/>
        <w:rPr>
          <w:rFonts w:ascii="Times New Roman" w:eastAsia="Times New Roman" w:hAnsi="Times New Roman" w:cs="Times New Roman"/>
          <w:noProof/>
          <w:sz w:val="24"/>
          <w:szCs w:val="24"/>
          <w:lang w:val="en-US"/>
        </w:rPr>
      </w:pPr>
    </w:p>
    <w:p w14:paraId="55A0184A" w14:textId="77777777" w:rsidR="005A2D50" w:rsidRPr="005A2D50" w:rsidRDefault="005A2D50" w:rsidP="005A2D50">
      <w:pPr>
        <w:numPr>
          <w:ilvl w:val="0"/>
          <w:numId w:val="28"/>
        </w:numPr>
        <w:tabs>
          <w:tab w:val="left" w:pos="488"/>
        </w:tabs>
        <w:ind w:left="0" w:firstLine="0"/>
        <w:jc w:val="both"/>
        <w:rPr>
          <w:rFonts w:ascii="Times New Roman" w:eastAsia="Times New Roman" w:hAnsi="Times New Roman" w:cs="Times New Roman"/>
          <w:noProof/>
          <w:sz w:val="24"/>
          <w:szCs w:val="24"/>
          <w:lang w:val="en-US"/>
        </w:rPr>
      </w:pPr>
      <w:r w:rsidRPr="005A2D50">
        <w:rPr>
          <w:rFonts w:ascii="Times New Roman" w:hAnsi="Times New Roman"/>
          <w:noProof/>
          <w:sz w:val="24"/>
          <w:lang w:val="en-US"/>
        </w:rPr>
        <w:t>To preču maksimālā vērtība, uz kurām var attiekties IP procedūra, saskaņā ar darījumdarbības apjomu</w:t>
      </w:r>
      <w:r w:rsidRPr="005A2D50">
        <w:rPr>
          <w:rFonts w:ascii="Times New Roman" w:hAnsi="Times New Roman" w:cs="Times New Roman"/>
          <w:noProof/>
          <w:sz w:val="24"/>
          <w:szCs w:val="24"/>
          <w:vertAlign w:val="superscript"/>
          <w:lang w:val="en-US"/>
        </w:rPr>
        <w:footnoteReference w:id="17"/>
      </w:r>
      <w:r w:rsidRPr="005A2D50">
        <w:rPr>
          <w:rFonts w:ascii="Times New Roman" w:hAnsi="Times New Roman" w:cs="Times New Roman"/>
          <w:noProof/>
          <w:sz w:val="24"/>
          <w:szCs w:val="24"/>
          <w:vertAlign w:val="superscript"/>
          <w:lang w:val="en-US"/>
        </w:rPr>
        <w:t xml:space="preserve"> </w:t>
      </w:r>
      <w:r w:rsidRPr="005A2D50">
        <w:rPr>
          <w:rFonts w:ascii="Times New Roman" w:hAnsi="Times New Roman"/>
          <w:noProof/>
          <w:sz w:val="24"/>
          <w:lang w:val="en-US"/>
        </w:rPr>
        <w:t>= 50 000 EUR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502"/>
        <w:gridCol w:w="3629"/>
      </w:tblGrid>
      <w:tr w:rsidR="005A2D50" w:rsidRPr="005A2D50" w14:paraId="58712EEA" w14:textId="77777777" w:rsidTr="00F14166">
        <w:tc>
          <w:tcPr>
            <w:tcW w:w="3013" w:type="pct"/>
          </w:tcPr>
          <w:p w14:paraId="79D0BD79" w14:textId="77777777" w:rsidR="005A2D50" w:rsidRPr="005A2D50" w:rsidRDefault="005A2D50" w:rsidP="00F14166">
            <w:pPr>
              <w:tabs>
                <w:tab w:val="left" w:pos="5886"/>
              </w:tabs>
              <w:jc w:val="both"/>
              <w:rPr>
                <w:rFonts w:ascii="Times New Roman" w:hAnsi="Times New Roman"/>
                <w:noProof/>
                <w:sz w:val="24"/>
                <w:lang w:val="en-US"/>
              </w:rPr>
            </w:pPr>
            <w:r w:rsidRPr="005A2D50">
              <w:rPr>
                <w:rFonts w:ascii="Times New Roman" w:hAnsi="Times New Roman"/>
                <w:noProof/>
                <w:sz w:val="24"/>
                <w:lang w:val="en-US"/>
              </w:rPr>
              <w:t>Atsauces summas daļa, kas sedz ievedmuitas nodokli:</w:t>
            </w:r>
          </w:p>
        </w:tc>
        <w:tc>
          <w:tcPr>
            <w:tcW w:w="1987" w:type="pct"/>
          </w:tcPr>
          <w:p w14:paraId="5801CF0E" w14:textId="77777777" w:rsidR="005A2D50" w:rsidRPr="005A2D50" w:rsidRDefault="005A2D50" w:rsidP="00F14166">
            <w:pPr>
              <w:tabs>
                <w:tab w:val="left" w:pos="5886"/>
              </w:tabs>
              <w:jc w:val="right"/>
              <w:rPr>
                <w:rFonts w:ascii="Times New Roman" w:hAnsi="Times New Roman"/>
                <w:noProof/>
                <w:sz w:val="24"/>
                <w:lang w:val="en-US"/>
              </w:rPr>
            </w:pPr>
            <w:r w:rsidRPr="005A2D50">
              <w:rPr>
                <w:rFonts w:ascii="Times New Roman" w:hAnsi="Times New Roman"/>
                <w:noProof/>
                <w:sz w:val="24"/>
                <w:lang w:val="en-US"/>
              </w:rPr>
              <w:t>50 000 EUR x 10 % = 5000 EUR</w:t>
            </w:r>
          </w:p>
        </w:tc>
      </w:tr>
      <w:tr w:rsidR="005A2D50" w:rsidRPr="005A2D50" w14:paraId="6020B98F" w14:textId="77777777" w:rsidTr="00F14166">
        <w:tc>
          <w:tcPr>
            <w:tcW w:w="3013" w:type="pct"/>
          </w:tcPr>
          <w:p w14:paraId="0921B741" w14:textId="77777777" w:rsidR="005A2D50" w:rsidRPr="005A2D50" w:rsidRDefault="005A2D50" w:rsidP="00F14166">
            <w:pPr>
              <w:tabs>
                <w:tab w:val="left" w:pos="5886"/>
              </w:tabs>
              <w:jc w:val="both"/>
              <w:rPr>
                <w:rFonts w:ascii="Times New Roman" w:hAnsi="Times New Roman"/>
                <w:noProof/>
                <w:sz w:val="24"/>
                <w:lang w:val="en-US"/>
              </w:rPr>
            </w:pPr>
            <w:r w:rsidRPr="005A2D50">
              <w:rPr>
                <w:rFonts w:ascii="Times New Roman" w:hAnsi="Times New Roman"/>
                <w:noProof/>
                <w:sz w:val="24"/>
                <w:lang w:val="en-US"/>
              </w:rPr>
              <w:t>Atsauces summas daļa, kas sedz pārējos maksājumus:</w:t>
            </w:r>
          </w:p>
        </w:tc>
        <w:tc>
          <w:tcPr>
            <w:tcW w:w="1987" w:type="pct"/>
            <w:vAlign w:val="bottom"/>
          </w:tcPr>
          <w:p w14:paraId="6D7FEFD5" w14:textId="77777777" w:rsidR="005A2D50" w:rsidRPr="005A2D50" w:rsidRDefault="005A2D50" w:rsidP="00F14166">
            <w:pPr>
              <w:tabs>
                <w:tab w:val="left" w:pos="5886"/>
              </w:tabs>
              <w:jc w:val="right"/>
              <w:rPr>
                <w:rFonts w:ascii="Times New Roman" w:hAnsi="Times New Roman"/>
                <w:noProof/>
                <w:sz w:val="24"/>
                <w:lang w:val="en-US"/>
              </w:rPr>
            </w:pPr>
            <w:r w:rsidRPr="005A2D50">
              <w:rPr>
                <w:rFonts w:ascii="Times New Roman" w:hAnsi="Times New Roman"/>
                <w:noProof/>
                <w:sz w:val="24"/>
                <w:lang w:val="en-US"/>
              </w:rPr>
              <w:t>55 000 EUR x 20 % = 11 000 EUR</w:t>
            </w:r>
          </w:p>
        </w:tc>
      </w:tr>
      <w:tr w:rsidR="005A2D50" w:rsidRPr="005A2D50" w14:paraId="7F8B5EEC" w14:textId="77777777" w:rsidTr="00F14166">
        <w:tc>
          <w:tcPr>
            <w:tcW w:w="3013" w:type="pct"/>
          </w:tcPr>
          <w:p w14:paraId="627B9477" w14:textId="77777777" w:rsidR="005A2D50" w:rsidRPr="005A2D50" w:rsidRDefault="005A2D50" w:rsidP="00F14166">
            <w:pPr>
              <w:numPr>
                <w:ilvl w:val="0"/>
                <w:numId w:val="28"/>
              </w:numPr>
              <w:tabs>
                <w:tab w:val="left" w:pos="488"/>
                <w:tab w:val="left" w:pos="8046"/>
              </w:tabs>
              <w:ind w:left="0" w:firstLine="0"/>
              <w:jc w:val="both"/>
              <w:rPr>
                <w:rFonts w:ascii="Times New Roman" w:hAnsi="Times New Roman"/>
                <w:noProof/>
                <w:sz w:val="24"/>
                <w:lang w:val="en-US"/>
              </w:rPr>
            </w:pPr>
            <w:r w:rsidRPr="005A2D50">
              <w:rPr>
                <w:rFonts w:ascii="Times New Roman" w:hAnsi="Times New Roman"/>
                <w:noProof/>
                <w:sz w:val="24"/>
                <w:lang w:val="en-US"/>
              </w:rPr>
              <w:t>Galvojuma atsauces summa:</w:t>
            </w:r>
          </w:p>
        </w:tc>
        <w:tc>
          <w:tcPr>
            <w:tcW w:w="1987" w:type="pct"/>
          </w:tcPr>
          <w:p w14:paraId="39FB7A30" w14:textId="77777777" w:rsidR="005A2D50" w:rsidRPr="005A2D50" w:rsidRDefault="005A2D50" w:rsidP="00F14166">
            <w:pPr>
              <w:tabs>
                <w:tab w:val="left" w:pos="5886"/>
              </w:tabs>
              <w:jc w:val="right"/>
              <w:rPr>
                <w:rFonts w:ascii="Times New Roman" w:hAnsi="Times New Roman"/>
                <w:noProof/>
                <w:sz w:val="24"/>
                <w:lang w:val="en-US"/>
              </w:rPr>
            </w:pPr>
            <w:r w:rsidRPr="005A2D50">
              <w:rPr>
                <w:rFonts w:ascii="Times New Roman" w:hAnsi="Times New Roman"/>
                <w:noProof/>
                <w:sz w:val="24"/>
                <w:lang w:val="en-US"/>
              </w:rPr>
              <w:t>16 000 EUR</w:t>
            </w:r>
          </w:p>
        </w:tc>
      </w:tr>
    </w:tbl>
    <w:p w14:paraId="20C57B9F" w14:textId="77777777" w:rsidR="005A2D50" w:rsidRPr="005A2D50" w:rsidRDefault="005A2D50" w:rsidP="005A2D50">
      <w:pPr>
        <w:pStyle w:val="BodyText"/>
        <w:rPr>
          <w:lang w:val="en-US"/>
        </w:rPr>
      </w:pPr>
      <w:r w:rsidRPr="005A2D50">
        <w:rPr>
          <w:lang w:val="en-US"/>
        </w:rPr>
        <w:t>Atsauces summa ir attiecīgā maksimālā summa = 16 000 EUR, kas atbilst muitas parāda un citu maksājumu summai par precēm, kurām piemēro IP procedūru un kurām konkrētajā brīdī nepiemēro nākamo muitas procedūru. Šī summa varētu atbilst vienai vai vairākām MD.</w:t>
      </w:r>
    </w:p>
    <w:p w14:paraId="53244E37" w14:textId="77777777" w:rsidR="005A2D50" w:rsidRPr="005A2D50" w:rsidRDefault="005A2D50" w:rsidP="005A2D50">
      <w:pPr>
        <w:pStyle w:val="BodyText"/>
        <w:rPr>
          <w:lang w:val="en-US"/>
        </w:rPr>
      </w:pPr>
    </w:p>
    <w:p w14:paraId="32D96A73" w14:textId="77777777" w:rsidR="005A2D50" w:rsidRPr="005A2D50" w:rsidRDefault="005A2D50" w:rsidP="005A2D50">
      <w:pPr>
        <w:pStyle w:val="BodyText"/>
        <w:rPr>
          <w:lang w:val="en-US"/>
        </w:rPr>
      </w:pPr>
      <w:r w:rsidRPr="005A2D50">
        <w:rPr>
          <w:lang w:val="en-US"/>
        </w:rPr>
        <w:t>Iepriekšējā piemērā attēlots tas, ka galvojums jāsniedz vienīgi par tām precēm, kam faktiski var piemērot IP procedūru, nevis par tām precēm, kurām šādas procedūras piemērošana ir teorētiski iespējama. Citiem vārdiem sakot, jāņem vērā faktiskā situācija, t. i., to preču aprēķinātā vērtība, kas atbilst MD, kas sagatavotas IP procedūrai, un aprēķinātā vērtība, kas atbilst darījumiem, ar ko IP procedūras tiek pabeigtas (SMK 215. panta 1. punkts), kopā ar to attīstību pārskata periodā, kā to parāda tās personas tirdzniecības dokumentācija un uzskaites reģistri, kurai prasīts sniegt galvojumu (ĪA 155. panta 4. punkts).</w:t>
      </w:r>
    </w:p>
    <w:p w14:paraId="59D588C8" w14:textId="77777777" w:rsidR="005A2D50" w:rsidRPr="005A2D50" w:rsidRDefault="005A2D50" w:rsidP="005A2D50">
      <w:pPr>
        <w:pStyle w:val="BodyText"/>
        <w:rPr>
          <w:lang w:val="en-US"/>
        </w:rPr>
      </w:pPr>
      <w:r w:rsidRPr="005A2D50">
        <w:rPr>
          <w:lang w:val="en-US"/>
        </w:rPr>
        <w:t>Nosakot to attiecīgo preču vērtību, kurām piemēro IP procedūru, ir jāņem vērā arī iepriekšējos 12 mēnešos veikto IP darbību vēsturiskie dati.</w:t>
      </w:r>
    </w:p>
    <w:p w14:paraId="6FED33AD" w14:textId="77777777" w:rsidR="005A2D50" w:rsidRPr="005A2D50" w:rsidRDefault="005A2D50" w:rsidP="005A2D50">
      <w:pPr>
        <w:pStyle w:val="BodyText"/>
        <w:rPr>
          <w:lang w:val="en-US"/>
        </w:rPr>
      </w:pPr>
    </w:p>
    <w:p w14:paraId="79E45793" w14:textId="77777777" w:rsidR="005A2D50" w:rsidRPr="005A2D50" w:rsidRDefault="005A2D50" w:rsidP="005A2D50">
      <w:pPr>
        <w:pStyle w:val="BodyText"/>
        <w:rPr>
          <w:b/>
          <w:bCs/>
          <w:lang w:val="en-US"/>
        </w:rPr>
      </w:pPr>
      <w:r w:rsidRPr="005A2D50">
        <w:rPr>
          <w:b/>
          <w:bCs/>
          <w:lang w:val="en-US"/>
        </w:rPr>
        <w:t>b) Muitas procedūra ievešanai noliktavā</w:t>
      </w:r>
    </w:p>
    <w:p w14:paraId="4800999D" w14:textId="77777777" w:rsidR="005A2D50" w:rsidRPr="005A2D50" w:rsidRDefault="005A2D50" w:rsidP="005A2D50">
      <w:pPr>
        <w:jc w:val="both"/>
        <w:rPr>
          <w:rFonts w:ascii="Times New Roman" w:eastAsia="Times New Roman" w:hAnsi="Times New Roman" w:cs="Times New Roman"/>
          <w:i/>
          <w:noProof/>
          <w:sz w:val="24"/>
          <w:szCs w:val="24"/>
          <w:u w:val="single" w:color="000000"/>
          <w:lang w:val="en-US"/>
        </w:rPr>
      </w:pPr>
    </w:p>
    <w:p w14:paraId="5A11F593" w14:textId="77777777" w:rsidR="005A2D50" w:rsidRPr="005A2D50" w:rsidRDefault="005A2D50" w:rsidP="005A2D50">
      <w:pPr>
        <w:jc w:val="both"/>
        <w:rPr>
          <w:rFonts w:ascii="Times New Roman" w:eastAsia="Times New Roman" w:hAnsi="Times New Roman" w:cs="Times New Roman"/>
          <w:iCs/>
          <w:noProof/>
          <w:sz w:val="24"/>
          <w:szCs w:val="24"/>
          <w:u w:val="thick" w:color="000000"/>
          <w:lang w:val="en-US"/>
        </w:rPr>
      </w:pPr>
      <w:r w:rsidRPr="005A2D50">
        <w:rPr>
          <w:rFonts w:ascii="Times New Roman" w:hAnsi="Times New Roman"/>
          <w:i/>
          <w:noProof/>
          <w:sz w:val="24"/>
          <w:u w:val="single"/>
          <w:lang w:val="en-US"/>
        </w:rPr>
        <w:t>1. variants. Aprēķināšanas metode, ja ir pieejami uzskaites un aplēšu dati (</w:t>
      </w:r>
      <w:r w:rsidRPr="005A2D50">
        <w:rPr>
          <w:rFonts w:ascii="Times New Roman" w:hAnsi="Times New Roman"/>
          <w:b/>
          <w:bCs/>
          <w:i/>
          <w:noProof/>
          <w:sz w:val="24"/>
          <w:u w:val="single"/>
          <w:lang w:val="en-US"/>
        </w:rPr>
        <w:t>šo metodi var piemērot tikai tad, ja ir vienota to preču vērtības sadale, kurām iepriekšējā 12 mēnešu perioda laikā piemēro muitas procedūru ievešanai noliktavā</w:t>
      </w:r>
      <w:r w:rsidRPr="005A2D50">
        <w:rPr>
          <w:rFonts w:ascii="Times New Roman" w:hAnsi="Times New Roman"/>
          <w:i/>
          <w:noProof/>
          <w:sz w:val="24"/>
          <w:u w:val="single"/>
          <w:lang w:val="en-US"/>
        </w:rPr>
        <w:t>)</w:t>
      </w:r>
    </w:p>
    <w:p w14:paraId="7E06E490" w14:textId="77777777" w:rsidR="005A2D50" w:rsidRPr="005A2D50" w:rsidRDefault="005A2D50" w:rsidP="005A2D50">
      <w:pPr>
        <w:jc w:val="both"/>
        <w:rPr>
          <w:rFonts w:ascii="Times New Roman" w:eastAsia="Times New Roman" w:hAnsi="Times New Roman" w:cs="Times New Roman"/>
          <w:iCs/>
          <w:noProof/>
          <w:sz w:val="24"/>
          <w:szCs w:val="24"/>
          <w:u w:val="single" w:color="000000"/>
          <w:lang w:val="en-US"/>
        </w:rPr>
      </w:pPr>
    </w:p>
    <w:p w14:paraId="697B522F" w14:textId="77777777" w:rsidR="005A2D50" w:rsidRPr="005A2D50" w:rsidRDefault="005A2D50" w:rsidP="005A2D50">
      <w:pPr>
        <w:pStyle w:val="BodyText"/>
        <w:numPr>
          <w:ilvl w:val="1"/>
          <w:numId w:val="29"/>
        </w:numPr>
        <w:tabs>
          <w:tab w:val="left" w:pos="851"/>
        </w:tabs>
        <w:ind w:left="284" w:firstLine="0"/>
        <w:rPr>
          <w:rFonts w:eastAsia="Times New Roman"/>
          <w:lang w:val="en-US"/>
        </w:rPr>
      </w:pPr>
      <w:r w:rsidRPr="005A2D50">
        <w:rPr>
          <w:lang w:val="en-US"/>
        </w:rPr>
        <w:t xml:space="preserve">Tiek aprēķināts, ka to preču kopējā vērtība, kurām piemērojama muitas procedūra ievešanai noliktavā, </w:t>
      </w:r>
      <w:r w:rsidRPr="005A2D50">
        <w:rPr>
          <w:b/>
          <w:bCs/>
          <w:u w:val="single"/>
          <w:lang w:val="en-US"/>
        </w:rPr>
        <w:t xml:space="preserve">viena gada laikā </w:t>
      </w:r>
      <w:r w:rsidRPr="005A2D50">
        <w:rPr>
          <w:lang w:val="en-US"/>
        </w:rPr>
        <w:t>sasniegs: 50 000 000 EUR</w:t>
      </w:r>
    </w:p>
    <w:p w14:paraId="3B0CC83D" w14:textId="77777777" w:rsidR="005A2D50" w:rsidRPr="005A2D50" w:rsidRDefault="005A2D50" w:rsidP="005A2D50">
      <w:pPr>
        <w:pStyle w:val="BodyText"/>
        <w:numPr>
          <w:ilvl w:val="1"/>
          <w:numId w:val="29"/>
        </w:numPr>
        <w:tabs>
          <w:tab w:val="left" w:pos="851"/>
        </w:tabs>
        <w:ind w:left="284" w:firstLine="0"/>
        <w:rPr>
          <w:lang w:val="en-US"/>
        </w:rPr>
      </w:pPr>
      <w:r w:rsidRPr="005A2D50">
        <w:rPr>
          <w:lang w:val="en-US"/>
        </w:rPr>
        <w:t>Maksimālā nodokļa likme, ko piemēro muitas noliktavā uzglabātām precēm: 10 %</w:t>
      </w:r>
    </w:p>
    <w:p w14:paraId="746AACF7" w14:textId="77777777" w:rsidR="005A2D50" w:rsidRPr="005A2D50" w:rsidRDefault="005A2D50" w:rsidP="005A2D50">
      <w:pPr>
        <w:pStyle w:val="BodyText"/>
        <w:numPr>
          <w:ilvl w:val="1"/>
          <w:numId w:val="29"/>
        </w:numPr>
        <w:tabs>
          <w:tab w:val="left" w:pos="851"/>
        </w:tabs>
        <w:ind w:left="284" w:firstLine="0"/>
        <w:rPr>
          <w:lang w:val="en-US"/>
        </w:rPr>
      </w:pPr>
      <w:r w:rsidRPr="005A2D50">
        <w:rPr>
          <w:lang w:val="en-US"/>
        </w:rPr>
        <w:t>Maksimālais noslēgšanas laikposms: 2 nedēļas</w:t>
      </w:r>
    </w:p>
    <w:p w14:paraId="3B7A73A5" w14:textId="77777777" w:rsidR="005A2D50" w:rsidRPr="005A2D50" w:rsidRDefault="005A2D50" w:rsidP="005A2D50">
      <w:pPr>
        <w:pStyle w:val="BodyText"/>
        <w:numPr>
          <w:ilvl w:val="1"/>
          <w:numId w:val="29"/>
        </w:numPr>
        <w:tabs>
          <w:tab w:val="left" w:pos="851"/>
        </w:tabs>
        <w:ind w:left="284" w:firstLine="0"/>
        <w:rPr>
          <w:lang w:val="en-US"/>
        </w:rPr>
      </w:pPr>
      <w:r w:rsidRPr="005A2D50">
        <w:rPr>
          <w:lang w:val="en-US"/>
        </w:rPr>
        <w:t>Nodokļa risks gadā: 50 000 000 EUR x 10 % = 5 000 000 EUR</w:t>
      </w:r>
    </w:p>
    <w:p w14:paraId="63B35AC7" w14:textId="77777777" w:rsidR="005A2D50" w:rsidRPr="005A2D50" w:rsidRDefault="005A2D50" w:rsidP="005A2D50">
      <w:pPr>
        <w:pStyle w:val="BodyText"/>
        <w:numPr>
          <w:ilvl w:val="1"/>
          <w:numId w:val="29"/>
        </w:numPr>
        <w:tabs>
          <w:tab w:val="left" w:pos="851"/>
        </w:tabs>
        <w:ind w:left="284" w:firstLine="0"/>
        <w:rPr>
          <w:lang w:val="en-US"/>
        </w:rPr>
      </w:pPr>
      <w:r w:rsidRPr="005A2D50">
        <w:rPr>
          <w:lang w:val="en-US"/>
        </w:rPr>
        <w:t>Nodokļa risks nedēļā: 5 000 000 EUR / 52 nedēļas = 96 150 EUR</w:t>
      </w:r>
    </w:p>
    <w:p w14:paraId="72AE7C53" w14:textId="77777777" w:rsidR="005A2D50" w:rsidRPr="005A2D50" w:rsidRDefault="005A2D50" w:rsidP="005A2D50">
      <w:pPr>
        <w:pStyle w:val="BodyText"/>
        <w:numPr>
          <w:ilvl w:val="1"/>
          <w:numId w:val="29"/>
        </w:numPr>
        <w:tabs>
          <w:tab w:val="left" w:pos="851"/>
        </w:tabs>
        <w:ind w:left="284" w:firstLine="0"/>
        <w:rPr>
          <w:lang w:val="en-US"/>
        </w:rPr>
      </w:pPr>
      <w:r w:rsidRPr="005A2D50">
        <w:rPr>
          <w:lang w:val="en-US"/>
        </w:rPr>
        <w:t>Atsauces summa: 96 150 EUR x 2 nedēļas = 192 300 EUR</w:t>
      </w:r>
    </w:p>
    <w:p w14:paraId="2AE47BE8" w14:textId="77777777" w:rsidR="005A2D50" w:rsidRPr="005A2D50" w:rsidRDefault="005A2D50" w:rsidP="005A2D50">
      <w:pPr>
        <w:jc w:val="both"/>
        <w:rPr>
          <w:rFonts w:ascii="Times New Roman" w:eastAsia="Times New Roman" w:hAnsi="Times New Roman" w:cs="Times New Roman"/>
          <w:i/>
          <w:noProof/>
          <w:sz w:val="24"/>
          <w:szCs w:val="24"/>
          <w:u w:val="single" w:color="000000"/>
          <w:lang w:val="en-US"/>
        </w:rPr>
      </w:pPr>
    </w:p>
    <w:p w14:paraId="1A724195" w14:textId="77777777" w:rsidR="005A2D50" w:rsidRPr="005A2D50" w:rsidRDefault="005A2D50" w:rsidP="005A2D50">
      <w:pPr>
        <w:jc w:val="both"/>
        <w:rPr>
          <w:rFonts w:ascii="Times New Roman" w:hAnsi="Times New Roman"/>
          <w:i/>
          <w:noProof/>
          <w:sz w:val="24"/>
          <w:u w:val="single" w:color="000000"/>
          <w:lang w:val="en-US"/>
        </w:rPr>
      </w:pPr>
      <w:r w:rsidRPr="005A2D50">
        <w:rPr>
          <w:rFonts w:ascii="Times New Roman" w:hAnsi="Times New Roman"/>
          <w:i/>
          <w:noProof/>
          <w:sz w:val="24"/>
          <w:u w:val="single" w:color="000000"/>
          <w:lang w:val="en-US"/>
        </w:rPr>
        <w:t>2. variants. Nav pieejami vēsturiskie dati, bet ir pieejams aprēķins</w:t>
      </w:r>
    </w:p>
    <w:p w14:paraId="2C4AC3DA" w14:textId="77777777" w:rsidR="005A2D50" w:rsidRPr="005A2D50" w:rsidRDefault="005A2D50" w:rsidP="005A2D50">
      <w:pPr>
        <w:jc w:val="both"/>
        <w:rPr>
          <w:rFonts w:ascii="Times New Roman" w:eastAsia="Times New Roman" w:hAnsi="Times New Roman" w:cs="Times New Roman"/>
          <w:i/>
          <w:noProof/>
          <w:sz w:val="24"/>
          <w:szCs w:val="24"/>
          <w:lang w:val="en-US"/>
        </w:rPr>
      </w:pPr>
    </w:p>
    <w:p w14:paraId="4B484A0D" w14:textId="77777777" w:rsidR="005A2D50" w:rsidRPr="005A2D50" w:rsidRDefault="005A2D50" w:rsidP="005A2D50">
      <w:pPr>
        <w:pStyle w:val="BodyText"/>
        <w:rPr>
          <w:lang w:val="en-US"/>
        </w:rPr>
      </w:pPr>
      <w:r w:rsidRPr="005A2D50">
        <w:rPr>
          <w:lang w:val="en-US"/>
        </w:rPr>
        <w:t>Atsauces summa jānosaka, pamatojoties uz to preču vērtību, kurām var piemērot muitas procedūru ievešanai noliktavā atbilstoši uzglabāšanas kapacitātei uzglabāšanas vietā un konkrētās uzglabāšanas vietas darījumdarbības apjoma novērtējumam.</w:t>
      </w:r>
    </w:p>
    <w:p w14:paraId="2F4DB5FB" w14:textId="77777777" w:rsidR="005A2D50" w:rsidRPr="005A2D50" w:rsidRDefault="005A2D50" w:rsidP="005A2D50">
      <w:pPr>
        <w:pStyle w:val="BodyText"/>
        <w:rPr>
          <w:lang w:val="en-US"/>
        </w:rPr>
      </w:pPr>
    </w:p>
    <w:p w14:paraId="534B2F2E" w14:textId="77777777" w:rsidR="005A2D50" w:rsidRPr="005A2D50" w:rsidRDefault="005A2D50" w:rsidP="005A2D50">
      <w:pPr>
        <w:pStyle w:val="BodyText"/>
        <w:numPr>
          <w:ilvl w:val="1"/>
          <w:numId w:val="29"/>
        </w:numPr>
        <w:tabs>
          <w:tab w:val="left" w:pos="851"/>
        </w:tabs>
        <w:ind w:left="284" w:firstLine="0"/>
        <w:rPr>
          <w:rFonts w:eastAsia="Times New Roman"/>
          <w:lang w:val="en-US"/>
        </w:rPr>
      </w:pPr>
      <w:r w:rsidRPr="005A2D50">
        <w:rPr>
          <w:lang w:val="en-US"/>
        </w:rPr>
        <w:t xml:space="preserve">Tiek aprēķināts, ka to preču kopējā vērtība, kurām jāpiemēro muitas procedūra ievešanai noliktavā, </w:t>
      </w:r>
      <w:r w:rsidRPr="005A2D50">
        <w:rPr>
          <w:b/>
          <w:bCs/>
          <w:u w:val="single"/>
          <w:lang w:val="en-US"/>
        </w:rPr>
        <w:t xml:space="preserve">viena gada laikā </w:t>
      </w:r>
      <w:r w:rsidRPr="005A2D50">
        <w:rPr>
          <w:lang w:val="en-US"/>
        </w:rPr>
        <w:t>sasniegs: 5 000 000 EUR</w:t>
      </w:r>
    </w:p>
    <w:p w14:paraId="065DDF1E" w14:textId="77777777" w:rsidR="005A2D50" w:rsidRPr="005A2D50" w:rsidRDefault="005A2D50" w:rsidP="005A2D50">
      <w:pPr>
        <w:pStyle w:val="BodyText"/>
        <w:numPr>
          <w:ilvl w:val="1"/>
          <w:numId w:val="29"/>
        </w:numPr>
        <w:tabs>
          <w:tab w:val="left" w:pos="851"/>
        </w:tabs>
        <w:ind w:left="284" w:firstLine="0"/>
        <w:rPr>
          <w:lang w:val="en-US"/>
        </w:rPr>
      </w:pPr>
      <w:r w:rsidRPr="005A2D50">
        <w:rPr>
          <w:lang w:val="en-US"/>
        </w:rPr>
        <w:t>Maksimālā to attiecīgo preču vērtība, kurām var piemērot muitas procedūru ievešanai noliktavā atbilstoši uzglabāšanas jaudai un darījumdarbības apjoma novērtējumam: 1 000 000 EUR</w:t>
      </w:r>
    </w:p>
    <w:p w14:paraId="5A45287C" w14:textId="77777777" w:rsidR="005A2D50" w:rsidRPr="005A2D50" w:rsidRDefault="005A2D50" w:rsidP="005A2D50">
      <w:pPr>
        <w:pStyle w:val="BodyText"/>
        <w:numPr>
          <w:ilvl w:val="1"/>
          <w:numId w:val="29"/>
        </w:numPr>
        <w:tabs>
          <w:tab w:val="left" w:pos="851"/>
        </w:tabs>
        <w:ind w:left="284" w:firstLine="0"/>
        <w:rPr>
          <w:lang w:val="en-US"/>
        </w:rPr>
      </w:pPr>
      <w:r w:rsidRPr="005A2D50">
        <w:rPr>
          <w:lang w:val="en-US"/>
        </w:rPr>
        <w:t>Maksimālā nodokļa likme, ko piemēro muitas noliktavā uzglabātām precēm: 10 %</w:t>
      </w:r>
    </w:p>
    <w:p w14:paraId="2A2F0BCB" w14:textId="77777777" w:rsidR="005A2D50" w:rsidRPr="005A2D50" w:rsidRDefault="005A2D50" w:rsidP="005A2D50">
      <w:pPr>
        <w:pStyle w:val="BodyText"/>
        <w:numPr>
          <w:ilvl w:val="1"/>
          <w:numId w:val="29"/>
        </w:numPr>
        <w:tabs>
          <w:tab w:val="left" w:pos="851"/>
        </w:tabs>
        <w:ind w:left="284" w:firstLine="0"/>
        <w:rPr>
          <w:lang w:val="en-US"/>
        </w:rPr>
      </w:pPr>
      <w:r w:rsidRPr="005A2D50">
        <w:rPr>
          <w:lang w:val="en-US"/>
        </w:rPr>
        <w:t>PVN likme (</w:t>
      </w:r>
      <w:r w:rsidRPr="005A2D50">
        <w:rPr>
          <w:i/>
          <w:iCs/>
          <w:lang w:val="en-US"/>
        </w:rPr>
        <w:t xml:space="preserve">COG </w:t>
      </w:r>
      <w:r w:rsidRPr="005A2D50">
        <w:rPr>
          <w:lang w:val="en-US"/>
        </w:rPr>
        <w:t>dalībvalsts augstākā PVN likme): 20 %</w:t>
      </w:r>
    </w:p>
    <w:p w14:paraId="69E4300D" w14:textId="77777777" w:rsidR="005A2D50" w:rsidRPr="005A2D50" w:rsidRDefault="005A2D50" w:rsidP="005A2D50">
      <w:pPr>
        <w:pStyle w:val="BodyText"/>
        <w:numPr>
          <w:ilvl w:val="1"/>
          <w:numId w:val="29"/>
        </w:numPr>
        <w:tabs>
          <w:tab w:val="left" w:pos="851"/>
        </w:tabs>
        <w:ind w:left="284" w:firstLine="0"/>
        <w:rPr>
          <w:lang w:val="en-US"/>
        </w:rPr>
      </w:pPr>
      <w:r w:rsidRPr="005A2D50">
        <w:rPr>
          <w:lang w:val="en-US"/>
        </w:rPr>
        <w:t>Ievedmuitas nodokļa atsauces summas aprēķināšana:</w:t>
      </w:r>
    </w:p>
    <w:p w14:paraId="72146399" w14:textId="77777777" w:rsidR="005A2D50" w:rsidRPr="005A2D50" w:rsidRDefault="005A2D50" w:rsidP="005A2D50">
      <w:pPr>
        <w:pStyle w:val="BodyText"/>
        <w:numPr>
          <w:ilvl w:val="2"/>
          <w:numId w:val="29"/>
        </w:numPr>
        <w:tabs>
          <w:tab w:val="left" w:pos="1134"/>
        </w:tabs>
        <w:ind w:left="567" w:firstLine="0"/>
        <w:rPr>
          <w:lang w:val="en-US"/>
        </w:rPr>
      </w:pPr>
      <w:r w:rsidRPr="005A2D50">
        <w:rPr>
          <w:lang w:val="en-US"/>
        </w:rPr>
        <w:t xml:space="preserve">1 000 000 EUR x 10 % = </w:t>
      </w:r>
      <w:r w:rsidRPr="005A2D50">
        <w:rPr>
          <w:u w:val="single" w:color="000000"/>
          <w:lang w:val="en-US"/>
        </w:rPr>
        <w:t>100 000 </w:t>
      </w:r>
      <w:r w:rsidRPr="005A2D50">
        <w:rPr>
          <w:lang w:val="en-US"/>
        </w:rPr>
        <w:t>EUR</w:t>
      </w:r>
    </w:p>
    <w:p w14:paraId="133DCE9C" w14:textId="77777777" w:rsidR="005A2D50" w:rsidRPr="005A2D50" w:rsidRDefault="005A2D50" w:rsidP="005A2D50">
      <w:pPr>
        <w:pStyle w:val="BodyText"/>
        <w:numPr>
          <w:ilvl w:val="1"/>
          <w:numId w:val="29"/>
        </w:numPr>
        <w:tabs>
          <w:tab w:val="left" w:pos="851"/>
        </w:tabs>
        <w:ind w:left="284" w:firstLine="0"/>
        <w:rPr>
          <w:lang w:val="en-US"/>
        </w:rPr>
      </w:pPr>
      <w:r w:rsidRPr="005A2D50">
        <w:rPr>
          <w:lang w:val="en-US"/>
        </w:rPr>
        <w:t>Pārējiem maksājumiem atbilstošās atsauces summas aprēķināšana:</w:t>
      </w:r>
    </w:p>
    <w:p w14:paraId="452BEB0C" w14:textId="77777777" w:rsidR="005A2D50" w:rsidRPr="005A2D50" w:rsidRDefault="005A2D50" w:rsidP="005A2D50">
      <w:pPr>
        <w:pStyle w:val="BodyText"/>
        <w:numPr>
          <w:ilvl w:val="2"/>
          <w:numId w:val="29"/>
        </w:numPr>
        <w:tabs>
          <w:tab w:val="left" w:pos="1134"/>
        </w:tabs>
        <w:ind w:left="567" w:firstLine="0"/>
        <w:rPr>
          <w:lang w:val="en-US"/>
        </w:rPr>
      </w:pPr>
      <w:r w:rsidRPr="005A2D50">
        <w:rPr>
          <w:lang w:val="en-US"/>
        </w:rPr>
        <w:t>1 100 000 EUR x 20 % = 220 000 EUR</w:t>
      </w:r>
    </w:p>
    <w:p w14:paraId="40E503ED" w14:textId="77777777" w:rsidR="005A2D50" w:rsidRPr="005A2D50" w:rsidRDefault="005A2D50" w:rsidP="005A2D50">
      <w:pPr>
        <w:pStyle w:val="BodyText"/>
        <w:numPr>
          <w:ilvl w:val="1"/>
          <w:numId w:val="29"/>
        </w:numPr>
        <w:tabs>
          <w:tab w:val="left" w:pos="851"/>
        </w:tabs>
        <w:ind w:left="284" w:firstLine="0"/>
        <w:rPr>
          <w:lang w:val="en-US"/>
        </w:rPr>
      </w:pPr>
      <w:r w:rsidRPr="005A2D50">
        <w:rPr>
          <w:lang w:val="en-US"/>
        </w:rPr>
        <w:t xml:space="preserve">Atsauces summa = </w:t>
      </w:r>
      <w:r w:rsidRPr="005A2D50">
        <w:rPr>
          <w:u w:val="single" w:color="000000"/>
          <w:lang w:val="en-US"/>
        </w:rPr>
        <w:t>320 000 </w:t>
      </w:r>
      <w:r w:rsidRPr="005A2D50">
        <w:rPr>
          <w:lang w:val="en-US"/>
        </w:rPr>
        <w:t>EUR</w:t>
      </w:r>
    </w:p>
    <w:p w14:paraId="2CD46966" w14:textId="77777777" w:rsidR="005A2D50" w:rsidRPr="005A2D50" w:rsidRDefault="005A2D50" w:rsidP="005A2D50">
      <w:pPr>
        <w:jc w:val="both"/>
        <w:rPr>
          <w:rFonts w:ascii="Times New Roman" w:eastAsia="Times New Roman" w:hAnsi="Times New Roman" w:cs="Times New Roman"/>
          <w:i/>
          <w:noProof/>
          <w:sz w:val="24"/>
          <w:szCs w:val="24"/>
          <w:u w:val="single" w:color="000000"/>
          <w:lang w:val="en-US"/>
        </w:rPr>
      </w:pPr>
    </w:p>
    <w:p w14:paraId="6BDC40C6" w14:textId="77777777" w:rsidR="005A2D50" w:rsidRPr="005A2D50" w:rsidRDefault="005A2D50" w:rsidP="005A2D50">
      <w:pPr>
        <w:jc w:val="both"/>
        <w:rPr>
          <w:rFonts w:ascii="Times New Roman" w:hAnsi="Times New Roman"/>
          <w:i/>
          <w:noProof/>
          <w:sz w:val="24"/>
          <w:u w:val="single" w:color="000000"/>
          <w:lang w:val="en-US"/>
        </w:rPr>
      </w:pPr>
      <w:r w:rsidRPr="005A2D50">
        <w:rPr>
          <w:rFonts w:ascii="Times New Roman" w:hAnsi="Times New Roman"/>
          <w:i/>
          <w:noProof/>
          <w:sz w:val="24"/>
          <w:u w:val="single" w:color="000000"/>
          <w:lang w:val="en-US"/>
        </w:rPr>
        <w:t>3. variants. Glabāšana tvertnēs</w:t>
      </w:r>
    </w:p>
    <w:p w14:paraId="7BADDA25" w14:textId="77777777" w:rsidR="005A2D50" w:rsidRPr="005A2D50" w:rsidRDefault="005A2D50" w:rsidP="005A2D50">
      <w:pPr>
        <w:jc w:val="both"/>
        <w:rPr>
          <w:rFonts w:ascii="Times New Roman" w:eastAsia="Times New Roman" w:hAnsi="Times New Roman" w:cs="Times New Roman"/>
          <w:i/>
          <w:noProof/>
          <w:sz w:val="24"/>
          <w:szCs w:val="24"/>
          <w:lang w:val="en-US"/>
        </w:rPr>
      </w:pPr>
    </w:p>
    <w:p w14:paraId="5796C523" w14:textId="77777777" w:rsidR="005A2D50" w:rsidRPr="005A2D50" w:rsidRDefault="005A2D50" w:rsidP="005A2D50">
      <w:pPr>
        <w:pStyle w:val="BodyText"/>
        <w:rPr>
          <w:lang w:val="en-US"/>
        </w:rPr>
      </w:pPr>
      <w:r w:rsidRPr="005A2D50">
        <w:rPr>
          <w:lang w:val="en-US"/>
        </w:rPr>
        <w:t>Tādu muitas noliktavu operatoriem, kurās uzglabā tvertnes, varētu atļaut izmantot šo vērtēšanas metodi.</w:t>
      </w:r>
    </w:p>
    <w:p w14:paraId="4E15A7C1" w14:textId="77777777" w:rsidR="005A2D50" w:rsidRPr="005A2D50" w:rsidRDefault="005A2D50" w:rsidP="005A2D50">
      <w:pPr>
        <w:pStyle w:val="BodyText"/>
        <w:rPr>
          <w:lang w:val="en-US"/>
        </w:rPr>
      </w:pPr>
    </w:p>
    <w:p w14:paraId="2FD1815D" w14:textId="77777777" w:rsidR="005A2D50" w:rsidRPr="005A2D50" w:rsidRDefault="005A2D50" w:rsidP="005A2D50">
      <w:pPr>
        <w:pStyle w:val="BodyText"/>
        <w:rPr>
          <w:lang w:val="en-US"/>
        </w:rPr>
      </w:pPr>
      <w:r w:rsidRPr="005A2D50">
        <w:rPr>
          <w:lang w:val="en-US"/>
        </w:rPr>
        <w:t>Muitas noliktavā glabāto tvertņu skaitu var noteikt atkarībā no uzglabāšanas jaudas vai aprēķināt kā maksimālos krājumus minētajā uzglabāšanas vietā, pamatojoties uz darījumdarbības apjoma novērtējumu.</w:t>
      </w:r>
    </w:p>
    <w:p w14:paraId="135C95FE" w14:textId="77777777" w:rsidR="005A2D50" w:rsidRPr="005A2D50" w:rsidRDefault="005A2D50" w:rsidP="005A2D50">
      <w:pPr>
        <w:pStyle w:val="BodyText"/>
        <w:rPr>
          <w:lang w:val="en-US"/>
        </w:rPr>
      </w:pPr>
    </w:p>
    <w:p w14:paraId="61F2F681" w14:textId="77777777" w:rsidR="005A2D50" w:rsidRPr="005A2D50" w:rsidRDefault="005A2D50" w:rsidP="005A2D50">
      <w:pPr>
        <w:pStyle w:val="BodyText"/>
        <w:rPr>
          <w:lang w:val="en-US"/>
        </w:rPr>
      </w:pPr>
      <w:r w:rsidRPr="005A2D50">
        <w:rPr>
          <w:lang w:val="en-US"/>
        </w:rPr>
        <w:t>Vienas tvertnes vērtība varētu būt aprēķinātā vidējā summa vai apdrošināšanas vērtība vienai tvertnei.</w:t>
      </w:r>
    </w:p>
    <w:p w14:paraId="40E7ACC6" w14:textId="77777777" w:rsidR="005A2D50" w:rsidRPr="005A2D50" w:rsidRDefault="005A2D50" w:rsidP="005A2D50">
      <w:pPr>
        <w:pStyle w:val="BodyText"/>
        <w:rPr>
          <w:lang w:val="en-US"/>
        </w:rPr>
      </w:pPr>
    </w:p>
    <w:p w14:paraId="12DBEFB7" w14:textId="77777777" w:rsidR="005A2D50" w:rsidRPr="005A2D50" w:rsidRDefault="005A2D50" w:rsidP="005A2D50">
      <w:pPr>
        <w:pStyle w:val="BodyText"/>
        <w:numPr>
          <w:ilvl w:val="1"/>
          <w:numId w:val="29"/>
        </w:numPr>
        <w:tabs>
          <w:tab w:val="left" w:pos="851"/>
        </w:tabs>
        <w:ind w:left="284" w:firstLine="0"/>
        <w:rPr>
          <w:lang w:val="en-US"/>
        </w:rPr>
      </w:pPr>
      <w:r w:rsidRPr="005A2D50">
        <w:rPr>
          <w:lang w:val="en-US"/>
        </w:rPr>
        <w:t>Maksimālais attiecīgo tvertņu skaits, ko var uzglabāt muitas noliktavā: 1000</w:t>
      </w:r>
    </w:p>
    <w:p w14:paraId="1A87F369" w14:textId="77777777" w:rsidR="005A2D50" w:rsidRPr="005A2D50" w:rsidRDefault="005A2D50" w:rsidP="005A2D50">
      <w:pPr>
        <w:pStyle w:val="BodyText"/>
        <w:numPr>
          <w:ilvl w:val="1"/>
          <w:numId w:val="29"/>
        </w:numPr>
        <w:tabs>
          <w:tab w:val="left" w:pos="851"/>
        </w:tabs>
        <w:ind w:left="284" w:firstLine="0"/>
        <w:rPr>
          <w:lang w:val="en-US"/>
        </w:rPr>
      </w:pPr>
      <w:r w:rsidRPr="005A2D50">
        <w:rPr>
          <w:lang w:val="en-US"/>
        </w:rPr>
        <w:t>Preču vērtība (t. i., apdrošināšanas summa) vienā tvertnē: 10 000 EUR</w:t>
      </w:r>
    </w:p>
    <w:p w14:paraId="6C91B1E6" w14:textId="77777777" w:rsidR="005A2D50" w:rsidRPr="005A2D50" w:rsidRDefault="005A2D50" w:rsidP="005A2D50">
      <w:pPr>
        <w:pStyle w:val="BodyText"/>
        <w:numPr>
          <w:ilvl w:val="1"/>
          <w:numId w:val="29"/>
        </w:numPr>
        <w:tabs>
          <w:tab w:val="left" w:pos="851"/>
        </w:tabs>
        <w:ind w:left="284" w:firstLine="0"/>
        <w:rPr>
          <w:lang w:val="en-US"/>
        </w:rPr>
      </w:pPr>
      <w:r w:rsidRPr="005A2D50">
        <w:rPr>
          <w:lang w:val="en-US"/>
        </w:rPr>
        <w:t>Maksimālā nodokļa likme: 10 %</w:t>
      </w:r>
    </w:p>
    <w:p w14:paraId="2C62AB95" w14:textId="77777777" w:rsidR="005A2D50" w:rsidRPr="005A2D50" w:rsidRDefault="005A2D50" w:rsidP="005A2D50">
      <w:pPr>
        <w:pStyle w:val="BodyText"/>
        <w:numPr>
          <w:ilvl w:val="1"/>
          <w:numId w:val="29"/>
        </w:numPr>
        <w:tabs>
          <w:tab w:val="left" w:pos="851"/>
        </w:tabs>
        <w:ind w:left="284" w:firstLine="0"/>
        <w:rPr>
          <w:lang w:val="en-US"/>
        </w:rPr>
      </w:pPr>
      <w:r w:rsidRPr="005A2D50">
        <w:rPr>
          <w:lang w:val="en-US"/>
        </w:rPr>
        <w:t xml:space="preserve">Atsauces summas aprēķināšana: 10 000 000 EUR x 10 % = </w:t>
      </w:r>
      <w:r w:rsidRPr="005A2D50">
        <w:rPr>
          <w:u w:val="single" w:color="000000"/>
          <w:lang w:val="en-US"/>
        </w:rPr>
        <w:t>1 000 000 </w:t>
      </w:r>
      <w:r w:rsidRPr="005A2D50">
        <w:rPr>
          <w:lang w:val="en-US"/>
        </w:rPr>
        <w:t>EUR</w:t>
      </w:r>
    </w:p>
    <w:p w14:paraId="605D43AD" w14:textId="77777777" w:rsidR="005A2D50" w:rsidRPr="005A2D50" w:rsidRDefault="005A2D50" w:rsidP="005A2D50">
      <w:pPr>
        <w:pStyle w:val="BodyText"/>
        <w:rPr>
          <w:b/>
          <w:bCs/>
          <w:lang w:val="en-US"/>
        </w:rPr>
      </w:pPr>
    </w:p>
    <w:p w14:paraId="74FA27CD" w14:textId="77777777" w:rsidR="005A2D50" w:rsidRPr="005A2D50" w:rsidRDefault="005A2D50" w:rsidP="005A2D50">
      <w:pPr>
        <w:pStyle w:val="BodyText"/>
        <w:rPr>
          <w:b/>
          <w:bCs/>
          <w:lang w:val="en-US"/>
        </w:rPr>
      </w:pPr>
      <w:r w:rsidRPr="005A2D50">
        <w:rPr>
          <w:b/>
          <w:bCs/>
          <w:lang w:val="en-US"/>
        </w:rPr>
        <w:t>c) Pagaidu uzglabāšanas vietas</w:t>
      </w:r>
    </w:p>
    <w:p w14:paraId="3BD5C927" w14:textId="77777777" w:rsidR="005A2D50" w:rsidRPr="005A2D50" w:rsidRDefault="005A2D50" w:rsidP="005A2D50">
      <w:pPr>
        <w:pStyle w:val="BodyText"/>
        <w:rPr>
          <w:lang w:val="en-US"/>
        </w:rPr>
      </w:pPr>
    </w:p>
    <w:p w14:paraId="1392A361" w14:textId="77777777" w:rsidR="005A2D50" w:rsidRPr="005A2D50" w:rsidRDefault="005A2D50" w:rsidP="005A2D50">
      <w:pPr>
        <w:pStyle w:val="BodyText"/>
        <w:rPr>
          <w:lang w:val="en-US"/>
        </w:rPr>
      </w:pPr>
      <w:r w:rsidRPr="005A2D50">
        <w:rPr>
          <w:lang w:val="en-US"/>
        </w:rPr>
        <w:t xml:space="preserve">Lai aprēķinātu atsauces summu </w:t>
      </w:r>
      <w:r w:rsidRPr="005A2D50">
        <w:rPr>
          <w:i/>
          <w:iCs/>
          <w:lang w:val="en-US"/>
        </w:rPr>
        <w:t xml:space="preserve">TS </w:t>
      </w:r>
      <w:r w:rsidRPr="005A2D50">
        <w:rPr>
          <w:lang w:val="en-US"/>
        </w:rPr>
        <w:t>vietām, varētu izmantot tās pašas metodes kā attiecībā uz muitas noliktavām.</w:t>
      </w:r>
    </w:p>
    <w:p w14:paraId="7B927B47" w14:textId="77777777" w:rsidR="005A2D50" w:rsidRPr="005A2D50" w:rsidRDefault="005A2D50" w:rsidP="005A2D50">
      <w:pPr>
        <w:pStyle w:val="BodyText"/>
        <w:rPr>
          <w:lang w:val="en-US"/>
        </w:rPr>
      </w:pPr>
    </w:p>
    <w:p w14:paraId="3D905817" w14:textId="77777777" w:rsidR="005A2D50" w:rsidRPr="005A2D50" w:rsidRDefault="005A2D50" w:rsidP="005A2D50">
      <w:pPr>
        <w:pStyle w:val="Heading2"/>
        <w:rPr>
          <w:noProof/>
          <w:lang w:val="en-US"/>
        </w:rPr>
      </w:pPr>
      <w:bookmarkStart w:id="134" w:name="V.2.4._Monitoring_of_the_reference_amoun"/>
      <w:bookmarkStart w:id="135" w:name="_bookmark38"/>
      <w:bookmarkStart w:id="136" w:name="_Toc104982796"/>
      <w:bookmarkEnd w:id="134"/>
      <w:bookmarkEnd w:id="135"/>
      <w:r w:rsidRPr="005A2D50">
        <w:rPr>
          <w:noProof/>
          <w:lang w:val="en-US"/>
        </w:rPr>
        <w:t>V.2.4. Atsauces summas pārraudzība</w:t>
      </w:r>
      <w:bookmarkEnd w:id="136"/>
    </w:p>
    <w:p w14:paraId="65904996"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6B63FA86" w14:textId="77777777" w:rsidR="005A2D50" w:rsidRPr="005A2D50" w:rsidRDefault="005A2D50" w:rsidP="005A2D50">
      <w:pPr>
        <w:tabs>
          <w:tab w:val="left" w:pos="934"/>
        </w:tabs>
        <w:jc w:val="both"/>
        <w:rPr>
          <w:rFonts w:ascii="Times New Roman" w:hAnsi="Times New Roman"/>
          <w:b/>
          <w:noProof/>
          <w:sz w:val="24"/>
          <w:lang w:val="en-US"/>
        </w:rPr>
      </w:pPr>
      <w:bookmarkStart w:id="137" w:name="V.2.4.1._Monitoring_of_the_reference_amo"/>
      <w:bookmarkEnd w:id="137"/>
      <w:r w:rsidRPr="005A2D50">
        <w:rPr>
          <w:rFonts w:ascii="Times New Roman" w:hAnsi="Times New Roman"/>
          <w:b/>
          <w:noProof/>
          <w:sz w:val="24"/>
          <w:lang w:val="en-US"/>
        </w:rPr>
        <w:t>V.2.4.1. Atsauces summas pārraudzība, ko veic persona, kurai prasīts sniegt galvojumu (ĪA 156. pants)</w:t>
      </w:r>
    </w:p>
    <w:p w14:paraId="758ECA42"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01F22F41" w14:textId="77777777" w:rsidR="005A2D50" w:rsidRPr="005A2D50" w:rsidRDefault="005A2D50" w:rsidP="005A2D50">
      <w:pPr>
        <w:pStyle w:val="BodyText"/>
        <w:rPr>
          <w:lang w:val="en-US"/>
        </w:rPr>
      </w:pPr>
      <w:r w:rsidRPr="005A2D50">
        <w:rPr>
          <w:lang w:val="en-US"/>
        </w:rPr>
        <w:t>Vispārējais princips ir tāds, ka atsauces summa jānosaka pietiekamā apmērā. Tas ļauj jebkurā brīdī segt muitas parādu un citu maksājumu kopsummu. Tas nozīmē, ka uzņēmējs, uzsākot darījumus, kuros muitas parādu vai citu maksājumu summa vairs netiktu segta, nevar pārsniegt atsauces summu.</w:t>
      </w:r>
    </w:p>
    <w:p w14:paraId="430B8C08" w14:textId="77777777" w:rsidR="005A2D50" w:rsidRPr="005A2D50" w:rsidRDefault="005A2D50" w:rsidP="005A2D50">
      <w:pPr>
        <w:pStyle w:val="BodyText"/>
        <w:rPr>
          <w:lang w:val="en-US"/>
        </w:rPr>
      </w:pPr>
      <w:r w:rsidRPr="005A2D50">
        <w:rPr>
          <w:lang w:val="en-US"/>
        </w:rPr>
        <w:t xml:space="preserve">SMK ĪA 156. pants jālasa kā tāds, kurā noteikts, ka gadījumos, ja </w:t>
      </w:r>
      <w:r w:rsidRPr="005A2D50">
        <w:rPr>
          <w:i/>
          <w:iCs/>
          <w:lang w:val="en-US"/>
        </w:rPr>
        <w:t xml:space="preserve">CGU </w:t>
      </w:r>
      <w:r w:rsidRPr="005A2D50">
        <w:rPr>
          <w:lang w:val="en-US"/>
        </w:rPr>
        <w:t>atļauju, kas ir personai, kura nav parādnieks/iespējamais parādnieks:</w:t>
      </w:r>
    </w:p>
    <w:p w14:paraId="2D07EA53" w14:textId="77777777" w:rsidR="005A2D50" w:rsidRPr="005A2D50" w:rsidRDefault="005A2D50" w:rsidP="005A2D50">
      <w:pPr>
        <w:pStyle w:val="BodyText"/>
        <w:rPr>
          <w:lang w:val="en-US"/>
        </w:rPr>
      </w:pPr>
    </w:p>
    <w:p w14:paraId="23B52D59" w14:textId="77777777" w:rsidR="005A2D50" w:rsidRPr="005A2D50" w:rsidRDefault="005A2D50" w:rsidP="005A2D50">
      <w:pPr>
        <w:pStyle w:val="BodyText"/>
        <w:numPr>
          <w:ilvl w:val="4"/>
          <w:numId w:val="27"/>
        </w:numPr>
        <w:tabs>
          <w:tab w:val="left" w:pos="851"/>
        </w:tabs>
        <w:ind w:left="284" w:firstLine="0"/>
        <w:rPr>
          <w:lang w:val="en-US"/>
        </w:rPr>
      </w:pPr>
      <w:r w:rsidRPr="005A2D50">
        <w:rPr>
          <w:lang w:val="en-US"/>
        </w:rPr>
        <w:t>pārrauga muitas dienesti, balstoties uz revīziju, un</w:t>
      </w:r>
    </w:p>
    <w:p w14:paraId="789975D6" w14:textId="77777777" w:rsidR="005A2D50" w:rsidRPr="005A2D50" w:rsidRDefault="005A2D50" w:rsidP="005A2D50">
      <w:pPr>
        <w:pStyle w:val="BodyText"/>
        <w:numPr>
          <w:ilvl w:val="4"/>
          <w:numId w:val="27"/>
        </w:numPr>
        <w:tabs>
          <w:tab w:val="left" w:pos="851"/>
        </w:tabs>
        <w:ind w:left="284" w:firstLine="0"/>
        <w:rPr>
          <w:lang w:val="en-US"/>
        </w:rPr>
      </w:pPr>
      <w:r w:rsidRPr="005A2D50">
        <w:rPr>
          <w:lang w:val="en-US"/>
        </w:rPr>
        <w:t>izmanto tikai īpašās procedūras izmantotājs, lai precēm piemērotu šo procedūru,</w:t>
      </w:r>
    </w:p>
    <w:p w14:paraId="324A9006" w14:textId="77777777" w:rsidR="005A2D50" w:rsidRPr="005A2D50" w:rsidRDefault="005A2D50" w:rsidP="005A2D50">
      <w:pPr>
        <w:jc w:val="both"/>
        <w:rPr>
          <w:rFonts w:ascii="Times New Roman" w:hAnsi="Times New Roman" w:cs="Times New Roman"/>
          <w:noProof/>
          <w:sz w:val="24"/>
          <w:szCs w:val="24"/>
          <w:lang w:val="en-US"/>
        </w:rPr>
      </w:pPr>
    </w:p>
    <w:p w14:paraId="718404A0" w14:textId="77777777" w:rsidR="005A2D50" w:rsidRPr="005A2D50" w:rsidRDefault="005A2D50" w:rsidP="005A2D50">
      <w:pPr>
        <w:pStyle w:val="BodyText"/>
        <w:rPr>
          <w:lang w:val="en-US"/>
        </w:rPr>
      </w:pPr>
      <w:r w:rsidRPr="005A2D50">
        <w:rPr>
          <w:lang w:val="en-US"/>
        </w:rPr>
        <w:t xml:space="preserve">personai, kurai prasīts sniegt galvojumu (īpašās procedūras izmantotājs), ir pienākums pārraudzīt atsauces summu, un tai ir jāinformē </w:t>
      </w:r>
      <w:r w:rsidRPr="005A2D50">
        <w:rPr>
          <w:i/>
          <w:iCs/>
          <w:lang w:val="en-US"/>
        </w:rPr>
        <w:t>CA</w:t>
      </w:r>
      <w:r w:rsidRPr="005A2D50">
        <w:rPr>
          <w:lang w:val="en-US"/>
        </w:rPr>
        <w:t>, ja atsauces summa vairs nav pietiekama, lai segtu iespējamā/esošā muitas parāda summu. Šis paziņojums, kā arī papildu galvojums vai galvojuma aizstāšana ar pietiekamu summu ir jāsniedz pirms atsauces summas pārsniegšanas.</w:t>
      </w:r>
    </w:p>
    <w:p w14:paraId="70B27525" w14:textId="77777777" w:rsidR="005A2D50" w:rsidRPr="005A2D50" w:rsidRDefault="005A2D50" w:rsidP="005A2D50">
      <w:pPr>
        <w:pStyle w:val="BodyText"/>
        <w:rPr>
          <w:lang w:val="en-US"/>
        </w:rPr>
      </w:pPr>
      <w:r w:rsidRPr="005A2D50">
        <w:rPr>
          <w:lang w:val="en-US"/>
        </w:rPr>
        <w:t xml:space="preserve">Jebkurā gadījumā arī pašam </w:t>
      </w:r>
      <w:r w:rsidRPr="005A2D50">
        <w:rPr>
          <w:i/>
          <w:iCs/>
          <w:lang w:val="en-US"/>
        </w:rPr>
        <w:t xml:space="preserve">CGU </w:t>
      </w:r>
      <w:r w:rsidRPr="005A2D50">
        <w:rPr>
          <w:lang w:val="en-US"/>
        </w:rPr>
        <w:t>atļaujas turētājam ir pienākums pārliecināties, ka atsauces summa netiek pārsniegta. Šis pienākums izriet tieši no SMK 23. panta 1. punkta.</w:t>
      </w:r>
    </w:p>
    <w:p w14:paraId="0944F293" w14:textId="77777777" w:rsidR="005A2D50" w:rsidRPr="005A2D50" w:rsidRDefault="005A2D50" w:rsidP="005A2D50">
      <w:pPr>
        <w:pStyle w:val="BodyText"/>
        <w:rPr>
          <w:lang w:val="en-US"/>
        </w:rPr>
      </w:pPr>
      <w:r w:rsidRPr="005A2D50">
        <w:rPr>
          <w:lang w:val="en-US"/>
        </w:rPr>
        <w:t>Jebkurš pārraudzības veids ir derīgs, ja tas nodrošina, ka atsauces summa netiek pārsniegta.</w:t>
      </w:r>
    </w:p>
    <w:p w14:paraId="351A94B2" w14:textId="77777777" w:rsidR="005A2D50" w:rsidRPr="005A2D50" w:rsidRDefault="005A2D50" w:rsidP="005A2D50">
      <w:pPr>
        <w:pStyle w:val="BodyText"/>
        <w:rPr>
          <w:lang w:val="en-US"/>
        </w:rPr>
      </w:pPr>
      <w:r w:rsidRPr="005A2D50">
        <w:rPr>
          <w:lang w:val="en-US"/>
        </w:rPr>
        <w:t xml:space="preserve">To, kā </w:t>
      </w:r>
      <w:r w:rsidRPr="005A2D50">
        <w:rPr>
          <w:i/>
          <w:iCs/>
          <w:lang w:val="en-US"/>
        </w:rPr>
        <w:t xml:space="preserve">CGU </w:t>
      </w:r>
      <w:r w:rsidRPr="005A2D50">
        <w:rPr>
          <w:lang w:val="en-US"/>
        </w:rPr>
        <w:t>atļaujas turētājs veic pārraudzību, var aprakstīt pieteikumā/atļaujā.</w:t>
      </w:r>
    </w:p>
    <w:p w14:paraId="57C73958" w14:textId="77777777" w:rsidR="005A2D50" w:rsidRPr="005A2D50" w:rsidRDefault="005A2D50" w:rsidP="005A2D50">
      <w:pPr>
        <w:pStyle w:val="BodyText"/>
        <w:rPr>
          <w:lang w:val="en-US"/>
        </w:rPr>
      </w:pPr>
      <w:r w:rsidRPr="005A2D50">
        <w:rPr>
          <w:lang w:val="en-US"/>
        </w:rPr>
        <w:t>Šajā sakarā kompetentās iestādes jo īpaši var pieprasīt, lai persona, kurai prasīts pārraudzīt atsauces summu, uzskaita vismaz katru deklarāciju un, ja atbilstīgi, attiecīgo nodokļu un citu maksājumu aprēķināto vai aplēsto summu.</w:t>
      </w:r>
    </w:p>
    <w:p w14:paraId="10EFC627" w14:textId="77777777" w:rsidR="005A2D50" w:rsidRPr="005A2D50" w:rsidRDefault="005A2D50" w:rsidP="005A2D50">
      <w:pPr>
        <w:pStyle w:val="BodyText"/>
        <w:rPr>
          <w:lang w:val="en-US"/>
        </w:rPr>
      </w:pPr>
      <w:r w:rsidRPr="005A2D50">
        <w:rPr>
          <w:lang w:val="en-US"/>
        </w:rPr>
        <w:t xml:space="preserve">Ja pienākums sniegt pietiekamu garantiju netika izpildīts neatbilstošas pārraudzības dēļ, </w:t>
      </w:r>
      <w:r w:rsidRPr="005A2D50">
        <w:rPr>
          <w:i/>
          <w:iCs/>
          <w:lang w:val="en-US"/>
        </w:rPr>
        <w:t>CA</w:t>
      </w:r>
      <w:r w:rsidRPr="005A2D50">
        <w:rPr>
          <w:lang w:val="en-US"/>
        </w:rPr>
        <w:t>, kas ir pieņēmuši lēmumu piešķirt atļauju muitas procedūrai, uz kuru attiecas attiecīgais galvojums (SMK 211. panta 3. punkta c) apakšpunkts), jebkurā brīdī var to grozīt, apturēt, anulēt vai atcelt (SMK 23. panta 3. punkts, 27. un 28. pants, SMK DA 16. pants, SMK ĪA 15. pants).</w:t>
      </w:r>
    </w:p>
    <w:p w14:paraId="59919032" w14:textId="77777777" w:rsidR="005A2D50" w:rsidRPr="005A2D50" w:rsidRDefault="005A2D50" w:rsidP="005A2D50">
      <w:pPr>
        <w:pStyle w:val="BodyText"/>
        <w:rPr>
          <w:lang w:val="en-US"/>
        </w:rPr>
      </w:pPr>
    </w:p>
    <w:p w14:paraId="4055B9B0" w14:textId="77777777" w:rsidR="005A2D50" w:rsidRPr="005A2D50" w:rsidRDefault="005A2D50" w:rsidP="005A2D50">
      <w:pPr>
        <w:pStyle w:val="BodyText"/>
        <w:rPr>
          <w:b/>
          <w:bCs/>
          <w:lang w:val="en-US"/>
        </w:rPr>
      </w:pPr>
      <w:bookmarkStart w:id="138" w:name="V.2.4.2._Monitoring_of_the_reference_amo"/>
      <w:bookmarkEnd w:id="138"/>
      <w:r w:rsidRPr="005A2D50">
        <w:rPr>
          <w:b/>
          <w:bCs/>
          <w:lang w:val="en-US"/>
        </w:rPr>
        <w:t>V.2.4.2. Atsauces summas pārraudzība, ko veic muitas dienesti – SMK ĪA 157. pants</w:t>
      </w:r>
    </w:p>
    <w:p w14:paraId="33C16184"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1CC6D0DC" w14:textId="77777777" w:rsidR="005A2D50" w:rsidRPr="005A2D50" w:rsidRDefault="005A2D50" w:rsidP="005A2D50">
      <w:pPr>
        <w:pStyle w:val="BodyText"/>
        <w:rPr>
          <w:lang w:val="en-US"/>
        </w:rPr>
      </w:pPr>
      <w:r w:rsidRPr="005A2D50">
        <w:rPr>
          <w:lang w:val="en-US"/>
        </w:rPr>
        <w:t>Īstenošanas regulā (SMK ĪA) ir aprakstīti trīs iespējamie veidi, kā muitas dienesti var veikt atsauces summas pārraudzību atkarībā no procedūras:</w:t>
      </w:r>
    </w:p>
    <w:p w14:paraId="12473B7A" w14:textId="77777777" w:rsidR="005A2D50" w:rsidRPr="005A2D50" w:rsidRDefault="005A2D50" w:rsidP="005A2D50">
      <w:pPr>
        <w:pStyle w:val="BodyText"/>
        <w:rPr>
          <w:lang w:val="en-US"/>
        </w:rPr>
      </w:pPr>
    </w:p>
    <w:p w14:paraId="51C16999" w14:textId="77777777" w:rsidR="005A2D50" w:rsidRPr="005A2D50" w:rsidRDefault="005A2D50" w:rsidP="005A2D50">
      <w:pPr>
        <w:pStyle w:val="BodyText"/>
        <w:numPr>
          <w:ilvl w:val="0"/>
          <w:numId w:val="26"/>
        </w:numPr>
        <w:tabs>
          <w:tab w:val="left" w:pos="851"/>
        </w:tabs>
        <w:ind w:left="284" w:firstLine="0"/>
        <w:rPr>
          <w:lang w:val="en-US"/>
        </w:rPr>
      </w:pPr>
      <w:r w:rsidRPr="005A2D50">
        <w:rPr>
          <w:lang w:val="en-US"/>
        </w:rPr>
        <w:t>laišana brīvā apgrozībā – par katru MD laikā, kad precēm tiek piemērota procedūra (standarta deklarācija), un par katru papildu deklarāciju (vienkāršota muitas deklarācija / ieraksts deklarētāja reģistros);</w:t>
      </w:r>
    </w:p>
    <w:p w14:paraId="03FCE7DB" w14:textId="77777777" w:rsidR="005A2D50" w:rsidRPr="005A2D50" w:rsidRDefault="005A2D50" w:rsidP="005A2D50">
      <w:pPr>
        <w:pStyle w:val="BodyText"/>
        <w:numPr>
          <w:ilvl w:val="0"/>
          <w:numId w:val="26"/>
        </w:numPr>
        <w:tabs>
          <w:tab w:val="left" w:pos="851"/>
        </w:tabs>
        <w:ind w:left="284" w:firstLine="0"/>
        <w:rPr>
          <w:lang w:val="en-US"/>
        </w:rPr>
      </w:pPr>
      <w:r w:rsidRPr="005A2D50">
        <w:rPr>
          <w:lang w:val="en-US"/>
        </w:rPr>
        <w:t>tranzītā – par katru darījumu, ja ir pieejama jaunā datorizētā tranzīta kontroles sistēma (</w:t>
      </w:r>
      <w:r w:rsidRPr="005A2D50">
        <w:rPr>
          <w:i/>
          <w:iCs/>
          <w:lang w:val="en-US"/>
        </w:rPr>
        <w:t>NCTS</w:t>
      </w:r>
      <w:r w:rsidRPr="005A2D50">
        <w:rPr>
          <w:lang w:val="en-US"/>
        </w:rPr>
        <w:t>);</w:t>
      </w:r>
    </w:p>
    <w:p w14:paraId="185764CC" w14:textId="77777777" w:rsidR="005A2D50" w:rsidRPr="005A2D50" w:rsidRDefault="005A2D50" w:rsidP="005A2D50">
      <w:pPr>
        <w:pStyle w:val="BodyText"/>
        <w:numPr>
          <w:ilvl w:val="0"/>
          <w:numId w:val="26"/>
        </w:numPr>
        <w:tabs>
          <w:tab w:val="left" w:pos="851"/>
        </w:tabs>
        <w:ind w:left="284" w:firstLine="0"/>
        <w:rPr>
          <w:lang w:val="en-US"/>
        </w:rPr>
      </w:pPr>
      <w:r w:rsidRPr="005A2D50">
        <w:rPr>
          <w:lang w:val="en-US"/>
        </w:rPr>
        <w:t xml:space="preserve">visos pārējos gadījumos (tostarp </w:t>
      </w:r>
      <w:r w:rsidRPr="005A2D50">
        <w:rPr>
          <w:i/>
          <w:iCs/>
          <w:lang w:val="en-US"/>
        </w:rPr>
        <w:t>TS</w:t>
      </w:r>
      <w:r w:rsidRPr="005A2D50">
        <w:rPr>
          <w:lang w:val="en-US"/>
        </w:rPr>
        <w:t>) – nodrošina ar revīziju.</w:t>
      </w:r>
    </w:p>
    <w:p w14:paraId="6BC2AE57" w14:textId="77777777" w:rsidR="005A2D50" w:rsidRPr="005A2D50" w:rsidRDefault="005A2D50" w:rsidP="005A2D50">
      <w:pPr>
        <w:pStyle w:val="BodyText"/>
        <w:rPr>
          <w:b/>
          <w:bCs/>
          <w:lang w:val="en-US"/>
        </w:rPr>
      </w:pPr>
      <w:bookmarkStart w:id="139" w:name="V.2.4.2.1._Release_for_free_circulation"/>
      <w:bookmarkEnd w:id="139"/>
    </w:p>
    <w:p w14:paraId="26A71D58" w14:textId="77777777" w:rsidR="005A2D50" w:rsidRPr="005A2D50" w:rsidRDefault="005A2D50" w:rsidP="005A2D50">
      <w:pPr>
        <w:pStyle w:val="BodyText"/>
        <w:rPr>
          <w:b/>
          <w:bCs/>
          <w:lang w:val="en-US"/>
        </w:rPr>
      </w:pPr>
      <w:r w:rsidRPr="005A2D50">
        <w:rPr>
          <w:b/>
          <w:bCs/>
          <w:lang w:val="en-US"/>
        </w:rPr>
        <w:t>V.2.4.2.1. Laišana brīvā apgrozībā</w:t>
      </w:r>
    </w:p>
    <w:p w14:paraId="741D756F"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292F1392" w14:textId="77777777" w:rsidR="005A2D50" w:rsidRPr="005A2D50" w:rsidRDefault="005A2D50" w:rsidP="005A2D50">
      <w:pPr>
        <w:pStyle w:val="BodyText"/>
        <w:rPr>
          <w:lang w:val="en-US"/>
        </w:rPr>
      </w:pPr>
      <w:r w:rsidRPr="005A2D50">
        <w:rPr>
          <w:lang w:val="en-US"/>
        </w:rPr>
        <w:t>Saskaņā ar SMK ĪA 157. panta 1. punktu atsauces summas pārraudzība ir jānodrošina par katru MD laikā, kad precēm tiek piemērota procedūra.</w:t>
      </w:r>
    </w:p>
    <w:p w14:paraId="0E0E7F6A" w14:textId="77777777" w:rsidR="005A2D50" w:rsidRPr="005A2D50" w:rsidRDefault="005A2D50" w:rsidP="005A2D50">
      <w:pPr>
        <w:pStyle w:val="BodyText"/>
        <w:rPr>
          <w:lang w:val="en-US"/>
        </w:rPr>
      </w:pPr>
      <w:r w:rsidRPr="005A2D50">
        <w:rPr>
          <w:lang w:val="en-US"/>
        </w:rPr>
        <w:t>Pārraudzības nodrošināšana par katru MD laikā, kad precēm tiek piemērota procedūra, – tā dēvētā, uz darījumu balstītā pārraudzība (piemērojama, ja preču laišanai brīvā apgrozībā vai tranzītā izdod standarta deklarāciju), kā minēts SMK ĪA 157. pantā, – ietver to, ka pirms preču nodošanas procedūrai pārbauda galvojuma esību un nepieciešamās summas (kas noteikta deklarētajām precēm) pieejamību attiecīgajā atsauces summas daļā. Tādējādi procedūrai netiek nodotas preces, ja galvojuma nav vai pieejamā summa nav pietiekama.</w:t>
      </w:r>
    </w:p>
    <w:p w14:paraId="5D3AC1E6" w14:textId="77777777" w:rsidR="005A2D50" w:rsidRPr="005A2D50" w:rsidRDefault="005A2D50" w:rsidP="005A2D50">
      <w:pPr>
        <w:pStyle w:val="BodyText"/>
        <w:rPr>
          <w:lang w:val="en-US"/>
        </w:rPr>
      </w:pPr>
      <w:r w:rsidRPr="005A2D50">
        <w:rPr>
          <w:lang w:val="en-US"/>
        </w:rPr>
        <w:t xml:space="preserve">Ja tiek izmantota SMK 166. pantā (vienkāršota deklarācija), 182. pantā (ieraksts deklarētāja reģistros) un 185. pantā (nodokļu pašaprēķins) minētā vienkāršošana un ir sniegts vispārējs galvojums, preču izlaišana nav atkarīga no </w:t>
      </w:r>
      <w:r w:rsidRPr="005A2D50">
        <w:rPr>
          <w:i/>
          <w:iCs/>
          <w:lang w:val="en-US"/>
        </w:rPr>
        <w:t xml:space="preserve">CA </w:t>
      </w:r>
      <w:r w:rsidRPr="005A2D50">
        <w:rPr>
          <w:lang w:val="en-US"/>
        </w:rPr>
        <w:t>veiktas galvojuma uzraudzības (SMK 195. panta 3. punkts).</w:t>
      </w:r>
    </w:p>
    <w:p w14:paraId="322D7DD5" w14:textId="77777777" w:rsidR="005A2D50" w:rsidRPr="005A2D50" w:rsidRDefault="005A2D50" w:rsidP="005A2D50">
      <w:pPr>
        <w:pStyle w:val="BodyText"/>
        <w:rPr>
          <w:lang w:val="en-US"/>
        </w:rPr>
      </w:pPr>
      <w:r w:rsidRPr="005A2D50">
        <w:rPr>
          <w:lang w:val="en-US"/>
        </w:rPr>
        <w:t>Pārraudzības nodrošināšana par katru papildu deklarāciju/informāciju, kas ierakstīta reģistros (piemērojama, ja preču laišanai brīvā apgrozībā iesniedz vienkāršoto deklarāciju vai veic ierakstu deklarētāja reģistros), kā minēts SMK ĪA 157. panta 1. punktā, ietver to, ka pēc preču nodošanas procedūrai pārbauda galvojuma esību un derīgumu, kā arī deklarētās summas (kas aprēķināta par deklarētajām precēm) pieejamību attiecīgajā atsauces summas daļā, kā arī to, ka tiek veikta atbilstoša atsauces summas / revīzijas pārbaude/pārskatīšana, ja galvojums netika sniegts, tas nebija derīgs vai pieejamā summa nebija pietiekama. Šī ir uz darījumu balstīta pārraudzība, ko veic īpaši, ja tiek sniegta vienkāršota deklarācija vai veikts ieraksts deklarētāja reģistros.</w:t>
      </w:r>
    </w:p>
    <w:p w14:paraId="16410FBA" w14:textId="77777777" w:rsidR="005A2D50" w:rsidRPr="005A2D50" w:rsidRDefault="005A2D50" w:rsidP="005A2D50">
      <w:pPr>
        <w:pStyle w:val="BodyText"/>
        <w:rPr>
          <w:lang w:val="en-US"/>
        </w:rPr>
      </w:pPr>
    </w:p>
    <w:p w14:paraId="590500A6" w14:textId="77777777" w:rsidR="005A2D50" w:rsidRPr="005A2D50" w:rsidRDefault="005A2D50" w:rsidP="005A2D50">
      <w:pPr>
        <w:pStyle w:val="BodyText"/>
        <w:rPr>
          <w:b/>
          <w:bCs/>
          <w:lang w:val="en-US"/>
        </w:rPr>
      </w:pPr>
      <w:bookmarkStart w:id="140" w:name="V.2.4.2.2._New_Computerised_Transit_Syst"/>
      <w:bookmarkEnd w:id="140"/>
      <w:r w:rsidRPr="005A2D50">
        <w:rPr>
          <w:b/>
          <w:bCs/>
          <w:lang w:val="en-US"/>
        </w:rPr>
        <w:t>V.2.4.2.2. Jaunā datorizētā tranzīta kontroles sistēma (</w:t>
      </w:r>
      <w:r w:rsidRPr="005A2D50">
        <w:rPr>
          <w:b/>
          <w:bCs/>
          <w:i/>
          <w:iCs/>
          <w:lang w:val="en-US"/>
        </w:rPr>
        <w:t>NCTS</w:t>
      </w:r>
      <w:r w:rsidRPr="005A2D50">
        <w:rPr>
          <w:b/>
          <w:bCs/>
          <w:lang w:val="en-US"/>
        </w:rPr>
        <w:t>)</w:t>
      </w:r>
    </w:p>
    <w:p w14:paraId="2FF6D558"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2B63602B" w14:textId="77777777" w:rsidR="005A2D50" w:rsidRPr="005A2D50" w:rsidRDefault="005A2D50" w:rsidP="005A2D50">
      <w:pPr>
        <w:pStyle w:val="BodyText"/>
        <w:rPr>
          <w:lang w:val="en-US"/>
        </w:rPr>
      </w:pPr>
      <w:r w:rsidRPr="005A2D50">
        <w:rPr>
          <w:lang w:val="en-US"/>
        </w:rPr>
        <w:t xml:space="preserve">Attiecībā uz precēm, kurām piemēro Savienības tranzīta procedūru, ja deklarāciju apstrādā, izmantojot SMK ĪA 273. panta 1. punktā minēto elektronisko sistēmu, atsauces summas uzraudzībai izmanto </w:t>
      </w:r>
      <w:r w:rsidRPr="005A2D50">
        <w:rPr>
          <w:i/>
          <w:iCs/>
          <w:lang w:val="en-US"/>
        </w:rPr>
        <w:t>NCTS</w:t>
      </w:r>
      <w:r w:rsidRPr="005A2D50">
        <w:rPr>
          <w:lang w:val="en-US"/>
        </w:rPr>
        <w:t xml:space="preserve">. </w:t>
      </w:r>
      <w:r w:rsidRPr="005A2D50">
        <w:rPr>
          <w:i/>
          <w:iCs/>
          <w:lang w:val="en-US"/>
        </w:rPr>
        <w:t xml:space="preserve">NCTS </w:t>
      </w:r>
      <w:r w:rsidRPr="005A2D50">
        <w:rPr>
          <w:lang w:val="en-US"/>
        </w:rPr>
        <w:t>jāatjaunina, kā paredzēts Komisijas Īstenošanas lēmumā (ES) 2016/578, ar ko izveido darba programmu Savienības Muitas kodeksam. SMK ĪA 72-04. pielikumā sniegta informācija par atsauces summas un galvojuma pārraudzību gadījumā, ja elektroniskā tranzīta sistēma īslaicīgi nedarbojas.</w:t>
      </w:r>
    </w:p>
    <w:p w14:paraId="1E6D2B3D" w14:textId="77777777" w:rsidR="005A2D50" w:rsidRPr="005A2D50" w:rsidRDefault="005A2D50" w:rsidP="005A2D50">
      <w:pPr>
        <w:pStyle w:val="BodyText"/>
        <w:rPr>
          <w:lang w:val="en-US"/>
        </w:rPr>
      </w:pPr>
    </w:p>
    <w:p w14:paraId="5D207FED" w14:textId="77777777" w:rsidR="005A2D50" w:rsidRPr="005A2D50" w:rsidRDefault="005A2D50" w:rsidP="005A2D50">
      <w:pPr>
        <w:pStyle w:val="BodyText"/>
        <w:rPr>
          <w:b/>
          <w:bCs/>
          <w:lang w:val="en-US"/>
        </w:rPr>
      </w:pPr>
      <w:bookmarkStart w:id="141" w:name="V.2.4.2.3._Audit_approach"/>
      <w:bookmarkEnd w:id="141"/>
      <w:r w:rsidRPr="005A2D50">
        <w:rPr>
          <w:b/>
          <w:bCs/>
          <w:lang w:val="en-US"/>
        </w:rPr>
        <w:t>V.2.4.2.3. Revīzijas pieeja</w:t>
      </w:r>
      <w:bookmarkStart w:id="142" w:name="V.2.4.2.3.1_General"/>
      <w:bookmarkEnd w:id="142"/>
    </w:p>
    <w:p w14:paraId="42D88CDA" w14:textId="77777777" w:rsidR="005A2D50" w:rsidRPr="005A2D50" w:rsidRDefault="005A2D50" w:rsidP="005A2D50">
      <w:pPr>
        <w:pStyle w:val="BodyText"/>
        <w:rPr>
          <w:b/>
          <w:bCs/>
          <w:lang w:val="en-US"/>
        </w:rPr>
      </w:pPr>
    </w:p>
    <w:p w14:paraId="08A0544D" w14:textId="77777777" w:rsidR="005A2D50" w:rsidRPr="005A2D50" w:rsidRDefault="005A2D50" w:rsidP="005A2D50">
      <w:pPr>
        <w:pStyle w:val="BodyText"/>
        <w:rPr>
          <w:b/>
          <w:bCs/>
          <w:lang w:val="en-US"/>
        </w:rPr>
      </w:pPr>
      <w:r w:rsidRPr="005A2D50">
        <w:rPr>
          <w:b/>
          <w:bCs/>
          <w:lang w:val="en-US"/>
        </w:rPr>
        <w:t>V.2.4.2.3.1. Vispārīga informācija</w:t>
      </w:r>
    </w:p>
    <w:p w14:paraId="09CEBDEE" w14:textId="77777777" w:rsidR="005A2D50" w:rsidRPr="005A2D50" w:rsidRDefault="005A2D50" w:rsidP="005A2D50">
      <w:pPr>
        <w:pStyle w:val="BodyText"/>
        <w:rPr>
          <w:lang w:val="en-US"/>
        </w:rPr>
      </w:pPr>
    </w:p>
    <w:p w14:paraId="5B591087" w14:textId="77777777" w:rsidR="005A2D50" w:rsidRPr="005A2D50" w:rsidRDefault="005A2D50" w:rsidP="005A2D50">
      <w:pPr>
        <w:pStyle w:val="BodyText"/>
        <w:rPr>
          <w:lang w:val="en-US"/>
        </w:rPr>
      </w:pPr>
      <w:r w:rsidRPr="005A2D50">
        <w:rPr>
          <w:lang w:val="en-US"/>
        </w:rPr>
        <w:t>Gadījumos, kas nav minēti IV.2.4.2.1. un IV.2.4.2.2.2. punktā, atsauces summas pārraudzību nodrošina ar regulāru un atbilstīgu revīziju (SMK ĪA 157. panta 3. punkts).</w:t>
      </w:r>
    </w:p>
    <w:p w14:paraId="02DBE64F" w14:textId="77777777" w:rsidR="005A2D50" w:rsidRPr="005A2D50" w:rsidRDefault="005A2D50" w:rsidP="005A2D50">
      <w:pPr>
        <w:pStyle w:val="BodyText"/>
        <w:rPr>
          <w:lang w:val="en-US"/>
        </w:rPr>
      </w:pPr>
      <w:r w:rsidRPr="005A2D50">
        <w:rPr>
          <w:lang w:val="en-US"/>
        </w:rPr>
        <w:t>Šāda veida pārraudzība var attiekties uz:</w:t>
      </w:r>
    </w:p>
    <w:p w14:paraId="491F2151" w14:textId="77777777" w:rsidR="005A2D50" w:rsidRPr="005A2D50" w:rsidRDefault="005A2D50" w:rsidP="005A2D50">
      <w:pPr>
        <w:pStyle w:val="BodyText"/>
        <w:rPr>
          <w:lang w:val="en-US"/>
        </w:rPr>
      </w:pPr>
    </w:p>
    <w:p w14:paraId="4A4DF83E" w14:textId="77777777" w:rsidR="005A2D50" w:rsidRPr="005A2D50" w:rsidRDefault="005A2D50" w:rsidP="005A2D50">
      <w:pPr>
        <w:pStyle w:val="BodyText"/>
        <w:numPr>
          <w:ilvl w:val="5"/>
          <w:numId w:val="25"/>
        </w:numPr>
        <w:tabs>
          <w:tab w:val="left" w:pos="851"/>
        </w:tabs>
        <w:ind w:left="284" w:firstLine="0"/>
        <w:rPr>
          <w:lang w:val="en-US"/>
        </w:rPr>
      </w:pPr>
      <w:r w:rsidRPr="005A2D50">
        <w:rPr>
          <w:lang w:val="en-US"/>
        </w:rPr>
        <w:t>precēm, ko pārvadā pa dzelzceļu, ja pārejas periodā izmanto vienkāršošanu papīra formā;</w:t>
      </w:r>
    </w:p>
    <w:p w14:paraId="2C394EDF" w14:textId="77777777" w:rsidR="005A2D50" w:rsidRPr="005A2D50" w:rsidRDefault="005A2D50" w:rsidP="005A2D50">
      <w:pPr>
        <w:pStyle w:val="BodyText"/>
        <w:numPr>
          <w:ilvl w:val="5"/>
          <w:numId w:val="25"/>
        </w:numPr>
        <w:tabs>
          <w:tab w:val="left" w:pos="851"/>
        </w:tabs>
        <w:ind w:left="284" w:firstLine="0"/>
        <w:rPr>
          <w:lang w:val="en-US"/>
        </w:rPr>
      </w:pPr>
      <w:r w:rsidRPr="005A2D50">
        <w:rPr>
          <w:lang w:val="en-US"/>
        </w:rPr>
        <w:t xml:space="preserve">precēm, kurām piemēro īpašu procedūru, kas nav tranzīts vai </w:t>
      </w:r>
      <w:r w:rsidRPr="005A2D50">
        <w:rPr>
          <w:i/>
          <w:iCs/>
          <w:lang w:val="en-US"/>
        </w:rPr>
        <w:t>TS</w:t>
      </w:r>
      <w:r w:rsidRPr="005A2D50">
        <w:rPr>
          <w:lang w:val="en-US"/>
        </w:rPr>
        <w:t>.</w:t>
      </w:r>
    </w:p>
    <w:p w14:paraId="2D938D84" w14:textId="77777777" w:rsidR="005A2D50" w:rsidRPr="005A2D50" w:rsidRDefault="005A2D50" w:rsidP="005A2D50">
      <w:pPr>
        <w:jc w:val="both"/>
        <w:rPr>
          <w:rFonts w:ascii="Times New Roman" w:eastAsia="Times New Roman" w:hAnsi="Times New Roman" w:cs="Times New Roman"/>
          <w:noProof/>
          <w:sz w:val="24"/>
          <w:szCs w:val="24"/>
          <w:lang w:val="en-US"/>
        </w:rPr>
      </w:pPr>
    </w:p>
    <w:p w14:paraId="10A8C5E4" w14:textId="77777777" w:rsidR="005A2D50" w:rsidRPr="005A2D50" w:rsidRDefault="005A2D50" w:rsidP="005A2D50">
      <w:pPr>
        <w:pStyle w:val="BodyText"/>
        <w:keepNext/>
        <w:keepLines/>
        <w:rPr>
          <w:b/>
          <w:bCs/>
          <w:u w:color="000000"/>
          <w:lang w:val="en-US"/>
        </w:rPr>
      </w:pPr>
      <w:r w:rsidRPr="005A2D50">
        <w:rPr>
          <w:b/>
          <w:bCs/>
          <w:u w:color="000000"/>
          <w:lang w:val="en-US"/>
        </w:rPr>
        <w:t>Regulāra un atbilstīga revīzija</w:t>
      </w:r>
    </w:p>
    <w:p w14:paraId="35BC7380" w14:textId="77777777" w:rsidR="005A2D50" w:rsidRPr="005A2D50" w:rsidRDefault="005A2D50" w:rsidP="005A2D50">
      <w:pPr>
        <w:keepNext/>
        <w:keepLines/>
        <w:jc w:val="both"/>
        <w:rPr>
          <w:rFonts w:ascii="Times New Roman" w:eastAsia="Times New Roman" w:hAnsi="Times New Roman" w:cs="Times New Roman"/>
          <w:b/>
          <w:bCs/>
          <w:noProof/>
          <w:sz w:val="24"/>
          <w:szCs w:val="24"/>
          <w:lang w:val="en-US"/>
        </w:rPr>
      </w:pPr>
    </w:p>
    <w:p w14:paraId="19A7CDC5" w14:textId="77777777" w:rsidR="005A2D50" w:rsidRPr="005A2D50" w:rsidRDefault="005A2D50" w:rsidP="005A2D50">
      <w:pPr>
        <w:pStyle w:val="BodyText"/>
        <w:keepNext/>
        <w:keepLines/>
        <w:rPr>
          <w:lang w:val="en-US"/>
        </w:rPr>
      </w:pPr>
      <w:r w:rsidRPr="005A2D50">
        <w:rPr>
          <w:lang w:val="en-US"/>
        </w:rPr>
        <w:t xml:space="preserve">SMK ĪA 157. panta 3. punktā minētā revīzija praksē ir sava veida periodiska pārbaude, ko veic nolūkā pēc muitošanas pārbaudīt, vai galvojums pastāvēja visā laikposmā, kurā tas bija prasīts (jebkurā brīdī), un vai </w:t>
      </w:r>
      <w:r w:rsidRPr="005A2D50">
        <w:rPr>
          <w:u w:val="single"/>
          <w:lang w:val="en-US"/>
        </w:rPr>
        <w:t xml:space="preserve">jebkurā galvojuma izmantošanas brīdī </w:t>
      </w:r>
      <w:r w:rsidRPr="005A2D50">
        <w:rPr>
          <w:lang w:val="en-US"/>
        </w:rPr>
        <w:t>atsauces summa netika pārsniegta (vai to nepārsniedza uzņēmējs). Papildus dokumentiem un sistēmām, kas ir uzņēmēja rīcībā, galvojuma atsauces dati, kas, ja nepieciešams, ievadīti MD, un visi attiecīgie ieraksti, kas pieejami muitas iestādei, var būt kā pierādījums šādai pārbaudei.</w:t>
      </w:r>
    </w:p>
    <w:p w14:paraId="558DB0FE" w14:textId="77777777" w:rsidR="005A2D50" w:rsidRPr="005A2D50" w:rsidRDefault="005A2D50" w:rsidP="005A2D50">
      <w:pPr>
        <w:pStyle w:val="BodyText"/>
        <w:rPr>
          <w:lang w:val="en-US"/>
        </w:rPr>
      </w:pPr>
      <w:r w:rsidRPr="005A2D50">
        <w:rPr>
          <w:lang w:val="en-US"/>
        </w:rPr>
        <w:t xml:space="preserve">Revīzijā nepārbauda, vai ir pareizi noteiktas konkrētas summas, kas saistītas ar katru darbību (attiecībā uz muitas vērtību, izcelsmi, likmēm vai citiem faktoriem), un vai sniegtā galvojuma samazinājuma līmenis joprojām ir pamatots. Tomēr, ja šīs darbības rezultāts parādīs, ka atsauces summa nebija pietiekama, uzņēmējam ir jāsniedz papildu galvojums. Attiecībā uz vispārējā galvojuma apmēra samazinājumu / atbrīvojumu no galvojuma </w:t>
      </w:r>
      <w:r w:rsidRPr="005A2D50">
        <w:rPr>
          <w:i/>
          <w:iCs/>
          <w:lang w:val="en-US"/>
        </w:rPr>
        <w:t xml:space="preserve">CA </w:t>
      </w:r>
      <w:r w:rsidRPr="005A2D50">
        <w:rPr>
          <w:lang w:val="en-US"/>
        </w:rPr>
        <w:t>varētu būt atkārtoti jānovērtē, vai finansiālais stāvoklis saskaņā ar SMK DA 84. pantu joprojām ir pietiekami labs un vai uzņēmējam līdz ar to joprojām var piešķirt vispārējo galvojumu ar samazinātu apmēru vai atbrīvojumu no galvojuma. Uzņēmējs var arī lūgt veikt atkārtotu novērtējumu, lai tam varētu piešķirt lielāku galvojuma samazinājumu, ja pēc revīzijas uzraudzības slēdziena ir pierādīts, ka atsauces summa ir pārsniegta, vai viņš var lūgt “daļēju” galvojuma atbrīvojumu saskaņā ar SMK 98. pantu.</w:t>
      </w:r>
    </w:p>
    <w:p w14:paraId="37CBE37B" w14:textId="77777777" w:rsidR="005A2D50" w:rsidRPr="005A2D50" w:rsidRDefault="005A2D50" w:rsidP="005A2D50">
      <w:pPr>
        <w:pStyle w:val="BodyText"/>
        <w:rPr>
          <w:lang w:val="en-US"/>
        </w:rPr>
      </w:pPr>
      <w:r w:rsidRPr="005A2D50">
        <w:rPr>
          <w:lang w:val="en-US"/>
        </w:rPr>
        <w:t xml:space="preserve">Atsauces summas revīzija, ko veic </w:t>
      </w:r>
      <w:r w:rsidRPr="005A2D50">
        <w:rPr>
          <w:i/>
          <w:iCs/>
          <w:lang w:val="en-US"/>
        </w:rPr>
        <w:t>CA</w:t>
      </w:r>
      <w:r w:rsidRPr="005A2D50">
        <w:rPr>
          <w:lang w:val="en-US"/>
        </w:rPr>
        <w:t xml:space="preserve">, ir balstīta uz visas uzņēmēja sniegtās un </w:t>
      </w:r>
      <w:r w:rsidRPr="005A2D50">
        <w:rPr>
          <w:i/>
          <w:iCs/>
          <w:lang w:val="en-US"/>
        </w:rPr>
        <w:t xml:space="preserve">CA </w:t>
      </w:r>
      <w:r w:rsidRPr="005A2D50">
        <w:rPr>
          <w:lang w:val="en-US"/>
        </w:rPr>
        <w:t>pieejamās informācijas pārbaudi. Tomēr tās ietvaros var veikt arī pārbaudi uz vietas uzņēmēja telpās vai preču uzglabāšanas vietā.</w:t>
      </w:r>
    </w:p>
    <w:p w14:paraId="23E2AC0B" w14:textId="77777777" w:rsidR="005A2D50" w:rsidRPr="005A2D50" w:rsidRDefault="005A2D50" w:rsidP="005A2D50">
      <w:pPr>
        <w:pStyle w:val="BodyText"/>
        <w:rPr>
          <w:lang w:val="en-US"/>
        </w:rPr>
      </w:pPr>
      <w:r w:rsidRPr="005A2D50">
        <w:rPr>
          <w:i/>
          <w:iCs/>
          <w:lang w:val="en-US"/>
        </w:rPr>
        <w:t xml:space="preserve">COG </w:t>
      </w:r>
      <w:r w:rsidRPr="005A2D50">
        <w:rPr>
          <w:lang w:val="en-US"/>
        </w:rPr>
        <w:t xml:space="preserve">ir jāatrod līdzsvars starp atbilstības nodrošināšanu tiesību aktiem un </w:t>
      </w:r>
      <w:r w:rsidRPr="005A2D50">
        <w:rPr>
          <w:i/>
          <w:iCs/>
          <w:lang w:val="en-US"/>
        </w:rPr>
        <w:t>CA</w:t>
      </w:r>
      <w:r w:rsidRPr="005A2D50">
        <w:rPr>
          <w:lang w:val="en-US"/>
        </w:rPr>
        <w:t xml:space="preserve">, kā arī uzņēmēja finanšu risku un laika risku ierobežošanu. Tādējādi, no vienas puses, atsauces summas revīzijā ņem vērā citu revīziju rezultātus. No otras puses, to var apvienot un koordinēt ar citām īpašām revīzijas darbībām (piemēram, īpašu atļauju revīzija atzītajam uzņēmējam, kuram ir atļauja muitas vienkāršojumiem). Tas jāņem vērā, plānojot revīzijas darbības attiecīgajam uzņēmējam. Šādā veidā </w:t>
      </w:r>
      <w:r w:rsidRPr="005A2D50">
        <w:rPr>
          <w:i/>
          <w:iCs/>
          <w:lang w:val="en-US"/>
        </w:rPr>
        <w:t xml:space="preserve">CA </w:t>
      </w:r>
      <w:r w:rsidRPr="005A2D50">
        <w:rPr>
          <w:lang w:val="en-US"/>
        </w:rPr>
        <w:t>varētu veikt pilnīgu revīziju, aptverot visas uzņēmēja darbības.</w:t>
      </w:r>
    </w:p>
    <w:p w14:paraId="49EEEAFA" w14:textId="77777777" w:rsidR="005A2D50" w:rsidRPr="005A2D50" w:rsidRDefault="005A2D50" w:rsidP="005A2D50">
      <w:pPr>
        <w:pStyle w:val="BodyText"/>
        <w:rPr>
          <w:lang w:val="en-US"/>
        </w:rPr>
      </w:pPr>
    </w:p>
    <w:p w14:paraId="6DB94F83" w14:textId="77777777" w:rsidR="005A2D50" w:rsidRPr="005A2D50" w:rsidRDefault="005A2D50" w:rsidP="005A2D50">
      <w:pPr>
        <w:pStyle w:val="BodyText"/>
        <w:rPr>
          <w:b/>
          <w:bCs/>
          <w:u w:color="000000"/>
          <w:lang w:val="en-US"/>
        </w:rPr>
      </w:pPr>
      <w:r w:rsidRPr="005A2D50">
        <w:rPr>
          <w:b/>
          <w:bCs/>
          <w:u w:color="000000"/>
          <w:lang w:val="en-US"/>
        </w:rPr>
        <w:t>Regulāra revīzija</w:t>
      </w:r>
    </w:p>
    <w:p w14:paraId="792C347F"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2FE6D929" w14:textId="77777777" w:rsidR="005A2D50" w:rsidRPr="005A2D50" w:rsidRDefault="005A2D50" w:rsidP="005A2D50">
      <w:pPr>
        <w:pStyle w:val="BodyText"/>
        <w:rPr>
          <w:lang w:val="en-US"/>
        </w:rPr>
      </w:pPr>
      <w:r w:rsidRPr="005A2D50">
        <w:rPr>
          <w:lang w:val="en-US"/>
        </w:rPr>
        <w:t>Ieteicamais termiņš revīzijas darbību plānošanai atsauces summas pārraudzības mērķiem ir 12 mēneši (šo termiņu iesaka pēc tam, kad ir noteikta atsauces summa. Saskaņā ar SMK ĪA 155. panta 4. punktu datus, kas jānovērtē, lai aprēķinātu atsauces summu, vāc 12 mēnešu periodā).</w:t>
      </w:r>
    </w:p>
    <w:p w14:paraId="4625B876" w14:textId="77777777" w:rsidR="005A2D50" w:rsidRPr="005A2D50" w:rsidRDefault="005A2D50" w:rsidP="005A2D50">
      <w:pPr>
        <w:pStyle w:val="BodyText"/>
        <w:rPr>
          <w:lang w:val="en-US"/>
        </w:rPr>
      </w:pPr>
      <w:r w:rsidRPr="005A2D50">
        <w:rPr>
          <w:lang w:val="en-US"/>
        </w:rPr>
        <w:t xml:space="preserve">Ja tiek reģistrēts jauns uzņēmējs vai īpašas procedūras atļauju apstiprina pirmo reizi un tāpēc uzņēmējam nav datu/pieredzes (piemēram, ir izsniegta atļauja jaunai muitas noliktavai), revīziju ir ieteicams veikt laikposmā, kas ir īsāks par 12 mēnešiem, sākot no </w:t>
      </w:r>
      <w:r w:rsidRPr="005A2D50">
        <w:rPr>
          <w:i/>
          <w:iCs/>
          <w:lang w:val="en-US"/>
        </w:rPr>
        <w:t xml:space="preserve">CGU </w:t>
      </w:r>
      <w:r w:rsidRPr="005A2D50">
        <w:rPr>
          <w:lang w:val="en-US"/>
        </w:rPr>
        <w:t>atļaujas piešķiršanas brīža.</w:t>
      </w:r>
    </w:p>
    <w:p w14:paraId="3022540B" w14:textId="77777777" w:rsidR="005A2D50" w:rsidRPr="005A2D50" w:rsidRDefault="005A2D50" w:rsidP="005A2D50">
      <w:pPr>
        <w:pStyle w:val="BodyText"/>
        <w:rPr>
          <w:lang w:val="en-US"/>
        </w:rPr>
      </w:pPr>
      <w:r w:rsidRPr="005A2D50">
        <w:rPr>
          <w:lang w:val="en-US"/>
        </w:rPr>
        <w:t>Ja uzņēmējs paplašina savu darījumdarbību (tāpēc, iespējams, veic vairāk darbību), tas varētu būt signāls tam, ka ir jāveic revīzija (ārpus pašreizējā revīzijas plāna).</w:t>
      </w:r>
    </w:p>
    <w:p w14:paraId="2FFF0748" w14:textId="77777777" w:rsidR="005A2D50" w:rsidRPr="005A2D50" w:rsidRDefault="005A2D50" w:rsidP="005A2D50">
      <w:pPr>
        <w:pStyle w:val="BodyText"/>
        <w:rPr>
          <w:u w:color="000000"/>
          <w:lang w:val="en-US"/>
        </w:rPr>
      </w:pPr>
    </w:p>
    <w:p w14:paraId="65C73477" w14:textId="77777777" w:rsidR="005A2D50" w:rsidRPr="005A2D50" w:rsidRDefault="005A2D50" w:rsidP="005A2D50">
      <w:pPr>
        <w:pStyle w:val="BodyText"/>
        <w:rPr>
          <w:b/>
          <w:bCs/>
          <w:u w:color="000000"/>
          <w:lang w:val="en-US"/>
        </w:rPr>
      </w:pPr>
      <w:r w:rsidRPr="005A2D50">
        <w:rPr>
          <w:b/>
          <w:bCs/>
          <w:u w:color="000000"/>
          <w:lang w:val="en-US"/>
        </w:rPr>
        <w:t>Atbilstīga revīzija</w:t>
      </w:r>
    </w:p>
    <w:p w14:paraId="263494DF"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4A3FE81B" w14:textId="77777777" w:rsidR="005A2D50" w:rsidRPr="005A2D50" w:rsidRDefault="005A2D50" w:rsidP="005A2D50">
      <w:pPr>
        <w:pStyle w:val="BodyText"/>
        <w:rPr>
          <w:lang w:val="en-US"/>
        </w:rPr>
      </w:pPr>
      <w:r w:rsidRPr="005A2D50">
        <w:rPr>
          <w:lang w:val="en-US"/>
        </w:rPr>
        <w:t>Atbilstīgums ir revīzijas kvalitātes rādītājs attiecībā uz to pierādījumu atbilstību un ticamību, kas savākti, palīdzot secināt, vai atsauces summa bija pietiekama jebkurā brīdī, lai segtu muitas parāda un citu maksājumu, ja piemērojami, summu saistībā ar darbībām, par kurām ir prasīts minētais galvojums. Revīzijas apjomā (pārbaudīto muitas deklarāciju skaits) jāietver visas darbības, uz kurām attiecas sniegtā galvojuma summa, ņemot vērā uzskaiti, kas attiecas uz uzņēmēja iesniegtajām deklarācijām un procedūras pārraudzības noslēgšanu/beigām.</w:t>
      </w:r>
    </w:p>
    <w:p w14:paraId="10B83D63" w14:textId="77777777" w:rsidR="005A2D50" w:rsidRPr="005A2D50" w:rsidRDefault="005A2D50" w:rsidP="005A2D50">
      <w:pPr>
        <w:pStyle w:val="BodyText"/>
        <w:rPr>
          <w:lang w:val="en-US"/>
        </w:rPr>
      </w:pPr>
      <w:r w:rsidRPr="005A2D50">
        <w:rPr>
          <w:lang w:val="en-US"/>
        </w:rPr>
        <w:t>SMK ĪA 157. panta 3. punkts jāinterpretē tā, ka tas norāda obligātās prasības attiecībā uz veidiem, kādos muitas dienesti pārrauga atsauces summu gadījumos, kas nav minēti SMK ĪA 157. panta 1. un 2. punktā. Ja dalībvalstu prakse to atļauj, var pieņemt ciešākas pārraudzības darbības, tostarp uz darījumu balstītu pārraudzību. Tad šāda veida pārraudzību varētu uzskatīt par atbilstīgu un regulāru, kā minēts SMK ĪA 157. panta 3. punktā.</w:t>
      </w:r>
    </w:p>
    <w:p w14:paraId="0717AFD2" w14:textId="77777777" w:rsidR="005A2D50" w:rsidRPr="005A2D50" w:rsidRDefault="005A2D50" w:rsidP="005A2D50">
      <w:pPr>
        <w:pStyle w:val="BodyText"/>
        <w:rPr>
          <w:lang w:val="en-US"/>
        </w:rPr>
      </w:pPr>
      <w:r w:rsidRPr="005A2D50">
        <w:rPr>
          <w:lang w:val="en-US"/>
        </w:rPr>
        <w:t xml:space="preserve">Tomēr saskaņā ar SMK ĪA 154. panta 3. punktu </w:t>
      </w:r>
      <w:r w:rsidRPr="005A2D50">
        <w:rPr>
          <w:i/>
          <w:iCs/>
          <w:lang w:val="en-US"/>
        </w:rPr>
        <w:t xml:space="preserve">CA </w:t>
      </w:r>
      <w:r w:rsidRPr="005A2D50">
        <w:rPr>
          <w:lang w:val="en-US"/>
        </w:rPr>
        <w:t>jāpārbauda galvojuma esība un derīgums ikreiz, kad uzņēmējs muitas deklarācijā norāda galvojuma atsauces numuru.</w:t>
      </w:r>
    </w:p>
    <w:p w14:paraId="32C0CF40" w14:textId="77777777" w:rsidR="005A2D50" w:rsidRPr="005A2D50" w:rsidRDefault="005A2D50" w:rsidP="005A2D50">
      <w:pPr>
        <w:pStyle w:val="BodyText"/>
        <w:rPr>
          <w:lang w:val="en-US"/>
        </w:rPr>
      </w:pPr>
    </w:p>
    <w:p w14:paraId="29DB9A6D" w14:textId="77777777" w:rsidR="005A2D50" w:rsidRPr="005A2D50" w:rsidRDefault="005A2D50" w:rsidP="005A2D50">
      <w:pPr>
        <w:pStyle w:val="BodyText"/>
        <w:rPr>
          <w:b/>
          <w:bCs/>
          <w:lang w:val="en-US"/>
        </w:rPr>
      </w:pPr>
      <w:bookmarkStart w:id="143" w:name="V.2.4.2.3.2_Monitoring_of_the_RA_by_audi"/>
      <w:bookmarkEnd w:id="143"/>
      <w:r w:rsidRPr="005A2D50">
        <w:rPr>
          <w:b/>
          <w:bCs/>
          <w:lang w:val="en-US"/>
        </w:rPr>
        <w:t>V.2.4.2.3.2. Regulāras revīzijas uzraudzība, veicot revīziju par galvojumu, kas derīgs vairāk nekā vienā dalībvalstī, ja piemēro SMK TDA 8. pantu</w:t>
      </w:r>
    </w:p>
    <w:p w14:paraId="68C008B5"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2A1B020A" w14:textId="77777777" w:rsidR="005A2D50" w:rsidRPr="005A2D50" w:rsidRDefault="005A2D50" w:rsidP="005A2D50">
      <w:pPr>
        <w:pStyle w:val="BodyText"/>
        <w:rPr>
          <w:lang w:val="en-US"/>
        </w:rPr>
      </w:pPr>
      <w:r w:rsidRPr="005A2D50">
        <w:rPr>
          <w:lang w:val="en-US"/>
        </w:rPr>
        <w:t>Ja vispārējais galvojums ir derīgs vairāk nekā vienā dalībvalstī, katrai dalībvalstij ir pienākums pārraudzīt savu atsauces summas daļu, ja tā ir sadalīta starp šīm dalībvalstīm saskaņā ar SMK TDA 8. pantu.</w:t>
      </w:r>
    </w:p>
    <w:p w14:paraId="6929FDE4" w14:textId="77777777" w:rsidR="005A2D50" w:rsidRPr="005A2D50" w:rsidRDefault="005A2D50" w:rsidP="005A2D50">
      <w:pPr>
        <w:pStyle w:val="BodyText"/>
        <w:rPr>
          <w:lang w:val="en-US"/>
        </w:rPr>
      </w:pPr>
      <w:r w:rsidRPr="005A2D50">
        <w:rPr>
          <w:lang w:val="en-US"/>
        </w:rPr>
        <w:t>Šajā sakarā dalībvalstīm jāsadarbojas un jāspēj apmainīties ar attiecīgo informāciju par galvojumiem, kas ir derīgi vairāk nekā vienā dalībvalstī. Tādēļ attiecīgajām dalībvalstīm kopīgi jāvienojas par pietiekamu laikposmu un piemērotu veidu revīzijai.</w:t>
      </w:r>
    </w:p>
    <w:p w14:paraId="0AFDFFE1" w14:textId="77777777" w:rsidR="005A2D50" w:rsidRPr="005A2D50" w:rsidRDefault="005A2D50" w:rsidP="005A2D50">
      <w:pPr>
        <w:pStyle w:val="BodyText"/>
        <w:rPr>
          <w:lang w:val="en-US"/>
        </w:rPr>
      </w:pPr>
      <w:r w:rsidRPr="005A2D50">
        <w:rPr>
          <w:lang w:val="en-US"/>
        </w:rPr>
        <w:t xml:space="preserve">Saskaņā ar SMK ĪA 157. panta 3. punktu dažas dalībvalstis veic atsauces summas darījumu pārraudzību, citas revīzijā aptver visas muitas deklarācijas, savukārt dažas dalībvalstis veic uz sistēmu balstītu revīziju (muitas deklarāciju atlasi), ko var apvienot ar </w:t>
      </w:r>
      <w:r w:rsidRPr="005A2D50">
        <w:rPr>
          <w:i/>
          <w:iCs/>
          <w:lang w:val="en-US"/>
        </w:rPr>
        <w:t xml:space="preserve">CGU </w:t>
      </w:r>
      <w:r w:rsidRPr="005A2D50">
        <w:rPr>
          <w:lang w:val="en-US"/>
        </w:rPr>
        <w:t xml:space="preserve">atļauju pārraudzību. Dažas dalībvalstis paļaujas uz to, ka uzņēmējam ir pienākums veikt pārraudzību, un uzticas informācijai, ko uzņēmējs sniedzis savā grāmatvedības sistēmā, (piemēram, ja </w:t>
      </w:r>
      <w:r w:rsidRPr="005A2D50">
        <w:rPr>
          <w:i/>
          <w:iCs/>
          <w:lang w:val="en-US"/>
        </w:rPr>
        <w:t xml:space="preserve">CA </w:t>
      </w:r>
      <w:r w:rsidRPr="005A2D50">
        <w:rPr>
          <w:lang w:val="en-US"/>
        </w:rPr>
        <w:t>ir grūtības zināt, kad procedūra ir noslēgta, vai tās nezina, kad preces faktiski izved no ES teritorijas caur citu dalībvalsti).</w:t>
      </w:r>
    </w:p>
    <w:p w14:paraId="4D4E0B5E" w14:textId="77777777" w:rsidR="005A2D50" w:rsidRPr="005A2D50" w:rsidRDefault="005A2D50" w:rsidP="005A2D50">
      <w:pPr>
        <w:pStyle w:val="BodyText"/>
        <w:rPr>
          <w:lang w:val="en-US"/>
        </w:rPr>
      </w:pPr>
      <w:r w:rsidRPr="005A2D50">
        <w:rPr>
          <w:lang w:val="en-US"/>
        </w:rPr>
        <w:t>Jebkāda prakse ir pieņemama, ja vien dalībvalstis atkārtoti pārliecinās, ka atsauces summa ir pietiekama, lai jebkurā brīdī segtu muitas parāda un citu maksājumu, ja piemērojami, summu.</w:t>
      </w:r>
    </w:p>
    <w:p w14:paraId="4616EA91" w14:textId="77777777" w:rsidR="005A2D50" w:rsidRPr="005A2D50" w:rsidRDefault="005A2D50" w:rsidP="005A2D50">
      <w:pPr>
        <w:pStyle w:val="BodyText"/>
        <w:rPr>
          <w:lang w:val="en-US"/>
        </w:rPr>
      </w:pPr>
    </w:p>
    <w:p w14:paraId="78319936" w14:textId="77777777" w:rsidR="005A2D50" w:rsidRPr="005A2D50" w:rsidRDefault="005A2D50" w:rsidP="005A2D50">
      <w:pPr>
        <w:pStyle w:val="Heading2"/>
        <w:rPr>
          <w:noProof/>
          <w:lang w:val="en-US"/>
        </w:rPr>
      </w:pPr>
      <w:bookmarkStart w:id="144" w:name="V.2.5._Review_of_the_reference_amount"/>
      <w:bookmarkStart w:id="145" w:name="_bookmark39"/>
      <w:bookmarkStart w:id="146" w:name="_Toc104982797"/>
      <w:bookmarkEnd w:id="144"/>
      <w:bookmarkEnd w:id="145"/>
      <w:r w:rsidRPr="005A2D50">
        <w:rPr>
          <w:noProof/>
          <w:lang w:val="en-US"/>
        </w:rPr>
        <w:t>V.2.5. Atsauces summas izskatīšana</w:t>
      </w:r>
      <w:bookmarkEnd w:id="146"/>
    </w:p>
    <w:p w14:paraId="21CF92F9"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334612BB" w14:textId="77777777" w:rsidR="005A2D50" w:rsidRPr="005A2D50" w:rsidRDefault="005A2D50" w:rsidP="005A2D50">
      <w:pPr>
        <w:pStyle w:val="BodyText"/>
        <w:rPr>
          <w:lang w:val="en-US"/>
        </w:rPr>
      </w:pPr>
      <w:r w:rsidRPr="005A2D50">
        <w:rPr>
          <w:lang w:val="en-US"/>
        </w:rPr>
        <w:t xml:space="preserve">Saskaņā ar SMK ĪA 155. panta 5. punktu </w:t>
      </w:r>
      <w:r w:rsidRPr="005A2D50">
        <w:rPr>
          <w:i/>
          <w:iCs/>
          <w:lang w:val="en-US"/>
        </w:rPr>
        <w:t xml:space="preserve">COG </w:t>
      </w:r>
      <w:r w:rsidRPr="005A2D50">
        <w:rPr>
          <w:lang w:val="en-US"/>
        </w:rPr>
        <w:t>muitas iestāde pēc savas iniciatīvas vai pēc tās personas pieprasījuma, kurai prasīts sniegt galvojumu, izskata atsauces summu un, ja nepieciešams, koriģē to.</w:t>
      </w:r>
    </w:p>
    <w:p w14:paraId="22495339" w14:textId="77777777" w:rsidR="005A2D50" w:rsidRPr="005A2D50" w:rsidRDefault="005A2D50" w:rsidP="005A2D50">
      <w:pPr>
        <w:pStyle w:val="BodyText"/>
        <w:rPr>
          <w:lang w:val="en-US"/>
        </w:rPr>
      </w:pPr>
      <w:r w:rsidRPr="005A2D50">
        <w:rPr>
          <w:lang w:val="en-US"/>
        </w:rPr>
        <w:t>Šajā kontekstā atsauces summas izskatīšana nozīmē atsauces summas vērtības atjaunināšanu.</w:t>
      </w:r>
    </w:p>
    <w:p w14:paraId="720A6987" w14:textId="77777777" w:rsidR="005A2D50" w:rsidRPr="005A2D50" w:rsidRDefault="005A2D50" w:rsidP="005A2D50">
      <w:pPr>
        <w:pStyle w:val="BodyText"/>
        <w:rPr>
          <w:lang w:val="en-US"/>
        </w:rPr>
      </w:pPr>
      <w:r w:rsidRPr="005A2D50">
        <w:rPr>
          <w:lang w:val="en-US"/>
        </w:rPr>
        <w:t>Tā kā atsauces summas pārraudzībā pārbauda, vai noteiktā atsauces summa ir pietiekama, lai segtu ievedmuitas vai izvedmuitas nodokļa un to citu maksājumu summu, kas ir radušies vai var rasties jebkurā brīdī, atsauces summas izskatīšanu var uzskatīt par pārraudzības darbības rezultātu.</w:t>
      </w:r>
    </w:p>
    <w:p w14:paraId="147F4640" w14:textId="77777777" w:rsidR="005A2D50" w:rsidRPr="005A2D50" w:rsidRDefault="005A2D50" w:rsidP="005A2D50">
      <w:pPr>
        <w:pStyle w:val="BodyText"/>
        <w:rPr>
          <w:lang w:val="en-US"/>
        </w:rPr>
      </w:pPr>
      <w:r w:rsidRPr="005A2D50">
        <w:rPr>
          <w:lang w:val="en-US"/>
        </w:rPr>
        <w:t>Atsauces summas izskatīšana ietekmē tā galvojuma apjomu, kas sniegts, lai segtu muitas parāda un citu maksājumu summu, vai attiecīgās atļaujas attiecībā uz minēto atsauces summu.</w:t>
      </w:r>
    </w:p>
    <w:p w14:paraId="71B6AF6F" w14:textId="77777777" w:rsidR="005A2D50" w:rsidRPr="005A2D50" w:rsidRDefault="005A2D50" w:rsidP="005A2D50">
      <w:pPr>
        <w:pStyle w:val="BodyText"/>
        <w:rPr>
          <w:lang w:val="en-US"/>
        </w:rPr>
      </w:pPr>
    </w:p>
    <w:p w14:paraId="08751948" w14:textId="77777777" w:rsidR="005A2D50" w:rsidRPr="005A2D50" w:rsidRDefault="005A2D50" w:rsidP="005A2D50">
      <w:pPr>
        <w:pStyle w:val="Heading2"/>
        <w:rPr>
          <w:noProof/>
          <w:lang w:val="en-US"/>
        </w:rPr>
      </w:pPr>
      <w:bookmarkStart w:id="147" w:name="V.2.6._Levels_of_reduction_of_the_compre"/>
      <w:bookmarkStart w:id="148" w:name="_bookmark40"/>
      <w:bookmarkStart w:id="149" w:name="_Toc104982798"/>
      <w:bookmarkEnd w:id="147"/>
      <w:bookmarkEnd w:id="148"/>
      <w:r w:rsidRPr="005A2D50">
        <w:rPr>
          <w:noProof/>
          <w:lang w:val="en-US"/>
        </w:rPr>
        <w:t>V.2.6. Vispārējā galvojuma samazinājuma apmēri</w:t>
      </w:r>
      <w:bookmarkEnd w:id="149"/>
    </w:p>
    <w:p w14:paraId="0F579EA0"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2F6D0DD5" w14:textId="77777777" w:rsidR="005A2D50" w:rsidRPr="005A2D50" w:rsidRDefault="005A2D50" w:rsidP="005A2D50">
      <w:pPr>
        <w:pStyle w:val="BodyText"/>
        <w:rPr>
          <w:b/>
          <w:bCs/>
          <w:lang w:val="en-US"/>
        </w:rPr>
      </w:pPr>
      <w:bookmarkStart w:id="150" w:name="V.2.6.1._Customs_debt_and_other_charges_"/>
      <w:bookmarkEnd w:id="150"/>
      <w:r w:rsidRPr="005A2D50">
        <w:rPr>
          <w:b/>
          <w:bCs/>
          <w:lang w:val="en-US"/>
        </w:rPr>
        <w:t>V.2.6.1. Muitas parāds un citi maksājumi, kas ir radušies</w:t>
      </w:r>
    </w:p>
    <w:p w14:paraId="05B87694"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10A9C936" w14:textId="77777777" w:rsidR="005A2D50" w:rsidRPr="005A2D50" w:rsidRDefault="005A2D50" w:rsidP="005A2D50">
      <w:pPr>
        <w:pStyle w:val="BodyText"/>
        <w:rPr>
          <w:lang w:val="en-US"/>
        </w:rPr>
      </w:pPr>
      <w:r w:rsidRPr="005A2D50">
        <w:rPr>
          <w:lang w:val="en-US"/>
        </w:rPr>
        <w:t>Esošs muitas parāds ir saistīts ar šādām muitas operācijām:</w:t>
      </w:r>
    </w:p>
    <w:p w14:paraId="5C98CDFE" w14:textId="77777777" w:rsidR="005A2D50" w:rsidRPr="005A2D50" w:rsidRDefault="005A2D50" w:rsidP="005A2D50">
      <w:pPr>
        <w:pStyle w:val="BodyText"/>
        <w:rPr>
          <w:lang w:val="en-US"/>
        </w:rPr>
      </w:pPr>
    </w:p>
    <w:p w14:paraId="6D237E02" w14:textId="77777777" w:rsidR="005A2D50" w:rsidRPr="005A2D50" w:rsidRDefault="005A2D50" w:rsidP="005A2D50">
      <w:pPr>
        <w:pStyle w:val="BodyText"/>
        <w:numPr>
          <w:ilvl w:val="4"/>
          <w:numId w:val="24"/>
        </w:numPr>
        <w:tabs>
          <w:tab w:val="left" w:pos="851"/>
        </w:tabs>
        <w:ind w:left="284" w:firstLine="0"/>
        <w:rPr>
          <w:lang w:val="en-US"/>
        </w:rPr>
      </w:pPr>
      <w:r w:rsidRPr="005A2D50">
        <w:rPr>
          <w:lang w:val="en-US"/>
        </w:rPr>
        <w:t>laišana brīvā apgrozībā ar standarta muitas deklarāciju bez atliktā maksājuma;</w:t>
      </w:r>
    </w:p>
    <w:p w14:paraId="05A612C8" w14:textId="77777777" w:rsidR="005A2D50" w:rsidRPr="005A2D50" w:rsidRDefault="005A2D50" w:rsidP="005A2D50">
      <w:pPr>
        <w:pStyle w:val="BodyText"/>
        <w:numPr>
          <w:ilvl w:val="4"/>
          <w:numId w:val="24"/>
        </w:numPr>
        <w:tabs>
          <w:tab w:val="left" w:pos="851"/>
        </w:tabs>
        <w:ind w:left="284" w:firstLine="0"/>
        <w:rPr>
          <w:lang w:val="en-US"/>
        </w:rPr>
      </w:pPr>
      <w:r w:rsidRPr="005A2D50">
        <w:rPr>
          <w:lang w:val="en-US"/>
        </w:rPr>
        <w:t>laišana brīvā apgrozībā ar standarta muitas deklarāciju ar atlikto maksājumu;</w:t>
      </w:r>
    </w:p>
    <w:p w14:paraId="4F2B4677" w14:textId="77777777" w:rsidR="005A2D50" w:rsidRPr="005A2D50" w:rsidRDefault="005A2D50" w:rsidP="005A2D50">
      <w:pPr>
        <w:pStyle w:val="BodyText"/>
        <w:numPr>
          <w:ilvl w:val="4"/>
          <w:numId w:val="24"/>
        </w:numPr>
        <w:tabs>
          <w:tab w:val="left" w:pos="851"/>
        </w:tabs>
        <w:ind w:left="284" w:firstLine="0"/>
        <w:rPr>
          <w:lang w:val="en-US"/>
        </w:rPr>
      </w:pPr>
      <w:r w:rsidRPr="005A2D50">
        <w:rPr>
          <w:lang w:val="en-US"/>
        </w:rPr>
        <w:t>laišana brīvā apgrozībā ar muitas deklarāciju, ko iesniedz saskaņā ar SMK 166. pantu;</w:t>
      </w:r>
    </w:p>
    <w:p w14:paraId="4A3B2BD4" w14:textId="77777777" w:rsidR="005A2D50" w:rsidRPr="005A2D50" w:rsidRDefault="005A2D50" w:rsidP="005A2D50">
      <w:pPr>
        <w:pStyle w:val="BodyText"/>
        <w:numPr>
          <w:ilvl w:val="4"/>
          <w:numId w:val="24"/>
        </w:numPr>
        <w:tabs>
          <w:tab w:val="left" w:pos="851"/>
        </w:tabs>
        <w:ind w:left="284" w:firstLine="0"/>
        <w:rPr>
          <w:lang w:val="en-US"/>
        </w:rPr>
      </w:pPr>
      <w:r w:rsidRPr="005A2D50">
        <w:rPr>
          <w:lang w:val="en-US"/>
        </w:rPr>
        <w:t>laišana brīvā apgrozībā ar muitas deklarāciju, ko iesniedz saskaņā ar SMK 182. pantu;</w:t>
      </w:r>
    </w:p>
    <w:p w14:paraId="5B0D53BB" w14:textId="77777777" w:rsidR="005A2D50" w:rsidRPr="005A2D50" w:rsidRDefault="005A2D50" w:rsidP="005A2D50">
      <w:pPr>
        <w:pStyle w:val="BodyText"/>
        <w:numPr>
          <w:ilvl w:val="4"/>
          <w:numId w:val="24"/>
        </w:numPr>
        <w:tabs>
          <w:tab w:val="left" w:pos="851"/>
        </w:tabs>
        <w:ind w:left="284" w:firstLine="0"/>
        <w:rPr>
          <w:lang w:val="en-US"/>
        </w:rPr>
      </w:pPr>
      <w:r w:rsidRPr="005A2D50">
        <w:rPr>
          <w:lang w:val="en-US"/>
        </w:rPr>
        <w:t>pagaidu ievešanas procedūra ar daļēju atbrīvojumu no ievedmuitas nodokļa;</w:t>
      </w:r>
    </w:p>
    <w:p w14:paraId="29522678" w14:textId="77777777" w:rsidR="005A2D50" w:rsidRPr="005A2D50" w:rsidRDefault="005A2D50" w:rsidP="005A2D50">
      <w:pPr>
        <w:pStyle w:val="BodyText"/>
        <w:numPr>
          <w:ilvl w:val="4"/>
          <w:numId w:val="24"/>
        </w:numPr>
        <w:tabs>
          <w:tab w:val="left" w:pos="851"/>
        </w:tabs>
        <w:ind w:left="284" w:firstLine="0"/>
        <w:rPr>
          <w:lang w:val="en-US"/>
        </w:rPr>
      </w:pPr>
      <w:r w:rsidRPr="005A2D50">
        <w:rPr>
          <w:lang w:val="en-US"/>
        </w:rPr>
        <w:t>galapatēriņa procedūra;</w:t>
      </w:r>
    </w:p>
    <w:p w14:paraId="4F9A94E5" w14:textId="77777777" w:rsidR="005A2D50" w:rsidRPr="005A2D50" w:rsidRDefault="005A2D50" w:rsidP="005A2D50">
      <w:pPr>
        <w:pStyle w:val="BodyText"/>
        <w:numPr>
          <w:ilvl w:val="4"/>
          <w:numId w:val="24"/>
        </w:numPr>
        <w:tabs>
          <w:tab w:val="left" w:pos="851"/>
        </w:tabs>
        <w:ind w:left="284" w:firstLine="0"/>
        <w:rPr>
          <w:lang w:val="en-US"/>
        </w:rPr>
      </w:pPr>
      <w:r w:rsidRPr="005A2D50">
        <w:rPr>
          <w:lang w:val="en-US"/>
        </w:rPr>
        <w:t>cita veida operācija.</w:t>
      </w:r>
    </w:p>
    <w:p w14:paraId="784F0415" w14:textId="77777777" w:rsidR="005A2D50" w:rsidRPr="005A2D50" w:rsidRDefault="005A2D50" w:rsidP="005A2D50">
      <w:pPr>
        <w:pStyle w:val="BodyText"/>
        <w:rPr>
          <w:lang w:val="en-US"/>
        </w:rPr>
      </w:pPr>
    </w:p>
    <w:p w14:paraId="0A5C933E" w14:textId="77777777" w:rsidR="005A2D50" w:rsidRPr="005A2D50" w:rsidRDefault="005A2D50" w:rsidP="005A2D50">
      <w:pPr>
        <w:pStyle w:val="BodyText"/>
        <w:rPr>
          <w:lang w:val="en-US"/>
        </w:rPr>
      </w:pPr>
      <w:r w:rsidRPr="005A2D50">
        <w:rPr>
          <w:lang w:val="en-US"/>
        </w:rPr>
        <w:t>Saskaņā ar SMK 95. panta 3. punktu galvojuma summu, kas atbilst muitas parādiem un citiem maksājumiem, kuri radušies saistībā ar vienu vai vairākām muitas operācijām, deklarācijām vai procedūrām (SMK ĪA 32-03. pielikuma 1.b punkts), var samazināt līdz 30 % no atsauces summas daļas (SMK ĪA 158. panta 2. punkts).</w:t>
      </w:r>
    </w:p>
    <w:p w14:paraId="1C895D82" w14:textId="77777777" w:rsidR="005A2D50" w:rsidRPr="005A2D50" w:rsidRDefault="005A2D50" w:rsidP="005A2D50">
      <w:pPr>
        <w:pStyle w:val="BodyText"/>
        <w:rPr>
          <w:lang w:val="en-US"/>
        </w:rPr>
      </w:pPr>
      <w:r w:rsidRPr="005A2D50">
        <w:rPr>
          <w:lang w:val="en-US"/>
        </w:rPr>
        <w:t>Šo samazinājumu piešķir tikai atzītiem uzņēmējiem, kuriem ir atļauja muitas vienkāršojumiem (</w:t>
      </w:r>
      <w:r w:rsidRPr="005A2D50">
        <w:rPr>
          <w:i/>
          <w:iCs/>
          <w:lang w:val="en-US"/>
        </w:rPr>
        <w:t>AEOC</w:t>
      </w:r>
      <w:r w:rsidRPr="005A2D50">
        <w:rPr>
          <w:lang w:val="en-US"/>
        </w:rPr>
        <w:t xml:space="preserve">) pēc pieprasījuma. Tiesību normās nav paredzēti citi nosacījumi, kas </w:t>
      </w:r>
      <w:r w:rsidRPr="005A2D50">
        <w:rPr>
          <w:i/>
          <w:iCs/>
          <w:lang w:val="en-US"/>
        </w:rPr>
        <w:t xml:space="preserve">AEOC </w:t>
      </w:r>
      <w:r w:rsidRPr="005A2D50">
        <w:rPr>
          <w:lang w:val="en-US"/>
        </w:rPr>
        <w:t>jāievēro, lai varētu izmantot šo samazinājuma līmeni.</w:t>
      </w:r>
    </w:p>
    <w:p w14:paraId="5CD50F9A" w14:textId="77777777" w:rsidR="005A2D50" w:rsidRPr="005A2D50" w:rsidRDefault="005A2D50" w:rsidP="005A2D50">
      <w:pPr>
        <w:jc w:val="both"/>
        <w:rPr>
          <w:rFonts w:ascii="Times New Roman" w:hAnsi="Times New Roman" w:cs="Times New Roman"/>
          <w:noProof/>
          <w:sz w:val="24"/>
          <w:szCs w:val="24"/>
          <w:lang w:val="en-US"/>
        </w:rPr>
      </w:pPr>
    </w:p>
    <w:p w14:paraId="74C47CCE" w14:textId="77777777" w:rsidR="005A2D50" w:rsidRPr="005A2D50" w:rsidRDefault="005A2D50" w:rsidP="005A2D50">
      <w:pPr>
        <w:pStyle w:val="BodyText"/>
        <w:rPr>
          <w:b/>
          <w:bCs/>
          <w:lang w:val="en-US"/>
        </w:rPr>
      </w:pPr>
      <w:bookmarkStart w:id="151" w:name="V.2.6.2._Customs_debt_and_other_charges_"/>
      <w:bookmarkEnd w:id="151"/>
      <w:r w:rsidRPr="005A2D50">
        <w:rPr>
          <w:b/>
          <w:bCs/>
          <w:lang w:val="en-US"/>
        </w:rPr>
        <w:t>V.2.6.2. Muitas parāds un citi maksājumi, kas var rasties</w:t>
      </w:r>
    </w:p>
    <w:p w14:paraId="30F4E053"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3D4EA2CC" w14:textId="77777777" w:rsidR="005A2D50" w:rsidRPr="005A2D50" w:rsidRDefault="005A2D50" w:rsidP="005A2D50">
      <w:pPr>
        <w:pStyle w:val="BodyText"/>
        <w:rPr>
          <w:lang w:val="en-US"/>
        </w:rPr>
      </w:pPr>
      <w:r w:rsidRPr="005A2D50">
        <w:rPr>
          <w:lang w:val="en-US"/>
        </w:rPr>
        <w:t>Iespējamais muitas parāds ir saistīts ar preču pagaidu uzglabāšanu un šādām muitas procedūrām:</w:t>
      </w:r>
    </w:p>
    <w:p w14:paraId="0CC8535D" w14:textId="77777777" w:rsidR="005A2D50" w:rsidRPr="005A2D50" w:rsidRDefault="005A2D50" w:rsidP="005A2D50">
      <w:pPr>
        <w:pStyle w:val="BodyText"/>
        <w:rPr>
          <w:lang w:val="en-US"/>
        </w:rPr>
      </w:pPr>
    </w:p>
    <w:p w14:paraId="7C32D5CC" w14:textId="77777777" w:rsidR="005A2D50" w:rsidRPr="005A2D50" w:rsidRDefault="005A2D50" w:rsidP="005A2D50">
      <w:pPr>
        <w:pStyle w:val="BodyText"/>
        <w:numPr>
          <w:ilvl w:val="4"/>
          <w:numId w:val="24"/>
        </w:numPr>
        <w:tabs>
          <w:tab w:val="left" w:pos="851"/>
        </w:tabs>
        <w:ind w:left="284" w:firstLine="0"/>
        <w:rPr>
          <w:lang w:val="en-US"/>
        </w:rPr>
      </w:pPr>
      <w:r w:rsidRPr="005A2D50">
        <w:rPr>
          <w:lang w:val="en-US"/>
        </w:rPr>
        <w:t>Savienības tranzīta procedūra / kopīgā tranzīta procedūra;</w:t>
      </w:r>
    </w:p>
    <w:p w14:paraId="4540EA18" w14:textId="77777777" w:rsidR="005A2D50" w:rsidRPr="005A2D50" w:rsidRDefault="005A2D50" w:rsidP="005A2D50">
      <w:pPr>
        <w:pStyle w:val="BodyText"/>
        <w:numPr>
          <w:ilvl w:val="4"/>
          <w:numId w:val="24"/>
        </w:numPr>
        <w:tabs>
          <w:tab w:val="left" w:pos="851"/>
        </w:tabs>
        <w:ind w:left="284" w:firstLine="0"/>
        <w:rPr>
          <w:lang w:val="en-US"/>
        </w:rPr>
      </w:pPr>
      <w:r w:rsidRPr="005A2D50">
        <w:rPr>
          <w:lang w:val="en-US"/>
        </w:rPr>
        <w:t>uzglabāšanas muitas noliktavā procedūra;</w:t>
      </w:r>
    </w:p>
    <w:p w14:paraId="666185A4" w14:textId="77777777" w:rsidR="005A2D50" w:rsidRPr="005A2D50" w:rsidRDefault="005A2D50" w:rsidP="005A2D50">
      <w:pPr>
        <w:pStyle w:val="BodyText"/>
        <w:numPr>
          <w:ilvl w:val="4"/>
          <w:numId w:val="24"/>
        </w:numPr>
        <w:tabs>
          <w:tab w:val="left" w:pos="851"/>
        </w:tabs>
        <w:ind w:left="284" w:firstLine="0"/>
        <w:rPr>
          <w:lang w:val="en-US"/>
        </w:rPr>
      </w:pPr>
      <w:r w:rsidRPr="005A2D50">
        <w:rPr>
          <w:lang w:val="en-US"/>
        </w:rPr>
        <w:t>pagaidu ievešanas procedūra ar pilnīgu atbrīvojumu no ievedmuitas nodokļa;</w:t>
      </w:r>
    </w:p>
    <w:p w14:paraId="4650C622" w14:textId="77777777" w:rsidR="005A2D50" w:rsidRPr="005A2D50" w:rsidRDefault="005A2D50" w:rsidP="005A2D50">
      <w:pPr>
        <w:pStyle w:val="BodyText"/>
        <w:numPr>
          <w:ilvl w:val="4"/>
          <w:numId w:val="24"/>
        </w:numPr>
        <w:tabs>
          <w:tab w:val="left" w:pos="851"/>
        </w:tabs>
        <w:ind w:left="284" w:firstLine="0"/>
        <w:rPr>
          <w:lang w:val="en-US"/>
        </w:rPr>
      </w:pPr>
      <w:r w:rsidRPr="005A2D50">
        <w:rPr>
          <w:lang w:val="en-US"/>
        </w:rPr>
        <w:t>ievešanas pārstrādei procedūra;</w:t>
      </w:r>
    </w:p>
    <w:p w14:paraId="23CDF339" w14:textId="77777777" w:rsidR="005A2D50" w:rsidRPr="005A2D50" w:rsidRDefault="005A2D50" w:rsidP="005A2D50">
      <w:pPr>
        <w:pStyle w:val="BodyText"/>
        <w:numPr>
          <w:ilvl w:val="4"/>
          <w:numId w:val="24"/>
        </w:numPr>
        <w:tabs>
          <w:tab w:val="left" w:pos="851"/>
        </w:tabs>
        <w:ind w:left="284" w:firstLine="0"/>
        <w:rPr>
          <w:lang w:val="en-US"/>
        </w:rPr>
      </w:pPr>
      <w:r w:rsidRPr="005A2D50">
        <w:rPr>
          <w:lang w:val="en-US"/>
        </w:rPr>
        <w:t>galapatēriņa procedūra;</w:t>
      </w:r>
    </w:p>
    <w:p w14:paraId="2EF8A8A0" w14:textId="77777777" w:rsidR="005A2D50" w:rsidRPr="005A2D50" w:rsidRDefault="005A2D50" w:rsidP="005A2D50">
      <w:pPr>
        <w:pStyle w:val="BodyText"/>
        <w:numPr>
          <w:ilvl w:val="4"/>
          <w:numId w:val="24"/>
        </w:numPr>
        <w:tabs>
          <w:tab w:val="left" w:pos="851"/>
        </w:tabs>
        <w:ind w:left="284" w:firstLine="0"/>
        <w:rPr>
          <w:lang w:val="en-US"/>
        </w:rPr>
      </w:pPr>
      <w:r w:rsidRPr="005A2D50">
        <w:rPr>
          <w:lang w:val="en-US"/>
        </w:rPr>
        <w:t>cita veida muitas darbības.</w:t>
      </w:r>
    </w:p>
    <w:p w14:paraId="1469D094" w14:textId="77777777" w:rsidR="005A2D50" w:rsidRPr="005A2D50" w:rsidRDefault="005A2D50" w:rsidP="005A2D50">
      <w:pPr>
        <w:pStyle w:val="BodyText"/>
        <w:rPr>
          <w:lang w:val="en-US"/>
        </w:rPr>
      </w:pPr>
    </w:p>
    <w:p w14:paraId="3A73780F" w14:textId="77777777" w:rsidR="005A2D50" w:rsidRPr="005A2D50" w:rsidRDefault="005A2D50" w:rsidP="005A2D50">
      <w:pPr>
        <w:pStyle w:val="BodyText"/>
        <w:rPr>
          <w:lang w:val="en-US"/>
        </w:rPr>
      </w:pPr>
      <w:r w:rsidRPr="005A2D50">
        <w:rPr>
          <w:lang w:val="en-US"/>
        </w:rPr>
        <w:t>Saskaņā ar SMK ĪA 158. panta 1. punktu vispārējā galvojuma summu, kas sedz muitas parādus un citus maksājumus, kuri var rasties (SMK 95. panta 2. punkts), piemērojot precēm vienu vai vairākas muitas operācijas (</w:t>
      </w:r>
      <w:r w:rsidRPr="005A2D50">
        <w:rPr>
          <w:i/>
          <w:iCs/>
          <w:lang w:val="en-US"/>
        </w:rPr>
        <w:t xml:space="preserve">TS </w:t>
      </w:r>
      <w:r w:rsidRPr="005A2D50">
        <w:rPr>
          <w:lang w:val="en-US"/>
        </w:rPr>
        <w:t>un/vai vienu vai vairākas muitas procedūras), kas uzskaitītas SMK ĪA 32-03. pielikuma 1.a punktā, var samazināt līdz:</w:t>
      </w:r>
    </w:p>
    <w:p w14:paraId="7AD1BD6C" w14:textId="77777777" w:rsidR="005A2D50" w:rsidRPr="005A2D50" w:rsidRDefault="005A2D50" w:rsidP="005A2D50">
      <w:pPr>
        <w:pStyle w:val="BodyText"/>
        <w:rPr>
          <w:lang w:val="en-US"/>
        </w:rPr>
      </w:pPr>
    </w:p>
    <w:p w14:paraId="5B5CE09A" w14:textId="77777777" w:rsidR="005A2D50" w:rsidRPr="005A2D50" w:rsidRDefault="005A2D50" w:rsidP="005A2D50">
      <w:pPr>
        <w:pStyle w:val="BodyText"/>
        <w:numPr>
          <w:ilvl w:val="4"/>
          <w:numId w:val="24"/>
        </w:numPr>
        <w:tabs>
          <w:tab w:val="left" w:pos="851"/>
        </w:tabs>
        <w:ind w:left="284" w:firstLine="0"/>
        <w:rPr>
          <w:lang w:val="en-US"/>
        </w:rPr>
      </w:pPr>
      <w:r w:rsidRPr="005A2D50">
        <w:rPr>
          <w:lang w:val="en-US"/>
        </w:rPr>
        <w:t>50 % no atsauces summas daļas – pieteikuma iesniedzējam ir jāizpilda SMK 95. panta un SMK DA 84. panta 1. punkta nosacījumi;</w:t>
      </w:r>
    </w:p>
    <w:p w14:paraId="15216444" w14:textId="77777777" w:rsidR="005A2D50" w:rsidRPr="005A2D50" w:rsidRDefault="005A2D50" w:rsidP="005A2D50">
      <w:pPr>
        <w:pStyle w:val="BodyText"/>
        <w:numPr>
          <w:ilvl w:val="4"/>
          <w:numId w:val="24"/>
        </w:numPr>
        <w:tabs>
          <w:tab w:val="left" w:pos="851"/>
        </w:tabs>
        <w:ind w:left="284" w:firstLine="0"/>
        <w:rPr>
          <w:lang w:val="en-US"/>
        </w:rPr>
      </w:pPr>
      <w:r w:rsidRPr="005A2D50">
        <w:rPr>
          <w:lang w:val="en-US"/>
        </w:rPr>
        <w:t>30 % no atsauces summas daļas – pieteikuma iesniedzējam ir jāizpilda SMK 95. panta un SMK DA 84. panta 2. punkta nosacījumi;</w:t>
      </w:r>
    </w:p>
    <w:p w14:paraId="3D1042E5" w14:textId="77777777" w:rsidR="005A2D50" w:rsidRPr="005A2D50" w:rsidRDefault="005A2D50" w:rsidP="005A2D50">
      <w:pPr>
        <w:pStyle w:val="BodyText"/>
        <w:numPr>
          <w:ilvl w:val="4"/>
          <w:numId w:val="24"/>
        </w:numPr>
        <w:tabs>
          <w:tab w:val="left" w:pos="851"/>
        </w:tabs>
        <w:ind w:left="284" w:firstLine="0"/>
        <w:rPr>
          <w:lang w:val="en-US"/>
        </w:rPr>
      </w:pPr>
      <w:r w:rsidRPr="005A2D50">
        <w:rPr>
          <w:lang w:val="en-US"/>
        </w:rPr>
        <w:t>0 % no atsauces summas daļas (atbrīvojums no galvojuma) – pieteikuma iesniedzējam ir jāizpilda SMK 95. panta un SMK DA 84. panta 3. punkta nosacījumi.</w:t>
      </w:r>
    </w:p>
    <w:p w14:paraId="33E31BE4" w14:textId="77777777" w:rsidR="005A2D50" w:rsidRPr="005A2D50" w:rsidRDefault="005A2D50" w:rsidP="005A2D50">
      <w:pPr>
        <w:pStyle w:val="BodyText"/>
        <w:rPr>
          <w:lang w:val="en-US"/>
        </w:rPr>
      </w:pPr>
    </w:p>
    <w:p w14:paraId="2AB1C55C" w14:textId="77777777" w:rsidR="005A2D50" w:rsidRPr="005A2D50" w:rsidRDefault="005A2D50" w:rsidP="005A2D50">
      <w:pPr>
        <w:pStyle w:val="BodyText"/>
        <w:rPr>
          <w:lang w:val="en-US"/>
        </w:rPr>
      </w:pPr>
      <w:r w:rsidRPr="005A2D50">
        <w:rPr>
          <w:lang w:val="en-US"/>
        </w:rPr>
        <w:t xml:space="preserve">Saskaņā ar specifikācijām, kas minētas SMK ĪA A pielikuma VI sadaļā </w:t>
      </w:r>
      <w:r w:rsidRPr="005A2D50">
        <w:rPr>
          <w:i/>
          <w:iCs/>
          <w:lang w:val="en-US"/>
        </w:rPr>
        <w:t xml:space="preserve">CGU </w:t>
      </w:r>
      <w:r w:rsidRPr="005A2D50">
        <w:rPr>
          <w:lang w:val="en-US"/>
        </w:rPr>
        <w:t xml:space="preserve">atļauja, d. e. VI/3 (galvojuma apmērs) kardinalitāte ir 99x. Tāpēc ar vienu atļauju izmantot vispārējo galvojumu kompetentais muitas dienests saskaņā ar SMK ĪA 158. pantu var piešķirt dažādus samazinājuma apmērus katrai atsauces summas daļai, kas atbilst </w:t>
      </w:r>
      <w:r w:rsidRPr="005A2D50">
        <w:rPr>
          <w:i/>
          <w:iCs/>
          <w:lang w:val="en-US"/>
        </w:rPr>
        <w:t xml:space="preserve">SPE </w:t>
      </w:r>
      <w:r w:rsidRPr="005A2D50">
        <w:rPr>
          <w:lang w:val="en-US"/>
        </w:rPr>
        <w:t xml:space="preserve">vai </w:t>
      </w:r>
      <w:r w:rsidRPr="005A2D50">
        <w:rPr>
          <w:i/>
          <w:iCs/>
          <w:lang w:val="en-US"/>
        </w:rPr>
        <w:t xml:space="preserve">TS </w:t>
      </w:r>
      <w:r w:rsidRPr="005A2D50">
        <w:rPr>
          <w:lang w:val="en-US"/>
        </w:rPr>
        <w:t xml:space="preserve">atļaujai. Tomēr SMK būtība ir tāda, ka </w:t>
      </w:r>
      <w:r w:rsidRPr="005A2D50">
        <w:rPr>
          <w:i/>
          <w:iCs/>
          <w:lang w:val="en-US"/>
        </w:rPr>
        <w:t xml:space="preserve">CGU </w:t>
      </w:r>
      <w:r w:rsidRPr="005A2D50">
        <w:rPr>
          <w:lang w:val="en-US"/>
        </w:rPr>
        <w:t xml:space="preserve">atļauja ir atvieglojums, kas paredzēts, lai aptvertu visas uzņēmēja muitas darbības. Turklāt SMK 95. panta 2. punkta, deleģētā akta 84. panta 1. punkta un īstenošanas akta 158. panta formulējums attiecas uz uzņēmēju un viņa pieteikumu vispārējam galvojumam tādā veidā, ko varētu interpretēt kā iespēju piešķirt tikai vienu samazinājuma apmēru, bet kas nav ļoti specifisks attiecībā uz šo ierobežojumu. Turklāt atsauces summas izmantošanas elastība ievērojami samazinātos ikreiz, kad muita nolemtu sadalīt to pa dažādām muitas procedūrām / </w:t>
      </w:r>
      <w:r w:rsidRPr="005A2D50">
        <w:rPr>
          <w:i/>
          <w:iCs/>
          <w:lang w:val="en-US"/>
        </w:rPr>
        <w:t>TS</w:t>
      </w:r>
      <w:r w:rsidRPr="005A2D50">
        <w:rPr>
          <w:lang w:val="en-US"/>
        </w:rPr>
        <w:t>, lai varētu piešķirt dažādus samazinājuma apmērus.</w:t>
      </w:r>
    </w:p>
    <w:p w14:paraId="00ED1180" w14:textId="77777777" w:rsidR="005A2D50" w:rsidRPr="005A2D50" w:rsidRDefault="005A2D50" w:rsidP="005A2D50">
      <w:pPr>
        <w:pStyle w:val="BodyText"/>
        <w:rPr>
          <w:lang w:val="en-US"/>
        </w:rPr>
      </w:pPr>
      <w:r w:rsidRPr="005A2D50">
        <w:rPr>
          <w:lang w:val="en-US"/>
        </w:rPr>
        <w:t xml:space="preserve">Tomēr īpašos gadījumos (piemēram, </w:t>
      </w:r>
      <w:r w:rsidRPr="005A2D50">
        <w:rPr>
          <w:i/>
          <w:iCs/>
          <w:lang w:val="en-US"/>
        </w:rPr>
        <w:t xml:space="preserve">TS </w:t>
      </w:r>
      <w:r w:rsidRPr="005A2D50">
        <w:rPr>
          <w:lang w:val="en-US"/>
        </w:rPr>
        <w:t>vietas) muitas dienests saskaņā ar SMK DA 84. panta 3.a punkta otro daļu var lemt, ka muitas parāda rašanās risks ir “nulle”, un var piešķirt atbrīvojumu no galvojuma. Tas varētu neattiekties uz riska novērtējumu attiecībā uz atsauces summu, kas atbilst tā paša uzņēmēja tranzīta darbībām, un garantijas samazinājums, ko varētu piešķirt šim mērķim, varētu būt tikai 50 % no atsauces summas vai šāda samazinājuma var nemaz nebūt.</w:t>
      </w:r>
    </w:p>
    <w:p w14:paraId="21C4FC05" w14:textId="77777777" w:rsidR="005A2D50" w:rsidRPr="005A2D50" w:rsidRDefault="005A2D50" w:rsidP="005A2D50">
      <w:pPr>
        <w:pStyle w:val="BodyText"/>
        <w:rPr>
          <w:lang w:val="en-US"/>
        </w:rPr>
      </w:pPr>
      <w:r w:rsidRPr="005A2D50">
        <w:rPr>
          <w:lang w:val="en-US"/>
        </w:rPr>
        <w:t>Jebkurš uzņēmējs, kurš izpilda SMK DA 84. panta nosacījumus, var iesniegt pieteikumu samazināt vispārējo galvojumu vai atbrīvot no tā, kas sedz iespējamos muitas parādus un citus maksājumus, ja piemērojami.</w:t>
      </w:r>
    </w:p>
    <w:p w14:paraId="1D051F37" w14:textId="77777777" w:rsidR="005A2D50" w:rsidRPr="005A2D50" w:rsidRDefault="005A2D50" w:rsidP="005A2D50">
      <w:pPr>
        <w:pStyle w:val="BodyText"/>
        <w:rPr>
          <w:lang w:val="en-US"/>
        </w:rPr>
      </w:pPr>
      <w:r w:rsidRPr="005A2D50">
        <w:rPr>
          <w:lang w:val="en-US"/>
        </w:rPr>
        <w:t xml:space="preserve">Lai novērtētu nosacījumus, kas uzņēmējam jāizpilda saskaņā ar SMK DA 84. panta 1. punkta a) līdz d) apakšpunktu, 84. panta 2. punkta a) līdz d) apakšpunktu un 84. panta 3. punkta a) līdz j) apakšpunktu, </w:t>
      </w:r>
      <w:r w:rsidRPr="005A2D50">
        <w:rPr>
          <w:i/>
          <w:iCs/>
          <w:lang w:val="en-US"/>
        </w:rPr>
        <w:t xml:space="preserve">CA </w:t>
      </w:r>
      <w:r w:rsidRPr="005A2D50">
        <w:rPr>
          <w:lang w:val="en-US"/>
        </w:rPr>
        <w:t>jābalstās uz norādījumiem attiecībā uz atzītajiem uzņēmējiem</w:t>
      </w:r>
      <w:r w:rsidRPr="005A2D50">
        <w:rPr>
          <w:rStyle w:val="FootnoteReference"/>
          <w:lang w:val="en-US"/>
        </w:rPr>
        <w:footnoteReference w:id="18"/>
      </w:r>
      <w:r w:rsidRPr="005A2D50">
        <w:rPr>
          <w:lang w:val="en-US"/>
        </w:rPr>
        <w:t xml:space="preserve">, jo šie nosacījumi ir identiski </w:t>
      </w:r>
      <w:r w:rsidRPr="005A2D50">
        <w:rPr>
          <w:i/>
          <w:iCs/>
          <w:lang w:val="en-US"/>
        </w:rPr>
        <w:t xml:space="preserve">AEOC </w:t>
      </w:r>
      <w:r w:rsidRPr="005A2D50">
        <w:rPr>
          <w:lang w:val="en-US"/>
        </w:rPr>
        <w:t>kritēriju piemērošanas kārtībai, kā noteikts SMK ĪA 25. un 26. pantā. Saskaņā ar SMK 38. panta 5. punktu novērtējums, kas veikts, piešķirot atzītā uzņēmēja, kuram ir atļauja muitas vienkāršojumiem, statusu, nav jāveic atkārtoti. No šāda viedokļa raugoties, tiek uzskatīts, ka atzītais uzņēmējs, kuram ir atļauja muitas vienkāršojumiem (</w:t>
      </w:r>
      <w:r w:rsidRPr="005A2D50">
        <w:rPr>
          <w:i/>
          <w:iCs/>
          <w:lang w:val="en-US"/>
        </w:rPr>
        <w:t>AEOC</w:t>
      </w:r>
      <w:r w:rsidRPr="005A2D50">
        <w:rPr>
          <w:lang w:val="en-US"/>
        </w:rPr>
        <w:t>), kopumā atbilst nosacījumiem, kas izklāstīti SMK DA 84. panta 1. punkta a) līdz d) apakšpunktā, 84. panta 2. punkta a) līdz e) apakšpunktā un 84. panta 3. punkta a) līdz j) apakšpunktā.</w:t>
      </w:r>
    </w:p>
    <w:p w14:paraId="688B4653" w14:textId="77777777" w:rsidR="005A2D50" w:rsidRPr="005A2D50" w:rsidRDefault="005A2D50" w:rsidP="005A2D50">
      <w:pPr>
        <w:pStyle w:val="BodyText"/>
        <w:rPr>
          <w:lang w:val="en-US"/>
        </w:rPr>
      </w:pPr>
    </w:p>
    <w:p w14:paraId="4215CF55" w14:textId="77777777" w:rsidR="005A2D50" w:rsidRPr="005A2D50" w:rsidRDefault="005A2D50" w:rsidP="005A2D50">
      <w:pPr>
        <w:pStyle w:val="BodyText"/>
        <w:rPr>
          <w:b/>
          <w:bCs/>
          <w:lang w:val="en-US"/>
        </w:rPr>
      </w:pPr>
      <w:bookmarkStart w:id="152" w:name="V.2.6.2.1_The_assessment_of_the_‘suffici"/>
      <w:bookmarkEnd w:id="152"/>
      <w:r w:rsidRPr="005A2D50">
        <w:rPr>
          <w:b/>
          <w:bCs/>
          <w:lang w:val="en-US"/>
        </w:rPr>
        <w:t>V.2.6.2.1. Novērtējums par “pietiekami labu finansiālo stāvokli” (SMK DA 84. panta 1. punkta e) apakšpunkts, 84. panta 2. punkta f) apakšpunkts, 84. panta 3. punkta k) apakšpunkts, 84. panta 3.a punkts un 84. panta 3.b punkts)</w:t>
      </w:r>
    </w:p>
    <w:p w14:paraId="59BFC4B2"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2CE9D22F" w14:textId="77777777" w:rsidR="005A2D50" w:rsidRPr="005A2D50" w:rsidRDefault="005A2D50" w:rsidP="005A2D50">
      <w:pPr>
        <w:pStyle w:val="BodyText"/>
        <w:rPr>
          <w:lang w:val="en-US"/>
        </w:rPr>
      </w:pPr>
      <w:r w:rsidRPr="005A2D50">
        <w:rPr>
          <w:lang w:val="en-US"/>
        </w:rPr>
        <w:t>Lai gan SMK DA 84. panta nosacījumu praktiskais novērtējums nav daudz mainījies salīdzinājumā ar iepriekš noteikto, muitas dienestiem ir jāpievērš uzmanība dažiem jauniem elementiem, kas izriet no šā panta grozītā teksta.</w:t>
      </w:r>
    </w:p>
    <w:p w14:paraId="21310FAC" w14:textId="77777777" w:rsidR="005A2D50" w:rsidRPr="005A2D50" w:rsidRDefault="005A2D50" w:rsidP="005A2D50">
      <w:pPr>
        <w:pStyle w:val="BodyText"/>
        <w:rPr>
          <w:lang w:val="en-US"/>
        </w:rPr>
      </w:pPr>
    </w:p>
    <w:p w14:paraId="7232EE9B" w14:textId="77777777" w:rsidR="005A2D50" w:rsidRPr="005A2D50" w:rsidRDefault="005A2D50" w:rsidP="005A2D50">
      <w:pPr>
        <w:pStyle w:val="BodyText"/>
        <w:numPr>
          <w:ilvl w:val="0"/>
          <w:numId w:val="23"/>
        </w:numPr>
        <w:tabs>
          <w:tab w:val="left" w:pos="567"/>
        </w:tabs>
        <w:ind w:left="0" w:firstLine="0"/>
        <w:rPr>
          <w:lang w:val="en-US"/>
        </w:rPr>
      </w:pPr>
      <w:r w:rsidRPr="005A2D50">
        <w:rPr>
          <w:lang w:val="en-US"/>
        </w:rPr>
        <w:t>Pietiekami laba finansiālā stāvokļa novērtējums vairs neattiecas tikai uz finanšu resursu novērtējumu.</w:t>
      </w:r>
    </w:p>
    <w:p w14:paraId="26F8A832" w14:textId="77777777" w:rsidR="005A2D50" w:rsidRPr="005A2D50" w:rsidRDefault="005A2D50" w:rsidP="005A2D50">
      <w:pPr>
        <w:pStyle w:val="BodyText"/>
        <w:numPr>
          <w:ilvl w:val="0"/>
          <w:numId w:val="23"/>
        </w:numPr>
        <w:tabs>
          <w:tab w:val="left" w:pos="567"/>
        </w:tabs>
        <w:ind w:left="0" w:firstLine="0"/>
        <w:rPr>
          <w:lang w:val="en-US"/>
        </w:rPr>
      </w:pPr>
      <w:r w:rsidRPr="005A2D50">
        <w:rPr>
          <w:lang w:val="en-US"/>
        </w:rPr>
        <w:t>Ja muitas dienestiem tam ir pamatojums, “pietiekami laba finansiālā stāvokļa” novērtējumā muitas dienesti var ņemt vērā iespējamo muitas parādu rašanās risku.</w:t>
      </w:r>
    </w:p>
    <w:p w14:paraId="2C59519E" w14:textId="77777777" w:rsidR="005A2D50" w:rsidRPr="005A2D50" w:rsidRDefault="005A2D50" w:rsidP="005A2D50">
      <w:pPr>
        <w:jc w:val="both"/>
        <w:rPr>
          <w:rFonts w:ascii="Times New Roman" w:eastAsia="Times New Roman" w:hAnsi="Times New Roman" w:cs="Times New Roman"/>
          <w:noProof/>
          <w:sz w:val="24"/>
          <w:szCs w:val="24"/>
          <w:lang w:val="en-US"/>
        </w:rPr>
      </w:pPr>
    </w:p>
    <w:p w14:paraId="799CF0DD" w14:textId="77777777" w:rsidR="005A2D50" w:rsidRPr="005A2D50" w:rsidRDefault="005A2D50" w:rsidP="005A2D50">
      <w:pPr>
        <w:pStyle w:val="BodyText"/>
        <w:rPr>
          <w:b/>
          <w:bCs/>
          <w:lang w:val="en-US"/>
        </w:rPr>
      </w:pPr>
      <w:bookmarkStart w:id="153" w:name="A)_Practical_application_of_the_First_su"/>
      <w:bookmarkEnd w:id="153"/>
      <w:r w:rsidRPr="005A2D50">
        <w:rPr>
          <w:b/>
          <w:bCs/>
          <w:lang w:val="en-US"/>
        </w:rPr>
        <w:t>A) SMK DA 84. panta 3.a punkta pirmās daļas piemērošana praksē</w:t>
      </w:r>
    </w:p>
    <w:p w14:paraId="14D13FA8" w14:textId="77777777" w:rsidR="005A2D50" w:rsidRPr="005A2D50" w:rsidRDefault="005A2D50" w:rsidP="005A2D50">
      <w:pPr>
        <w:pStyle w:val="BodyText"/>
        <w:rPr>
          <w:lang w:val="en-US"/>
        </w:rPr>
      </w:pPr>
    </w:p>
    <w:p w14:paraId="3A83BCC4" w14:textId="77777777" w:rsidR="005A2D50" w:rsidRPr="005A2D50" w:rsidRDefault="005A2D50" w:rsidP="005A2D50">
      <w:pPr>
        <w:pStyle w:val="BodyText"/>
        <w:rPr>
          <w:lang w:val="en-US"/>
        </w:rPr>
      </w:pPr>
      <w:r w:rsidRPr="005A2D50">
        <w:rPr>
          <w:lang w:val="en-US"/>
        </w:rPr>
        <w:t xml:space="preserve">Jāuzsver, ka, ņemot vērā pašreizējo redakciju, </w:t>
      </w:r>
      <w:r w:rsidRPr="005A2D50">
        <w:rPr>
          <w:i/>
          <w:iCs/>
          <w:lang w:val="en-US"/>
        </w:rPr>
        <w:t xml:space="preserve">AEO </w:t>
      </w:r>
      <w:r w:rsidRPr="005A2D50">
        <w:rPr>
          <w:lang w:val="en-US"/>
        </w:rPr>
        <w:t xml:space="preserve">nav jāveic novērtējuma procedūru dublēšana. Saskaņā ar SMK 38. panta 5. punktu: “Muitas dienesti atkārtoti nepārbauda kritērijus, kas jau ir bijuši pārbaudīti, piešķirot atzīta uzņēmēja statusu.” Tomēr jāprecizē, ka attiecībā uz konkrētajiem vienkāršojumiem, kurus </w:t>
      </w:r>
      <w:r w:rsidRPr="005A2D50">
        <w:rPr>
          <w:i/>
          <w:iCs/>
          <w:lang w:val="en-US"/>
        </w:rPr>
        <w:t xml:space="preserve">AEOC </w:t>
      </w:r>
      <w:r w:rsidRPr="005A2D50">
        <w:rPr>
          <w:lang w:val="en-US"/>
        </w:rPr>
        <w:t>varētu vēlēties izmantot, ir jāsaņem kompetento muitas dienestu atļauja un jāizpilda īpašās prasības, kas saistītas ar attiecīgo vienkāršojumu veidu un ir izklāstītas tiesību aktos muitas jomā.</w:t>
      </w:r>
    </w:p>
    <w:p w14:paraId="6AED6F89" w14:textId="77777777" w:rsidR="005A2D50" w:rsidRPr="005A2D50" w:rsidRDefault="005A2D50" w:rsidP="005A2D50">
      <w:pPr>
        <w:pStyle w:val="BodyText"/>
        <w:rPr>
          <w:lang w:val="en-US"/>
        </w:rPr>
      </w:pPr>
      <w:r w:rsidRPr="005A2D50">
        <w:rPr>
          <w:lang w:val="en-US"/>
        </w:rPr>
        <w:t xml:space="preserve">Metodika finansiālā stāvokļa novērtēšanai, lai piešķirtu </w:t>
      </w:r>
      <w:r w:rsidRPr="005A2D50">
        <w:rPr>
          <w:i/>
          <w:iCs/>
          <w:lang w:val="en-US"/>
        </w:rPr>
        <w:t xml:space="preserve">AEOC </w:t>
      </w:r>
      <w:r w:rsidRPr="005A2D50">
        <w:rPr>
          <w:lang w:val="en-US"/>
        </w:rPr>
        <w:t>statusu, kā paredzēts SMK ĪA 26. pantā, kā modalitāte finansiālas maksātspējas kritērija piemērošanai – SMK 39. panta c) punkts –, jaunākajā SMK DA 84. panta grozījumā nav mainīta.</w:t>
      </w:r>
    </w:p>
    <w:p w14:paraId="31DCCDC9" w14:textId="77777777" w:rsidR="005A2D50" w:rsidRPr="005A2D50" w:rsidRDefault="005A2D50" w:rsidP="005A2D50">
      <w:pPr>
        <w:pStyle w:val="BodyText"/>
        <w:rPr>
          <w:lang w:val="en-US"/>
        </w:rPr>
      </w:pPr>
      <w:r w:rsidRPr="005A2D50">
        <w:rPr>
          <w:lang w:val="en-US"/>
        </w:rPr>
        <w:t xml:space="preserve">Lai pieņemtu lēmumu par galvojuma summas samazinājuma apmēru vai par atbrīvojumu no galvojuma, ja </w:t>
      </w:r>
      <w:r w:rsidRPr="005A2D50">
        <w:rPr>
          <w:i/>
          <w:iCs/>
          <w:lang w:val="en-US"/>
        </w:rPr>
        <w:t xml:space="preserve">AEOC </w:t>
      </w:r>
      <w:r w:rsidRPr="005A2D50">
        <w:rPr>
          <w:lang w:val="en-US"/>
        </w:rPr>
        <w:t xml:space="preserve">ir iesniedzis pieteikumu, muitas dienesti novērtē nosacījumu par “pietiekami labu finansiālo stāvokli”, ņemot vērā rezultātus, kas gūti, novērtējot pieteikumu </w:t>
      </w:r>
      <w:r w:rsidRPr="005A2D50">
        <w:rPr>
          <w:i/>
          <w:iCs/>
          <w:lang w:val="en-US"/>
        </w:rPr>
        <w:t xml:space="preserve">AEOC </w:t>
      </w:r>
      <w:r w:rsidRPr="005A2D50">
        <w:rPr>
          <w:lang w:val="en-US"/>
        </w:rPr>
        <w:t xml:space="preserve">statusam un pēc tam veicot īpašu šā statusa uzraudzību. Raugoties no šāda viedokļa, SMK DA 84. panta grozījums ne tikai atvieglo </w:t>
      </w:r>
      <w:r w:rsidRPr="005A2D50">
        <w:rPr>
          <w:i/>
          <w:iCs/>
          <w:lang w:val="en-US"/>
        </w:rPr>
        <w:t xml:space="preserve">AEOC </w:t>
      </w:r>
      <w:r w:rsidRPr="005A2D50">
        <w:rPr>
          <w:lang w:val="en-US"/>
        </w:rPr>
        <w:t>pieteikuma novērtēšanu, bet arī paskaidro, ka muitas dienestiem jākoncentrējas uz īpašiem elementiem/prasībām attiecībā uz pietiekami labu finansiālo stāvokli.</w:t>
      </w:r>
    </w:p>
    <w:p w14:paraId="7ECF6AF6" w14:textId="77777777" w:rsidR="005A2D50" w:rsidRPr="005A2D50" w:rsidRDefault="005A2D50" w:rsidP="005A2D50">
      <w:pPr>
        <w:pStyle w:val="BodyText"/>
        <w:rPr>
          <w:lang w:val="en-US"/>
        </w:rPr>
      </w:pPr>
      <w:r w:rsidRPr="005A2D50">
        <w:rPr>
          <w:lang w:val="en-US"/>
        </w:rPr>
        <w:t xml:space="preserve">Šajā sakarā, novērtējot finansiālo stāvokli, lai piešķirtu galvojuma samazinājumu vai atbrīvojumu no galvojuma saskaņā ar SMK DA 84. pantu, muitas dienestiem vispirms jāpārbauda, vai uzņēmējs ir </w:t>
      </w:r>
      <w:r w:rsidRPr="005A2D50">
        <w:rPr>
          <w:i/>
          <w:iCs/>
          <w:lang w:val="en-US"/>
        </w:rPr>
        <w:t>AEOC</w:t>
      </w:r>
      <w:r w:rsidRPr="005A2D50">
        <w:rPr>
          <w:lang w:val="en-US"/>
        </w:rPr>
        <w:t>. Var rasties turpmāk minētās situācijas.</w:t>
      </w:r>
    </w:p>
    <w:p w14:paraId="7647627D" w14:textId="77777777" w:rsidR="005A2D50" w:rsidRPr="005A2D50" w:rsidRDefault="005A2D50" w:rsidP="005A2D50">
      <w:pPr>
        <w:pStyle w:val="BodyText"/>
        <w:rPr>
          <w:lang w:val="en-US"/>
        </w:rPr>
      </w:pPr>
    </w:p>
    <w:p w14:paraId="2B9A50D2" w14:textId="77777777" w:rsidR="005A2D50" w:rsidRPr="005A2D50" w:rsidRDefault="005A2D50" w:rsidP="005A2D50">
      <w:pPr>
        <w:pStyle w:val="BodyText"/>
        <w:ind w:left="284"/>
        <w:rPr>
          <w:lang w:val="en-US"/>
        </w:rPr>
      </w:pPr>
      <w:r w:rsidRPr="005A2D50">
        <w:rPr>
          <w:lang w:val="en-US"/>
        </w:rPr>
        <w:t xml:space="preserve">1. Pieteikuma iesniedzējs nav </w:t>
      </w:r>
      <w:r w:rsidRPr="005A2D50">
        <w:rPr>
          <w:i/>
          <w:iCs/>
          <w:lang w:val="en-US"/>
        </w:rPr>
        <w:t xml:space="preserve">AEOC. </w:t>
      </w:r>
      <w:r w:rsidRPr="005A2D50">
        <w:rPr>
          <w:lang w:val="en-US"/>
        </w:rPr>
        <w:t xml:space="preserve">Šajā gadījumā muitas dienestiem jānovērtē visi SMK DA 84. panta nosacījumi, tostarp finansiālā maksātspēja saskaņā ar SMK DA 84. panta 1. punkta c)–e) apakšpunktu, 84. panta 2. punkta d)–f) apakšpunktu un 84. panta 3. punkta i)–k) apakšpunktu, SMK 39. panta c) punktu un SMK ĪA 26. panta 1. punkta a)–c) apakšpunktu. Attiecīgo </w:t>
      </w:r>
      <w:r w:rsidRPr="005A2D50">
        <w:rPr>
          <w:i/>
          <w:iCs/>
          <w:lang w:val="en-US"/>
        </w:rPr>
        <w:t xml:space="preserve">AEO </w:t>
      </w:r>
      <w:r w:rsidRPr="005A2D50">
        <w:rPr>
          <w:lang w:val="en-US"/>
        </w:rPr>
        <w:t>pašnovērtējuma anketu var izmantot, lai novērtētu kopējos nosacījumus, kas paredzēti SMK DA 84. pantā, un SMK 39. panta kritēriju novērtēšanas kārtību, kas noteikta SMK ĪA 23.–27. pantā.</w:t>
      </w:r>
    </w:p>
    <w:p w14:paraId="5A1B420F" w14:textId="77777777" w:rsidR="005A2D50" w:rsidRPr="005A2D50" w:rsidRDefault="005A2D50" w:rsidP="005A2D50">
      <w:pPr>
        <w:pStyle w:val="BodyText"/>
        <w:ind w:left="284"/>
        <w:rPr>
          <w:lang w:val="en-US"/>
        </w:rPr>
      </w:pPr>
      <w:r w:rsidRPr="005A2D50">
        <w:rPr>
          <w:lang w:val="en-US"/>
        </w:rPr>
        <w:t xml:space="preserve">2. Pieteikuma iesniedzējs ir iesniedzis pieteikumu </w:t>
      </w:r>
      <w:r w:rsidRPr="005A2D50">
        <w:rPr>
          <w:i/>
          <w:iCs/>
          <w:lang w:val="en-US"/>
        </w:rPr>
        <w:t xml:space="preserve">AEOC </w:t>
      </w:r>
      <w:r w:rsidRPr="005A2D50">
        <w:rPr>
          <w:lang w:val="en-US"/>
        </w:rPr>
        <w:t>statusa saņemšanai. Viens un tas pats muitas dienests ir kompetents piešķirt abas atļaujas. Abu atļauju kopīgos nosacījumus, kas izriet no SMK 39. panta kritērijiem, vērtēs tikai vienu reizi. Lai noteiktu piešķiramā galvojuma samazinājuma apmēru, muitas dienestiem attiecībā uz pietiekami laba finansiālā stāvokļa novērtējumu ir jāpiemēro nosacījumi, kas paredzēti SMK DA 84. panta 3.a un 3.b punktā.</w:t>
      </w:r>
    </w:p>
    <w:p w14:paraId="62C21503" w14:textId="77777777" w:rsidR="005A2D50" w:rsidRPr="005A2D50" w:rsidRDefault="005A2D50" w:rsidP="005A2D50">
      <w:pPr>
        <w:pStyle w:val="BodyText"/>
        <w:ind w:left="284"/>
        <w:rPr>
          <w:lang w:val="en-US"/>
        </w:rPr>
      </w:pPr>
      <w:r w:rsidRPr="005A2D50">
        <w:rPr>
          <w:lang w:val="en-US"/>
        </w:rPr>
        <w:t xml:space="preserve">3. Ja ir saņemts pieteikums no </w:t>
      </w:r>
      <w:r w:rsidRPr="005A2D50">
        <w:rPr>
          <w:i/>
          <w:iCs/>
          <w:lang w:val="en-US"/>
        </w:rPr>
        <w:t>AEOC</w:t>
      </w:r>
      <w:r w:rsidRPr="005A2D50">
        <w:rPr>
          <w:lang w:val="en-US"/>
        </w:rPr>
        <w:t>, muitai jānovērtē, vai nesen ir veikta to statusa uzraudzība un kādi rezultāti tika gūti.</w:t>
      </w:r>
    </w:p>
    <w:p w14:paraId="4AACEC94" w14:textId="77777777" w:rsidR="005A2D50" w:rsidRPr="005A2D50" w:rsidRDefault="005A2D50" w:rsidP="005A2D50">
      <w:pPr>
        <w:pStyle w:val="BodyText"/>
        <w:rPr>
          <w:lang w:val="en-US"/>
        </w:rPr>
      </w:pPr>
    </w:p>
    <w:p w14:paraId="66FCD775" w14:textId="77777777" w:rsidR="005A2D50" w:rsidRPr="005A2D50" w:rsidRDefault="005A2D50" w:rsidP="005A2D50">
      <w:pPr>
        <w:pStyle w:val="BodyText"/>
        <w:rPr>
          <w:lang w:val="en-US"/>
        </w:rPr>
      </w:pPr>
      <w:r w:rsidRPr="005A2D50">
        <w:rPr>
          <w:lang w:val="en-US"/>
        </w:rPr>
        <w:t xml:space="preserve">Muitas dienestam papildus jānovērtē pieteikuma iesniedzēja pietiekami labs finansiālais stāvoklis attiecībā uz viņa spēju samaksāt muitas parādus un, ja piemērojami, citus maksājumus, kas var rasties un ko nesedz galvojums, un jāpieņem lēmums par galvojuma samazinājuma apmēru, kā paredzēts SMK DA 84. panta 3.a punktā. Ja uzņēmējam ir </w:t>
      </w:r>
      <w:r w:rsidRPr="005A2D50">
        <w:rPr>
          <w:i/>
          <w:iCs/>
          <w:lang w:val="en-US"/>
        </w:rPr>
        <w:t xml:space="preserve">AEOC </w:t>
      </w:r>
      <w:r w:rsidRPr="005A2D50">
        <w:rPr>
          <w:lang w:val="en-US"/>
        </w:rPr>
        <w:t xml:space="preserve">statuss, muitas dienestam jānovērtē tikai tas, vai pieteikuma iesniedzēja finansiālais stāvoklis attaisno to, ka tiek piešķirta atļauja izmantot vispārējo galvojumu ar samazinātu summu vai atbrīvojumu no galvojuma saskaņā ar SMK DA 84. panta 3.b punktu. Šim nolūkam jāiesniedz visjaunākie finanšu pārskati/pārskati (tiem jābūt pieejamiem jau uzraudzības mērķiem, ja pieteikumu iesniedz </w:t>
      </w:r>
      <w:r w:rsidRPr="005A2D50">
        <w:rPr>
          <w:i/>
          <w:iCs/>
          <w:lang w:val="en-US"/>
        </w:rPr>
        <w:t>AEOC</w:t>
      </w:r>
      <w:r w:rsidRPr="005A2D50">
        <w:rPr>
          <w:lang w:val="en-US"/>
        </w:rPr>
        <w:t>). To salīdzina ar atsauces summas daļu, ko nesedz galvojums (atkarībā no pieprasītā samazinājuma/atbrīvojuma).</w:t>
      </w:r>
    </w:p>
    <w:p w14:paraId="0CE2A0B6" w14:textId="77777777" w:rsidR="005A2D50" w:rsidRPr="005A2D50" w:rsidRDefault="005A2D50" w:rsidP="005A2D50">
      <w:pPr>
        <w:pStyle w:val="BodyText"/>
        <w:rPr>
          <w:lang w:val="en-US"/>
        </w:rPr>
      </w:pPr>
      <w:r w:rsidRPr="005A2D50">
        <w:rPr>
          <w:lang w:val="en-US"/>
        </w:rPr>
        <w:t>Ja atbilstīgi, muitas dienesti var ņemt vērā šādus elementus</w:t>
      </w:r>
      <w:r w:rsidRPr="005A2D50">
        <w:rPr>
          <w:rStyle w:val="FootnoteReference"/>
          <w:lang w:val="en-US"/>
        </w:rPr>
        <w:footnoteReference w:id="19"/>
      </w:r>
      <w:r w:rsidRPr="005A2D50">
        <w:rPr>
          <w:lang w:val="en-US"/>
        </w:rPr>
        <w:t xml:space="preserve">, lai novērtētu pietiekami labu finansiālo stāvokli </w:t>
      </w:r>
      <w:r w:rsidRPr="005A2D50">
        <w:rPr>
          <w:i/>
          <w:iCs/>
          <w:lang w:val="en-US"/>
        </w:rPr>
        <w:t xml:space="preserve">CGU </w:t>
      </w:r>
      <w:r w:rsidRPr="005A2D50">
        <w:rPr>
          <w:lang w:val="en-US"/>
        </w:rPr>
        <w:t>atļaujas vajadzībām saskaņā ar SMK DA 84. pantu:</w:t>
      </w:r>
    </w:p>
    <w:p w14:paraId="6D3C2D99" w14:textId="77777777" w:rsidR="005A2D50" w:rsidRPr="005A2D50" w:rsidRDefault="005A2D50" w:rsidP="005A2D50">
      <w:pPr>
        <w:pStyle w:val="BodyText"/>
        <w:rPr>
          <w:lang w:val="en-US"/>
        </w:rPr>
      </w:pPr>
    </w:p>
    <w:p w14:paraId="38AE2B5D" w14:textId="77777777" w:rsidR="005A2D50" w:rsidRPr="005A2D50" w:rsidRDefault="005A2D50" w:rsidP="005A2D50">
      <w:pPr>
        <w:pStyle w:val="BodyText"/>
        <w:numPr>
          <w:ilvl w:val="0"/>
          <w:numId w:val="23"/>
        </w:numPr>
        <w:tabs>
          <w:tab w:val="left" w:pos="567"/>
        </w:tabs>
        <w:ind w:left="0" w:firstLine="0"/>
        <w:rPr>
          <w:lang w:val="en-US"/>
        </w:rPr>
      </w:pPr>
      <w:r w:rsidRPr="005A2D50">
        <w:rPr>
          <w:lang w:val="en-US"/>
        </w:rPr>
        <w:t>neto apgrozāmais kapitāls (kas ļauj finansēt īstermiņa vajadzības);</w:t>
      </w:r>
    </w:p>
    <w:p w14:paraId="0CC24E1A" w14:textId="77777777" w:rsidR="005A2D50" w:rsidRPr="005A2D50" w:rsidRDefault="005A2D50" w:rsidP="005A2D50">
      <w:pPr>
        <w:pStyle w:val="BodyText"/>
        <w:numPr>
          <w:ilvl w:val="0"/>
          <w:numId w:val="23"/>
        </w:numPr>
        <w:tabs>
          <w:tab w:val="left" w:pos="567"/>
        </w:tabs>
        <w:ind w:left="0" w:firstLine="0"/>
        <w:rPr>
          <w:lang w:val="en-US"/>
        </w:rPr>
      </w:pPr>
      <w:r w:rsidRPr="005A2D50">
        <w:rPr>
          <w:lang w:val="en-US"/>
        </w:rPr>
        <w:t>pieejamo resursu radīšana (spēja finansēt ilgtermiņa vajadzības);</w:t>
      </w:r>
    </w:p>
    <w:p w14:paraId="153B0195" w14:textId="77777777" w:rsidR="005A2D50" w:rsidRPr="005A2D50" w:rsidRDefault="005A2D50" w:rsidP="005A2D50">
      <w:pPr>
        <w:pStyle w:val="BodyText"/>
        <w:numPr>
          <w:ilvl w:val="0"/>
          <w:numId w:val="23"/>
        </w:numPr>
        <w:tabs>
          <w:tab w:val="left" w:pos="567"/>
        </w:tabs>
        <w:ind w:left="0" w:firstLine="0"/>
        <w:rPr>
          <w:lang w:val="en-US"/>
        </w:rPr>
      </w:pPr>
      <w:r w:rsidRPr="005A2D50">
        <w:rPr>
          <w:lang w:val="en-US"/>
        </w:rPr>
        <w:t>pašu kapitāls;</w:t>
      </w:r>
    </w:p>
    <w:p w14:paraId="13B86535" w14:textId="77777777" w:rsidR="005A2D50" w:rsidRPr="005A2D50" w:rsidRDefault="005A2D50" w:rsidP="005A2D50">
      <w:pPr>
        <w:pStyle w:val="BodyText"/>
        <w:numPr>
          <w:ilvl w:val="0"/>
          <w:numId w:val="23"/>
        </w:numPr>
        <w:tabs>
          <w:tab w:val="left" w:pos="567"/>
        </w:tabs>
        <w:ind w:left="0" w:firstLine="0"/>
        <w:rPr>
          <w:lang w:val="en-US"/>
        </w:rPr>
      </w:pPr>
      <w:r w:rsidRPr="005A2D50">
        <w:rPr>
          <w:lang w:val="en-US"/>
        </w:rPr>
        <w:t>aktīvu kopsumma;</w:t>
      </w:r>
    </w:p>
    <w:p w14:paraId="240F5EF3" w14:textId="77777777" w:rsidR="005A2D50" w:rsidRPr="005A2D50" w:rsidRDefault="005A2D50" w:rsidP="005A2D50">
      <w:pPr>
        <w:pStyle w:val="BodyText"/>
        <w:numPr>
          <w:ilvl w:val="0"/>
          <w:numId w:val="23"/>
        </w:numPr>
        <w:tabs>
          <w:tab w:val="left" w:pos="567"/>
        </w:tabs>
        <w:ind w:left="0" w:firstLine="0"/>
        <w:rPr>
          <w:lang w:val="en-US"/>
        </w:rPr>
      </w:pPr>
      <w:r w:rsidRPr="005A2D50">
        <w:rPr>
          <w:lang w:val="en-US"/>
        </w:rPr>
        <w:t>viegli konvertējami aktīvi;</w:t>
      </w:r>
    </w:p>
    <w:p w14:paraId="7CBA48B2" w14:textId="77777777" w:rsidR="005A2D50" w:rsidRPr="005A2D50" w:rsidRDefault="005A2D50" w:rsidP="005A2D50">
      <w:pPr>
        <w:pStyle w:val="BodyText"/>
        <w:numPr>
          <w:ilvl w:val="0"/>
          <w:numId w:val="23"/>
        </w:numPr>
        <w:tabs>
          <w:tab w:val="left" w:pos="567"/>
        </w:tabs>
        <w:ind w:left="0" w:firstLine="0"/>
        <w:rPr>
          <w:lang w:val="en-US"/>
        </w:rPr>
      </w:pPr>
      <w:r w:rsidRPr="005A2D50">
        <w:rPr>
          <w:lang w:val="en-US"/>
        </w:rPr>
        <w:t>pamatlīdzekļi;</w:t>
      </w:r>
    </w:p>
    <w:p w14:paraId="1183CC41" w14:textId="77777777" w:rsidR="005A2D50" w:rsidRPr="005A2D50" w:rsidRDefault="005A2D50" w:rsidP="005A2D50">
      <w:pPr>
        <w:pStyle w:val="BodyText"/>
        <w:numPr>
          <w:ilvl w:val="0"/>
          <w:numId w:val="23"/>
        </w:numPr>
        <w:tabs>
          <w:tab w:val="left" w:pos="567"/>
        </w:tabs>
        <w:ind w:left="0" w:firstLine="0"/>
        <w:rPr>
          <w:lang w:val="en-US"/>
        </w:rPr>
      </w:pPr>
      <w:r w:rsidRPr="005A2D50">
        <w:rPr>
          <w:lang w:val="en-US"/>
        </w:rPr>
        <w:t>uzņēmuma dinamiskais reitings;</w:t>
      </w:r>
    </w:p>
    <w:p w14:paraId="083F8932" w14:textId="77777777" w:rsidR="005A2D50" w:rsidRPr="005A2D50" w:rsidRDefault="005A2D50" w:rsidP="005A2D50">
      <w:pPr>
        <w:pStyle w:val="BodyText"/>
        <w:numPr>
          <w:ilvl w:val="0"/>
          <w:numId w:val="23"/>
        </w:numPr>
        <w:tabs>
          <w:tab w:val="left" w:pos="567"/>
        </w:tabs>
        <w:ind w:left="0" w:firstLine="0"/>
        <w:rPr>
          <w:lang w:val="en-US"/>
        </w:rPr>
      </w:pPr>
      <w:r w:rsidRPr="005A2D50">
        <w:rPr>
          <w:lang w:val="en-US"/>
        </w:rPr>
        <w:t>neto peļņa/zaudējumi;</w:t>
      </w:r>
    </w:p>
    <w:p w14:paraId="087F03C2" w14:textId="77777777" w:rsidR="005A2D50" w:rsidRPr="005A2D50" w:rsidRDefault="005A2D50" w:rsidP="005A2D50">
      <w:pPr>
        <w:pStyle w:val="BodyText"/>
        <w:numPr>
          <w:ilvl w:val="0"/>
          <w:numId w:val="23"/>
        </w:numPr>
        <w:tabs>
          <w:tab w:val="left" w:pos="567"/>
        </w:tabs>
        <w:ind w:left="0" w:firstLine="0"/>
        <w:rPr>
          <w:lang w:val="en-US"/>
        </w:rPr>
      </w:pPr>
      <w:r w:rsidRPr="005A2D50">
        <w:rPr>
          <w:lang w:val="en-US"/>
        </w:rPr>
        <w:t>kopējā bilance;</w:t>
      </w:r>
    </w:p>
    <w:p w14:paraId="0BBFCC9F" w14:textId="77777777" w:rsidR="005A2D50" w:rsidRPr="005A2D50" w:rsidRDefault="005A2D50" w:rsidP="005A2D50">
      <w:pPr>
        <w:pStyle w:val="BodyText"/>
        <w:numPr>
          <w:ilvl w:val="0"/>
          <w:numId w:val="23"/>
        </w:numPr>
        <w:tabs>
          <w:tab w:val="left" w:pos="567"/>
        </w:tabs>
        <w:ind w:left="0" w:firstLine="0"/>
        <w:rPr>
          <w:lang w:val="en-US"/>
        </w:rPr>
      </w:pPr>
      <w:r w:rsidRPr="005A2D50">
        <w:rPr>
          <w:lang w:val="en-US"/>
        </w:rPr>
        <w:t>īstermiņa saistības;</w:t>
      </w:r>
    </w:p>
    <w:p w14:paraId="5819AA81" w14:textId="77777777" w:rsidR="005A2D50" w:rsidRPr="005A2D50" w:rsidRDefault="005A2D50" w:rsidP="005A2D50">
      <w:pPr>
        <w:pStyle w:val="BodyText"/>
        <w:numPr>
          <w:ilvl w:val="0"/>
          <w:numId w:val="23"/>
        </w:numPr>
        <w:tabs>
          <w:tab w:val="left" w:pos="567"/>
        </w:tabs>
        <w:ind w:left="0" w:firstLine="0"/>
        <w:rPr>
          <w:lang w:val="en-US"/>
        </w:rPr>
      </w:pPr>
      <w:r w:rsidRPr="005A2D50">
        <w:rPr>
          <w:lang w:val="en-US"/>
        </w:rPr>
        <w:t>ieņēmumu un izdevumu attiecības analīze;</w:t>
      </w:r>
    </w:p>
    <w:p w14:paraId="6BAF0049" w14:textId="77777777" w:rsidR="005A2D50" w:rsidRPr="005A2D50" w:rsidRDefault="005A2D50" w:rsidP="005A2D50">
      <w:pPr>
        <w:pStyle w:val="BodyText"/>
        <w:numPr>
          <w:ilvl w:val="0"/>
          <w:numId w:val="23"/>
        </w:numPr>
        <w:tabs>
          <w:tab w:val="left" w:pos="567"/>
        </w:tabs>
        <w:ind w:left="0" w:firstLine="0"/>
        <w:rPr>
          <w:lang w:val="en-US"/>
        </w:rPr>
      </w:pPr>
      <w:r w:rsidRPr="005A2D50">
        <w:rPr>
          <w:lang w:val="en-US"/>
        </w:rPr>
        <w:t>maksājumu koeficients;</w:t>
      </w:r>
    </w:p>
    <w:p w14:paraId="33AAE02A" w14:textId="77777777" w:rsidR="005A2D50" w:rsidRPr="005A2D50" w:rsidRDefault="005A2D50" w:rsidP="005A2D50">
      <w:pPr>
        <w:pStyle w:val="BodyText"/>
        <w:numPr>
          <w:ilvl w:val="0"/>
          <w:numId w:val="23"/>
        </w:numPr>
        <w:tabs>
          <w:tab w:val="left" w:pos="567"/>
        </w:tabs>
        <w:ind w:left="0" w:firstLine="0"/>
        <w:rPr>
          <w:lang w:val="en-US"/>
        </w:rPr>
      </w:pPr>
      <w:r w:rsidRPr="005A2D50">
        <w:rPr>
          <w:lang w:val="en-US"/>
        </w:rPr>
        <w:t>likviditātes koeficients;</w:t>
      </w:r>
    </w:p>
    <w:p w14:paraId="3D66779C" w14:textId="77777777" w:rsidR="005A2D50" w:rsidRPr="005A2D50" w:rsidRDefault="005A2D50" w:rsidP="005A2D50">
      <w:pPr>
        <w:pStyle w:val="BodyText"/>
        <w:numPr>
          <w:ilvl w:val="0"/>
          <w:numId w:val="23"/>
        </w:numPr>
        <w:tabs>
          <w:tab w:val="left" w:pos="567"/>
        </w:tabs>
        <w:ind w:left="0" w:firstLine="0"/>
        <w:rPr>
          <w:lang w:val="en-US"/>
        </w:rPr>
      </w:pPr>
      <w:r w:rsidRPr="005A2D50">
        <w:rPr>
          <w:lang w:val="en-US"/>
        </w:rPr>
        <w:t>maksātspējas koeficients;</w:t>
      </w:r>
    </w:p>
    <w:p w14:paraId="1F077909" w14:textId="77777777" w:rsidR="005A2D50" w:rsidRPr="005A2D50" w:rsidRDefault="005A2D50" w:rsidP="005A2D50">
      <w:pPr>
        <w:pStyle w:val="BodyText"/>
        <w:numPr>
          <w:ilvl w:val="0"/>
          <w:numId w:val="23"/>
        </w:numPr>
        <w:tabs>
          <w:tab w:val="left" w:pos="567"/>
        </w:tabs>
        <w:ind w:left="0" w:firstLine="0"/>
        <w:rPr>
          <w:lang w:val="en-US"/>
        </w:rPr>
      </w:pPr>
      <w:r w:rsidRPr="005A2D50">
        <w:rPr>
          <w:lang w:val="en-US"/>
        </w:rPr>
        <w:t>saistību neizpildes varbūtība (uzņēmuma stabilitāte);</w:t>
      </w:r>
    </w:p>
    <w:p w14:paraId="7CBB0E2E" w14:textId="77777777" w:rsidR="005A2D50" w:rsidRPr="005A2D50" w:rsidRDefault="005A2D50" w:rsidP="005A2D50">
      <w:pPr>
        <w:pStyle w:val="BodyText"/>
        <w:numPr>
          <w:ilvl w:val="0"/>
          <w:numId w:val="23"/>
        </w:numPr>
        <w:tabs>
          <w:tab w:val="left" w:pos="567"/>
        </w:tabs>
        <w:ind w:left="0" w:firstLine="0"/>
        <w:rPr>
          <w:lang w:val="en-US"/>
        </w:rPr>
      </w:pPr>
      <w:r w:rsidRPr="005A2D50">
        <w:rPr>
          <w:lang w:val="en-US"/>
        </w:rPr>
        <w:t>pašu kapitāla koeficients;</w:t>
      </w:r>
    </w:p>
    <w:p w14:paraId="2F1BF898" w14:textId="77777777" w:rsidR="005A2D50" w:rsidRPr="005A2D50" w:rsidRDefault="005A2D50" w:rsidP="005A2D50">
      <w:pPr>
        <w:pStyle w:val="BodyText"/>
        <w:numPr>
          <w:ilvl w:val="0"/>
          <w:numId w:val="23"/>
        </w:numPr>
        <w:tabs>
          <w:tab w:val="left" w:pos="567"/>
        </w:tabs>
        <w:ind w:left="0" w:firstLine="0"/>
        <w:rPr>
          <w:lang w:val="en-US"/>
        </w:rPr>
      </w:pPr>
      <w:r w:rsidRPr="005A2D50">
        <w:rPr>
          <w:lang w:val="en-US"/>
        </w:rPr>
        <w:t>pašu kapitāla koeficienta atdeve un ienākuma no ieguldījumiem koeficients (spēja nodrošināt ar savām darbībām gūtā kapitāla un veikto ieguldījumu vērtību);</w:t>
      </w:r>
    </w:p>
    <w:p w14:paraId="5F1C98B0" w14:textId="77777777" w:rsidR="005A2D50" w:rsidRPr="005A2D50" w:rsidRDefault="005A2D50" w:rsidP="005A2D50">
      <w:pPr>
        <w:pStyle w:val="BodyText"/>
        <w:numPr>
          <w:ilvl w:val="0"/>
          <w:numId w:val="23"/>
        </w:numPr>
        <w:tabs>
          <w:tab w:val="left" w:pos="567"/>
        </w:tabs>
        <w:ind w:left="0" w:firstLine="0"/>
        <w:rPr>
          <w:lang w:val="en-US"/>
        </w:rPr>
      </w:pPr>
      <w:r w:rsidRPr="005A2D50">
        <w:rPr>
          <w:lang w:val="en-US"/>
        </w:rPr>
        <w:t>citi būtiski elementi.</w:t>
      </w:r>
    </w:p>
    <w:p w14:paraId="671A7DFD" w14:textId="77777777" w:rsidR="005A2D50" w:rsidRPr="005A2D50" w:rsidRDefault="005A2D50" w:rsidP="005A2D50">
      <w:pPr>
        <w:jc w:val="both"/>
        <w:rPr>
          <w:rFonts w:ascii="Times New Roman" w:eastAsia="Times New Roman" w:hAnsi="Times New Roman" w:cs="Times New Roman"/>
          <w:noProof/>
          <w:sz w:val="24"/>
          <w:szCs w:val="24"/>
          <w:lang w:val="en-US"/>
        </w:rPr>
      </w:pPr>
    </w:p>
    <w:p w14:paraId="7E603BE2" w14:textId="77777777" w:rsidR="005A2D50" w:rsidRPr="005A2D50" w:rsidRDefault="005A2D50" w:rsidP="005A2D50">
      <w:pPr>
        <w:pStyle w:val="BodyText"/>
        <w:rPr>
          <w:lang w:val="en-US"/>
        </w:rPr>
      </w:pPr>
      <w:r w:rsidRPr="005A2D50">
        <w:rPr>
          <w:lang w:val="en-US"/>
        </w:rPr>
        <w:t>Informācijas avoti:</w:t>
      </w:r>
      <w:r w:rsidRPr="005A2D50">
        <w:rPr>
          <w:rStyle w:val="FootnoteReference"/>
          <w:lang w:val="en-US"/>
        </w:rPr>
        <w:footnoteReference w:id="20"/>
      </w:r>
    </w:p>
    <w:p w14:paraId="4CE6394C" w14:textId="77777777" w:rsidR="005A2D50" w:rsidRPr="005A2D50" w:rsidRDefault="005A2D50" w:rsidP="005A2D50">
      <w:pPr>
        <w:pStyle w:val="BodyText"/>
        <w:rPr>
          <w:lang w:val="en-US"/>
        </w:rPr>
      </w:pPr>
      <w:r w:rsidRPr="005A2D50">
        <w:rPr>
          <w:lang w:val="en-US"/>
        </w:rPr>
        <w:t>Izskatot pierādītas maksātspējas kritēriju, ir svarīgi visu informāciju, ja atbilstīgi, apsvērt vienkopus, lai gūtu pilnīgu priekšstatu. Rādītājus nedrīkst skatīt atsevišķi, un lēmumi jāpieņem, pamatojoties uz pieteikuma iesniedzēja kopējo stāvokli.</w:t>
      </w:r>
    </w:p>
    <w:p w14:paraId="3730FD8A" w14:textId="77777777" w:rsidR="005A2D50" w:rsidRPr="005A2D50" w:rsidRDefault="005A2D50" w:rsidP="005A2D50">
      <w:pPr>
        <w:pStyle w:val="BodyText"/>
        <w:rPr>
          <w:lang w:val="en-US"/>
        </w:rPr>
      </w:pPr>
      <w:r w:rsidRPr="005A2D50">
        <w:rPr>
          <w:lang w:val="en-US"/>
        </w:rPr>
        <w:t>Muitas dienesti šā kritērija novērtēšanā var izmantot dažādus informācijas avotus, proti:</w:t>
      </w:r>
    </w:p>
    <w:p w14:paraId="6D7B644E" w14:textId="77777777" w:rsidR="005A2D50" w:rsidRPr="005A2D50" w:rsidRDefault="005A2D50" w:rsidP="005A2D50">
      <w:pPr>
        <w:pStyle w:val="BodyText"/>
        <w:rPr>
          <w:lang w:val="en-US"/>
        </w:rPr>
      </w:pPr>
    </w:p>
    <w:p w14:paraId="31C407FC" w14:textId="77777777" w:rsidR="005A2D50" w:rsidRPr="005A2D50" w:rsidRDefault="005A2D50" w:rsidP="005A2D50">
      <w:pPr>
        <w:pStyle w:val="BodyText"/>
        <w:numPr>
          <w:ilvl w:val="0"/>
          <w:numId w:val="19"/>
        </w:numPr>
        <w:tabs>
          <w:tab w:val="left" w:pos="851"/>
        </w:tabs>
        <w:ind w:left="284" w:firstLine="0"/>
        <w:rPr>
          <w:lang w:val="en-US"/>
        </w:rPr>
      </w:pPr>
      <w:r w:rsidRPr="005A2D50">
        <w:rPr>
          <w:lang w:val="en-US"/>
        </w:rPr>
        <w:t>datus par muitas nodokļu un visu citu nodevu, nodokļu vai citu maksājumu samaksu iepriekšējo trīs gadu laikā, kas iekasēti par preču importēšanu vai eksportēšanu vai saistībā ar to;</w:t>
      </w:r>
    </w:p>
    <w:p w14:paraId="48732DEE" w14:textId="77777777" w:rsidR="005A2D50" w:rsidRPr="005A2D50" w:rsidRDefault="005A2D50" w:rsidP="005A2D50">
      <w:pPr>
        <w:pStyle w:val="BodyText"/>
        <w:numPr>
          <w:ilvl w:val="0"/>
          <w:numId w:val="19"/>
        </w:numPr>
        <w:tabs>
          <w:tab w:val="left" w:pos="851"/>
        </w:tabs>
        <w:ind w:left="284" w:firstLine="0"/>
        <w:rPr>
          <w:lang w:val="en-US"/>
        </w:rPr>
      </w:pPr>
      <w:r w:rsidRPr="005A2D50">
        <w:rPr>
          <w:lang w:val="en-US"/>
        </w:rPr>
        <w:t>pieteikuma iesniedzēja publicētos finanšu pārskatus un bilanci par iepriekšējiem trīs gadiem, lai analizētu pieteikuma iesniedzēja spēju nomaksāt savus likumīgos parādus;</w:t>
      </w:r>
    </w:p>
    <w:p w14:paraId="05B5E612" w14:textId="77777777" w:rsidR="005A2D50" w:rsidRPr="005A2D50" w:rsidRDefault="005A2D50" w:rsidP="005A2D50">
      <w:pPr>
        <w:pStyle w:val="BodyText"/>
        <w:numPr>
          <w:ilvl w:val="0"/>
          <w:numId w:val="19"/>
        </w:numPr>
        <w:tabs>
          <w:tab w:val="left" w:pos="851"/>
        </w:tabs>
        <w:ind w:left="284" w:firstLine="0"/>
        <w:rPr>
          <w:lang w:val="en-US"/>
        </w:rPr>
      </w:pPr>
      <w:r w:rsidRPr="005A2D50">
        <w:rPr>
          <w:lang w:val="en-US"/>
        </w:rPr>
        <w:t>pārskatu projektus vai vadības pārskatus, jo īpaši starpposma pārskatus un jaunākās naudas plūsmas, bilances un peļņas un zaudējumu prognozes, ko apstiprinājuši direktori / partneri / vienīgais īpašnieks, jo īpaši tad, ja jaunākie publicētie finanšu pārskati nesniedz nepieciešamos pierādījumus par pieteikuma iesniedzēja pašreizējo finansiālo stāvokli vai ja pieteikuma iesniedzēja uzņēmums ir nesen dibināts;</w:t>
      </w:r>
    </w:p>
    <w:p w14:paraId="2E47F584" w14:textId="77777777" w:rsidR="005A2D50" w:rsidRPr="005A2D50" w:rsidRDefault="005A2D50" w:rsidP="005A2D50">
      <w:pPr>
        <w:pStyle w:val="BodyText"/>
        <w:numPr>
          <w:ilvl w:val="0"/>
          <w:numId w:val="19"/>
        </w:numPr>
        <w:tabs>
          <w:tab w:val="left" w:pos="851"/>
        </w:tabs>
        <w:ind w:left="284" w:firstLine="0"/>
        <w:rPr>
          <w:lang w:val="en-US"/>
        </w:rPr>
      </w:pPr>
      <w:r w:rsidRPr="005A2D50">
        <w:rPr>
          <w:lang w:val="en-US"/>
        </w:rPr>
        <w:t>pieteikuma iesniedzēja darbības ekonomisko pamatojumu, ja pieteikuma iesniedzējs saņem finansējumu no finanšu iestādes aizdevuma veidā, un aizdevuma līgumu ar šo iestādi;</w:t>
      </w:r>
    </w:p>
    <w:p w14:paraId="19A28C8B" w14:textId="77777777" w:rsidR="005A2D50" w:rsidRPr="005A2D50" w:rsidRDefault="005A2D50" w:rsidP="005A2D50">
      <w:pPr>
        <w:pStyle w:val="BodyText"/>
        <w:numPr>
          <w:ilvl w:val="0"/>
          <w:numId w:val="19"/>
        </w:numPr>
        <w:tabs>
          <w:tab w:val="left" w:pos="851"/>
        </w:tabs>
        <w:ind w:left="284" w:firstLine="0"/>
        <w:rPr>
          <w:lang w:val="en-US"/>
        </w:rPr>
      </w:pPr>
      <w:r w:rsidRPr="005A2D50">
        <w:rPr>
          <w:lang w:val="en-US"/>
        </w:rPr>
        <w:t>kredītreitingu aģentūru un kredīta aizsardzības apvienību secinājumus vai jebkuru attiecīgu valsts iestāžu vērtējumus;</w:t>
      </w:r>
    </w:p>
    <w:p w14:paraId="0BF65DD5" w14:textId="77777777" w:rsidR="005A2D50" w:rsidRPr="005A2D50" w:rsidRDefault="005A2D50" w:rsidP="005A2D50">
      <w:pPr>
        <w:pStyle w:val="BodyText"/>
        <w:numPr>
          <w:ilvl w:val="0"/>
          <w:numId w:val="19"/>
        </w:numPr>
        <w:tabs>
          <w:tab w:val="left" w:pos="851"/>
        </w:tabs>
        <w:ind w:left="284" w:firstLine="0"/>
        <w:rPr>
          <w:lang w:val="en-US"/>
        </w:rPr>
      </w:pPr>
      <w:r w:rsidRPr="005A2D50">
        <w:rPr>
          <w:lang w:val="en-US"/>
        </w:rPr>
        <w:t>pieejamos revīzijas ziņojumus;</w:t>
      </w:r>
    </w:p>
    <w:p w14:paraId="057A63BD" w14:textId="77777777" w:rsidR="005A2D50" w:rsidRPr="005A2D50" w:rsidRDefault="005A2D50" w:rsidP="005A2D50">
      <w:pPr>
        <w:pStyle w:val="BodyText"/>
        <w:numPr>
          <w:ilvl w:val="0"/>
          <w:numId w:val="19"/>
        </w:numPr>
        <w:tabs>
          <w:tab w:val="left" w:pos="851"/>
        </w:tabs>
        <w:ind w:left="284" w:firstLine="0"/>
        <w:rPr>
          <w:lang w:val="en-US"/>
        </w:rPr>
      </w:pPr>
      <w:r w:rsidRPr="005A2D50">
        <w:rPr>
          <w:lang w:val="en-US"/>
        </w:rPr>
        <w:t>jebkuru pieejamu finanšu informāciju, piemēram, juridiskus reģistrus, tiešsaistes datubāzes, finanšu ziņas u. c.;</w:t>
      </w:r>
    </w:p>
    <w:p w14:paraId="4350F558" w14:textId="77777777" w:rsidR="005A2D50" w:rsidRPr="005A2D50" w:rsidRDefault="005A2D50" w:rsidP="005A2D50">
      <w:pPr>
        <w:pStyle w:val="BodyText"/>
        <w:numPr>
          <w:ilvl w:val="0"/>
          <w:numId w:val="19"/>
        </w:numPr>
        <w:tabs>
          <w:tab w:val="left" w:pos="851"/>
        </w:tabs>
        <w:ind w:left="284" w:firstLine="0"/>
        <w:rPr>
          <w:lang w:val="en-US"/>
        </w:rPr>
      </w:pPr>
      <w:r w:rsidRPr="005A2D50">
        <w:rPr>
          <w:lang w:val="en-US"/>
        </w:rPr>
        <w:t>citus pierādījumus, kurus pieteikuma iesniedzējs var sniegt, piemēram, mātesuzņēmuma (vai cita grupas uzņēmuma) izsniegtu galvojumu, kas apliecina, ka pieteikuma iesniedzējs ir maksātspējīgs.</w:t>
      </w:r>
    </w:p>
    <w:p w14:paraId="13E106D7" w14:textId="77777777" w:rsidR="005A2D50" w:rsidRPr="005A2D50" w:rsidRDefault="005A2D50" w:rsidP="005A2D50">
      <w:pPr>
        <w:pStyle w:val="BodyText"/>
        <w:rPr>
          <w:lang w:val="en-US"/>
        </w:rPr>
      </w:pPr>
    </w:p>
    <w:p w14:paraId="3AD01FBA" w14:textId="77777777" w:rsidR="005A2D50" w:rsidRPr="005A2D50" w:rsidRDefault="005A2D50" w:rsidP="005A2D50">
      <w:pPr>
        <w:pStyle w:val="BodyText"/>
        <w:rPr>
          <w:lang w:val="en-US"/>
        </w:rPr>
      </w:pPr>
      <w:r w:rsidRPr="005A2D50">
        <w:rPr>
          <w:lang w:val="en-US"/>
        </w:rPr>
        <w:t>Muitas dienesti var noskaidrot, vai pieteikuma iesniedzējs spēj nokārtot savus likumīgos parādus trešām personām, izskatot visu pieteikuma iesniedzēja finanšu pārskatu kopumu par iepriekšējiem trīs gadiem. Jāpārbauda arī jaunākie pārskatu projekti vai vadības pārskati laikposmā starp pēdējiem parakstītajiem finanšu pārskatiem un pašreizējo datumu, lai noskaidrotu, vai pieteikuma iesniedzēja finansiālajā stāvoklī ir notikušas kādas būtiskas izmaiņas, kas var ietekmēt tā pierādīto maksātspēju.</w:t>
      </w:r>
    </w:p>
    <w:p w14:paraId="5D5DF032" w14:textId="77777777" w:rsidR="005A2D50" w:rsidRPr="005A2D50" w:rsidRDefault="005A2D50" w:rsidP="005A2D50">
      <w:pPr>
        <w:pStyle w:val="BodyText"/>
        <w:rPr>
          <w:lang w:val="en-US"/>
        </w:rPr>
      </w:pPr>
      <w:r w:rsidRPr="005A2D50">
        <w:rPr>
          <w:lang w:val="en-US"/>
        </w:rPr>
        <w:t xml:space="preserve">Ja pastāv bažas, pieteikuma iesniedzējs var veikt vairākas darbības neto aktīvu pozīcijas uzlabošanai. Piemēram, tas var piesaistīt papildu kapitālu, emitējot akcijas. Starptautiskajiem uzņēmumiem negatīvi neto aktīvi bieži vien var rasties saistībā ar grupas iekšējiem darījumiem un saistībām. Šādos gadījumos bieži vien attiecībā uz saistībām var būt izdots mātesuzņēmuma (vai cita grupas uzņēmuma) izsniegts galvojums. Šajā sakarībā Vadlīnijās </w:t>
      </w:r>
      <w:r w:rsidRPr="005A2D50">
        <w:rPr>
          <w:i/>
          <w:iCs/>
          <w:lang w:val="en-US"/>
        </w:rPr>
        <w:t>AEO</w:t>
      </w:r>
      <w:r w:rsidRPr="005A2D50">
        <w:rPr>
          <w:vertAlign w:val="superscript"/>
          <w:lang w:val="en-US"/>
        </w:rPr>
        <w:footnoteReference w:id="21"/>
      </w:r>
      <w:r w:rsidRPr="005A2D50">
        <w:rPr>
          <w:vertAlign w:val="superscript"/>
          <w:lang w:val="en-US"/>
        </w:rPr>
        <w:t xml:space="preserve"> </w:t>
      </w:r>
      <w:r w:rsidRPr="005A2D50">
        <w:rPr>
          <w:lang w:val="en-US"/>
        </w:rPr>
        <w:t>ir noteikts:</w:t>
      </w:r>
    </w:p>
    <w:p w14:paraId="77D48EE5" w14:textId="77777777" w:rsidR="005A2D50" w:rsidRPr="005A2D50" w:rsidRDefault="005A2D50" w:rsidP="005A2D50">
      <w:pPr>
        <w:jc w:val="both"/>
        <w:rPr>
          <w:rFonts w:ascii="Times New Roman" w:eastAsia="Times New Roman" w:hAnsi="Times New Roman" w:cs="Times New Roman"/>
          <w:noProof/>
          <w:sz w:val="24"/>
          <w:szCs w:val="24"/>
          <w:lang w:val="en-US"/>
        </w:rPr>
      </w:pPr>
    </w:p>
    <w:p w14:paraId="307AD423" w14:textId="77777777" w:rsidR="005A2D50" w:rsidRPr="005A2D50" w:rsidRDefault="005A2D50" w:rsidP="005A2D50">
      <w:pPr>
        <w:jc w:val="both"/>
        <w:rPr>
          <w:rFonts w:ascii="Times New Roman" w:hAnsi="Times New Roman"/>
          <w:i/>
          <w:noProof/>
          <w:sz w:val="24"/>
          <w:lang w:val="en-US"/>
        </w:rPr>
      </w:pPr>
      <w:r w:rsidRPr="005A2D50">
        <w:rPr>
          <w:rFonts w:ascii="Times New Roman" w:hAnsi="Times New Roman"/>
          <w:noProof/>
          <w:sz w:val="24"/>
          <w:lang w:val="en-US"/>
        </w:rPr>
        <w:t>“</w:t>
      </w:r>
      <w:r w:rsidRPr="005A2D50">
        <w:rPr>
          <w:rFonts w:ascii="Times New Roman" w:hAnsi="Times New Roman"/>
          <w:i/>
          <w:noProof/>
          <w:sz w:val="24"/>
          <w:lang w:val="en-US"/>
        </w:rPr>
        <w:t>2.III.4. Mātesuzņēmuma (vai citu grupas uzņēmumu) izsniegtas apstiprinājuma vēstules un galvojumi</w:t>
      </w:r>
    </w:p>
    <w:p w14:paraId="732920BF" w14:textId="77777777" w:rsidR="005A2D50" w:rsidRPr="005A2D50" w:rsidRDefault="005A2D50" w:rsidP="005A2D50">
      <w:pPr>
        <w:pStyle w:val="BodyText"/>
        <w:rPr>
          <w:i/>
          <w:lang w:val="en-US"/>
        </w:rPr>
      </w:pPr>
    </w:p>
    <w:p w14:paraId="0BDA3E05" w14:textId="77777777" w:rsidR="005A2D50" w:rsidRPr="005A2D50" w:rsidRDefault="005A2D50" w:rsidP="005A2D50">
      <w:pPr>
        <w:pStyle w:val="BodyText"/>
        <w:rPr>
          <w:lang w:val="en-US"/>
        </w:rPr>
      </w:pPr>
      <w:r w:rsidRPr="005A2D50">
        <w:rPr>
          <w:lang w:val="en-US"/>
        </w:rPr>
        <w:t>Apstiprinājuma vēstules ir dokumenti, kurus parasti izsniedz mātesuzņēmums (vai cits grupas uzņēmums) un kuri apstiprina, ka meitasuzņēmums ir vērsies pie tā ar lūgumu sniegt finansējumu. Apstiprinājuma vēstules sastopamas tad, kad meitasuzņēmumam ir negatīvi neto aktīvi, un šīs vēstules tiek izmantotas direktoru atzinuma pamatošanai un kā pierādījums auditoru atzinumā par to, ka uzņēmumam ir pietiekami finanšu līdzekļi, lai tas turpinātu darbību. Šādas vēstules var attiekties uz noteiktu laikposmu. Šīs vēstules rakstiski apliecina nodomu turpināt sniegt finanšu atbalstu pieteikuma iesniedzēja uzņēmumam, bet tās var nebūt juridiski saistošas.</w:t>
      </w:r>
    </w:p>
    <w:p w14:paraId="4E89F864" w14:textId="77777777" w:rsidR="005A2D50" w:rsidRPr="005A2D50" w:rsidRDefault="005A2D50" w:rsidP="005A2D50">
      <w:pPr>
        <w:pStyle w:val="BodyText"/>
        <w:rPr>
          <w:lang w:val="en-US"/>
        </w:rPr>
      </w:pPr>
      <w:r w:rsidRPr="005A2D50">
        <w:rPr>
          <w:lang w:val="en-US"/>
        </w:rPr>
        <w:t>Kad tiek vērtēta meitasuzņēmuma pierādītā maksātspēja, jāņem vērā tas, ka meitasuzņēmums var darboties, pamatojoties uz mātesuzņēmuma izsniegtu galvojumu, un muitas dienesti var izskatīt finanšu atbalstu sniedzošā mātesuzņēmuma pārskatus, lai pārliecinātos, ka tam ir iespējas šādi rīkoties. Jāatzīmē, ka apstiprinājuma vēstules bieži vien nav juridiski saistošas līgumiskas vienošanās, līdz ar to tās nav galvojums ar juridisku spēku.</w:t>
      </w:r>
    </w:p>
    <w:p w14:paraId="1E0B0579" w14:textId="77777777" w:rsidR="005A2D50" w:rsidRPr="005A2D50" w:rsidRDefault="005A2D50" w:rsidP="005A2D50">
      <w:pPr>
        <w:pStyle w:val="BodyText"/>
        <w:rPr>
          <w:lang w:val="en-US"/>
        </w:rPr>
      </w:pPr>
      <w:r w:rsidRPr="005A2D50">
        <w:rPr>
          <w:lang w:val="en-US"/>
        </w:rPr>
        <w:t>Ja pieteikuma iesniedzējs ir atkarīgs no mātesuzņēmuma (vai cita grupas uzņēmuma) finanšu atbalsta, lai spētu izpildīt pierādītas maksātspējas kritēriju, muitas dienestiem, ja atbilstīgi, jāpārliecinās par to, ka atbalsts tiek sniegts, pamatojoties uz juridiski saistošu līgumisku vienošanos. Ja galvojums ir nepieciešams kā mātesuzņēmuma vai cita grupas uzņēmuma atbalsta apliecinājums, tam jābūt juridiski saistošam atbilstīgi tās dalībvalsts tiesību aktiem, kurā tas tiek pieņemts, jo citādi to nevar ņemt vērā, kad tiek novērtēta atbilstība šim kritērijam.</w:t>
      </w:r>
    </w:p>
    <w:p w14:paraId="27DDB113" w14:textId="77777777" w:rsidR="005A2D50" w:rsidRPr="005A2D50" w:rsidRDefault="005A2D50" w:rsidP="005A2D50">
      <w:pPr>
        <w:pStyle w:val="BodyText"/>
        <w:rPr>
          <w:lang w:val="en-US"/>
        </w:rPr>
      </w:pPr>
      <w:r w:rsidRPr="005A2D50">
        <w:rPr>
          <w:lang w:val="en-US"/>
        </w:rPr>
        <w:t>Lai līgumiska vienošanās būtu juridiski saistoša, tai jāietver apņemšanās neatsaucami un bez nosacījumiem izpildīt meitasuzņēmuma maksājumu saistības. Pēc vienošanās parakstīšanas parakstītājam ir juridiska atbildība maksāt pieteikuma iesniedzēja nesamaksātos muitas parādus.”</w:t>
      </w:r>
    </w:p>
    <w:p w14:paraId="7EDEEFA1" w14:textId="77777777" w:rsidR="005A2D50" w:rsidRPr="005A2D50" w:rsidRDefault="005A2D50" w:rsidP="005A2D50">
      <w:pPr>
        <w:pStyle w:val="BodyText"/>
        <w:rPr>
          <w:lang w:val="en-US"/>
        </w:rPr>
      </w:pPr>
    </w:p>
    <w:p w14:paraId="499BE980" w14:textId="77777777" w:rsidR="005A2D50" w:rsidRPr="005A2D50" w:rsidRDefault="005A2D50" w:rsidP="005A2D50">
      <w:pPr>
        <w:pStyle w:val="BodyText"/>
        <w:rPr>
          <w:b/>
          <w:bCs/>
          <w:lang w:val="en-US"/>
        </w:rPr>
      </w:pPr>
      <w:bookmarkStart w:id="154" w:name="B)_Practical_application_of_the_Second_s"/>
      <w:bookmarkEnd w:id="154"/>
      <w:r w:rsidRPr="005A2D50">
        <w:rPr>
          <w:b/>
          <w:bCs/>
          <w:lang w:val="en-US"/>
        </w:rPr>
        <w:t>B) SMK DA 84. panta 3.a punkta otrās daļas piemērošana praksē</w:t>
      </w:r>
    </w:p>
    <w:p w14:paraId="7D59B0A2" w14:textId="77777777" w:rsidR="005A2D50" w:rsidRPr="005A2D50" w:rsidRDefault="005A2D50" w:rsidP="005A2D50">
      <w:pPr>
        <w:pStyle w:val="BodyText"/>
        <w:rPr>
          <w:lang w:val="en-US"/>
        </w:rPr>
      </w:pPr>
    </w:p>
    <w:p w14:paraId="74DA2E96" w14:textId="77777777" w:rsidR="005A2D50" w:rsidRPr="005A2D50" w:rsidRDefault="005A2D50" w:rsidP="005A2D50">
      <w:pPr>
        <w:pStyle w:val="BodyText"/>
        <w:rPr>
          <w:lang w:val="en-US"/>
        </w:rPr>
      </w:pPr>
      <w:r w:rsidRPr="005A2D50">
        <w:rPr>
          <w:lang w:val="en-US"/>
        </w:rPr>
        <w:t xml:space="preserve">Šajā sakarā muitas dienestiem jāpārbauda, vai uzņēmēja finansiālais stāvoklis ir pietiekami labs saistībā ar uzņēmēja spēju samaksāt, ja iespējamais muitas parāds pārsniedz sniegtā galvojuma/saistību summu, ņemot vērā muitas parādu rašanās risku, ja tam ir pamatojums. Šajā novērtējumā jāņem vērā visi apstākļi, kas saistīti ar attiecīgo situāciju, vienlaikus saglabājot elastību un atbilstību konkrētajai situācijai. Muitas dienesti novērtē pietiekami labu finansiālo stāvokli </w:t>
      </w:r>
      <w:r w:rsidRPr="005A2D50">
        <w:rPr>
          <w:i/>
          <w:iCs/>
          <w:lang w:val="en-US"/>
        </w:rPr>
        <w:t xml:space="preserve">CGU </w:t>
      </w:r>
      <w:r w:rsidRPr="005A2D50">
        <w:rPr>
          <w:lang w:val="en-US"/>
        </w:rPr>
        <w:t>atļaujas mērķiem, ņemot vērā iespējamos riskus, kas saistīti ar muitas parādu rašanos, piemēram, saimnieciskās darbības iezīmes, darījuma specifiskumu un tamlīdzīgi.</w:t>
      </w:r>
      <w:r w:rsidRPr="005A2D50">
        <w:rPr>
          <w:rStyle w:val="FootnoteReference"/>
          <w:lang w:val="en-US"/>
        </w:rPr>
        <w:footnoteReference w:id="22"/>
      </w:r>
    </w:p>
    <w:p w14:paraId="713A1485" w14:textId="77777777" w:rsidR="005A2D50" w:rsidRPr="005A2D50" w:rsidRDefault="005A2D50" w:rsidP="005A2D50">
      <w:pPr>
        <w:pStyle w:val="BodyText"/>
        <w:rPr>
          <w:lang w:val="en-US"/>
        </w:rPr>
      </w:pPr>
    </w:p>
    <w:p w14:paraId="5C321F09" w14:textId="77777777" w:rsidR="005A2D50" w:rsidRPr="005A2D50" w:rsidRDefault="005A2D50" w:rsidP="005A2D50">
      <w:pPr>
        <w:pStyle w:val="BodyText"/>
        <w:rPr>
          <w:lang w:val="en-US"/>
        </w:rPr>
      </w:pPr>
      <w:r w:rsidRPr="005A2D50">
        <w:rPr>
          <w:lang w:val="en-US"/>
        </w:rPr>
        <w:t>a) Riska elementa apraksts/nozīme</w:t>
      </w:r>
      <w:r w:rsidRPr="005A2D50">
        <w:rPr>
          <w:vertAlign w:val="superscript"/>
          <w:lang w:val="en-US"/>
        </w:rPr>
        <w:footnoteReference w:id="23"/>
      </w:r>
    </w:p>
    <w:p w14:paraId="09DD8BB1" w14:textId="77777777" w:rsidR="005A2D50" w:rsidRPr="005A2D50" w:rsidRDefault="005A2D50" w:rsidP="005A2D50">
      <w:pPr>
        <w:pStyle w:val="BodyText"/>
        <w:rPr>
          <w:lang w:val="en-US"/>
        </w:rPr>
      </w:pPr>
    </w:p>
    <w:p w14:paraId="1344BC9A" w14:textId="77777777" w:rsidR="005A2D50" w:rsidRPr="005A2D50" w:rsidRDefault="005A2D50" w:rsidP="005A2D50">
      <w:pPr>
        <w:pStyle w:val="BodyText"/>
        <w:rPr>
          <w:lang w:val="en-US"/>
        </w:rPr>
      </w:pPr>
      <w:r w:rsidRPr="005A2D50">
        <w:rPr>
          <w:lang w:val="en-US"/>
        </w:rPr>
        <w:t>Saskaņā ar SMK 5. panta 7. punktu ““risks” ir tāda gadījuma iespējamība un ietekme, kas notiek attiecībā uz to preču ievešanu, izvešanu, tranzītu, pārvietošanu vai galapatēriņu, kuras pārvieto starp Savienības muitas teritoriju un valstīm vai teritorijām ārpus šīs teritorijas, vai attiecībā uz ārpussavienības preču klātbūtni Savienības muitas teritorijā, un tas:</w:t>
      </w:r>
    </w:p>
    <w:p w14:paraId="4F04155E" w14:textId="77777777" w:rsidR="005A2D50" w:rsidRPr="005A2D50" w:rsidRDefault="005A2D50" w:rsidP="005A2D50">
      <w:pPr>
        <w:pStyle w:val="BodyText"/>
        <w:rPr>
          <w:lang w:val="en-US"/>
        </w:rPr>
      </w:pPr>
    </w:p>
    <w:p w14:paraId="6AB4A48B" w14:textId="77777777" w:rsidR="005A2D50" w:rsidRPr="005A2D50" w:rsidRDefault="005A2D50" w:rsidP="005A2D50">
      <w:pPr>
        <w:pStyle w:val="BodyText"/>
        <w:ind w:left="284"/>
        <w:rPr>
          <w:lang w:val="en-US"/>
        </w:rPr>
      </w:pPr>
      <w:r w:rsidRPr="005A2D50">
        <w:rPr>
          <w:lang w:val="en-US"/>
        </w:rPr>
        <w:t>a) liegtu pareizi piemērot Savienības vai valsts pasākumus;</w:t>
      </w:r>
    </w:p>
    <w:p w14:paraId="2F1949D4" w14:textId="77777777" w:rsidR="005A2D50" w:rsidRPr="005A2D50" w:rsidRDefault="005A2D50" w:rsidP="005A2D50">
      <w:pPr>
        <w:pStyle w:val="BodyText"/>
        <w:ind w:left="284"/>
        <w:rPr>
          <w:lang w:val="en-US"/>
        </w:rPr>
      </w:pPr>
      <w:r w:rsidRPr="005A2D50">
        <w:rPr>
          <w:lang w:val="en-US"/>
        </w:rPr>
        <w:t>b) apdraudētu Savienības un tās dalībvalstu finanšu intereses vai</w:t>
      </w:r>
    </w:p>
    <w:p w14:paraId="783221FA" w14:textId="77777777" w:rsidR="005A2D50" w:rsidRPr="005A2D50" w:rsidRDefault="005A2D50" w:rsidP="005A2D50">
      <w:pPr>
        <w:pStyle w:val="BodyText"/>
        <w:ind w:left="284"/>
        <w:rPr>
          <w:lang w:val="en-US"/>
        </w:rPr>
      </w:pPr>
      <w:r w:rsidRPr="005A2D50">
        <w:rPr>
          <w:lang w:val="en-US"/>
        </w:rPr>
        <w:t>c) apdraudētu Savienības un tās iedzīvotāju drošību un drošumu, cilvēku, dzīvnieku vai augu veselību, vidi vai patērētājus;”.</w:t>
      </w:r>
    </w:p>
    <w:p w14:paraId="364E7D77" w14:textId="77777777" w:rsidR="005A2D50" w:rsidRPr="005A2D50" w:rsidRDefault="005A2D50" w:rsidP="005A2D50">
      <w:pPr>
        <w:pStyle w:val="BodyText"/>
        <w:rPr>
          <w:lang w:val="en-US"/>
        </w:rPr>
      </w:pPr>
    </w:p>
    <w:p w14:paraId="7C300BA1" w14:textId="77777777" w:rsidR="005A2D50" w:rsidRPr="005A2D50" w:rsidRDefault="005A2D50" w:rsidP="005A2D50">
      <w:pPr>
        <w:pStyle w:val="BodyText"/>
        <w:rPr>
          <w:lang w:val="en-US"/>
        </w:rPr>
      </w:pPr>
      <w:r w:rsidRPr="005A2D50">
        <w:rPr>
          <w:lang w:val="en-US"/>
        </w:rPr>
        <w:t>Saskaņā ar šo definīciju ir jāņem vērā divi aspekti – iespējamība, ka notiek kāds notikums, un tā ietekme. Lai novērtētu attiecīgā riska nozīmīgumu, šīs abas dimensijas vienmēr jāņem vērā. Šos jēdzienus var vizualizēt, izmantojot tā dēvēto riska matricu, kas attēlota turpmāk.</w:t>
      </w:r>
    </w:p>
    <w:p w14:paraId="5A3B11AD" w14:textId="77777777" w:rsidR="005A2D50" w:rsidRPr="005A2D50" w:rsidRDefault="005A2D50" w:rsidP="005A2D50">
      <w:pPr>
        <w:jc w:val="both"/>
        <w:rPr>
          <w:rFonts w:ascii="Times New Roman" w:eastAsia="Times New Roman" w:hAnsi="Times New Roman" w:cs="Times New Roman"/>
          <w:noProof/>
          <w:sz w:val="24"/>
          <w:szCs w:val="24"/>
          <w:lang w:val="en-US"/>
        </w:rPr>
      </w:pPr>
    </w:p>
    <w:p w14:paraId="27221329" w14:textId="77777777" w:rsidR="005A2D50" w:rsidRPr="005A2D50" w:rsidRDefault="005A2D50" w:rsidP="005A2D50">
      <w:pPr>
        <w:jc w:val="center"/>
        <w:rPr>
          <w:rFonts w:ascii="Times New Roman" w:eastAsia="Times New Roman" w:hAnsi="Times New Roman" w:cs="Times New Roman"/>
          <w:noProof/>
          <w:sz w:val="24"/>
          <w:szCs w:val="24"/>
          <w:lang w:val="en-US"/>
        </w:rPr>
      </w:pPr>
      <w:r w:rsidRPr="005A2D50">
        <w:rPr>
          <w:rFonts w:ascii="Times New Roman" w:eastAsia="Times New Roman" w:hAnsi="Times New Roman" w:cs="Times New Roman"/>
          <w:noProof/>
          <w:sz w:val="24"/>
          <w:szCs w:val="24"/>
          <w:lang w:val="en-US"/>
        </w:rPr>
        <w:drawing>
          <wp:inline distT="0" distB="0" distL="0" distR="0" wp14:anchorId="5D7EDEDF" wp14:editId="6738F7E3">
            <wp:extent cx="5762625" cy="3287395"/>
            <wp:effectExtent l="0" t="0" r="0" b="0"/>
            <wp:docPr id="10" name="Picture 10"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able&#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5762625" cy="3287395"/>
                    </a:xfrm>
                    <a:prstGeom prst="rect">
                      <a:avLst/>
                    </a:prstGeom>
                  </pic:spPr>
                </pic:pic>
              </a:graphicData>
            </a:graphic>
          </wp:inline>
        </w:drawing>
      </w:r>
    </w:p>
    <w:p w14:paraId="6145C24A" w14:textId="77777777" w:rsidR="005A2D50" w:rsidRPr="005A2D50" w:rsidRDefault="005A2D50" w:rsidP="005A2D50">
      <w:pPr>
        <w:jc w:val="both"/>
        <w:rPr>
          <w:rFonts w:ascii="Times New Roman" w:eastAsia="Times New Roman" w:hAnsi="Times New Roman" w:cs="Times New Roman"/>
          <w:noProof/>
          <w:sz w:val="24"/>
          <w:szCs w:val="24"/>
          <w:lang w:val="en-US"/>
        </w:rPr>
      </w:pPr>
    </w:p>
    <w:p w14:paraId="4C3B8C24" w14:textId="77777777" w:rsidR="005A2D50" w:rsidRPr="005A2D50" w:rsidRDefault="005A2D50" w:rsidP="005A2D50">
      <w:pPr>
        <w:pStyle w:val="BodyText"/>
        <w:rPr>
          <w:lang w:val="en-US"/>
        </w:rPr>
      </w:pPr>
      <w:r w:rsidRPr="005A2D50">
        <w:rPr>
          <w:lang w:val="en-US"/>
        </w:rPr>
        <w:t>Risku nav iespējams samazināt līdz nullei (pilnībā novērst), izņemot tad, kad process tiek pilnībā likvidēts.</w:t>
      </w:r>
    </w:p>
    <w:p w14:paraId="237C1334" w14:textId="77777777" w:rsidR="005A2D50" w:rsidRPr="005A2D50" w:rsidRDefault="005A2D50" w:rsidP="005A2D50">
      <w:pPr>
        <w:pStyle w:val="BodyText"/>
        <w:rPr>
          <w:lang w:val="en-US"/>
        </w:rPr>
      </w:pPr>
      <w:r w:rsidRPr="005A2D50">
        <w:rPr>
          <w:lang w:val="en-US"/>
        </w:rPr>
        <w:t>Šajā matricā parādīts, ka risks ar lielu ietekmi ir nepieņemams risks, ja vien tā īstenošanās iespējamība nav maza, savukārt risks ar vidēju ietekmi ir nepieņemams, ja tā īstenošanās iespējamība ir liela. Mērķis ir samazināt riska līmeni (ietekmi/iespējamību) līdz pieņemamam līmenim un uzraugot pārliecināties, vai šis līmenis nemainās.</w:t>
      </w:r>
    </w:p>
    <w:p w14:paraId="69F9685C" w14:textId="77777777" w:rsidR="005A2D50" w:rsidRPr="005A2D50" w:rsidRDefault="005A2D50" w:rsidP="005A2D50">
      <w:pPr>
        <w:pStyle w:val="BodyText"/>
        <w:rPr>
          <w:lang w:val="en-US"/>
        </w:rPr>
      </w:pPr>
      <w:r w:rsidRPr="005A2D50">
        <w:rPr>
          <w:lang w:val="en-US"/>
        </w:rPr>
        <w:t>Parasti jārīkojas šādi:</w:t>
      </w:r>
    </w:p>
    <w:p w14:paraId="202593A6" w14:textId="77777777" w:rsidR="005A2D50" w:rsidRPr="005A2D50" w:rsidRDefault="005A2D50" w:rsidP="005A2D50">
      <w:pPr>
        <w:pStyle w:val="BodyText"/>
        <w:rPr>
          <w:lang w:val="en-US"/>
        </w:rPr>
      </w:pPr>
    </w:p>
    <w:p w14:paraId="5C9E154E" w14:textId="77777777" w:rsidR="005A2D50" w:rsidRPr="005A2D50" w:rsidRDefault="005A2D50" w:rsidP="005A2D50">
      <w:pPr>
        <w:pStyle w:val="BodyText"/>
        <w:numPr>
          <w:ilvl w:val="0"/>
          <w:numId w:val="17"/>
        </w:numPr>
        <w:tabs>
          <w:tab w:val="left" w:pos="851"/>
        </w:tabs>
        <w:ind w:left="284" w:firstLine="0"/>
        <w:rPr>
          <w:lang w:val="en-US"/>
        </w:rPr>
      </w:pPr>
      <w:r w:rsidRPr="005A2D50">
        <w:rPr>
          <w:lang w:val="en-US"/>
        </w:rPr>
        <w:t>ja risks ir sarkanajā zonā, to uzskata par augstu un ir jāievieš pretpasākumi riska līmeņa samazināšanai;</w:t>
      </w:r>
    </w:p>
    <w:p w14:paraId="37A42E8C" w14:textId="77777777" w:rsidR="005A2D50" w:rsidRPr="005A2D50" w:rsidRDefault="005A2D50" w:rsidP="005A2D50">
      <w:pPr>
        <w:pStyle w:val="BodyText"/>
        <w:numPr>
          <w:ilvl w:val="0"/>
          <w:numId w:val="17"/>
        </w:numPr>
        <w:tabs>
          <w:tab w:val="left" w:pos="851"/>
        </w:tabs>
        <w:ind w:left="284" w:firstLine="0"/>
        <w:rPr>
          <w:lang w:val="en-US"/>
        </w:rPr>
      </w:pPr>
      <w:r w:rsidRPr="005A2D50">
        <w:rPr>
          <w:lang w:val="en-US"/>
        </w:rPr>
        <w:t>ja risks ir dzeltenajā zonā, var tikt ierosinātas koriģējošas darbības riska pārvietošanai uz zaļo zonu, mazinot vai nu riska ietekmi, vai arī tā īstenošanās iespējamību;</w:t>
      </w:r>
    </w:p>
    <w:p w14:paraId="309A8933" w14:textId="77777777" w:rsidR="005A2D50" w:rsidRPr="005A2D50" w:rsidRDefault="005A2D50" w:rsidP="005A2D50">
      <w:pPr>
        <w:pStyle w:val="BodyText"/>
        <w:numPr>
          <w:ilvl w:val="0"/>
          <w:numId w:val="17"/>
        </w:numPr>
        <w:tabs>
          <w:tab w:val="left" w:pos="851"/>
        </w:tabs>
        <w:ind w:left="284" w:firstLine="0"/>
        <w:rPr>
          <w:lang w:val="en-US"/>
        </w:rPr>
      </w:pPr>
      <w:r w:rsidRPr="005A2D50">
        <w:rPr>
          <w:lang w:val="en-US"/>
        </w:rPr>
        <w:t>ja risks ir zaļajā zonā, to var uzskatīt par pieņemamu, tomēr var apsvērt uzlabojumus.</w:t>
      </w:r>
    </w:p>
    <w:p w14:paraId="338E4949" w14:textId="77777777" w:rsidR="005A2D50" w:rsidRPr="005A2D50" w:rsidRDefault="005A2D50" w:rsidP="005A2D50">
      <w:pPr>
        <w:pStyle w:val="BodyText"/>
        <w:rPr>
          <w:lang w:val="en-US"/>
        </w:rPr>
      </w:pPr>
    </w:p>
    <w:p w14:paraId="749E549A" w14:textId="77777777" w:rsidR="005A2D50" w:rsidRPr="005A2D50" w:rsidRDefault="005A2D50" w:rsidP="005A2D50">
      <w:pPr>
        <w:pStyle w:val="BodyText"/>
        <w:rPr>
          <w:lang w:val="en-US"/>
        </w:rPr>
      </w:pPr>
      <w:r w:rsidRPr="005A2D50">
        <w:rPr>
          <w:lang w:val="en-US"/>
        </w:rPr>
        <w:t>Šīs abas dimensijas arī jāizmanto risku prioritātes noteikšanai un atbilstošo ietekmes mazināšanas pasākumu paredzēšanai.</w:t>
      </w:r>
    </w:p>
    <w:p w14:paraId="7920850A" w14:textId="77777777" w:rsidR="005A2D50" w:rsidRPr="005A2D50" w:rsidRDefault="005A2D50" w:rsidP="005A2D50">
      <w:pPr>
        <w:pStyle w:val="BodyText"/>
        <w:rPr>
          <w:lang w:val="en-US"/>
        </w:rPr>
      </w:pPr>
      <w:r w:rsidRPr="005A2D50">
        <w:rPr>
          <w:lang w:val="en-US"/>
        </w:rPr>
        <w:t>Muitas parādu rašanās iespējamība nav 100 %. Tie var rasties tikai pienākumu neizpildes dēļ, kā noteikts SMK 79. un 82. pantā. Saistībā ar SMK DA 84. pantu risks skatāms saistībā ar iespējamību, ka muitas parāds ir radies, un saistībā ar tā ietekmi attiecībā uz summas apmēru, kas faktiski radīsies pienākumu neizpildes dēļ.</w:t>
      </w:r>
    </w:p>
    <w:p w14:paraId="6F9CBC74" w14:textId="77777777" w:rsidR="005A2D50" w:rsidRPr="005A2D50" w:rsidRDefault="005A2D50" w:rsidP="005A2D50">
      <w:pPr>
        <w:pStyle w:val="BodyText"/>
        <w:rPr>
          <w:lang w:val="en-US"/>
        </w:rPr>
      </w:pPr>
      <w:r w:rsidRPr="005A2D50">
        <w:rPr>
          <w:lang w:val="en-US"/>
        </w:rPr>
        <w:t>Lai noteiktu, kādās situācijās varētu būt pamatoti ņemt vērā riska elementu, muitai jāizvērtē iespējamo muitas parādu rašanās varbūtība, aplūkojot ierakstus, kas pieejami par pēdējā (3 gadu) laikā veiktajām darbībām. Kad ir apzināta šo parādu rašanās iespējamā ietekme, tos salīdzina ar attiecīgajiem koeficientiem</w:t>
      </w:r>
      <w:r w:rsidRPr="005A2D50">
        <w:rPr>
          <w:rStyle w:val="FootnoteReference"/>
          <w:lang w:val="en-US"/>
        </w:rPr>
        <w:footnoteReference w:id="24"/>
      </w:r>
      <w:r w:rsidRPr="005A2D50">
        <w:rPr>
          <w:lang w:val="en-US"/>
        </w:rPr>
        <w:t>, kas var parādīt spēju stāties pretī šiem pienākumiem.</w:t>
      </w:r>
    </w:p>
    <w:p w14:paraId="6AF696AA" w14:textId="77777777" w:rsidR="005A2D50" w:rsidRPr="005A2D50" w:rsidRDefault="005A2D50" w:rsidP="005A2D50">
      <w:pPr>
        <w:jc w:val="both"/>
        <w:rPr>
          <w:rFonts w:ascii="Times New Roman" w:eastAsia="Times New Roman" w:hAnsi="Times New Roman" w:cs="Times New Roman"/>
          <w:noProof/>
          <w:sz w:val="24"/>
          <w:szCs w:val="24"/>
          <w:lang w:val="en-US"/>
        </w:rPr>
      </w:pPr>
    </w:p>
    <w:p w14:paraId="10FEE096" w14:textId="77777777" w:rsidR="005A2D50" w:rsidRPr="005A2D50" w:rsidRDefault="005A2D50" w:rsidP="005A2D50">
      <w:pPr>
        <w:pStyle w:val="BodyText"/>
        <w:rPr>
          <w:lang w:val="en-US"/>
        </w:rPr>
      </w:pPr>
      <w:r w:rsidRPr="005A2D50">
        <w:rPr>
          <w:lang w:val="en-US"/>
        </w:rPr>
        <w:t>b) Riski, kas saistīti ar juridiskajā tekstā minētajiem elementiem</w:t>
      </w:r>
    </w:p>
    <w:p w14:paraId="1CFA9277" w14:textId="77777777" w:rsidR="005A2D50" w:rsidRPr="005A2D50" w:rsidRDefault="005A2D50" w:rsidP="005A2D50">
      <w:pPr>
        <w:pStyle w:val="BodyText"/>
        <w:rPr>
          <w:lang w:val="en-US"/>
        </w:rPr>
      </w:pPr>
    </w:p>
    <w:p w14:paraId="53D1AD01" w14:textId="77777777" w:rsidR="005A2D50" w:rsidRPr="005A2D50" w:rsidRDefault="005A2D50" w:rsidP="005A2D50">
      <w:pPr>
        <w:pStyle w:val="BodyText"/>
        <w:rPr>
          <w:lang w:val="en-US"/>
        </w:rPr>
      </w:pPr>
      <w:r w:rsidRPr="005A2D50">
        <w:rPr>
          <w:lang w:val="en-US"/>
        </w:rPr>
        <w:t>NB! Nav iespējams sagatavot pilnīgu sarakstu ar situācijām, kurās riska elements ir būtisks. Visi elementi vienmēr jāņem vērā savstarpējā saistībā.</w:t>
      </w:r>
    </w:p>
    <w:p w14:paraId="2DE6EE09" w14:textId="77777777" w:rsidR="005A2D50" w:rsidRPr="005A2D50" w:rsidRDefault="005A2D50" w:rsidP="005A2D50">
      <w:pPr>
        <w:pStyle w:val="BodyText"/>
        <w:rPr>
          <w:lang w:val="en-US"/>
        </w:rPr>
      </w:pPr>
      <w:r w:rsidRPr="005A2D50">
        <w:rPr>
          <w:lang w:val="en-US"/>
        </w:rPr>
        <w:t>Trīs riska elementi jau ir uzskaitīti SMK DA 84. panta 3.a punkta otrajā daļā, proti, darījumdarbības veids un apjoms, kā arī preču veids.</w:t>
      </w:r>
    </w:p>
    <w:p w14:paraId="0F468D9D" w14:textId="77777777" w:rsidR="005A2D50" w:rsidRPr="005A2D50" w:rsidRDefault="005A2D50" w:rsidP="005A2D50">
      <w:pPr>
        <w:pStyle w:val="BodyText"/>
        <w:rPr>
          <w:lang w:val="en-US"/>
        </w:rPr>
      </w:pPr>
    </w:p>
    <w:p w14:paraId="20B3784F" w14:textId="77777777" w:rsidR="005A2D50" w:rsidRPr="005A2D50" w:rsidRDefault="005A2D50" w:rsidP="005A2D50">
      <w:pPr>
        <w:pStyle w:val="BodyText"/>
        <w:numPr>
          <w:ilvl w:val="0"/>
          <w:numId w:val="16"/>
        </w:numPr>
        <w:tabs>
          <w:tab w:val="left" w:pos="851"/>
        </w:tabs>
        <w:ind w:left="284" w:firstLine="0"/>
        <w:rPr>
          <w:lang w:val="en-US"/>
        </w:rPr>
      </w:pPr>
      <w:r w:rsidRPr="005A2D50">
        <w:rPr>
          <w:lang w:val="en-US"/>
        </w:rPr>
        <w:t>Ar muitu saistītas darījumdarbības veids (tostarp deklarētāja saistība ar procedūras izmantotāju / preču turētāju un attiecīgās muitas procedūras) – risks ir mazāks, ja tiek nodrošinātas īpaši drošas noliktavas vai pagaidu uzglabāšanas vietas, preces tiek pārvadātas tranzītā pa dzelzceļu (nevis pa autoceļiem).</w:t>
      </w:r>
    </w:p>
    <w:p w14:paraId="201B31FD" w14:textId="77777777" w:rsidR="005A2D50" w:rsidRPr="005A2D50" w:rsidRDefault="005A2D50" w:rsidP="005A2D50">
      <w:pPr>
        <w:pStyle w:val="BodyText"/>
        <w:numPr>
          <w:ilvl w:val="0"/>
          <w:numId w:val="16"/>
        </w:numPr>
        <w:tabs>
          <w:tab w:val="left" w:pos="851"/>
        </w:tabs>
        <w:ind w:left="284" w:firstLine="0"/>
        <w:rPr>
          <w:lang w:val="en-US"/>
        </w:rPr>
      </w:pPr>
      <w:r w:rsidRPr="005A2D50">
        <w:rPr>
          <w:lang w:val="en-US"/>
        </w:rPr>
        <w:t>Ar muitu saistītās darījumdarbības apjoms – jo mazāks ar muitu saistītās darbības apjoms (attiecībā uz muitas parāda summu un muitas deklarāciju skaitu), jo mazāks muitas parāda rašanās risks. Tomēr, ja ir iesniegtas tikai dažas muitas deklarācijas, kas saistītas ar lielām muitas parāda summām, risks varētu būt ļoti augsts.</w:t>
      </w:r>
    </w:p>
    <w:p w14:paraId="4E596EBB" w14:textId="77777777" w:rsidR="005A2D50" w:rsidRPr="005A2D50" w:rsidRDefault="005A2D50" w:rsidP="005A2D50">
      <w:pPr>
        <w:pStyle w:val="BodyText"/>
        <w:numPr>
          <w:ilvl w:val="0"/>
          <w:numId w:val="16"/>
        </w:numPr>
        <w:tabs>
          <w:tab w:val="left" w:pos="851"/>
        </w:tabs>
        <w:ind w:left="284" w:firstLine="0"/>
        <w:rPr>
          <w:lang w:val="en-US"/>
        </w:rPr>
      </w:pPr>
      <w:r w:rsidRPr="005A2D50">
        <w:rPr>
          <w:lang w:val="en-US"/>
        </w:rPr>
        <w:t>Preču veids – risks ir zems, ja nafta tiek uzglabāta speciālos kuģos (noliktavās), kas ir īpaši aizsargāti. No otras puses, paaugstināta riska preces, benzīns, alkohols, preces tostarp ar augstu krāpšanas risku; 71-02. pielikumā uzskaitītās preces; lielāks risks ir attiecībā uz precēm, kuras visvairāk ietekmē neatbilstības (saules siltumenerģijas kolektori, velosipēdi, tekstilizstrādājumi, biodīzeļdegviela). Atsaucei varētu izmantot arī agrāko 44.c pielikumu.</w:t>
      </w:r>
    </w:p>
    <w:p w14:paraId="57F9E222" w14:textId="77777777" w:rsidR="005A2D50" w:rsidRPr="005A2D50" w:rsidRDefault="005A2D50" w:rsidP="005A2D50">
      <w:pPr>
        <w:pStyle w:val="BodyText"/>
        <w:rPr>
          <w:lang w:val="en-US"/>
        </w:rPr>
      </w:pPr>
    </w:p>
    <w:p w14:paraId="28652944" w14:textId="77777777" w:rsidR="005A2D50" w:rsidRPr="005A2D50" w:rsidRDefault="005A2D50" w:rsidP="005A2D50">
      <w:pPr>
        <w:pStyle w:val="BodyText"/>
        <w:rPr>
          <w:lang w:val="en-US"/>
        </w:rPr>
      </w:pPr>
      <w:r w:rsidRPr="005A2D50">
        <w:rPr>
          <w:lang w:val="en-US"/>
        </w:rPr>
        <w:t xml:space="preserve">Tomēr šie elementi un muitas parādu rašanās risks jāskata saistībā ar uzņēmuma iekšējiem procesiem un kontroles sistēmām. Novērtējot iepriekš minēto riska elementu, var ņemt vērā arī citus elementus, piemēram, faktus par iespējamā muitas parāda rašanos pagātnē (ja uzņēmējam ir zināma vēsture), to, vai uzņēmējs ir </w:t>
      </w:r>
      <w:r w:rsidRPr="005A2D50">
        <w:rPr>
          <w:i/>
          <w:iCs/>
          <w:lang w:val="en-US"/>
        </w:rPr>
        <w:t xml:space="preserve">AEOC </w:t>
      </w:r>
      <w:r w:rsidRPr="005A2D50">
        <w:rPr>
          <w:lang w:val="en-US"/>
        </w:rPr>
        <w:t>vai nav, vai to, vai uzņēmējs ir zaudējis galvojuma samazinājumu vai atbrīvojumu no galvojuma.</w:t>
      </w:r>
    </w:p>
    <w:p w14:paraId="4BECD34B" w14:textId="77777777" w:rsidR="005A2D50" w:rsidRPr="005A2D50" w:rsidRDefault="005A2D50" w:rsidP="005A2D50">
      <w:pPr>
        <w:pStyle w:val="BodyText"/>
        <w:rPr>
          <w:lang w:val="en-US"/>
        </w:rPr>
      </w:pPr>
    </w:p>
    <w:p w14:paraId="5772C9EC" w14:textId="77777777" w:rsidR="005A2D50" w:rsidRPr="005A2D50" w:rsidRDefault="005A2D50" w:rsidP="005A2D50">
      <w:pPr>
        <w:pStyle w:val="BodyText"/>
        <w:rPr>
          <w:lang w:val="en-US"/>
        </w:rPr>
      </w:pPr>
      <w:r w:rsidRPr="005A2D50">
        <w:rPr>
          <w:lang w:val="en-US"/>
        </w:rPr>
        <w:t>c) Kā nosaka galvojuma segto risku un galīgo summu, ja piemēro riska faktoru (skat. attiecīgos piemērus šajos norādījumos)?</w:t>
      </w:r>
    </w:p>
    <w:p w14:paraId="69B94F3A" w14:textId="77777777" w:rsidR="005A2D50" w:rsidRPr="005A2D50" w:rsidRDefault="005A2D50" w:rsidP="005A2D50">
      <w:pPr>
        <w:pStyle w:val="BodyText"/>
        <w:rPr>
          <w:lang w:val="en-US"/>
        </w:rPr>
      </w:pPr>
    </w:p>
    <w:p w14:paraId="052164E0" w14:textId="77777777" w:rsidR="005A2D50" w:rsidRPr="005A2D50" w:rsidRDefault="005A2D50" w:rsidP="005A2D50">
      <w:pPr>
        <w:pStyle w:val="BodyText"/>
        <w:rPr>
          <w:lang w:val="en-US"/>
        </w:rPr>
      </w:pPr>
      <w:r w:rsidRPr="005A2D50">
        <w:rPr>
          <w:lang w:val="en-US"/>
        </w:rPr>
        <w:t>Ieteicams novērtēt katru gadījumu atsevišķi, lai noteiktu iespējamā muitas parāda rašanās risku (izmantojot iepriekš minētos elementus). Tomēr dalībvalstīm pašām jāpieņem lēmums par metodiku SMK DA 84. panta 3.a punkta otrās daļas īstenošanai.</w:t>
      </w:r>
    </w:p>
    <w:p w14:paraId="6D27A211" w14:textId="77777777" w:rsidR="005A2D50" w:rsidRPr="005A2D50" w:rsidRDefault="005A2D50" w:rsidP="005A2D50">
      <w:pPr>
        <w:pStyle w:val="BodyText"/>
        <w:rPr>
          <w:lang w:val="en-US"/>
        </w:rPr>
      </w:pPr>
      <w:r w:rsidRPr="005A2D50">
        <w:rPr>
          <w:lang w:val="en-US"/>
        </w:rPr>
        <w:t>Būtībā:</w:t>
      </w:r>
    </w:p>
    <w:p w14:paraId="248144F6" w14:textId="77777777" w:rsidR="005A2D50" w:rsidRPr="005A2D50" w:rsidRDefault="005A2D50" w:rsidP="005A2D50">
      <w:pPr>
        <w:pStyle w:val="BodyText"/>
        <w:rPr>
          <w:lang w:val="en-US"/>
        </w:rPr>
      </w:pPr>
    </w:p>
    <w:p w14:paraId="0E3F62AB" w14:textId="77777777" w:rsidR="005A2D50" w:rsidRPr="005A2D50" w:rsidRDefault="005A2D50" w:rsidP="005A2D50">
      <w:pPr>
        <w:pStyle w:val="BodyText"/>
        <w:numPr>
          <w:ilvl w:val="0"/>
          <w:numId w:val="15"/>
        </w:numPr>
        <w:tabs>
          <w:tab w:val="left" w:pos="851"/>
        </w:tabs>
        <w:ind w:left="284" w:firstLine="0"/>
        <w:rPr>
          <w:lang w:val="en-US"/>
        </w:rPr>
      </w:pPr>
      <w:r w:rsidRPr="005A2D50">
        <w:rPr>
          <w:lang w:val="en-US"/>
        </w:rPr>
        <w:t>jo mazāks ir risks, jo lielāks ir piešķiramā galvojuma samazinājuma apmērs, tostarp atbrīvojums no galvojuma;</w:t>
      </w:r>
    </w:p>
    <w:p w14:paraId="30B8F0AC" w14:textId="77777777" w:rsidR="005A2D50" w:rsidRPr="005A2D50" w:rsidRDefault="005A2D50" w:rsidP="005A2D50">
      <w:pPr>
        <w:pStyle w:val="BodyText"/>
        <w:numPr>
          <w:ilvl w:val="0"/>
          <w:numId w:val="15"/>
        </w:numPr>
        <w:tabs>
          <w:tab w:val="left" w:pos="851"/>
        </w:tabs>
        <w:ind w:left="284" w:firstLine="0"/>
        <w:rPr>
          <w:lang w:val="en-US"/>
        </w:rPr>
      </w:pPr>
      <w:r w:rsidRPr="005A2D50">
        <w:rPr>
          <w:lang w:val="en-US"/>
        </w:rPr>
        <w:t>ja nav iespējams piešķirt atbrīvojumu, muitas dienesti var piešķirt zemāku galvojuma samazinājuma apmēru, ja to pieprasa pieteikuma iesniedzējs (galvojuma summu var samazināt līdz 50 % vai līdz 30 % no atsauces summas);</w:t>
      </w:r>
    </w:p>
    <w:p w14:paraId="41F5B2F4" w14:textId="77777777" w:rsidR="005A2D50" w:rsidRPr="005A2D50" w:rsidRDefault="005A2D50" w:rsidP="005A2D50">
      <w:pPr>
        <w:pStyle w:val="BodyText"/>
        <w:numPr>
          <w:ilvl w:val="0"/>
          <w:numId w:val="15"/>
        </w:numPr>
        <w:tabs>
          <w:tab w:val="left" w:pos="851"/>
        </w:tabs>
        <w:ind w:left="284" w:firstLine="0"/>
        <w:rPr>
          <w:lang w:val="en-US"/>
        </w:rPr>
      </w:pPr>
      <w:r w:rsidRPr="005A2D50">
        <w:rPr>
          <w:lang w:val="en-US"/>
        </w:rPr>
        <w:t>ja risks saglabājas augsts, muitai nav jāpiemēro riska elements, un, lai piešķirtu atbrīvojumu no galvojuma / samazinājumu, tai jānovērtē pietiekami labs finansiālais stāvoklis attiecībā pret noteikto atsauces summu (100 %).</w:t>
      </w:r>
    </w:p>
    <w:p w14:paraId="09DF0486" w14:textId="77777777" w:rsidR="005A2D50" w:rsidRPr="005A2D50" w:rsidRDefault="005A2D50" w:rsidP="005A2D50">
      <w:pPr>
        <w:pStyle w:val="BodyText"/>
        <w:rPr>
          <w:lang w:val="en-US"/>
        </w:rPr>
      </w:pPr>
    </w:p>
    <w:p w14:paraId="4BBD3FE7" w14:textId="77777777" w:rsidR="005A2D50" w:rsidRPr="005A2D50" w:rsidRDefault="005A2D50" w:rsidP="005A2D50">
      <w:pPr>
        <w:pStyle w:val="BodyText"/>
        <w:rPr>
          <w:lang w:val="en-US"/>
        </w:rPr>
      </w:pPr>
      <w:r w:rsidRPr="005A2D50">
        <w:rPr>
          <w:lang w:val="en-US"/>
        </w:rPr>
        <w:t xml:space="preserve">Jānosaka iespējamā muitas parāda rašanās iespējamība. Šim nolūkam muitas dienesti var ņemt vērā pieejamos statistikas datus / ierakstus, citu riska novērtēšanas darbību rezultātus, piemēram, iepriekšējās </w:t>
      </w:r>
      <w:r w:rsidRPr="005A2D50">
        <w:rPr>
          <w:i/>
          <w:iCs/>
          <w:lang w:val="en-US"/>
        </w:rPr>
        <w:t xml:space="preserve">AEO-S </w:t>
      </w:r>
      <w:r w:rsidRPr="005A2D50">
        <w:rPr>
          <w:lang w:val="en-US"/>
        </w:rPr>
        <w:t>pārbaudes, kontroles, apmeklējumus uz vietas un/vai revīzijas ziņojumus. Pēc tam muita nosaka muitas parādu un citu maksājumu summu, kas, visticamāk, varētu rasties, un salīdzina to ar finansiālo stāvokli, lai lemtu par samazinājuma apmēru.</w:t>
      </w:r>
    </w:p>
    <w:p w14:paraId="364955BD" w14:textId="77777777" w:rsidR="005A2D50" w:rsidRPr="005A2D50" w:rsidRDefault="005A2D50" w:rsidP="005A2D50">
      <w:pPr>
        <w:pStyle w:val="BodyText"/>
        <w:rPr>
          <w:lang w:val="en-US"/>
        </w:rPr>
      </w:pPr>
      <w:r w:rsidRPr="005A2D50">
        <w:rPr>
          <w:lang w:val="en-US"/>
        </w:rPr>
        <w:t xml:space="preserve">Pietiekami laba finansiālā stāvokļa novērtējums saskaņā ar SMK DA 84. pantu varētu būt neatņemama daļa no novērtējuma, kas veikts, lai piešķirtu </w:t>
      </w:r>
      <w:r w:rsidRPr="005A2D50">
        <w:rPr>
          <w:i/>
          <w:iCs/>
          <w:lang w:val="en-US"/>
        </w:rPr>
        <w:t xml:space="preserve">AEOC </w:t>
      </w:r>
      <w:r w:rsidRPr="005A2D50">
        <w:rPr>
          <w:lang w:val="en-US"/>
        </w:rPr>
        <w:t xml:space="preserve">statusu saskaņā ar SMK ĪA 26. panta 1. punkta c) apakšpunktu. Šajā gadījumā, izvērtējot pieteikumu izmantot vispārējo galvojumu ar samazinātu summu vai piešķirt šiem </w:t>
      </w:r>
      <w:r w:rsidRPr="005A2D50">
        <w:rPr>
          <w:i/>
          <w:iCs/>
          <w:lang w:val="en-US"/>
        </w:rPr>
        <w:t xml:space="preserve">AEOC </w:t>
      </w:r>
      <w:r w:rsidRPr="005A2D50">
        <w:rPr>
          <w:lang w:val="en-US"/>
        </w:rPr>
        <w:t xml:space="preserve">atbrīvojumu no galvojuma, </w:t>
      </w:r>
      <w:r w:rsidRPr="005A2D50">
        <w:rPr>
          <w:i/>
          <w:iCs/>
          <w:lang w:val="en-US"/>
        </w:rPr>
        <w:t xml:space="preserve">CA </w:t>
      </w:r>
      <w:r w:rsidRPr="005A2D50">
        <w:rPr>
          <w:lang w:val="en-US"/>
        </w:rPr>
        <w:t xml:space="preserve">jāpieņem lēmums tikai tad, ja pieteikuma iesniedzēja finansiālais stāvoklis attaisno galvojuma samazinājumu vai atbrīvojumu no galvojuma, tostarp ņemot vērā rezultātus, kas gūti, veicot uzraudzību un/vai atkārtotu novērtēšanu pēc </w:t>
      </w:r>
      <w:r w:rsidRPr="005A2D50">
        <w:rPr>
          <w:i/>
          <w:iCs/>
          <w:lang w:val="en-US"/>
        </w:rPr>
        <w:t xml:space="preserve">AEOC </w:t>
      </w:r>
      <w:r w:rsidRPr="005A2D50">
        <w:rPr>
          <w:lang w:val="en-US"/>
        </w:rPr>
        <w:t xml:space="preserve">atļaujas piešķiršanas. Ja nepieciešams, </w:t>
      </w:r>
      <w:r w:rsidRPr="005A2D50">
        <w:rPr>
          <w:i/>
          <w:iCs/>
          <w:lang w:val="en-US"/>
        </w:rPr>
        <w:t xml:space="preserve">CA </w:t>
      </w:r>
      <w:r w:rsidRPr="005A2D50">
        <w:rPr>
          <w:lang w:val="en-US"/>
        </w:rPr>
        <w:t xml:space="preserve">var pieprasīt papildu pārbaudi un papildu dokumentu iesniegšanu, lai atjauninātu </w:t>
      </w:r>
      <w:r w:rsidRPr="005A2D50">
        <w:rPr>
          <w:i/>
          <w:iCs/>
          <w:lang w:val="en-US"/>
        </w:rPr>
        <w:t xml:space="preserve">AEOC </w:t>
      </w:r>
      <w:r w:rsidRPr="005A2D50">
        <w:rPr>
          <w:lang w:val="en-US"/>
        </w:rPr>
        <w:t>finansiālā stāvokļa iepriekšējā novērtējuma rezultātus.</w:t>
      </w:r>
    </w:p>
    <w:p w14:paraId="366AFED0" w14:textId="77777777" w:rsidR="005A2D50" w:rsidRPr="005A2D50" w:rsidRDefault="005A2D50" w:rsidP="005A2D50">
      <w:pPr>
        <w:rPr>
          <w:noProof/>
          <w:lang w:val="en-US"/>
        </w:rPr>
      </w:pPr>
      <w:r w:rsidRPr="005A2D50">
        <w:rPr>
          <w:noProof/>
          <w:lang w:val="en-US"/>
        </w:rPr>
        <w:br w:type="page"/>
      </w:r>
    </w:p>
    <w:p w14:paraId="41BE5285" w14:textId="77777777" w:rsidR="005A2D50" w:rsidRPr="005A2D50" w:rsidRDefault="005A2D50" w:rsidP="005A2D50">
      <w:pPr>
        <w:jc w:val="both"/>
        <w:rPr>
          <w:rFonts w:ascii="Times New Roman" w:hAnsi="Times New Roman" w:cs="Times New Roman"/>
          <w:noProof/>
          <w:sz w:val="24"/>
          <w:szCs w:val="24"/>
          <w:lang w:val="en-US"/>
        </w:rPr>
      </w:pPr>
    </w:p>
    <w:p w14:paraId="3D7093CE" w14:textId="77777777" w:rsidR="005A2D50" w:rsidRPr="005A2D50" w:rsidRDefault="005A2D50" w:rsidP="005A2D50">
      <w:pPr>
        <w:pStyle w:val="Heading1"/>
        <w:rPr>
          <w:noProof/>
          <w:lang w:val="en-US"/>
        </w:rPr>
      </w:pPr>
      <w:bookmarkStart w:id="155" w:name="VI._Transitional_provisions_–_Articles_7"/>
      <w:bookmarkStart w:id="156" w:name="_bookmark41"/>
      <w:bookmarkStart w:id="157" w:name="_Toc104982799"/>
      <w:bookmarkEnd w:id="155"/>
      <w:bookmarkEnd w:id="156"/>
      <w:r w:rsidRPr="005A2D50">
        <w:rPr>
          <w:noProof/>
          <w:lang w:val="en-US"/>
        </w:rPr>
        <w:t>VI. PĀREJAS NOTEIKUMI – SMK TDA 7. UN 8. PANTS</w:t>
      </w:r>
      <w:bookmarkEnd w:id="157"/>
    </w:p>
    <w:p w14:paraId="22E3175C"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7D03EFDF" w14:textId="77777777" w:rsidR="005A2D50" w:rsidRPr="005A2D50" w:rsidRDefault="005A2D50" w:rsidP="005A2D50">
      <w:pPr>
        <w:pStyle w:val="BodyText"/>
        <w:rPr>
          <w:lang w:val="en-US"/>
        </w:rPr>
      </w:pPr>
      <w:r w:rsidRPr="005A2D50">
        <w:rPr>
          <w:lang w:val="en-US"/>
        </w:rPr>
        <w:t xml:space="preserve">Šie noteikumi ir piemērojami līdz </w:t>
      </w:r>
      <w:r w:rsidRPr="005A2D50">
        <w:rPr>
          <w:i/>
          <w:iCs/>
          <w:lang w:val="en-US"/>
        </w:rPr>
        <w:t xml:space="preserve">GUM </w:t>
      </w:r>
      <w:r w:rsidRPr="005A2D50">
        <w:rPr>
          <w:lang w:val="en-US"/>
        </w:rPr>
        <w:t>ieviešanai. Savienības tranzīts neietilpst šīs iedaļas darbības jomā, jo pašreizējā jaunā datorizētā tranzīta kontroles sistēma (</w:t>
      </w:r>
      <w:r w:rsidRPr="005A2D50">
        <w:rPr>
          <w:i/>
          <w:iCs/>
          <w:lang w:val="en-US"/>
        </w:rPr>
        <w:t>NCTS</w:t>
      </w:r>
      <w:r w:rsidRPr="005A2D50">
        <w:rPr>
          <w:lang w:val="en-US"/>
        </w:rPr>
        <w:t>) ietver modeli derīgu un efektīvu galvojumu pārvaldībai.</w:t>
      </w:r>
    </w:p>
    <w:p w14:paraId="1B163AD8" w14:textId="77777777" w:rsidR="005A2D50" w:rsidRPr="005A2D50" w:rsidRDefault="005A2D50" w:rsidP="005A2D50">
      <w:pPr>
        <w:pStyle w:val="BodyText"/>
        <w:rPr>
          <w:lang w:val="en-US"/>
        </w:rPr>
      </w:pPr>
    </w:p>
    <w:p w14:paraId="3EDC3B9F" w14:textId="77777777" w:rsidR="005A2D50" w:rsidRPr="005A2D50" w:rsidRDefault="005A2D50" w:rsidP="005A2D50">
      <w:pPr>
        <w:pStyle w:val="Heading1"/>
        <w:rPr>
          <w:noProof/>
          <w:lang w:val="en-US"/>
        </w:rPr>
      </w:pPr>
      <w:bookmarkStart w:id="158" w:name="VI.1._Storage_of_information"/>
      <w:bookmarkStart w:id="159" w:name="_bookmark42"/>
      <w:bookmarkStart w:id="160" w:name="_Toc104982800"/>
      <w:bookmarkEnd w:id="158"/>
      <w:bookmarkEnd w:id="159"/>
      <w:r w:rsidRPr="005A2D50">
        <w:rPr>
          <w:noProof/>
          <w:lang w:val="en-US"/>
        </w:rPr>
        <w:t>VI.1. Informācijas uzglabāšana</w:t>
      </w:r>
      <w:bookmarkEnd w:id="160"/>
    </w:p>
    <w:p w14:paraId="21E823B9"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61AF2554" w14:textId="77777777" w:rsidR="005A2D50" w:rsidRPr="005A2D50" w:rsidRDefault="005A2D50" w:rsidP="005A2D50">
      <w:pPr>
        <w:pStyle w:val="BodyText"/>
        <w:rPr>
          <w:lang w:val="en-US"/>
        </w:rPr>
      </w:pPr>
      <w:r w:rsidRPr="005A2D50">
        <w:rPr>
          <w:lang w:val="en-US"/>
        </w:rPr>
        <w:t xml:space="preserve">Līdz </w:t>
      </w:r>
      <w:r w:rsidRPr="005A2D50">
        <w:rPr>
          <w:i/>
          <w:iCs/>
          <w:lang w:val="en-US"/>
        </w:rPr>
        <w:t xml:space="preserve">GUM </w:t>
      </w:r>
      <w:r w:rsidRPr="005A2D50">
        <w:rPr>
          <w:lang w:val="en-US"/>
        </w:rPr>
        <w:t>ieviešanai dalībvalstis var izmantot spēkā esošās valsts sistēmas, lai reģistrētu un pārraudzītu savu atsauces summas daļu. Saskaņā ar SMK TDA 7. pantu pašreizējo praksi var turpināt arī kā papīra procedūru.</w:t>
      </w:r>
    </w:p>
    <w:p w14:paraId="1737FF67" w14:textId="77777777" w:rsidR="005A2D50" w:rsidRPr="005A2D50" w:rsidRDefault="005A2D50" w:rsidP="005A2D50">
      <w:pPr>
        <w:pStyle w:val="BodyText"/>
        <w:rPr>
          <w:lang w:val="en-US"/>
        </w:rPr>
      </w:pPr>
      <w:r w:rsidRPr="005A2D50">
        <w:rPr>
          <w:lang w:val="en-US"/>
        </w:rPr>
        <w:t xml:space="preserve">Kompetentajam </w:t>
      </w:r>
      <w:r w:rsidRPr="005A2D50">
        <w:rPr>
          <w:i/>
          <w:iCs/>
          <w:lang w:val="en-US"/>
        </w:rPr>
        <w:t xml:space="preserve">CA </w:t>
      </w:r>
      <w:r w:rsidRPr="005A2D50">
        <w:rPr>
          <w:lang w:val="en-US"/>
        </w:rPr>
        <w:t>vismaz 3 gadus pēc lēmuma spēkā esības termiņa beigām ir jāsaglabā visi dati un pamatojošā informācija, uz ko tas ir paļāvies, pieņemot lēmumu.</w:t>
      </w:r>
    </w:p>
    <w:p w14:paraId="5A4DDDDF" w14:textId="77777777" w:rsidR="005A2D50" w:rsidRPr="005A2D50" w:rsidRDefault="005A2D50" w:rsidP="005A2D50">
      <w:pPr>
        <w:pStyle w:val="BodyText"/>
        <w:rPr>
          <w:lang w:val="en-US"/>
        </w:rPr>
      </w:pPr>
      <w:bookmarkStart w:id="161" w:name="VI.2._Exchange_of_information"/>
      <w:bookmarkStart w:id="162" w:name="_bookmark43"/>
      <w:bookmarkEnd w:id="161"/>
      <w:bookmarkEnd w:id="162"/>
    </w:p>
    <w:p w14:paraId="78458A7A" w14:textId="77777777" w:rsidR="005A2D50" w:rsidRPr="005A2D50" w:rsidRDefault="005A2D50" w:rsidP="005A2D50">
      <w:pPr>
        <w:pStyle w:val="Heading1"/>
        <w:rPr>
          <w:noProof/>
          <w:lang w:val="en-US"/>
        </w:rPr>
      </w:pPr>
      <w:bookmarkStart w:id="163" w:name="_Toc104982801"/>
      <w:r w:rsidRPr="005A2D50">
        <w:rPr>
          <w:noProof/>
          <w:lang w:val="en-US"/>
        </w:rPr>
        <w:t>VI.2. Informācijas apmaiņa</w:t>
      </w:r>
      <w:bookmarkEnd w:id="163"/>
    </w:p>
    <w:p w14:paraId="1EDE5BB0"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53704208" w14:textId="77777777" w:rsidR="005A2D50" w:rsidRPr="005A2D50" w:rsidRDefault="005A2D50" w:rsidP="005A2D50">
      <w:pPr>
        <w:pStyle w:val="Heading2"/>
        <w:rPr>
          <w:noProof/>
          <w:lang w:val="en-US"/>
        </w:rPr>
      </w:pPr>
      <w:bookmarkStart w:id="164" w:name="VI.2.1_Means_of_exchange_—_Other_than_el"/>
      <w:bookmarkStart w:id="165" w:name="_bookmark44"/>
      <w:bookmarkStart w:id="166" w:name="_Toc104982802"/>
      <w:bookmarkEnd w:id="164"/>
      <w:bookmarkEnd w:id="165"/>
      <w:r w:rsidRPr="005A2D50">
        <w:rPr>
          <w:noProof/>
          <w:lang w:val="en-US"/>
        </w:rPr>
        <w:t>VI.2.1. Apmaiņas līdzekļi. Līdzekļi, kas nav elektroniskās datu apstrādes metodes</w:t>
      </w:r>
      <w:bookmarkEnd w:id="166"/>
    </w:p>
    <w:p w14:paraId="14A2179B"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297061F6" w14:textId="77777777" w:rsidR="005A2D50" w:rsidRPr="005A2D50" w:rsidRDefault="005A2D50" w:rsidP="005A2D50">
      <w:pPr>
        <w:pStyle w:val="BodyText"/>
        <w:rPr>
          <w:lang w:val="en-US"/>
        </w:rPr>
      </w:pPr>
      <w:r w:rsidRPr="005A2D50">
        <w:rPr>
          <w:lang w:val="en-US"/>
        </w:rPr>
        <w:t>Lai apmainītos ar informāciju par galvojumiem, kas ietekmē vairāk nekā vienu dalībvalsti, ir jāparedz pārejas pasākumi, ņemot vērā to, ka nav paredzēto elektronisko sistēmu, kas nodrošinātu šādu apmaiņu.</w:t>
      </w:r>
    </w:p>
    <w:p w14:paraId="576AED3D" w14:textId="77777777" w:rsidR="005A2D50" w:rsidRPr="005A2D50" w:rsidRDefault="005A2D50" w:rsidP="005A2D50">
      <w:pPr>
        <w:pStyle w:val="BodyText"/>
        <w:rPr>
          <w:lang w:val="en-US"/>
        </w:rPr>
      </w:pPr>
      <w:r w:rsidRPr="005A2D50">
        <w:rPr>
          <w:lang w:val="en-US"/>
        </w:rPr>
        <w:t xml:space="preserve">Kamēr </w:t>
      </w:r>
      <w:r w:rsidRPr="005A2D50">
        <w:rPr>
          <w:i/>
          <w:iCs/>
          <w:lang w:val="en-US"/>
        </w:rPr>
        <w:t xml:space="preserve">GUM </w:t>
      </w:r>
      <w:r w:rsidRPr="005A2D50">
        <w:rPr>
          <w:lang w:val="en-US"/>
        </w:rPr>
        <w:t>sistēma vēl nav ieviesta, dalībvalstis galvojumu pārvaldības un pārraudzības ietvaros ar galvojumiem saistītās informācijas apmaiņai izmantos elektronisko pastu (SMK TDA 8. pants; Komisijas 2015. gada 17. decembra Deleģētā regula (ES) 2016/341).</w:t>
      </w:r>
    </w:p>
    <w:p w14:paraId="3C1C12F4" w14:textId="77777777" w:rsidR="005A2D50" w:rsidRPr="005A2D50" w:rsidRDefault="005A2D50" w:rsidP="005A2D50">
      <w:pPr>
        <w:pStyle w:val="BodyText"/>
        <w:rPr>
          <w:lang w:val="en-US"/>
        </w:rPr>
      </w:pPr>
      <w:r w:rsidRPr="005A2D50">
        <w:rPr>
          <w:lang w:val="en-US"/>
        </w:rPr>
        <w:t>Lai ierobežotu šīs informācijas izpaušanu un izveidotu skaidrus kontaktpunktus dažādās dalībvalstīs, katrai dalībvalstij jāizraugās viens kontaktpunkts. Ideja ir tāda, ka katrai dalībvalstij būs viens unikāls kontaktpunkts, kas veic jebkādu informācijas apmaiņu starp dažādām dalībvalstīm, kurā uzņēmējs vēlēsies izmantot galvojumu. Dalībvalstīm ir jāinformē Komisija par kontaktpunktu, kas norīkots saskaņā ar SMK TD 3. panta 2. punktu. Dalībvalstu norīkoto kontaktpunktu atjauninātais saraksts ir pieejams Komisijas tīmekļa vietnē:</w:t>
      </w:r>
    </w:p>
    <w:p w14:paraId="1C0FF3A8" w14:textId="77777777" w:rsidR="005A2D50" w:rsidRPr="005A2D50" w:rsidRDefault="005A2D50" w:rsidP="005A2D50">
      <w:pPr>
        <w:jc w:val="both"/>
        <w:rPr>
          <w:rFonts w:ascii="Times New Roman" w:hAnsi="Times New Roman" w:cs="Times New Roman"/>
          <w:noProof/>
          <w:sz w:val="24"/>
          <w:szCs w:val="24"/>
          <w:u w:val="single" w:color="000000"/>
          <w:lang w:val="en-US"/>
        </w:rPr>
      </w:pPr>
    </w:p>
    <w:p w14:paraId="2B0345C8" w14:textId="77777777" w:rsidR="005A2D50" w:rsidRPr="005A2D50" w:rsidRDefault="005A2D50" w:rsidP="005A2D50">
      <w:pPr>
        <w:jc w:val="both"/>
        <w:rPr>
          <w:rFonts w:ascii="Times New Roman" w:hAnsi="Times New Roman"/>
          <w:noProof/>
          <w:sz w:val="24"/>
          <w:u w:val="single" w:color="000000"/>
          <w:lang w:val="en-US"/>
        </w:rPr>
      </w:pPr>
      <w:r w:rsidRPr="005A2D50">
        <w:rPr>
          <w:rFonts w:ascii="Times New Roman" w:hAnsi="Times New Roman"/>
          <w:noProof/>
          <w:sz w:val="24"/>
          <w:u w:val="single" w:color="000000"/>
          <w:lang w:val="en-US"/>
        </w:rPr>
        <w:t>https://ec.europa.eu/taxation_customs/sites/taxation/files/ms_contact_points_article_3_tda_update_27_03_18_en.pdf.</w:t>
      </w:r>
    </w:p>
    <w:p w14:paraId="3798C3A7" w14:textId="77777777" w:rsidR="005A2D50" w:rsidRPr="005A2D50" w:rsidRDefault="005A2D50" w:rsidP="005A2D50">
      <w:pPr>
        <w:pStyle w:val="BodyText"/>
        <w:rPr>
          <w:lang w:val="en-US"/>
        </w:rPr>
      </w:pPr>
    </w:p>
    <w:p w14:paraId="7A96A7C5" w14:textId="77777777" w:rsidR="005A2D50" w:rsidRPr="005A2D50" w:rsidRDefault="005A2D50" w:rsidP="005A2D50">
      <w:pPr>
        <w:pStyle w:val="BodyText"/>
        <w:rPr>
          <w:lang w:val="en-US"/>
        </w:rPr>
      </w:pPr>
      <w:r w:rsidRPr="005A2D50">
        <w:rPr>
          <w:lang w:val="en-US"/>
        </w:rPr>
        <w:t>Lai nodrošinātu darbības nepārtrauktību IT sistēmas trūkuma gadījumā, kompetentās iestādes var izsniegt procedūras izmantotājam apliecību (līdzīgu vispārējā galvojuma apliecībai TC 31, ko izmanto tranzītā – SMK ĪA 72-04. pielikums).</w:t>
      </w:r>
    </w:p>
    <w:p w14:paraId="00AF2310" w14:textId="77777777" w:rsidR="005A2D50" w:rsidRPr="005A2D50" w:rsidRDefault="005A2D50" w:rsidP="005A2D50">
      <w:pPr>
        <w:pStyle w:val="BodyText"/>
        <w:rPr>
          <w:lang w:val="en-US"/>
        </w:rPr>
      </w:pPr>
    </w:p>
    <w:p w14:paraId="59E0BEE7" w14:textId="77777777" w:rsidR="005A2D50" w:rsidRPr="005A2D50" w:rsidRDefault="005A2D50" w:rsidP="005A2D50">
      <w:pPr>
        <w:pStyle w:val="Heading2"/>
        <w:rPr>
          <w:noProof/>
          <w:lang w:val="en-US"/>
        </w:rPr>
      </w:pPr>
      <w:bookmarkStart w:id="167" w:name="VI.2.2._Data_to_be_exchanged"/>
      <w:bookmarkStart w:id="168" w:name="_bookmark45"/>
      <w:bookmarkStart w:id="169" w:name="_Toc104982803"/>
      <w:bookmarkEnd w:id="167"/>
      <w:bookmarkEnd w:id="168"/>
      <w:r w:rsidRPr="005A2D50">
        <w:rPr>
          <w:noProof/>
          <w:lang w:val="en-US"/>
        </w:rPr>
        <w:t>VI.2.2. Dati, ar kuriem jāapmainās</w:t>
      </w:r>
      <w:bookmarkEnd w:id="169"/>
    </w:p>
    <w:p w14:paraId="1E089690"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4A84CDCE" w14:textId="77777777" w:rsidR="005A2D50" w:rsidRPr="005A2D50" w:rsidRDefault="005A2D50" w:rsidP="005A2D50">
      <w:pPr>
        <w:pStyle w:val="BodyText"/>
        <w:rPr>
          <w:lang w:val="en-US"/>
        </w:rPr>
      </w:pPr>
      <w:r w:rsidRPr="005A2D50">
        <w:rPr>
          <w:lang w:val="en-US"/>
        </w:rPr>
        <w:t xml:space="preserve">Līdz </w:t>
      </w:r>
      <w:r w:rsidRPr="005A2D50">
        <w:rPr>
          <w:i/>
          <w:iCs/>
          <w:lang w:val="en-US"/>
        </w:rPr>
        <w:t xml:space="preserve">GUM </w:t>
      </w:r>
      <w:r w:rsidRPr="005A2D50">
        <w:rPr>
          <w:lang w:val="en-US"/>
        </w:rPr>
        <w:t xml:space="preserve">ieviešanas datumam personai, kurai prasīts sniegt galvojumu, savā </w:t>
      </w:r>
      <w:r w:rsidRPr="005A2D50">
        <w:rPr>
          <w:i/>
          <w:iCs/>
          <w:lang w:val="en-US"/>
        </w:rPr>
        <w:t xml:space="preserve">CGU </w:t>
      </w:r>
      <w:r w:rsidRPr="005A2D50">
        <w:rPr>
          <w:lang w:val="en-US"/>
        </w:rPr>
        <w:t>atļaujas pieteikumā jānorāda atsauces summas sadalījums starp dalībvalstīm, kurās tā veic darbības, kas saistītas ar dažādām precēm, izņemot attiecībā uz precēm, kurām piemēro Savienības tranzīta procedūru un uz kurām attiecas galvojums.</w:t>
      </w:r>
    </w:p>
    <w:p w14:paraId="63D83A37" w14:textId="77777777" w:rsidR="005A2D50" w:rsidRPr="005A2D50" w:rsidRDefault="005A2D50" w:rsidP="005A2D50">
      <w:pPr>
        <w:pStyle w:val="BodyText"/>
        <w:rPr>
          <w:lang w:val="en-US"/>
        </w:rPr>
      </w:pPr>
      <w:r w:rsidRPr="005A2D50">
        <w:rPr>
          <w:lang w:val="en-US"/>
        </w:rPr>
        <w:t>Ja atsauces summas daļām</w:t>
      </w:r>
      <w:r w:rsidRPr="005A2D50">
        <w:rPr>
          <w:vertAlign w:val="superscript"/>
          <w:lang w:val="en-US"/>
        </w:rPr>
        <w:footnoteReference w:id="25"/>
      </w:r>
      <w:r w:rsidRPr="005A2D50">
        <w:rPr>
          <w:vertAlign w:val="superscript"/>
          <w:lang w:val="en-US"/>
        </w:rPr>
        <w:t xml:space="preserve"> </w:t>
      </w:r>
      <w:r w:rsidRPr="005A2D50">
        <w:rPr>
          <w:lang w:val="en-US"/>
        </w:rPr>
        <w:t xml:space="preserve">jābūt derīgām, </w:t>
      </w:r>
      <w:r w:rsidRPr="005A2D50">
        <w:rPr>
          <w:i/>
          <w:iCs/>
          <w:lang w:val="en-US"/>
        </w:rPr>
        <w:t xml:space="preserve">CA </w:t>
      </w:r>
      <w:r w:rsidRPr="005A2D50">
        <w:rPr>
          <w:lang w:val="en-US"/>
        </w:rPr>
        <w:t>apmainās ar turpmāk minēto informāciju:</w:t>
      </w:r>
    </w:p>
    <w:p w14:paraId="793E3CC6" w14:textId="77777777" w:rsidR="005A2D50" w:rsidRPr="005A2D50" w:rsidRDefault="005A2D50" w:rsidP="005A2D50">
      <w:pPr>
        <w:pStyle w:val="BodyText"/>
        <w:rPr>
          <w:lang w:val="en-US"/>
        </w:rPr>
      </w:pPr>
    </w:p>
    <w:p w14:paraId="63AE6E3D" w14:textId="77777777" w:rsidR="005A2D50" w:rsidRPr="005A2D50" w:rsidRDefault="005A2D50" w:rsidP="005A2D50">
      <w:pPr>
        <w:pStyle w:val="BodyText"/>
        <w:numPr>
          <w:ilvl w:val="3"/>
          <w:numId w:val="14"/>
        </w:numPr>
        <w:tabs>
          <w:tab w:val="left" w:pos="851"/>
        </w:tabs>
        <w:ind w:left="284" w:firstLine="0"/>
        <w:rPr>
          <w:lang w:val="en-US"/>
        </w:rPr>
      </w:pPr>
      <w:r w:rsidRPr="005A2D50">
        <w:rPr>
          <w:lang w:val="en-US"/>
        </w:rPr>
        <w:t>pieteikuma dati – visi pieteikumā iekļautie datu elementi;</w:t>
      </w:r>
    </w:p>
    <w:p w14:paraId="35C8132C" w14:textId="77777777" w:rsidR="005A2D50" w:rsidRPr="005A2D50" w:rsidRDefault="005A2D50" w:rsidP="005A2D50">
      <w:pPr>
        <w:pStyle w:val="BodyText"/>
        <w:numPr>
          <w:ilvl w:val="3"/>
          <w:numId w:val="14"/>
        </w:numPr>
        <w:tabs>
          <w:tab w:val="left" w:pos="851"/>
        </w:tabs>
        <w:ind w:left="284" w:firstLine="0"/>
        <w:rPr>
          <w:lang w:val="en-US"/>
        </w:rPr>
      </w:pPr>
      <w:r w:rsidRPr="005A2D50">
        <w:rPr>
          <w:lang w:val="en-US"/>
        </w:rPr>
        <w:t>ierosinātais atsauces summas sadalījums, kam jābūt derīgam katrā dalībvalstī, kurā ir nepieciešama daļa no atsauces summas. Apspriedēs papildus jāskata arī jautājums par atsauces summas tālāku sadalījumu, ar ko nošķir muitas nodokļiem atbilstīgo atsauces summas daļu no citiem maksājumiem atbilstīgās daļas;</w:t>
      </w:r>
    </w:p>
    <w:p w14:paraId="57943FDF" w14:textId="77777777" w:rsidR="005A2D50" w:rsidRPr="005A2D50" w:rsidRDefault="005A2D50" w:rsidP="005A2D50">
      <w:pPr>
        <w:pStyle w:val="BodyText"/>
        <w:numPr>
          <w:ilvl w:val="1"/>
          <w:numId w:val="18"/>
        </w:numPr>
        <w:tabs>
          <w:tab w:val="left" w:pos="851"/>
        </w:tabs>
        <w:ind w:left="284" w:firstLine="0"/>
        <w:rPr>
          <w:lang w:val="en-US"/>
        </w:rPr>
      </w:pPr>
      <w:r w:rsidRPr="005A2D50">
        <w:rPr>
          <w:lang w:val="en-US"/>
        </w:rPr>
        <w:t xml:space="preserve">citu tādu </w:t>
      </w:r>
      <w:r w:rsidRPr="005A2D50">
        <w:rPr>
          <w:i/>
          <w:iCs/>
          <w:lang w:val="en-US"/>
        </w:rPr>
        <w:t xml:space="preserve">CGU </w:t>
      </w:r>
      <w:r w:rsidRPr="005A2D50">
        <w:rPr>
          <w:lang w:val="en-US"/>
        </w:rPr>
        <w:t xml:space="preserve">atļauju esība un derīgums, ko pieteikuma iesniedzējam piešķīris </w:t>
      </w:r>
      <w:r w:rsidRPr="005A2D50">
        <w:rPr>
          <w:i/>
          <w:iCs/>
          <w:lang w:val="en-US"/>
        </w:rPr>
        <w:t>CA</w:t>
      </w:r>
      <w:r w:rsidRPr="005A2D50">
        <w:rPr>
          <w:lang w:val="en-US"/>
        </w:rPr>
        <w:t>, ar ko notikusi apspriešanās, tostarp samazinājumi/atbrīvojumi, ja tādi ir</w:t>
      </w:r>
      <w:r w:rsidRPr="005A2D50">
        <w:rPr>
          <w:rStyle w:val="FootnoteReference"/>
          <w:lang w:val="en-US"/>
        </w:rPr>
        <w:footnoteReference w:id="26"/>
      </w:r>
      <w:r w:rsidRPr="005A2D50">
        <w:rPr>
          <w:lang w:val="en-US"/>
        </w:rPr>
        <w:t>;</w:t>
      </w:r>
    </w:p>
    <w:p w14:paraId="6D633363" w14:textId="77777777" w:rsidR="005A2D50" w:rsidRPr="005A2D50" w:rsidRDefault="005A2D50" w:rsidP="005A2D50">
      <w:pPr>
        <w:pStyle w:val="BodyText"/>
        <w:numPr>
          <w:ilvl w:val="1"/>
          <w:numId w:val="18"/>
        </w:numPr>
        <w:tabs>
          <w:tab w:val="left" w:pos="851"/>
        </w:tabs>
        <w:ind w:left="284" w:firstLine="0"/>
        <w:rPr>
          <w:lang w:val="en-US"/>
        </w:rPr>
      </w:pPr>
      <w:r w:rsidRPr="005A2D50">
        <w:rPr>
          <w:i/>
          <w:iCs/>
          <w:lang w:val="en-US"/>
        </w:rPr>
        <w:t xml:space="preserve">AEO </w:t>
      </w:r>
      <w:r w:rsidRPr="005A2D50">
        <w:rPr>
          <w:lang w:val="en-US"/>
        </w:rPr>
        <w:t>informācija – statusa piešķiršanas datums, statusa veids un, ja atbilstīgi, pēdējās izpildāmo nosacījumu uzraudzības/pārbaudes datums un rezultāti;</w:t>
      </w:r>
    </w:p>
    <w:p w14:paraId="11B753F4" w14:textId="77777777" w:rsidR="005A2D50" w:rsidRPr="005A2D50" w:rsidRDefault="005A2D50" w:rsidP="005A2D50">
      <w:pPr>
        <w:pStyle w:val="BodyText"/>
        <w:numPr>
          <w:ilvl w:val="1"/>
          <w:numId w:val="18"/>
        </w:numPr>
        <w:tabs>
          <w:tab w:val="left" w:pos="851"/>
        </w:tabs>
        <w:ind w:left="284" w:firstLine="0"/>
        <w:rPr>
          <w:lang w:val="en-US"/>
        </w:rPr>
      </w:pPr>
      <w:r w:rsidRPr="005A2D50">
        <w:rPr>
          <w:lang w:val="en-US"/>
        </w:rPr>
        <w:t>lēmuma par pieteikumu datums un atsauces numurs;</w:t>
      </w:r>
    </w:p>
    <w:p w14:paraId="411C7C33" w14:textId="77777777" w:rsidR="005A2D50" w:rsidRPr="005A2D50" w:rsidRDefault="005A2D50" w:rsidP="005A2D50">
      <w:pPr>
        <w:pStyle w:val="BodyText"/>
        <w:numPr>
          <w:ilvl w:val="1"/>
          <w:numId w:val="18"/>
        </w:numPr>
        <w:tabs>
          <w:tab w:val="left" w:pos="851"/>
        </w:tabs>
        <w:ind w:left="284" w:firstLine="0"/>
        <w:rPr>
          <w:lang w:val="en-US"/>
        </w:rPr>
      </w:pPr>
      <w:r w:rsidRPr="005A2D50">
        <w:rPr>
          <w:lang w:val="en-US"/>
        </w:rPr>
        <w:t>labvēlīgs lēmums – galvinieka saistību identifikācijas numurs, piešķirtā galvojuma atsauces numurs (</w:t>
      </w:r>
      <w:r w:rsidRPr="005A2D50">
        <w:rPr>
          <w:i/>
          <w:iCs/>
          <w:lang w:val="en-US"/>
        </w:rPr>
        <w:t>GRN</w:t>
      </w:r>
      <w:r w:rsidRPr="005A2D50">
        <w:rPr>
          <w:lang w:val="en-US"/>
        </w:rPr>
        <w:t>) un piekļuves kodi.</w:t>
      </w:r>
    </w:p>
    <w:p w14:paraId="7CD59215" w14:textId="77777777" w:rsidR="005A2D50" w:rsidRPr="005A2D50" w:rsidRDefault="005A2D50" w:rsidP="005A2D50">
      <w:pPr>
        <w:pStyle w:val="BodyText"/>
        <w:tabs>
          <w:tab w:val="left" w:pos="851"/>
        </w:tabs>
        <w:ind w:left="284"/>
        <w:rPr>
          <w:lang w:val="en-US"/>
        </w:rPr>
      </w:pPr>
      <w:r w:rsidRPr="005A2D50">
        <w:rPr>
          <w:lang w:val="en-US"/>
        </w:rPr>
        <w:t xml:space="preserve">Pārejas periodā katrai dalībvalstij ir atļauts piešķirt īpašus </w:t>
      </w:r>
      <w:r w:rsidRPr="005A2D50">
        <w:rPr>
          <w:i/>
          <w:iCs/>
          <w:lang w:val="en-US"/>
        </w:rPr>
        <w:t xml:space="preserve">GRN </w:t>
      </w:r>
      <w:r w:rsidRPr="005A2D50">
        <w:rPr>
          <w:lang w:val="en-US"/>
        </w:rPr>
        <w:t xml:space="preserve">savām atsauces summas daļām. Tā pamatā ir spēkā esošā prakse atsauces summas reģistrācijai un pārraudzībai. Tā </w:t>
      </w:r>
      <w:r w:rsidRPr="005A2D50">
        <w:rPr>
          <w:i/>
          <w:iCs/>
          <w:lang w:val="en-US"/>
        </w:rPr>
        <w:t xml:space="preserve">GRN </w:t>
      </w:r>
      <w:r w:rsidRPr="005A2D50">
        <w:rPr>
          <w:lang w:val="en-US"/>
        </w:rPr>
        <w:t>formātam, kas katrai dalībvalstij ir jāpiešķir savai atsauces summas daļai, kura pārraugāma saskaņā ar SMK ĪA 157. pantu, ir jāatbilst minimālajām prasībām, kas paredzētas SMK DA un SMK ĪA A pielikuma tiesību normās. Jebkurā gadījumā paziņojumā par galvojumu, kas izmantojams vairāk nekā vienā dalībvalstī, ir jāizmanto unikāla atsauce, t. i., galvinieka saistību identifikācijas numurs.</w:t>
      </w:r>
    </w:p>
    <w:p w14:paraId="28521C80" w14:textId="77777777" w:rsidR="005A2D50" w:rsidRPr="005A2D50" w:rsidRDefault="005A2D50" w:rsidP="005A2D50">
      <w:pPr>
        <w:pStyle w:val="BodyText"/>
        <w:tabs>
          <w:tab w:val="left" w:pos="851"/>
        </w:tabs>
        <w:ind w:left="284"/>
        <w:rPr>
          <w:lang w:val="en-US"/>
        </w:rPr>
      </w:pPr>
      <w:r w:rsidRPr="005A2D50">
        <w:rPr>
          <w:lang w:val="en-US"/>
        </w:rPr>
        <w:t xml:space="preserve">Ja dalībvalstīm galvojumu pārvaldībai nav IT lietotnes, var atļaut izmantot procedūru papīra formātā, kas var būt līdzīga darbības nepārtrauktības procedūrai, kura paredzēta tranzītiem. Šajā nolūkā dokumenti, ko </w:t>
      </w:r>
      <w:r w:rsidRPr="005A2D50">
        <w:rPr>
          <w:i/>
          <w:iCs/>
          <w:lang w:val="en-US"/>
        </w:rPr>
        <w:t xml:space="preserve">COG </w:t>
      </w:r>
      <w:r w:rsidRPr="005A2D50">
        <w:rPr>
          <w:lang w:val="en-US"/>
        </w:rPr>
        <w:t>izsniedz uzņēmējam, var būt SMK ĪA 72-04. pielikuma VI un VII nodaļā norādītajā formā. Tāpat ir jāapmainās ar konkrētiem datiem par iecelto aģentu vai pakalpojumu adresi dalībvalstī, kurā var izmantot galvojumu (jāiekļauj saistībās);</w:t>
      </w:r>
    </w:p>
    <w:p w14:paraId="711C317D" w14:textId="77777777" w:rsidR="005A2D50" w:rsidRPr="005A2D50" w:rsidRDefault="005A2D50" w:rsidP="005A2D50">
      <w:pPr>
        <w:pStyle w:val="BodyText"/>
        <w:numPr>
          <w:ilvl w:val="1"/>
          <w:numId w:val="18"/>
        </w:numPr>
        <w:tabs>
          <w:tab w:val="left" w:pos="851"/>
        </w:tabs>
        <w:ind w:left="284" w:firstLine="0"/>
        <w:rPr>
          <w:lang w:val="en-US"/>
        </w:rPr>
      </w:pPr>
      <w:r w:rsidRPr="005A2D50">
        <w:rPr>
          <w:lang w:val="en-US"/>
        </w:rPr>
        <w:t>nelabvēlīgs lēmums – informācija par vēstuli saistībā ar tiesībām tikt uzklausītam, pieteikuma iesniedzēja atbilde un to dalībvalstu nostāja, ar kurām notikusi apspriešanās. Nelabvēlīgais lēmums var būt daļējs, t. i., attiecībā uz atsauces summas daļu, par kuru nav panākta vienošanās.</w:t>
      </w:r>
    </w:p>
    <w:p w14:paraId="61A38431" w14:textId="77777777" w:rsidR="005A2D50" w:rsidRPr="005A2D50" w:rsidRDefault="005A2D50" w:rsidP="005A2D50">
      <w:pPr>
        <w:rPr>
          <w:noProof/>
          <w:lang w:val="en-US"/>
        </w:rPr>
      </w:pPr>
      <w:r w:rsidRPr="005A2D50">
        <w:rPr>
          <w:noProof/>
          <w:lang w:val="en-US"/>
        </w:rPr>
        <w:br w:type="page"/>
      </w:r>
    </w:p>
    <w:p w14:paraId="59132856" w14:textId="77777777" w:rsidR="005A2D50" w:rsidRPr="005A2D50" w:rsidRDefault="005A2D50" w:rsidP="005A2D50">
      <w:pPr>
        <w:jc w:val="both"/>
        <w:rPr>
          <w:rFonts w:ascii="Times New Roman" w:eastAsia="Times New Roman" w:hAnsi="Times New Roman" w:cs="Times New Roman"/>
          <w:noProof/>
          <w:sz w:val="24"/>
          <w:szCs w:val="24"/>
          <w:lang w:val="en-US"/>
        </w:rPr>
      </w:pPr>
    </w:p>
    <w:p w14:paraId="4EFF5198" w14:textId="77777777" w:rsidR="005A2D50" w:rsidRPr="005A2D50" w:rsidRDefault="005A2D50" w:rsidP="005A2D50">
      <w:pPr>
        <w:pStyle w:val="BodyText"/>
        <w:rPr>
          <w:lang w:val="en-US"/>
        </w:rPr>
      </w:pPr>
      <w:r w:rsidRPr="005A2D50">
        <w:rPr>
          <w:lang w:val="en-US"/>
        </w:rPr>
        <w:t xml:space="preserve">SMK DA/ĪA A un B pielikumā ir minēti tie datu elementi attiecībā uz galvojumiem, kuri jāuzglabā un ar kuriem lēmuma pieņemšanas un pārraudzības procesā ir jāapmainās </w:t>
      </w:r>
      <w:r w:rsidRPr="005A2D50">
        <w:rPr>
          <w:i/>
          <w:iCs/>
          <w:lang w:val="en-US"/>
        </w:rPr>
        <w:t xml:space="preserve">GUM </w:t>
      </w:r>
      <w:r w:rsidRPr="005A2D50">
        <w:rPr>
          <w:lang w:val="en-US"/>
        </w:rPr>
        <w:t>ar citām IT lietotnēm.</w:t>
      </w:r>
    </w:p>
    <w:p w14:paraId="33EA12B4" w14:textId="77777777" w:rsidR="005A2D50" w:rsidRPr="005A2D50" w:rsidRDefault="005A2D50" w:rsidP="005A2D50">
      <w:pPr>
        <w:pStyle w:val="BodyText"/>
        <w:rPr>
          <w:lang w:val="en-US"/>
        </w:rPr>
      </w:pPr>
    </w:p>
    <w:p w14:paraId="35DC5F1B" w14:textId="77777777" w:rsidR="005A2D50" w:rsidRPr="005A2D50" w:rsidRDefault="005A2D50" w:rsidP="005A2D50">
      <w:pPr>
        <w:pStyle w:val="BodyText"/>
        <w:rPr>
          <w:b/>
          <w:bCs/>
          <w:u w:color="000000"/>
          <w:lang w:val="en-US"/>
        </w:rPr>
      </w:pPr>
      <w:r w:rsidRPr="005A2D50">
        <w:rPr>
          <w:b/>
          <w:bCs/>
          <w:u w:color="000000"/>
          <w:lang w:val="en-US"/>
        </w:rPr>
        <w:t>SMK DA un SMK ĪA A pielikums, I sadaļa</w:t>
      </w:r>
    </w:p>
    <w:p w14:paraId="62394EDF" w14:textId="77777777" w:rsidR="005A2D50" w:rsidRPr="005A2D50" w:rsidRDefault="005A2D50" w:rsidP="005A2D50">
      <w:pPr>
        <w:jc w:val="both"/>
        <w:rPr>
          <w:rFonts w:ascii="Times New Roman" w:eastAsia="Times New Roman" w:hAnsi="Times New Roman" w:cs="Times New Roman"/>
          <w:b/>
          <w:bCs/>
          <w:noProof/>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499"/>
        <w:gridCol w:w="7632"/>
      </w:tblGrid>
      <w:tr w:rsidR="005A2D50" w:rsidRPr="005A2D50" w14:paraId="35543117" w14:textId="77777777" w:rsidTr="00F14166">
        <w:trPr>
          <w:tblHeader/>
        </w:trPr>
        <w:tc>
          <w:tcPr>
            <w:tcW w:w="821" w:type="pct"/>
          </w:tcPr>
          <w:p w14:paraId="4B93A677" w14:textId="77777777" w:rsidR="005A2D50" w:rsidRPr="005A2D50" w:rsidRDefault="005A2D50" w:rsidP="00F14166">
            <w:pPr>
              <w:pStyle w:val="TableParagraph"/>
              <w:jc w:val="both"/>
              <w:rPr>
                <w:rFonts w:ascii="Times New Roman" w:hAnsi="Times New Roman"/>
                <w:b/>
                <w:noProof/>
                <w:sz w:val="24"/>
                <w:lang w:val="en-US"/>
              </w:rPr>
            </w:pPr>
            <w:r w:rsidRPr="005A2D50">
              <w:rPr>
                <w:rFonts w:ascii="Times New Roman" w:hAnsi="Times New Roman"/>
                <w:b/>
                <w:noProof/>
                <w:sz w:val="24"/>
                <w:lang w:val="en-US"/>
              </w:rPr>
              <w:t>Datu elementa nosaukums</w:t>
            </w:r>
          </w:p>
        </w:tc>
        <w:tc>
          <w:tcPr>
            <w:tcW w:w="4179" w:type="pct"/>
          </w:tcPr>
          <w:p w14:paraId="7A65FAD2" w14:textId="77777777" w:rsidR="005A2D50" w:rsidRPr="005A2D50" w:rsidRDefault="005A2D50" w:rsidP="00F14166">
            <w:pPr>
              <w:pStyle w:val="TableParagraph"/>
              <w:jc w:val="center"/>
              <w:rPr>
                <w:rFonts w:ascii="Times New Roman" w:hAnsi="Times New Roman"/>
                <w:b/>
                <w:noProof/>
                <w:sz w:val="24"/>
                <w:lang w:val="en-US"/>
              </w:rPr>
            </w:pPr>
            <w:r w:rsidRPr="005A2D50">
              <w:rPr>
                <w:rFonts w:ascii="Times New Roman" w:hAnsi="Times New Roman"/>
                <w:b/>
                <w:noProof/>
                <w:sz w:val="24"/>
                <w:lang w:val="en-US"/>
              </w:rPr>
              <w:t>Piezīmes</w:t>
            </w:r>
          </w:p>
        </w:tc>
      </w:tr>
      <w:tr w:rsidR="005A2D50" w:rsidRPr="005A2D50" w14:paraId="36C9B6D0" w14:textId="77777777" w:rsidTr="00F14166">
        <w:tc>
          <w:tcPr>
            <w:tcW w:w="821" w:type="pct"/>
          </w:tcPr>
          <w:p w14:paraId="79EC2149" w14:textId="77777777" w:rsidR="005A2D50" w:rsidRPr="005A2D50" w:rsidRDefault="005A2D50" w:rsidP="00F14166">
            <w:pPr>
              <w:pStyle w:val="TableParagraph"/>
              <w:rPr>
                <w:rFonts w:ascii="Times New Roman" w:hAnsi="Times New Roman"/>
                <w:noProof/>
                <w:sz w:val="24"/>
                <w:lang w:val="en-US"/>
              </w:rPr>
            </w:pPr>
            <w:r w:rsidRPr="005A2D50">
              <w:rPr>
                <w:rFonts w:ascii="Times New Roman" w:hAnsi="Times New Roman"/>
                <w:noProof/>
                <w:sz w:val="24"/>
                <w:lang w:val="en-US"/>
              </w:rPr>
              <w:t>D. e. 8/6 – Galvojums</w:t>
            </w:r>
          </w:p>
        </w:tc>
        <w:tc>
          <w:tcPr>
            <w:tcW w:w="4179" w:type="pct"/>
          </w:tcPr>
          <w:p w14:paraId="72C5D6DE"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Datu elementu izmanto pieteikumos un atļaujās.</w:t>
            </w:r>
          </w:p>
          <w:p w14:paraId="2AD0EB7A" w14:textId="77777777" w:rsidR="005A2D50" w:rsidRPr="005A2D50" w:rsidRDefault="005A2D50" w:rsidP="00F14166">
            <w:pPr>
              <w:pStyle w:val="TableParagraph"/>
              <w:jc w:val="both"/>
              <w:rPr>
                <w:rFonts w:ascii="Times New Roman" w:hAnsi="Times New Roman" w:cs="Times New Roman"/>
                <w:noProof/>
                <w:sz w:val="24"/>
                <w:szCs w:val="24"/>
                <w:lang w:val="en-US"/>
              </w:rPr>
            </w:pPr>
          </w:p>
          <w:p w14:paraId="2BE65F4B" w14:textId="77777777" w:rsidR="005A2D50" w:rsidRPr="005A2D50" w:rsidRDefault="005A2D50" w:rsidP="00F14166">
            <w:pPr>
              <w:pStyle w:val="TableParagraph"/>
              <w:ind w:left="209"/>
              <w:jc w:val="both"/>
              <w:rPr>
                <w:rFonts w:ascii="Times New Roman" w:hAnsi="Times New Roman"/>
                <w:noProof/>
                <w:sz w:val="24"/>
                <w:lang w:val="en-US"/>
              </w:rPr>
            </w:pPr>
            <w:r w:rsidRPr="005A2D50">
              <w:rPr>
                <w:rFonts w:ascii="Times New Roman" w:hAnsi="Times New Roman"/>
                <w:noProof/>
                <w:sz w:val="24"/>
                <w:lang w:val="en-US"/>
              </w:rPr>
              <w:t>“Norādiet, vai attiecīgajai atļaujai ir nepieciešams galvojums. Ja atbilde ir “jā”, ierakstiet saistībā ar attiecīgo atļauju sniegtā galvojuma atsauces numuru.”</w:t>
            </w:r>
          </w:p>
          <w:p w14:paraId="3FE28E06" w14:textId="77777777" w:rsidR="005A2D50" w:rsidRPr="005A2D50" w:rsidRDefault="005A2D50" w:rsidP="00F14166">
            <w:pPr>
              <w:pStyle w:val="TableParagraph"/>
              <w:jc w:val="both"/>
              <w:rPr>
                <w:rFonts w:ascii="Times New Roman" w:hAnsi="Times New Roman" w:cs="Times New Roman"/>
                <w:noProof/>
                <w:sz w:val="24"/>
                <w:szCs w:val="24"/>
                <w:lang w:val="en-US"/>
              </w:rPr>
            </w:pPr>
          </w:p>
          <w:p w14:paraId="716F447C" w14:textId="77777777" w:rsidR="005A2D50" w:rsidRPr="005A2D50" w:rsidRDefault="005A2D50" w:rsidP="00F14166">
            <w:pPr>
              <w:pStyle w:val="TableParagraph"/>
              <w:jc w:val="both"/>
              <w:rPr>
                <w:rFonts w:ascii="Times New Roman" w:hAnsi="Times New Roman" w:cs="Times New Roman"/>
                <w:noProof/>
                <w:sz w:val="24"/>
                <w:szCs w:val="24"/>
                <w:lang w:val="en-US"/>
              </w:rPr>
            </w:pPr>
            <w:r w:rsidRPr="005A2D50">
              <w:rPr>
                <w:rFonts w:ascii="Times New Roman" w:hAnsi="Times New Roman"/>
                <w:i/>
                <w:iCs/>
                <w:noProof/>
                <w:sz w:val="24"/>
                <w:lang w:val="en-US"/>
              </w:rPr>
              <w:t xml:space="preserve">GRN </w:t>
            </w:r>
            <w:r w:rsidRPr="005A2D50">
              <w:rPr>
                <w:rFonts w:ascii="Times New Roman" w:hAnsi="Times New Roman"/>
                <w:noProof/>
                <w:sz w:val="24"/>
                <w:lang w:val="en-US"/>
              </w:rPr>
              <w:t>ir nepieciešams visām atļaujām, kuru piešķiršanai ir prasīts sniegt vairāk nekā vienā dalībvalstī derīgu galvojumu, kā norādīts SMK DA A pielikumā.</w:t>
            </w:r>
          </w:p>
          <w:p w14:paraId="54A32DC0" w14:textId="77777777" w:rsidR="005A2D50" w:rsidRPr="005A2D50" w:rsidRDefault="005A2D50" w:rsidP="00F14166">
            <w:pPr>
              <w:pStyle w:val="TableParagraph"/>
              <w:jc w:val="both"/>
              <w:rPr>
                <w:rFonts w:ascii="Times New Roman" w:hAnsi="Times New Roman" w:cs="Times New Roman"/>
                <w:noProof/>
                <w:sz w:val="24"/>
                <w:szCs w:val="24"/>
                <w:lang w:val="en-US"/>
              </w:rPr>
            </w:pPr>
            <w:r w:rsidRPr="005A2D50">
              <w:rPr>
                <w:rFonts w:ascii="Times New Roman" w:hAnsi="Times New Roman"/>
                <w:noProof/>
                <w:sz w:val="24"/>
                <w:lang w:val="en-US"/>
              </w:rPr>
              <w:t xml:space="preserve">SMK ĪA A pielikumā paskaidrots, ka elementa kardinalitāte ir 1x, bet formāts ir GRN: an..24. Tātad katrā atļaujā var iekļaut tikai vienu </w:t>
            </w:r>
            <w:r w:rsidRPr="005A2D50">
              <w:rPr>
                <w:rFonts w:ascii="Times New Roman" w:hAnsi="Times New Roman"/>
                <w:i/>
                <w:iCs/>
                <w:noProof/>
                <w:sz w:val="24"/>
                <w:lang w:val="en-US"/>
              </w:rPr>
              <w:t>GRN</w:t>
            </w:r>
            <w:r w:rsidRPr="005A2D50">
              <w:rPr>
                <w:rFonts w:ascii="Times New Roman" w:hAnsi="Times New Roman"/>
                <w:noProof/>
                <w:sz w:val="24"/>
                <w:lang w:val="en-US"/>
              </w:rPr>
              <w:t xml:space="preserve">. Katrai atsauces summas daļai, kas pārraugāma saskaņā ar SMK ĪA 157. pantu, ir jāpiešķir tikai viens </w:t>
            </w:r>
            <w:r w:rsidRPr="005A2D50">
              <w:rPr>
                <w:rFonts w:ascii="Times New Roman" w:hAnsi="Times New Roman"/>
                <w:i/>
                <w:iCs/>
                <w:noProof/>
                <w:sz w:val="24"/>
                <w:lang w:val="en-US"/>
              </w:rPr>
              <w:t>GRN</w:t>
            </w:r>
            <w:r w:rsidRPr="005A2D50">
              <w:rPr>
                <w:rFonts w:ascii="Times New Roman" w:hAnsi="Times New Roman"/>
                <w:noProof/>
                <w:sz w:val="24"/>
                <w:lang w:val="en-US"/>
              </w:rPr>
              <w:t>.</w:t>
            </w:r>
          </w:p>
          <w:p w14:paraId="131EFD63" w14:textId="77777777" w:rsidR="005A2D50" w:rsidRPr="005A2D50" w:rsidRDefault="005A2D50" w:rsidP="00F14166">
            <w:pPr>
              <w:pStyle w:val="TableParagraph"/>
              <w:jc w:val="both"/>
              <w:rPr>
                <w:rFonts w:ascii="Times New Roman" w:hAnsi="Times New Roman" w:cs="Times New Roman"/>
                <w:noProof/>
                <w:sz w:val="24"/>
                <w:szCs w:val="24"/>
                <w:lang w:val="en-US"/>
              </w:rPr>
            </w:pPr>
            <w:r w:rsidRPr="005A2D50">
              <w:rPr>
                <w:rFonts w:ascii="Times New Roman" w:hAnsi="Times New Roman"/>
                <w:noProof/>
                <w:sz w:val="24"/>
                <w:lang w:val="en-US"/>
              </w:rPr>
              <w:t xml:space="preserve">Lai uzlabotu atsauces summas pārraudzības darbības, ieteicams piešķirt vienu īpašu </w:t>
            </w:r>
            <w:r w:rsidRPr="005A2D50">
              <w:rPr>
                <w:rFonts w:ascii="Times New Roman" w:hAnsi="Times New Roman"/>
                <w:i/>
                <w:iCs/>
                <w:noProof/>
                <w:sz w:val="24"/>
                <w:lang w:val="en-US"/>
              </w:rPr>
              <w:t xml:space="preserve">GRN </w:t>
            </w:r>
            <w:r w:rsidRPr="005A2D50">
              <w:rPr>
                <w:rFonts w:ascii="Times New Roman" w:hAnsi="Times New Roman"/>
                <w:noProof/>
                <w:sz w:val="24"/>
                <w:lang w:val="en-US"/>
              </w:rPr>
              <w:t>katrai atsauces summas daļai, kas atbilst katrai atļaujai, par kuru ir prasīts galvojums, ja atsauces summa ir sadalīta starp šīm muitas procedūrām.</w:t>
            </w:r>
          </w:p>
          <w:p w14:paraId="26EB8241" w14:textId="77777777" w:rsidR="005A2D50" w:rsidRPr="005A2D50" w:rsidRDefault="005A2D50" w:rsidP="00F14166">
            <w:pPr>
              <w:pStyle w:val="TableParagraph"/>
              <w:jc w:val="both"/>
              <w:rPr>
                <w:rFonts w:ascii="Times New Roman" w:hAnsi="Times New Roman" w:cs="Times New Roman"/>
                <w:noProof/>
                <w:sz w:val="24"/>
                <w:szCs w:val="24"/>
                <w:lang w:val="en-US"/>
              </w:rPr>
            </w:pPr>
            <w:r w:rsidRPr="005A2D50">
              <w:rPr>
                <w:rFonts w:ascii="Times New Roman" w:hAnsi="Times New Roman"/>
                <w:noProof/>
                <w:sz w:val="24"/>
                <w:lang w:val="en-US"/>
              </w:rPr>
              <w:t xml:space="preserve">Tomēr </w:t>
            </w:r>
            <w:r w:rsidRPr="005A2D50">
              <w:rPr>
                <w:rFonts w:ascii="Times New Roman" w:hAnsi="Times New Roman"/>
                <w:i/>
                <w:iCs/>
                <w:noProof/>
                <w:sz w:val="24"/>
                <w:lang w:val="en-US"/>
              </w:rPr>
              <w:t xml:space="preserve">CA </w:t>
            </w:r>
            <w:r w:rsidRPr="005A2D50">
              <w:rPr>
                <w:rFonts w:ascii="Times New Roman" w:hAnsi="Times New Roman"/>
                <w:noProof/>
                <w:sz w:val="24"/>
                <w:lang w:val="en-US"/>
              </w:rPr>
              <w:t xml:space="preserve">var nolemt noteikt vispārēju atsauces summu visām </w:t>
            </w:r>
            <w:r w:rsidRPr="005A2D50">
              <w:rPr>
                <w:rFonts w:ascii="Times New Roman" w:hAnsi="Times New Roman"/>
                <w:i/>
                <w:iCs/>
                <w:noProof/>
                <w:sz w:val="24"/>
                <w:lang w:val="en-US"/>
              </w:rPr>
              <w:t>SPE</w:t>
            </w:r>
            <w:r w:rsidRPr="005A2D50">
              <w:rPr>
                <w:rFonts w:ascii="Times New Roman" w:hAnsi="Times New Roman"/>
                <w:noProof/>
                <w:sz w:val="24"/>
                <w:lang w:val="en-US"/>
              </w:rPr>
              <w:t xml:space="preserve">, kas nav tranzīts, kura pārraugāma saskaņā ar SMK ĪA 157. panta 3. punktu. Šajā gadījumā viens </w:t>
            </w:r>
            <w:r w:rsidRPr="005A2D50">
              <w:rPr>
                <w:rFonts w:ascii="Times New Roman" w:hAnsi="Times New Roman"/>
                <w:i/>
                <w:iCs/>
                <w:noProof/>
                <w:sz w:val="24"/>
                <w:lang w:val="en-US"/>
              </w:rPr>
              <w:t xml:space="preserve">GRN </w:t>
            </w:r>
            <w:r w:rsidRPr="005A2D50">
              <w:rPr>
                <w:rFonts w:ascii="Times New Roman" w:hAnsi="Times New Roman"/>
                <w:noProof/>
                <w:sz w:val="24"/>
                <w:lang w:val="en-US"/>
              </w:rPr>
              <w:t xml:space="preserve">tiks piešķirts vispārējai atsauces summai, kas atbilst visām attiecīgajām </w:t>
            </w:r>
            <w:r w:rsidRPr="005A2D50">
              <w:rPr>
                <w:rFonts w:ascii="Times New Roman" w:hAnsi="Times New Roman"/>
                <w:i/>
                <w:iCs/>
                <w:noProof/>
                <w:sz w:val="24"/>
                <w:lang w:val="en-US"/>
              </w:rPr>
              <w:t>SPE</w:t>
            </w:r>
            <w:r w:rsidRPr="005A2D50">
              <w:rPr>
                <w:rFonts w:ascii="Times New Roman" w:hAnsi="Times New Roman"/>
                <w:noProof/>
                <w:sz w:val="24"/>
                <w:lang w:val="en-US"/>
              </w:rPr>
              <w:t xml:space="preserve">, kas nav tranzīts, kā paredzēts SMK ĪA 154. pantā (to var atkārtot attiecībā uz visām </w:t>
            </w:r>
            <w:r w:rsidRPr="005A2D50">
              <w:rPr>
                <w:rFonts w:ascii="Times New Roman" w:hAnsi="Times New Roman"/>
                <w:i/>
                <w:iCs/>
                <w:noProof/>
                <w:sz w:val="24"/>
                <w:lang w:val="en-US"/>
              </w:rPr>
              <w:t xml:space="preserve">SPE </w:t>
            </w:r>
            <w:r w:rsidRPr="005A2D50">
              <w:rPr>
                <w:rFonts w:ascii="Times New Roman" w:hAnsi="Times New Roman"/>
                <w:noProof/>
                <w:sz w:val="24"/>
                <w:lang w:val="en-US"/>
              </w:rPr>
              <w:t xml:space="preserve">un </w:t>
            </w:r>
            <w:r w:rsidRPr="005A2D50">
              <w:rPr>
                <w:rFonts w:ascii="Times New Roman" w:hAnsi="Times New Roman"/>
                <w:i/>
                <w:iCs/>
                <w:noProof/>
                <w:sz w:val="24"/>
                <w:lang w:val="en-US"/>
              </w:rPr>
              <w:t>TS</w:t>
            </w:r>
            <w:r w:rsidRPr="005A2D50">
              <w:rPr>
                <w:rFonts w:ascii="Times New Roman" w:hAnsi="Times New Roman"/>
                <w:noProof/>
                <w:sz w:val="24"/>
                <w:lang w:val="en-US"/>
              </w:rPr>
              <w:t>).</w:t>
            </w:r>
          </w:p>
          <w:p w14:paraId="33F0AF70" w14:textId="77777777" w:rsidR="005A2D50" w:rsidRPr="005A2D50" w:rsidRDefault="005A2D50" w:rsidP="00F14166">
            <w:pPr>
              <w:pStyle w:val="TableParagraph"/>
              <w:jc w:val="both"/>
              <w:rPr>
                <w:rFonts w:ascii="Times New Roman" w:hAnsi="Times New Roman" w:cs="Times New Roman"/>
                <w:noProof/>
                <w:sz w:val="24"/>
                <w:szCs w:val="24"/>
                <w:lang w:val="en-US"/>
              </w:rPr>
            </w:pPr>
            <w:r w:rsidRPr="005A2D50">
              <w:rPr>
                <w:rFonts w:ascii="Times New Roman" w:hAnsi="Times New Roman"/>
                <w:noProof/>
                <w:sz w:val="24"/>
                <w:lang w:val="en-US"/>
              </w:rPr>
              <w:t xml:space="preserve">Saskaņā ar SMK ĪA 154. pantu </w:t>
            </w:r>
            <w:r w:rsidRPr="005A2D50">
              <w:rPr>
                <w:rFonts w:ascii="Times New Roman" w:hAnsi="Times New Roman"/>
                <w:i/>
                <w:iCs/>
                <w:noProof/>
                <w:sz w:val="24"/>
                <w:lang w:val="en-US"/>
              </w:rPr>
              <w:t xml:space="preserve">GRN </w:t>
            </w:r>
            <w:r w:rsidRPr="005A2D50">
              <w:rPr>
                <w:rFonts w:ascii="Times New Roman" w:hAnsi="Times New Roman"/>
                <w:noProof/>
                <w:sz w:val="24"/>
                <w:lang w:val="en-US"/>
              </w:rPr>
              <w:t xml:space="preserve">atbilst katrai noteiktās atsauces summas daļai, nevis pašam galvojumam, bet to piešķir tikai tad, kad ir sniegts prasītais galvojums. Papildu galvojumu, ja to pieprasa tādam pašam mērķim, reģistrēs ar to pašu </w:t>
            </w:r>
            <w:r w:rsidRPr="005A2D50">
              <w:rPr>
                <w:rFonts w:ascii="Times New Roman" w:hAnsi="Times New Roman"/>
                <w:i/>
                <w:iCs/>
                <w:noProof/>
                <w:sz w:val="24"/>
                <w:lang w:val="en-US"/>
              </w:rPr>
              <w:t>GRN</w:t>
            </w:r>
            <w:r w:rsidRPr="005A2D50">
              <w:rPr>
                <w:rFonts w:ascii="Times New Roman" w:hAnsi="Times New Roman"/>
                <w:noProof/>
                <w:sz w:val="24"/>
                <w:lang w:val="en-US"/>
              </w:rPr>
              <w:t>.</w:t>
            </w:r>
          </w:p>
          <w:p w14:paraId="33871B87" w14:textId="77777777" w:rsidR="005A2D50" w:rsidRPr="005A2D50" w:rsidRDefault="005A2D50" w:rsidP="00F14166">
            <w:pPr>
              <w:pStyle w:val="TableParagraph"/>
              <w:jc w:val="both"/>
              <w:rPr>
                <w:rFonts w:ascii="Times New Roman" w:hAnsi="Times New Roman" w:cs="Times New Roman"/>
                <w:noProof/>
                <w:sz w:val="24"/>
                <w:szCs w:val="24"/>
                <w:lang w:val="en-US"/>
              </w:rPr>
            </w:pPr>
            <w:r w:rsidRPr="005A2D50">
              <w:rPr>
                <w:rFonts w:ascii="Times New Roman" w:hAnsi="Times New Roman"/>
                <w:i/>
                <w:iCs/>
                <w:noProof/>
                <w:sz w:val="24"/>
                <w:lang w:val="en-US"/>
              </w:rPr>
              <w:t xml:space="preserve">GRN </w:t>
            </w:r>
            <w:r w:rsidRPr="005A2D50">
              <w:rPr>
                <w:rFonts w:ascii="Times New Roman" w:hAnsi="Times New Roman"/>
                <w:noProof/>
                <w:sz w:val="24"/>
                <w:lang w:val="en-US"/>
              </w:rPr>
              <w:t xml:space="preserve">ir obligāti jāizmanto galvojumiem, kas ir derīgi vairāk nekā vienā dalībvalstī. Pārejas periodā līdz </w:t>
            </w:r>
            <w:r w:rsidRPr="005A2D50">
              <w:rPr>
                <w:rFonts w:ascii="Times New Roman" w:hAnsi="Times New Roman"/>
                <w:i/>
                <w:iCs/>
                <w:noProof/>
                <w:sz w:val="24"/>
                <w:lang w:val="en-US"/>
              </w:rPr>
              <w:t xml:space="preserve">GUM </w:t>
            </w:r>
            <w:r w:rsidRPr="005A2D50">
              <w:rPr>
                <w:rFonts w:ascii="Times New Roman" w:hAnsi="Times New Roman"/>
                <w:noProof/>
                <w:sz w:val="24"/>
                <w:lang w:val="en-US"/>
              </w:rPr>
              <w:t xml:space="preserve">ieviešanai un tikai tad, ja galvojumi ir derīgi tikai vienā dalībvalstī, dalībvalstis varētu izmantot citas galvojumu norādes, kas pieejamas valsts līmenī. Jāpiebilst, ka </w:t>
            </w:r>
            <w:r w:rsidRPr="005A2D50">
              <w:rPr>
                <w:rFonts w:ascii="Times New Roman" w:hAnsi="Times New Roman"/>
                <w:i/>
                <w:iCs/>
                <w:noProof/>
                <w:sz w:val="24"/>
                <w:lang w:val="en-US"/>
              </w:rPr>
              <w:t xml:space="preserve">GRN </w:t>
            </w:r>
            <w:r w:rsidRPr="005A2D50">
              <w:rPr>
                <w:rFonts w:ascii="Times New Roman" w:hAnsi="Times New Roman"/>
                <w:noProof/>
                <w:sz w:val="24"/>
                <w:lang w:val="en-US"/>
              </w:rPr>
              <w:t xml:space="preserve">nav obligāts </w:t>
            </w:r>
            <w:r w:rsidRPr="005A2D50">
              <w:rPr>
                <w:rFonts w:ascii="Times New Roman" w:hAnsi="Times New Roman"/>
                <w:i/>
                <w:iCs/>
                <w:noProof/>
                <w:sz w:val="24"/>
                <w:lang w:val="en-US"/>
              </w:rPr>
              <w:t xml:space="preserve">CGU </w:t>
            </w:r>
            <w:r w:rsidRPr="005A2D50">
              <w:rPr>
                <w:rFonts w:ascii="Times New Roman" w:hAnsi="Times New Roman"/>
                <w:noProof/>
                <w:sz w:val="24"/>
                <w:lang w:val="en-US"/>
              </w:rPr>
              <w:t xml:space="preserve">atļaujas datu elements (A pielikuma VI nodaļa), bet tas ir obligāts citas atļaujas elements, attiecībā uz kuru ir prasīts sniegt galvojumu. Ja šīs atļaujas ir iekļautas Muitas lēmumu sistēmā, citu valsts līmenī pieejamo galvojumu norādi nevar izmantot, bet tā vietā ir jānodrošina </w:t>
            </w:r>
            <w:r w:rsidRPr="005A2D50">
              <w:rPr>
                <w:rFonts w:ascii="Times New Roman" w:hAnsi="Times New Roman"/>
                <w:i/>
                <w:iCs/>
                <w:noProof/>
                <w:sz w:val="24"/>
                <w:lang w:val="en-US"/>
              </w:rPr>
              <w:t>GRN</w:t>
            </w:r>
            <w:r w:rsidRPr="005A2D50">
              <w:rPr>
                <w:rFonts w:ascii="Times New Roman" w:hAnsi="Times New Roman"/>
                <w:noProof/>
                <w:sz w:val="24"/>
                <w:lang w:val="en-US"/>
              </w:rPr>
              <w:t>.</w:t>
            </w:r>
          </w:p>
          <w:p w14:paraId="6137DA97"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i/>
                <w:iCs/>
                <w:noProof/>
                <w:sz w:val="24"/>
                <w:lang w:val="en-US"/>
              </w:rPr>
              <w:t xml:space="preserve">GRN </w:t>
            </w:r>
            <w:r w:rsidRPr="005A2D50">
              <w:rPr>
                <w:rFonts w:ascii="Times New Roman" w:hAnsi="Times New Roman"/>
                <w:noProof/>
                <w:sz w:val="24"/>
                <w:lang w:val="en-US"/>
              </w:rPr>
              <w:t>formātam ir jāatbilst noteikumiem, kas noteikti attiecībā uz d. e. 8/6, kas norādīts A pielikuma I nodaļā.</w:t>
            </w:r>
          </w:p>
        </w:tc>
      </w:tr>
      <w:tr w:rsidR="005A2D50" w:rsidRPr="005A2D50" w14:paraId="409E9DD1" w14:textId="77777777" w:rsidTr="00F14166">
        <w:tc>
          <w:tcPr>
            <w:tcW w:w="821" w:type="pct"/>
          </w:tcPr>
          <w:p w14:paraId="737708E0" w14:textId="77777777" w:rsidR="005A2D50" w:rsidRPr="005A2D50" w:rsidRDefault="005A2D50" w:rsidP="00F14166">
            <w:pPr>
              <w:pStyle w:val="TableParagraph"/>
              <w:rPr>
                <w:rFonts w:ascii="Times New Roman" w:hAnsi="Times New Roman"/>
                <w:noProof/>
                <w:sz w:val="24"/>
                <w:lang w:val="en-US"/>
              </w:rPr>
            </w:pPr>
            <w:r w:rsidRPr="005A2D50">
              <w:rPr>
                <w:rFonts w:ascii="Times New Roman" w:hAnsi="Times New Roman"/>
                <w:noProof/>
                <w:sz w:val="24"/>
                <w:lang w:val="en-US"/>
              </w:rPr>
              <w:t>D. e. 8/7 – Galvojuma summa</w:t>
            </w:r>
          </w:p>
        </w:tc>
        <w:tc>
          <w:tcPr>
            <w:tcW w:w="4179" w:type="pct"/>
          </w:tcPr>
          <w:p w14:paraId="389C65DF"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Datu elementu izmanto pieteikumos un atļaujās.</w:t>
            </w:r>
          </w:p>
          <w:p w14:paraId="62FCF673" w14:textId="77777777" w:rsidR="005A2D50" w:rsidRPr="005A2D50" w:rsidRDefault="005A2D50" w:rsidP="00F14166">
            <w:pPr>
              <w:pStyle w:val="TableParagraph"/>
              <w:jc w:val="both"/>
              <w:rPr>
                <w:rFonts w:ascii="Times New Roman" w:hAnsi="Times New Roman" w:cs="Times New Roman"/>
                <w:noProof/>
                <w:sz w:val="24"/>
                <w:szCs w:val="24"/>
                <w:lang w:val="en-US"/>
              </w:rPr>
            </w:pPr>
          </w:p>
          <w:p w14:paraId="1D877CD6" w14:textId="77777777" w:rsidR="005A2D50" w:rsidRPr="005A2D50" w:rsidRDefault="005A2D50" w:rsidP="00F14166">
            <w:pPr>
              <w:pStyle w:val="TableParagraph"/>
              <w:ind w:left="351"/>
              <w:jc w:val="both"/>
              <w:rPr>
                <w:rFonts w:ascii="Times New Roman" w:hAnsi="Times New Roman"/>
                <w:noProof/>
                <w:sz w:val="24"/>
                <w:lang w:val="en-US"/>
              </w:rPr>
            </w:pPr>
            <w:r w:rsidRPr="005A2D50">
              <w:rPr>
                <w:rFonts w:ascii="Times New Roman" w:hAnsi="Times New Roman"/>
                <w:noProof/>
                <w:sz w:val="24"/>
                <w:lang w:val="en-US"/>
              </w:rPr>
              <w:t>“Norādiet vienreizējā galvojuma summu vai attiecībā uz vispārējo galvojumu – summu, kas vienāda ar to daļu no atsauces summas, kura iedalīta konkrētajai pagaidu uzglabāšanas vietas vai īpašas procedūras piemērošanas atļaujai.”</w:t>
            </w:r>
          </w:p>
          <w:p w14:paraId="71CCD629" w14:textId="77777777" w:rsidR="005A2D50" w:rsidRPr="005A2D50" w:rsidRDefault="005A2D50" w:rsidP="00F14166">
            <w:pPr>
              <w:pStyle w:val="TableParagraph"/>
              <w:jc w:val="both"/>
              <w:rPr>
                <w:rFonts w:ascii="Times New Roman" w:hAnsi="Times New Roman" w:cs="Times New Roman"/>
                <w:noProof/>
                <w:sz w:val="24"/>
                <w:szCs w:val="24"/>
                <w:lang w:val="en-US"/>
              </w:rPr>
            </w:pPr>
          </w:p>
          <w:p w14:paraId="5A40DA7B"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 xml:space="preserve">Saistībā ar vispārējā galvojuma sniegšanu, lai saņemtu atļauju īpašai procedūrai, kas nav tranzīts vai </w:t>
            </w:r>
            <w:r w:rsidRPr="005A2D50">
              <w:rPr>
                <w:rFonts w:ascii="Times New Roman" w:hAnsi="Times New Roman"/>
                <w:i/>
                <w:iCs/>
                <w:noProof/>
                <w:sz w:val="24"/>
                <w:lang w:val="en-US"/>
              </w:rPr>
              <w:t>TS</w:t>
            </w:r>
            <w:r w:rsidRPr="005A2D50">
              <w:rPr>
                <w:rFonts w:ascii="Times New Roman" w:hAnsi="Times New Roman"/>
                <w:noProof/>
                <w:sz w:val="24"/>
                <w:lang w:val="en-US"/>
              </w:rPr>
              <w:t>, uzņēmējiem savā pieteikumā ir pienākums nodrošināt atsauces summu, kas noteikta saskaņā ar SMK 90. pantu (datu elements 8/7 A pielikumā).</w:t>
            </w:r>
          </w:p>
          <w:p w14:paraId="050A76A1"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Muitas dienestiem jānovērtē, vai attiecīgā summa ir pietiekama, un jānosaka šai atļaujai nepieciešamā galvojuma faktiskā summa, ņemot vērā iespējamos samazinājumus/atbrīvojumus.</w:t>
            </w:r>
          </w:p>
          <w:p w14:paraId="7D75BF13" w14:textId="77777777" w:rsidR="005A2D50" w:rsidRPr="005A2D50" w:rsidRDefault="005A2D50" w:rsidP="00F14166">
            <w:pPr>
              <w:pStyle w:val="TableParagraph"/>
              <w:jc w:val="both"/>
              <w:rPr>
                <w:rFonts w:ascii="Times New Roman" w:eastAsia="Times New Roman" w:hAnsi="Times New Roman" w:cs="Times New Roman"/>
                <w:noProof/>
                <w:sz w:val="24"/>
                <w:szCs w:val="24"/>
                <w:lang w:val="en-US"/>
              </w:rPr>
            </w:pPr>
            <w:r w:rsidRPr="005A2D50">
              <w:rPr>
                <w:rFonts w:ascii="Times New Roman" w:hAnsi="Times New Roman"/>
                <w:noProof/>
                <w:sz w:val="24"/>
                <w:lang w:val="en-US"/>
              </w:rPr>
              <w:t xml:space="preserve">Saskaņā ar A pielikumu datu elementa 8/7 – “galvojuma summa” – statuss ir “A” (obligāts pieteikumā un lēmumā par </w:t>
            </w:r>
            <w:r w:rsidRPr="005A2D50">
              <w:rPr>
                <w:rFonts w:ascii="Times New Roman" w:hAnsi="Times New Roman"/>
                <w:i/>
                <w:iCs/>
                <w:noProof/>
                <w:sz w:val="24"/>
                <w:lang w:val="en-US"/>
              </w:rPr>
              <w:t xml:space="preserve">SPE </w:t>
            </w:r>
            <w:r w:rsidRPr="005A2D50">
              <w:rPr>
                <w:rFonts w:ascii="Times New Roman" w:hAnsi="Times New Roman"/>
                <w:noProof/>
                <w:sz w:val="24"/>
                <w:lang w:val="en-US"/>
              </w:rPr>
              <w:t xml:space="preserve">vai </w:t>
            </w:r>
            <w:r w:rsidRPr="005A2D50">
              <w:rPr>
                <w:rFonts w:ascii="Times New Roman" w:hAnsi="Times New Roman"/>
                <w:i/>
                <w:iCs/>
                <w:noProof/>
                <w:sz w:val="24"/>
                <w:lang w:val="en-US"/>
              </w:rPr>
              <w:t xml:space="preserve">TS </w:t>
            </w:r>
            <w:r w:rsidRPr="005A2D50">
              <w:rPr>
                <w:rFonts w:ascii="Times New Roman" w:hAnsi="Times New Roman"/>
                <w:noProof/>
                <w:sz w:val="24"/>
                <w:lang w:val="en-US"/>
              </w:rPr>
              <w:t>atļauju piešķiršanu) un tā kardinalitāte ir “1”.</w:t>
            </w:r>
          </w:p>
          <w:p w14:paraId="29302BC6"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 xml:space="preserve">Tajā norādīta vienreizējā galvojuma summa vai tā atsauces summas daļa, ko uzņēmējs uzskata par pietiekamu, lai vienmēr segtu iespējamos muitas parādus (skat. SMK 90. pantu), kas atbilst katrai atļaujai attiecībā uz muitas procedūru, kas nav tranzīts, vai attiecībā uz </w:t>
            </w:r>
            <w:r w:rsidRPr="005A2D50">
              <w:rPr>
                <w:rFonts w:ascii="Times New Roman" w:hAnsi="Times New Roman"/>
                <w:i/>
                <w:iCs/>
                <w:noProof/>
                <w:sz w:val="24"/>
                <w:lang w:val="en-US"/>
              </w:rPr>
              <w:t>TS</w:t>
            </w:r>
            <w:r w:rsidRPr="005A2D50">
              <w:rPr>
                <w:rFonts w:ascii="Times New Roman" w:hAnsi="Times New Roman"/>
                <w:noProof/>
                <w:sz w:val="24"/>
                <w:lang w:val="en-US"/>
              </w:rPr>
              <w:t>, un tā ir jānorāda jau pieteikumā. Pašreizējā situācijā atsauces summa ir sadalīta pa procedūrām un iesaistītajām dalībvalstīm saskaņā ar Regulas 341/2016 (SMK TDA) 8. pantu.</w:t>
            </w:r>
          </w:p>
          <w:p w14:paraId="380C05C0" w14:textId="77777777" w:rsidR="005A2D50" w:rsidRPr="005A2D50" w:rsidRDefault="005A2D50" w:rsidP="00F14166">
            <w:pPr>
              <w:pStyle w:val="TableParagraph"/>
              <w:jc w:val="both"/>
              <w:rPr>
                <w:rFonts w:ascii="Times New Roman" w:hAnsi="Times New Roman" w:cs="Times New Roman"/>
                <w:noProof/>
                <w:sz w:val="24"/>
                <w:szCs w:val="24"/>
                <w:lang w:val="en-US"/>
              </w:rPr>
            </w:pPr>
            <w:r w:rsidRPr="005A2D50">
              <w:rPr>
                <w:rFonts w:ascii="Times New Roman" w:hAnsi="Times New Roman"/>
                <w:noProof/>
                <w:sz w:val="24"/>
                <w:lang w:val="en-US"/>
              </w:rPr>
              <w:t xml:space="preserve">Pamata galvojumu var sniegt un pieņemt vēlāk, bet pirms tiek piešķirta </w:t>
            </w:r>
            <w:r w:rsidRPr="005A2D50">
              <w:rPr>
                <w:rFonts w:ascii="Times New Roman" w:hAnsi="Times New Roman"/>
                <w:i/>
                <w:iCs/>
                <w:noProof/>
                <w:sz w:val="24"/>
                <w:lang w:val="en-US"/>
              </w:rPr>
              <w:t xml:space="preserve">SPE </w:t>
            </w:r>
            <w:r w:rsidRPr="005A2D50">
              <w:rPr>
                <w:rFonts w:ascii="Times New Roman" w:hAnsi="Times New Roman"/>
                <w:noProof/>
                <w:sz w:val="24"/>
                <w:lang w:val="en-US"/>
              </w:rPr>
              <w:t xml:space="preserve">vai </w:t>
            </w:r>
            <w:r w:rsidRPr="005A2D50">
              <w:rPr>
                <w:rFonts w:ascii="Times New Roman" w:hAnsi="Times New Roman"/>
                <w:i/>
                <w:iCs/>
                <w:noProof/>
                <w:sz w:val="24"/>
                <w:lang w:val="en-US"/>
              </w:rPr>
              <w:t xml:space="preserve">TS </w:t>
            </w:r>
            <w:r w:rsidRPr="005A2D50">
              <w:rPr>
                <w:rFonts w:ascii="Times New Roman" w:hAnsi="Times New Roman"/>
                <w:noProof/>
                <w:sz w:val="24"/>
                <w:lang w:val="en-US"/>
              </w:rPr>
              <w:t xml:space="preserve">atļauja. Attiecībā uz vispārējo galvojumu tā summai jāsakrīt ar nepieciešamajām atsauces summas daļām un iespējamiem galvojuma samazinājumiem, ko apstiprinājis muitas dienests un kas norādīti </w:t>
            </w:r>
            <w:r w:rsidRPr="005A2D50">
              <w:rPr>
                <w:rFonts w:ascii="Times New Roman" w:hAnsi="Times New Roman"/>
                <w:i/>
                <w:iCs/>
                <w:noProof/>
                <w:sz w:val="24"/>
                <w:lang w:val="en-US"/>
              </w:rPr>
              <w:t xml:space="preserve">CGU </w:t>
            </w:r>
            <w:r w:rsidRPr="005A2D50">
              <w:rPr>
                <w:rFonts w:ascii="Times New Roman" w:hAnsi="Times New Roman"/>
                <w:noProof/>
                <w:sz w:val="24"/>
                <w:lang w:val="en-US"/>
              </w:rPr>
              <w:t xml:space="preserve">atļaujā. Visas šīs summas būs jānorāda arī </w:t>
            </w:r>
            <w:r w:rsidRPr="005A2D50">
              <w:rPr>
                <w:rFonts w:ascii="Times New Roman" w:hAnsi="Times New Roman"/>
                <w:i/>
                <w:iCs/>
                <w:noProof/>
                <w:sz w:val="24"/>
                <w:lang w:val="en-US"/>
              </w:rPr>
              <w:t>GUM</w:t>
            </w:r>
            <w:r w:rsidRPr="005A2D50">
              <w:rPr>
                <w:rFonts w:ascii="Times New Roman" w:hAnsi="Times New Roman"/>
                <w:noProof/>
                <w:sz w:val="24"/>
                <w:lang w:val="en-US"/>
              </w:rPr>
              <w:t>.</w:t>
            </w:r>
          </w:p>
          <w:p w14:paraId="404560C8" w14:textId="77777777" w:rsidR="005A2D50" w:rsidRPr="005A2D50" w:rsidRDefault="005A2D50" w:rsidP="00F14166">
            <w:pPr>
              <w:pStyle w:val="TableParagraph"/>
              <w:jc w:val="both"/>
              <w:rPr>
                <w:rFonts w:ascii="Times New Roman" w:eastAsia="Times New Roman" w:hAnsi="Times New Roman" w:cs="Times New Roman"/>
                <w:noProof/>
                <w:sz w:val="24"/>
                <w:szCs w:val="24"/>
                <w:lang w:val="en-US"/>
              </w:rPr>
            </w:pPr>
            <w:r w:rsidRPr="005A2D50">
              <w:rPr>
                <w:rFonts w:ascii="Times New Roman" w:hAnsi="Times New Roman"/>
                <w:noProof/>
                <w:sz w:val="24"/>
                <w:lang w:val="en-US"/>
              </w:rPr>
              <w:t xml:space="preserve">Vispārējā galvojuma atļaujā ir norādīta informācija tikai par kopējo summu un par to, kā tika noteikta atsauces summa (brīvā teksta ierāmējums) – datu elements VI/5 (“atsauces summa”). Šī summa atbilst vismaz to summu kopsummai, kas ir specifiskas katrai atļaujai, kura piešķirama vienam un tam pašam uzņēmējam un attiecībā uz kuru šis galvojums ir prasīts, un kas acīmredzami atšķiras no datu elementa 8/7, kas sniedzams attiecībā uz katru </w:t>
            </w:r>
            <w:r w:rsidRPr="005A2D50">
              <w:rPr>
                <w:rFonts w:ascii="Times New Roman" w:hAnsi="Times New Roman"/>
                <w:i/>
                <w:iCs/>
                <w:noProof/>
                <w:sz w:val="24"/>
                <w:lang w:val="en-US"/>
              </w:rPr>
              <w:t xml:space="preserve">SPE </w:t>
            </w:r>
            <w:r w:rsidRPr="005A2D50">
              <w:rPr>
                <w:rFonts w:ascii="Times New Roman" w:hAnsi="Times New Roman"/>
                <w:noProof/>
                <w:sz w:val="24"/>
                <w:lang w:val="en-US"/>
              </w:rPr>
              <w:t xml:space="preserve">vai </w:t>
            </w:r>
            <w:r w:rsidRPr="005A2D50">
              <w:rPr>
                <w:rFonts w:ascii="Times New Roman" w:hAnsi="Times New Roman"/>
                <w:i/>
                <w:iCs/>
                <w:noProof/>
                <w:sz w:val="24"/>
                <w:lang w:val="en-US"/>
              </w:rPr>
              <w:t xml:space="preserve">TS </w:t>
            </w:r>
            <w:r w:rsidRPr="005A2D50">
              <w:rPr>
                <w:rFonts w:ascii="Times New Roman" w:hAnsi="Times New Roman"/>
                <w:noProof/>
                <w:sz w:val="24"/>
                <w:lang w:val="en-US"/>
              </w:rPr>
              <w:t xml:space="preserve">atļauju. Līdz tiek mainīta </w:t>
            </w:r>
            <w:r w:rsidRPr="005A2D50">
              <w:rPr>
                <w:rFonts w:ascii="Times New Roman" w:hAnsi="Times New Roman"/>
                <w:i/>
                <w:iCs/>
                <w:noProof/>
                <w:sz w:val="24"/>
                <w:lang w:val="en-US"/>
              </w:rPr>
              <w:t xml:space="preserve">CGU </w:t>
            </w:r>
            <w:r w:rsidRPr="005A2D50">
              <w:rPr>
                <w:rFonts w:ascii="Times New Roman" w:hAnsi="Times New Roman"/>
                <w:noProof/>
                <w:sz w:val="24"/>
                <w:lang w:val="en-US"/>
              </w:rPr>
              <w:t>atļauja, lai noteiktu arī atsauces summas katrai procedūrai un katrai dalībvalstij, atsauces summu daļas katrai procedūrai un katrai dalībvalstij var norādīt atsevišķā dokumentā, kas pievienots pieteikumam un lēmumam.</w:t>
            </w:r>
          </w:p>
        </w:tc>
      </w:tr>
    </w:tbl>
    <w:p w14:paraId="20192781"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000D4BC5" w14:textId="77777777" w:rsidR="005A2D50" w:rsidRPr="005A2D50" w:rsidRDefault="005A2D50" w:rsidP="005A2D50">
      <w:pPr>
        <w:jc w:val="both"/>
        <w:rPr>
          <w:rFonts w:ascii="Times New Roman" w:hAnsi="Times New Roman"/>
          <w:b/>
          <w:noProof/>
          <w:sz w:val="24"/>
          <w:u w:val="single" w:color="000000"/>
          <w:lang w:val="en-US"/>
        </w:rPr>
      </w:pPr>
      <w:r w:rsidRPr="005A2D50">
        <w:rPr>
          <w:rFonts w:ascii="Times New Roman" w:hAnsi="Times New Roman"/>
          <w:b/>
          <w:noProof/>
          <w:sz w:val="24"/>
          <w:u w:val="single" w:color="000000"/>
          <w:lang w:val="en-US"/>
        </w:rPr>
        <w:t>SMK DA un SMK ĪA B pielikums, I sadaļa</w:t>
      </w:r>
    </w:p>
    <w:p w14:paraId="1920781F" w14:textId="77777777" w:rsidR="005A2D50" w:rsidRPr="005A2D50" w:rsidRDefault="005A2D50" w:rsidP="005A2D50">
      <w:pPr>
        <w:jc w:val="both"/>
        <w:rPr>
          <w:rFonts w:ascii="Times New Roman" w:eastAsia="Times New Roman" w:hAnsi="Times New Roman" w:cs="Times New Roman"/>
          <w:b/>
          <w:bCs/>
          <w:noProof/>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2265"/>
        <w:gridCol w:w="6636"/>
        <w:gridCol w:w="230"/>
      </w:tblGrid>
      <w:tr w:rsidR="005A2D50" w:rsidRPr="005A2D50" w14:paraId="2C015C73" w14:textId="77777777" w:rsidTr="00F14166">
        <w:trPr>
          <w:tblHeader/>
        </w:trPr>
        <w:tc>
          <w:tcPr>
            <w:tcW w:w="1240" w:type="pct"/>
          </w:tcPr>
          <w:p w14:paraId="0DACEF8B" w14:textId="77777777" w:rsidR="005A2D50" w:rsidRPr="005A2D50" w:rsidRDefault="005A2D50" w:rsidP="00F14166">
            <w:pPr>
              <w:pStyle w:val="TableParagraph"/>
              <w:jc w:val="both"/>
              <w:rPr>
                <w:rFonts w:ascii="Times New Roman" w:hAnsi="Times New Roman"/>
                <w:b/>
                <w:noProof/>
                <w:sz w:val="24"/>
                <w:lang w:val="en-US"/>
              </w:rPr>
            </w:pPr>
            <w:r w:rsidRPr="005A2D50">
              <w:rPr>
                <w:rFonts w:ascii="Times New Roman" w:hAnsi="Times New Roman"/>
                <w:b/>
                <w:noProof/>
                <w:sz w:val="24"/>
                <w:lang w:val="en-US"/>
              </w:rPr>
              <w:t>Datu elementa nosaukums</w:t>
            </w:r>
          </w:p>
        </w:tc>
        <w:tc>
          <w:tcPr>
            <w:tcW w:w="3760" w:type="pct"/>
            <w:gridSpan w:val="2"/>
            <w:tcBorders>
              <w:bottom w:val="single" w:sz="4" w:space="0" w:color="auto"/>
            </w:tcBorders>
          </w:tcPr>
          <w:p w14:paraId="3E6E640F" w14:textId="77777777" w:rsidR="005A2D50" w:rsidRPr="005A2D50" w:rsidRDefault="005A2D50" w:rsidP="00F14166">
            <w:pPr>
              <w:pStyle w:val="TableParagraph"/>
              <w:jc w:val="center"/>
              <w:rPr>
                <w:rFonts w:ascii="Times New Roman" w:hAnsi="Times New Roman"/>
                <w:b/>
                <w:noProof/>
                <w:sz w:val="24"/>
                <w:lang w:val="en-US"/>
              </w:rPr>
            </w:pPr>
            <w:r w:rsidRPr="005A2D50">
              <w:rPr>
                <w:rFonts w:ascii="Times New Roman" w:hAnsi="Times New Roman"/>
                <w:b/>
                <w:noProof/>
                <w:sz w:val="24"/>
                <w:lang w:val="en-US"/>
              </w:rPr>
              <w:t>Piezīmes</w:t>
            </w:r>
          </w:p>
        </w:tc>
      </w:tr>
      <w:tr w:rsidR="005A2D50" w:rsidRPr="005A2D50" w14:paraId="0B1B3CE9" w14:textId="77777777" w:rsidTr="00F14166">
        <w:tc>
          <w:tcPr>
            <w:tcW w:w="1240" w:type="pct"/>
            <w:tcBorders>
              <w:right w:val="single" w:sz="4" w:space="0" w:color="auto"/>
            </w:tcBorders>
          </w:tcPr>
          <w:p w14:paraId="4B44769A" w14:textId="77777777" w:rsidR="005A2D50" w:rsidRPr="005A2D50" w:rsidRDefault="005A2D50" w:rsidP="00F14166">
            <w:pPr>
              <w:pStyle w:val="TableParagraph"/>
              <w:rPr>
                <w:rFonts w:ascii="Times New Roman" w:hAnsi="Times New Roman"/>
                <w:noProof/>
                <w:sz w:val="24"/>
                <w:lang w:val="en-US"/>
              </w:rPr>
            </w:pPr>
            <w:r w:rsidRPr="005A2D50">
              <w:rPr>
                <w:rFonts w:ascii="Times New Roman" w:hAnsi="Times New Roman"/>
                <w:noProof/>
                <w:sz w:val="24"/>
                <w:lang w:val="en-US"/>
              </w:rPr>
              <w:t>DE 99 02 000 000 – Galvojuma veids</w:t>
            </w:r>
          </w:p>
        </w:tc>
        <w:tc>
          <w:tcPr>
            <w:tcW w:w="3634" w:type="pct"/>
            <w:tcBorders>
              <w:top w:val="single" w:sz="4" w:space="0" w:color="auto"/>
              <w:left w:val="single" w:sz="4" w:space="0" w:color="auto"/>
              <w:bottom w:val="single" w:sz="4" w:space="0" w:color="auto"/>
              <w:right w:val="nil"/>
            </w:tcBorders>
          </w:tcPr>
          <w:p w14:paraId="1C86CF15"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Datu elements ir nepieciešams muitas deklarācijām.</w:t>
            </w:r>
          </w:p>
          <w:p w14:paraId="7AC329FF" w14:textId="77777777" w:rsidR="005A2D50" w:rsidRPr="005A2D50" w:rsidRDefault="005A2D50" w:rsidP="00F14166">
            <w:pPr>
              <w:pStyle w:val="TableParagraph"/>
              <w:ind w:left="351"/>
              <w:jc w:val="both"/>
              <w:rPr>
                <w:rFonts w:ascii="Times New Roman" w:hAnsi="Times New Roman"/>
                <w:noProof/>
                <w:sz w:val="24"/>
                <w:lang w:val="en-US"/>
              </w:rPr>
            </w:pPr>
            <w:r w:rsidRPr="005A2D50">
              <w:rPr>
                <w:rFonts w:ascii="Times New Roman" w:hAnsi="Times New Roman"/>
                <w:noProof/>
                <w:sz w:val="24"/>
                <w:lang w:val="en-US"/>
              </w:rPr>
              <w:t>“Izmantojot attiecīgos Savienības kodus, norādiet operācijai izmantotā galvojuma veidu.”</w:t>
            </w:r>
          </w:p>
          <w:p w14:paraId="2C2F25E2"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Tā formāts ir viena burtciparu rakstzīme.</w:t>
            </w:r>
          </w:p>
          <w:p w14:paraId="27CD0786" w14:textId="77777777" w:rsidR="005A2D50" w:rsidRPr="005A2D50" w:rsidRDefault="005A2D50" w:rsidP="00F14166">
            <w:pPr>
              <w:pStyle w:val="TableParagraph"/>
              <w:jc w:val="both"/>
              <w:rPr>
                <w:rFonts w:ascii="Times New Roman" w:eastAsia="Times New Roman" w:hAnsi="Times New Roman" w:cs="Times New Roman"/>
                <w:noProof/>
                <w:sz w:val="24"/>
                <w:szCs w:val="24"/>
                <w:lang w:val="en-US"/>
              </w:rPr>
            </w:pPr>
          </w:p>
          <w:p w14:paraId="7FA670E6"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Galvojuma kodi</w:t>
            </w:r>
          </w:p>
          <w:p w14:paraId="2F4623DD" w14:textId="77777777" w:rsidR="005A2D50" w:rsidRPr="005A2D50" w:rsidRDefault="005A2D50" w:rsidP="00F14166">
            <w:pPr>
              <w:pStyle w:val="TableParagraph"/>
              <w:tabs>
                <w:tab w:val="left" w:pos="7450"/>
              </w:tabs>
              <w:jc w:val="both"/>
              <w:rPr>
                <w:rFonts w:ascii="Times New Roman" w:hAnsi="Times New Roman"/>
                <w:noProof/>
                <w:sz w:val="24"/>
                <w:lang w:val="en-US"/>
              </w:rPr>
            </w:pPr>
            <w:r w:rsidRPr="005A2D50">
              <w:rPr>
                <w:rFonts w:ascii="Times New Roman" w:hAnsi="Times New Roman"/>
                <w:noProof/>
                <w:sz w:val="24"/>
                <w:lang w:val="en-US"/>
              </w:rPr>
              <w:t>Attiecībā uz atbrīvojumu no galvojuma (Kodeksa 95. panta 2. punkts)</w:t>
            </w:r>
          </w:p>
          <w:p w14:paraId="30DA95F3" w14:textId="77777777" w:rsidR="005A2D50" w:rsidRPr="005A2D50" w:rsidRDefault="005A2D50" w:rsidP="00F14166">
            <w:pPr>
              <w:pStyle w:val="TableParagraph"/>
              <w:tabs>
                <w:tab w:val="left" w:pos="7425"/>
              </w:tabs>
              <w:jc w:val="both"/>
              <w:rPr>
                <w:rFonts w:ascii="Times New Roman" w:hAnsi="Times New Roman"/>
                <w:noProof/>
                <w:sz w:val="24"/>
                <w:lang w:val="en-US"/>
              </w:rPr>
            </w:pPr>
            <w:r w:rsidRPr="005A2D50">
              <w:rPr>
                <w:rFonts w:ascii="Times New Roman" w:hAnsi="Times New Roman"/>
                <w:noProof/>
                <w:sz w:val="24"/>
                <w:lang w:val="en-US"/>
              </w:rPr>
              <w:t>Attiecībā uz vispārējo galvojumu (Kodeksa 89. panta 5. punkts)</w:t>
            </w:r>
          </w:p>
          <w:p w14:paraId="4CB75BC0" w14:textId="77777777" w:rsidR="005A2D50" w:rsidRPr="005A2D50" w:rsidRDefault="005A2D50" w:rsidP="00F14166">
            <w:pPr>
              <w:pStyle w:val="TableParagraph"/>
              <w:tabs>
                <w:tab w:val="left" w:pos="7443"/>
              </w:tabs>
              <w:jc w:val="both"/>
              <w:rPr>
                <w:rFonts w:ascii="Times New Roman" w:hAnsi="Times New Roman"/>
                <w:noProof/>
                <w:sz w:val="24"/>
                <w:lang w:val="en-US"/>
              </w:rPr>
            </w:pPr>
            <w:r w:rsidRPr="005A2D50">
              <w:rPr>
                <w:rFonts w:ascii="Times New Roman" w:hAnsi="Times New Roman"/>
                <w:noProof/>
                <w:sz w:val="24"/>
                <w:lang w:val="en-US"/>
              </w:rPr>
              <w:t>Attiecībā uz vienreizējo galvojumu galvinieka saistību veidā (Kodeksa 92. panta 1. punkta b) apakšpunkts)</w:t>
            </w:r>
          </w:p>
          <w:p w14:paraId="3147B1BD" w14:textId="77777777" w:rsidR="005A2D50" w:rsidRPr="005A2D50" w:rsidRDefault="005A2D50" w:rsidP="00F14166">
            <w:pPr>
              <w:pStyle w:val="TableParagraph"/>
              <w:tabs>
                <w:tab w:val="left" w:pos="7452"/>
              </w:tabs>
              <w:jc w:val="both"/>
              <w:rPr>
                <w:rFonts w:ascii="Times New Roman" w:hAnsi="Times New Roman"/>
                <w:noProof/>
                <w:sz w:val="24"/>
                <w:lang w:val="en-US"/>
              </w:rPr>
            </w:pPr>
            <w:r w:rsidRPr="005A2D50">
              <w:rPr>
                <w:rFonts w:ascii="Times New Roman" w:hAnsi="Times New Roman"/>
                <w:noProof/>
                <w:sz w:val="24"/>
                <w:lang w:val="en-US"/>
              </w:rPr>
              <w:t xml:space="preserve">Attiecībā uz vienreizējo galvojumu skaidras naudas vai cita maksāšanas līdzekļa veidā, ko muitas dienesti atzīst par līdzvērtīgu skaidras naudas iemaksai, kas veikta </w:t>
            </w:r>
            <w:r w:rsidRPr="005A2D50">
              <w:rPr>
                <w:rFonts w:ascii="Times New Roman" w:hAnsi="Times New Roman"/>
                <w:i/>
                <w:iCs/>
                <w:noProof/>
                <w:sz w:val="24"/>
                <w:lang w:val="en-US"/>
              </w:rPr>
              <w:t xml:space="preserve">euro </w:t>
            </w:r>
            <w:r w:rsidRPr="005A2D50">
              <w:rPr>
                <w:rFonts w:ascii="Times New Roman" w:hAnsi="Times New Roman"/>
                <w:noProof/>
                <w:sz w:val="24"/>
                <w:lang w:val="en-US"/>
              </w:rPr>
              <w:t>vai tās dalībvalsts valūtā, kurā tiek pieprasīts galvojums (Kodeksa 92. panta 1. punkta a) apakšpunkts)</w:t>
            </w:r>
          </w:p>
          <w:p w14:paraId="267A6319" w14:textId="77777777" w:rsidR="005A2D50" w:rsidRPr="005A2D50" w:rsidRDefault="005A2D50" w:rsidP="00F14166">
            <w:pPr>
              <w:pStyle w:val="TableParagraph"/>
              <w:tabs>
                <w:tab w:val="left" w:pos="7452"/>
              </w:tabs>
              <w:jc w:val="both"/>
              <w:rPr>
                <w:rFonts w:ascii="Times New Roman" w:hAnsi="Times New Roman"/>
                <w:noProof/>
                <w:sz w:val="24"/>
                <w:lang w:val="en-US"/>
              </w:rPr>
            </w:pPr>
            <w:r w:rsidRPr="005A2D50">
              <w:rPr>
                <w:rFonts w:ascii="Times New Roman" w:hAnsi="Times New Roman"/>
                <w:noProof/>
                <w:sz w:val="24"/>
                <w:lang w:val="en-US"/>
              </w:rPr>
              <w:t>Attiecībā uz vienreizējo galvojumu ar kvītīm (Kodeksa 92. panta 1. punkta b) apakšpunkts un 160. pants)</w:t>
            </w:r>
          </w:p>
          <w:p w14:paraId="40387BD7" w14:textId="77777777" w:rsidR="005A2D50" w:rsidRPr="005A2D50" w:rsidRDefault="005A2D50" w:rsidP="00F14166">
            <w:pPr>
              <w:pStyle w:val="TableParagraph"/>
              <w:tabs>
                <w:tab w:val="left" w:pos="7452"/>
              </w:tabs>
              <w:jc w:val="both"/>
              <w:rPr>
                <w:rFonts w:ascii="Times New Roman" w:hAnsi="Times New Roman"/>
                <w:noProof/>
                <w:sz w:val="24"/>
                <w:lang w:val="en-US"/>
              </w:rPr>
            </w:pPr>
            <w:r w:rsidRPr="005A2D50">
              <w:rPr>
                <w:rFonts w:ascii="Times New Roman" w:hAnsi="Times New Roman"/>
                <w:noProof/>
                <w:sz w:val="24"/>
                <w:lang w:val="en-US"/>
              </w:rPr>
              <w:t>Attiecībā uz atbrīvojumu no galvojuma, ja nodrošināmā ievedmuitas vai izvedmuitas nodokļa summa nepārsniedz statistikas vērtības slieksni deklarācijām, kas noteikts saskaņā ar Eiropas Parlamenta un Padomes Regulas (EK) Nr. 471/2009 (*) 3. panta 4. punktu (Kodeksa 89. panta 9. punkts)</w:t>
            </w:r>
          </w:p>
          <w:p w14:paraId="51F3C511" w14:textId="77777777" w:rsidR="005A2D50" w:rsidRPr="005A2D50" w:rsidRDefault="005A2D50" w:rsidP="00F14166">
            <w:pPr>
              <w:pStyle w:val="TableParagraph"/>
              <w:tabs>
                <w:tab w:val="left" w:pos="7402"/>
              </w:tabs>
              <w:jc w:val="both"/>
              <w:rPr>
                <w:rFonts w:ascii="Times New Roman" w:hAnsi="Times New Roman"/>
                <w:noProof/>
                <w:sz w:val="24"/>
                <w:lang w:val="en-US"/>
              </w:rPr>
            </w:pPr>
            <w:r w:rsidRPr="005A2D50">
              <w:rPr>
                <w:rFonts w:ascii="Times New Roman" w:hAnsi="Times New Roman"/>
                <w:noProof/>
                <w:sz w:val="24"/>
                <w:lang w:val="en-US"/>
              </w:rPr>
              <w:t>Attiecībā uz individuālo galvojumu citā veidā, kas sniedz līdzvērtīgu garantiju, ka muitas parādam un citiem maksājumiem atbilstīgā ievedmuitas vai izvedmuitas nodokļa summa tiks samaksāta (Kodeksa 92. panta 1. punkta c) apakšpunkts)</w:t>
            </w:r>
          </w:p>
          <w:p w14:paraId="0FDBEE7A"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Attiecībā uz galvojumu, ko neprasa noteiktām valsts iestādēm (Kodeksa 89. panta 7. punkts)</w:t>
            </w:r>
          </w:p>
          <w:p w14:paraId="035874DF" w14:textId="77777777" w:rsidR="005A2D50" w:rsidRPr="005A2D50" w:rsidRDefault="005A2D50" w:rsidP="00F14166">
            <w:pPr>
              <w:pStyle w:val="TableParagraph"/>
              <w:jc w:val="both"/>
              <w:rPr>
                <w:rFonts w:ascii="Times New Roman" w:hAnsi="Times New Roman" w:cs="Times New Roman"/>
                <w:noProof/>
                <w:sz w:val="24"/>
                <w:szCs w:val="24"/>
                <w:lang w:val="en-US"/>
              </w:rPr>
            </w:pPr>
            <w:r w:rsidRPr="005A2D50">
              <w:rPr>
                <w:rFonts w:ascii="Times New Roman" w:hAnsi="Times New Roman"/>
                <w:noProof/>
                <w:sz w:val="24"/>
                <w:lang w:val="en-US"/>
              </w:rPr>
              <w:t xml:space="preserve">Attiecībā uz galvojumu, ko sniedz par precēm, kuras nosūtītas saskaņā ar </w:t>
            </w:r>
            <w:r w:rsidRPr="005A2D50">
              <w:rPr>
                <w:rFonts w:ascii="Times New Roman" w:hAnsi="Times New Roman"/>
                <w:i/>
                <w:iCs/>
                <w:noProof/>
                <w:sz w:val="24"/>
                <w:lang w:val="en-US"/>
              </w:rPr>
              <w:t xml:space="preserve">TIR </w:t>
            </w:r>
            <w:r w:rsidRPr="005A2D50">
              <w:rPr>
                <w:rFonts w:ascii="Times New Roman" w:hAnsi="Times New Roman"/>
                <w:noProof/>
                <w:sz w:val="24"/>
                <w:lang w:val="en-US"/>
              </w:rPr>
              <w:t>procedūru</w:t>
            </w:r>
          </w:p>
          <w:p w14:paraId="73884B7A" w14:textId="77777777" w:rsidR="005A2D50" w:rsidRPr="005A2D50" w:rsidRDefault="005A2D50" w:rsidP="00F14166">
            <w:pPr>
              <w:pStyle w:val="TableParagraph"/>
              <w:tabs>
                <w:tab w:val="left" w:pos="7409"/>
              </w:tabs>
              <w:jc w:val="both"/>
              <w:rPr>
                <w:rFonts w:ascii="Times New Roman" w:hAnsi="Times New Roman"/>
                <w:noProof/>
                <w:sz w:val="24"/>
                <w:lang w:val="en-US"/>
              </w:rPr>
            </w:pPr>
            <w:r w:rsidRPr="005A2D50">
              <w:rPr>
                <w:rFonts w:ascii="Times New Roman" w:hAnsi="Times New Roman"/>
                <w:noProof/>
                <w:sz w:val="24"/>
                <w:lang w:val="en-US"/>
              </w:rPr>
              <w:t>Attiecībā uz galvojumu, ko neprasa par precēm, kuras pārvadā pa Reinu, Reinas ūdensceļiem, Donavu vai Donavas ūdensceļiem (Kodeksa 89. panta 8. punkta a) apakšpunkts)</w:t>
            </w:r>
          </w:p>
          <w:p w14:paraId="4EC47790" w14:textId="77777777" w:rsidR="005A2D50" w:rsidRPr="005A2D50" w:rsidRDefault="005A2D50" w:rsidP="00F14166">
            <w:pPr>
              <w:pStyle w:val="TableParagraph"/>
              <w:tabs>
                <w:tab w:val="left" w:pos="7406"/>
              </w:tabs>
              <w:jc w:val="both"/>
              <w:rPr>
                <w:rFonts w:ascii="Times New Roman" w:hAnsi="Times New Roman"/>
                <w:noProof/>
                <w:sz w:val="24"/>
                <w:lang w:val="en-US"/>
              </w:rPr>
            </w:pPr>
            <w:r w:rsidRPr="005A2D50">
              <w:rPr>
                <w:rFonts w:ascii="Times New Roman" w:hAnsi="Times New Roman"/>
                <w:noProof/>
                <w:sz w:val="24"/>
                <w:lang w:val="en-US"/>
              </w:rPr>
              <w:t>Attiecībā uz galvojumu, ko neprasa par precēm, kuras tiek pārvietotas ar stacionārām transporta iekārtām (Kodeksa 89. panta 8. punkta b) apakšpunkts)</w:t>
            </w:r>
          </w:p>
          <w:p w14:paraId="622BAD0C" w14:textId="77777777" w:rsidR="005A2D50" w:rsidRPr="005A2D50" w:rsidRDefault="005A2D50" w:rsidP="00F14166">
            <w:pPr>
              <w:pStyle w:val="TableParagraph"/>
              <w:tabs>
                <w:tab w:val="left" w:pos="7342"/>
              </w:tabs>
              <w:jc w:val="both"/>
              <w:rPr>
                <w:rFonts w:ascii="Times New Roman" w:hAnsi="Times New Roman"/>
                <w:noProof/>
                <w:sz w:val="24"/>
                <w:lang w:val="en-US"/>
              </w:rPr>
            </w:pPr>
            <w:r w:rsidRPr="005A2D50">
              <w:rPr>
                <w:rFonts w:ascii="Times New Roman" w:hAnsi="Times New Roman"/>
                <w:noProof/>
                <w:sz w:val="24"/>
                <w:lang w:val="en-US"/>
              </w:rPr>
              <w:t>Attiecībā uz galvojumu, ko neprasa par precēm, kurām piemēro pagaidu ievešanas procedūru saskaņā ar Deleģētās regulas (ES) 2015/2446 81. panta a) apakšpunktu (Kodeksa 89. panta 8. punkta c) apakšpunkts)</w:t>
            </w:r>
          </w:p>
          <w:p w14:paraId="409A881D" w14:textId="77777777" w:rsidR="005A2D50" w:rsidRPr="005A2D50" w:rsidRDefault="005A2D50" w:rsidP="00F14166">
            <w:pPr>
              <w:pStyle w:val="TableParagraph"/>
              <w:tabs>
                <w:tab w:val="left" w:pos="7342"/>
              </w:tabs>
              <w:jc w:val="both"/>
              <w:rPr>
                <w:rFonts w:ascii="Times New Roman" w:hAnsi="Times New Roman"/>
                <w:noProof/>
                <w:sz w:val="24"/>
                <w:lang w:val="en-US"/>
              </w:rPr>
            </w:pPr>
            <w:r w:rsidRPr="005A2D50">
              <w:rPr>
                <w:rFonts w:ascii="Times New Roman" w:hAnsi="Times New Roman"/>
                <w:noProof/>
                <w:sz w:val="24"/>
                <w:lang w:val="en-US"/>
              </w:rPr>
              <w:t>Attiecībā uz galvojumu, ko neprasa par precēm, kurām piemēro pagaidu ievešanas procedūru saskaņā ar Deleģētās regulas (ES) 2015/2446 81. panta b) apakšpunktu (Kodeksa 89. panta 8. punkta c) apakšpunkts)</w:t>
            </w:r>
          </w:p>
          <w:p w14:paraId="0364A9D0" w14:textId="77777777" w:rsidR="005A2D50" w:rsidRPr="005A2D50" w:rsidRDefault="005A2D50" w:rsidP="00F14166">
            <w:pPr>
              <w:pStyle w:val="TableParagraph"/>
              <w:tabs>
                <w:tab w:val="left" w:pos="7402"/>
              </w:tabs>
              <w:jc w:val="both"/>
              <w:rPr>
                <w:rFonts w:ascii="Times New Roman" w:hAnsi="Times New Roman"/>
                <w:noProof/>
                <w:sz w:val="24"/>
                <w:lang w:val="en-US"/>
              </w:rPr>
            </w:pPr>
            <w:r w:rsidRPr="005A2D50">
              <w:rPr>
                <w:rFonts w:ascii="Times New Roman" w:hAnsi="Times New Roman"/>
                <w:noProof/>
                <w:sz w:val="24"/>
                <w:lang w:val="en-US"/>
              </w:rPr>
              <w:t>Attiecībā uz galvojumu, ko neprasa par precēm, kurām piemēro pagaidu ievešanas procedūru saskaņā ar Deleģētās regulas (ES) 2015/2446 81. panta c) apakšpunktu (Kodeksa 89. panta 8. punkta c) apakšpunkts)</w:t>
            </w:r>
          </w:p>
          <w:p w14:paraId="47D34BE8"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Attiecībā uz galvojumu, ko neprasa par precēm, kurām piemēro pagaidu ievešanas procedūru saskaņā ar Deleģētās regulas (ES) 2015/2446 81. panta d) apakšpunktu (Kodeksa 89. panta 8. punkta c) apakšpunkts)</w:t>
            </w:r>
          </w:p>
          <w:p w14:paraId="1013D7BB" w14:textId="77777777" w:rsidR="005A2D50" w:rsidRPr="005A2D50" w:rsidRDefault="005A2D50" w:rsidP="00F14166">
            <w:pPr>
              <w:pStyle w:val="TableParagraph"/>
              <w:tabs>
                <w:tab w:val="left" w:pos="6362"/>
              </w:tabs>
              <w:jc w:val="both"/>
              <w:rPr>
                <w:rFonts w:ascii="Times New Roman" w:hAnsi="Times New Roman"/>
                <w:noProof/>
                <w:sz w:val="24"/>
                <w:lang w:val="en-US"/>
              </w:rPr>
            </w:pPr>
            <w:r w:rsidRPr="005A2D50">
              <w:rPr>
                <w:rFonts w:ascii="Times New Roman" w:hAnsi="Times New Roman"/>
                <w:noProof/>
                <w:sz w:val="24"/>
                <w:lang w:val="en-US"/>
              </w:rPr>
              <w:t>Attiecībā uz galvojumu, ko neprasa par precēm, kurām piemēro Savienības tranzīta procedūru saskaņā ar Kodeksa 89. panta 8. punkta d) apakšpunktu</w:t>
            </w:r>
          </w:p>
          <w:p w14:paraId="6447C93E"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 Eiropas Parlamenta un Padomes 2009. gada 6. maija Regula (EK) Nr. 471/2009 par Kopienas statistiku attiecībā uz ārējo tirdzniecību ar ārpuskopienas valstīm un par Padomes Regulas (EK) Nr. 1172/95 atcelšanu (OV L 152, 16.06.2009., 23. lpp.).</w:t>
            </w:r>
          </w:p>
          <w:p w14:paraId="31004516" w14:textId="77777777" w:rsidR="005A2D50" w:rsidRPr="005A2D50" w:rsidRDefault="005A2D50" w:rsidP="00F14166">
            <w:pPr>
              <w:pStyle w:val="TableParagraph"/>
              <w:jc w:val="both"/>
              <w:rPr>
                <w:rFonts w:ascii="Times New Roman" w:eastAsia="Times New Roman" w:hAnsi="Times New Roman" w:cs="Times New Roman"/>
                <w:noProof/>
                <w:sz w:val="24"/>
                <w:szCs w:val="24"/>
                <w:lang w:val="en-US"/>
              </w:rPr>
            </w:pPr>
          </w:p>
          <w:p w14:paraId="7267369B" w14:textId="77777777" w:rsidR="005A2D50" w:rsidRPr="005A2D50" w:rsidRDefault="005A2D50" w:rsidP="00F14166">
            <w:pPr>
              <w:pStyle w:val="TableParagraph"/>
              <w:jc w:val="both"/>
              <w:rPr>
                <w:rFonts w:ascii="Times New Roman" w:hAnsi="Times New Roman"/>
                <w:i/>
                <w:noProof/>
                <w:sz w:val="24"/>
                <w:lang w:val="en-US"/>
              </w:rPr>
            </w:pPr>
            <w:r w:rsidRPr="005A2D50">
              <w:rPr>
                <w:rFonts w:ascii="Times New Roman" w:hAnsi="Times New Roman"/>
                <w:i/>
                <w:noProof/>
                <w:sz w:val="24"/>
                <w:lang w:val="en-US"/>
              </w:rPr>
              <w:t>Koda “0” nozīme (atbrīvojums no galvojuma) šajā kontekstā – lai gan tas ir tikai vēl viens vispārējā galvojuma “apmērs” (kods “1”) un pat ja visi pārējie apmēri (30 %, 50 % un 100 %) nav atšķirami, šo kodu izmanto, lai atbilstoši pārraudzītu galvojumus, kas ir derīgi vairāk nekā vienā.</w:t>
            </w:r>
          </w:p>
          <w:p w14:paraId="7CA6BB6F" w14:textId="77777777" w:rsidR="005A2D50" w:rsidRPr="005A2D50" w:rsidRDefault="005A2D50" w:rsidP="00F14166">
            <w:pPr>
              <w:pStyle w:val="TableParagraph"/>
              <w:jc w:val="both"/>
              <w:rPr>
                <w:rFonts w:ascii="Times New Roman" w:hAnsi="Times New Roman"/>
                <w:i/>
                <w:noProof/>
                <w:sz w:val="24"/>
                <w:lang w:val="en-US"/>
              </w:rPr>
            </w:pPr>
            <w:r w:rsidRPr="005A2D50">
              <w:rPr>
                <w:rFonts w:ascii="Times New Roman" w:hAnsi="Times New Roman"/>
                <w:i/>
                <w:noProof/>
                <w:sz w:val="24"/>
                <w:lang w:val="en-US"/>
              </w:rPr>
              <w:t>Tas liecina, ka tad, ja galvojumam jābūt derīgam vairāk nekā vienā dalībvalstī, nav nepieciešams identificēt korespondentbanku citās dalībvalstīs (atbrīvojuma gadījumā galvinieka adrese netiek norādīta). Tomēr atsauces summa, kas noteikta šiem vispārējiem galvojumiem, ir jāpārrauga muitas dienestam saskaņā ar SMK ĪA 157. pantu.</w:t>
            </w:r>
          </w:p>
        </w:tc>
        <w:tc>
          <w:tcPr>
            <w:tcW w:w="126" w:type="pct"/>
            <w:tcBorders>
              <w:top w:val="single" w:sz="4" w:space="0" w:color="auto"/>
              <w:left w:val="nil"/>
              <w:bottom w:val="single" w:sz="4" w:space="0" w:color="auto"/>
              <w:right w:val="single" w:sz="4" w:space="0" w:color="auto"/>
            </w:tcBorders>
          </w:tcPr>
          <w:p w14:paraId="23719D84" w14:textId="77777777" w:rsidR="005A2D50" w:rsidRPr="005A2D50" w:rsidRDefault="005A2D50" w:rsidP="00F14166">
            <w:pPr>
              <w:pStyle w:val="TableParagraph"/>
              <w:jc w:val="both"/>
              <w:rPr>
                <w:rFonts w:ascii="Times New Roman" w:eastAsia="Times New Roman" w:hAnsi="Times New Roman" w:cs="Times New Roman"/>
                <w:noProof/>
                <w:sz w:val="24"/>
                <w:szCs w:val="24"/>
                <w:lang w:val="en-US"/>
              </w:rPr>
            </w:pPr>
          </w:p>
          <w:p w14:paraId="58B4A519" w14:textId="77777777" w:rsidR="005A2D50" w:rsidRPr="005A2D50" w:rsidRDefault="005A2D50" w:rsidP="00F14166">
            <w:pPr>
              <w:pStyle w:val="TableParagraph"/>
              <w:jc w:val="both"/>
              <w:rPr>
                <w:rFonts w:ascii="Times New Roman" w:eastAsia="Times New Roman" w:hAnsi="Times New Roman" w:cs="Times New Roman"/>
                <w:noProof/>
                <w:sz w:val="24"/>
                <w:szCs w:val="24"/>
                <w:lang w:val="en-US"/>
              </w:rPr>
            </w:pPr>
          </w:p>
          <w:p w14:paraId="252E8940" w14:textId="77777777" w:rsidR="005A2D50" w:rsidRPr="005A2D50" w:rsidRDefault="005A2D50" w:rsidP="00F14166">
            <w:pPr>
              <w:pStyle w:val="TableParagraph"/>
              <w:jc w:val="both"/>
              <w:rPr>
                <w:rFonts w:ascii="Times New Roman" w:eastAsia="Times New Roman" w:hAnsi="Times New Roman" w:cs="Times New Roman"/>
                <w:noProof/>
                <w:sz w:val="24"/>
                <w:szCs w:val="24"/>
                <w:lang w:val="en-US"/>
              </w:rPr>
            </w:pPr>
          </w:p>
          <w:p w14:paraId="05541593" w14:textId="77777777" w:rsidR="005A2D50" w:rsidRPr="005A2D50" w:rsidRDefault="005A2D50" w:rsidP="00F14166">
            <w:pPr>
              <w:pStyle w:val="TableParagraph"/>
              <w:jc w:val="both"/>
              <w:rPr>
                <w:rFonts w:ascii="Times New Roman" w:eastAsia="Times New Roman" w:hAnsi="Times New Roman" w:cs="Times New Roman"/>
                <w:noProof/>
                <w:sz w:val="24"/>
                <w:szCs w:val="24"/>
                <w:lang w:val="en-US"/>
              </w:rPr>
            </w:pPr>
          </w:p>
          <w:p w14:paraId="05CC5A29" w14:textId="77777777" w:rsidR="005A2D50" w:rsidRPr="005A2D50" w:rsidRDefault="005A2D50" w:rsidP="00F14166">
            <w:pPr>
              <w:pStyle w:val="TableParagraph"/>
              <w:jc w:val="both"/>
              <w:rPr>
                <w:rFonts w:ascii="Times New Roman" w:eastAsia="Times New Roman" w:hAnsi="Times New Roman" w:cs="Times New Roman"/>
                <w:noProof/>
                <w:sz w:val="24"/>
                <w:szCs w:val="24"/>
                <w:lang w:val="en-US"/>
              </w:rPr>
            </w:pPr>
          </w:p>
          <w:p w14:paraId="0BAB7B63" w14:textId="77777777" w:rsidR="005A2D50" w:rsidRPr="005A2D50" w:rsidRDefault="005A2D50" w:rsidP="00F14166">
            <w:pPr>
              <w:pStyle w:val="TableParagraph"/>
              <w:jc w:val="both"/>
              <w:rPr>
                <w:rFonts w:ascii="Times New Roman" w:eastAsia="Times New Roman" w:hAnsi="Times New Roman" w:cs="Times New Roman"/>
                <w:noProof/>
                <w:sz w:val="24"/>
                <w:szCs w:val="24"/>
                <w:lang w:val="en-US"/>
              </w:rPr>
            </w:pPr>
          </w:p>
          <w:p w14:paraId="4CA94A0C"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0</w:t>
            </w:r>
          </w:p>
          <w:p w14:paraId="158A9A55"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1</w:t>
            </w:r>
          </w:p>
          <w:p w14:paraId="014F7EE8" w14:textId="77777777" w:rsidR="005A2D50" w:rsidRPr="005A2D50" w:rsidRDefault="005A2D50" w:rsidP="00F14166">
            <w:pPr>
              <w:pStyle w:val="TableParagraph"/>
              <w:jc w:val="both"/>
              <w:rPr>
                <w:rFonts w:ascii="Times New Roman" w:eastAsia="Times New Roman" w:hAnsi="Times New Roman" w:cs="Times New Roman"/>
                <w:noProof/>
                <w:sz w:val="24"/>
                <w:szCs w:val="24"/>
                <w:lang w:val="en-US"/>
              </w:rPr>
            </w:pPr>
          </w:p>
          <w:p w14:paraId="61C43D75"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2</w:t>
            </w:r>
          </w:p>
          <w:p w14:paraId="40768DAB" w14:textId="77777777" w:rsidR="005A2D50" w:rsidRPr="005A2D50" w:rsidRDefault="005A2D50" w:rsidP="00F14166">
            <w:pPr>
              <w:pStyle w:val="TableParagraph"/>
              <w:jc w:val="both"/>
              <w:rPr>
                <w:rFonts w:ascii="Times New Roman" w:eastAsia="Times New Roman" w:hAnsi="Times New Roman" w:cs="Times New Roman"/>
                <w:noProof/>
                <w:sz w:val="24"/>
                <w:szCs w:val="24"/>
                <w:lang w:val="en-US"/>
              </w:rPr>
            </w:pPr>
          </w:p>
          <w:p w14:paraId="1F25A819" w14:textId="77777777" w:rsidR="005A2D50" w:rsidRPr="005A2D50" w:rsidRDefault="005A2D50" w:rsidP="00F14166">
            <w:pPr>
              <w:pStyle w:val="TableParagraph"/>
              <w:jc w:val="both"/>
              <w:rPr>
                <w:rFonts w:ascii="Times New Roman" w:eastAsia="Times New Roman" w:hAnsi="Times New Roman" w:cs="Times New Roman"/>
                <w:noProof/>
                <w:sz w:val="24"/>
                <w:szCs w:val="24"/>
                <w:lang w:val="en-US"/>
              </w:rPr>
            </w:pPr>
          </w:p>
          <w:p w14:paraId="02AE8BCC" w14:textId="77777777" w:rsidR="005A2D50" w:rsidRPr="005A2D50" w:rsidRDefault="005A2D50" w:rsidP="00F14166">
            <w:pPr>
              <w:pStyle w:val="TableParagraph"/>
              <w:jc w:val="both"/>
              <w:rPr>
                <w:rFonts w:ascii="Times New Roman" w:eastAsia="Times New Roman" w:hAnsi="Times New Roman" w:cs="Times New Roman"/>
                <w:noProof/>
                <w:sz w:val="24"/>
                <w:szCs w:val="24"/>
                <w:lang w:val="en-US"/>
              </w:rPr>
            </w:pPr>
          </w:p>
          <w:p w14:paraId="7D35B3DF"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3</w:t>
            </w:r>
          </w:p>
          <w:p w14:paraId="10427D02" w14:textId="77777777" w:rsidR="005A2D50" w:rsidRPr="005A2D50" w:rsidRDefault="005A2D50" w:rsidP="00F14166">
            <w:pPr>
              <w:pStyle w:val="TableParagraph"/>
              <w:jc w:val="both"/>
              <w:rPr>
                <w:rFonts w:ascii="Times New Roman" w:eastAsia="Times New Roman" w:hAnsi="Times New Roman" w:cs="Times New Roman"/>
                <w:noProof/>
                <w:sz w:val="24"/>
                <w:szCs w:val="24"/>
                <w:lang w:val="en-US"/>
              </w:rPr>
            </w:pPr>
          </w:p>
          <w:p w14:paraId="61C27E08"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4</w:t>
            </w:r>
          </w:p>
          <w:p w14:paraId="7D69DD9B" w14:textId="77777777" w:rsidR="005A2D50" w:rsidRPr="005A2D50" w:rsidRDefault="005A2D50" w:rsidP="00F14166">
            <w:pPr>
              <w:pStyle w:val="TableParagraph"/>
              <w:jc w:val="both"/>
              <w:rPr>
                <w:rFonts w:ascii="Times New Roman" w:eastAsia="Times New Roman" w:hAnsi="Times New Roman" w:cs="Times New Roman"/>
                <w:noProof/>
                <w:sz w:val="24"/>
                <w:szCs w:val="24"/>
                <w:lang w:val="en-US"/>
              </w:rPr>
            </w:pPr>
          </w:p>
          <w:p w14:paraId="6167884E" w14:textId="77777777" w:rsidR="005A2D50" w:rsidRPr="005A2D50" w:rsidRDefault="005A2D50" w:rsidP="00F14166">
            <w:pPr>
              <w:pStyle w:val="TableParagraph"/>
              <w:jc w:val="both"/>
              <w:rPr>
                <w:rFonts w:ascii="Times New Roman" w:eastAsia="Times New Roman" w:hAnsi="Times New Roman" w:cs="Times New Roman"/>
                <w:noProof/>
                <w:sz w:val="24"/>
                <w:szCs w:val="24"/>
                <w:lang w:val="en-US"/>
              </w:rPr>
            </w:pPr>
          </w:p>
          <w:p w14:paraId="5BE5020F" w14:textId="77777777" w:rsidR="005A2D50" w:rsidRPr="005A2D50" w:rsidRDefault="005A2D50" w:rsidP="00F14166">
            <w:pPr>
              <w:pStyle w:val="TableParagraph"/>
              <w:jc w:val="both"/>
              <w:rPr>
                <w:rFonts w:ascii="Times New Roman" w:eastAsia="Times New Roman" w:hAnsi="Times New Roman" w:cs="Times New Roman"/>
                <w:noProof/>
                <w:sz w:val="24"/>
                <w:szCs w:val="24"/>
                <w:lang w:val="en-US"/>
              </w:rPr>
            </w:pPr>
          </w:p>
          <w:p w14:paraId="7B8CDE99"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5</w:t>
            </w:r>
          </w:p>
          <w:p w14:paraId="66449C06" w14:textId="77777777" w:rsidR="005A2D50" w:rsidRPr="005A2D50" w:rsidRDefault="005A2D50" w:rsidP="00F14166">
            <w:pPr>
              <w:pStyle w:val="TableParagraph"/>
              <w:jc w:val="both"/>
              <w:rPr>
                <w:rFonts w:ascii="Times New Roman" w:eastAsia="Times New Roman" w:hAnsi="Times New Roman" w:cs="Times New Roman"/>
                <w:noProof/>
                <w:sz w:val="24"/>
                <w:szCs w:val="24"/>
                <w:lang w:val="en-US"/>
              </w:rPr>
            </w:pPr>
          </w:p>
          <w:p w14:paraId="7122898A" w14:textId="77777777" w:rsidR="005A2D50" w:rsidRPr="005A2D50" w:rsidRDefault="005A2D50" w:rsidP="00F14166">
            <w:pPr>
              <w:pStyle w:val="TableParagraph"/>
              <w:jc w:val="both"/>
              <w:rPr>
                <w:rFonts w:ascii="Times New Roman" w:eastAsia="Times New Roman" w:hAnsi="Times New Roman" w:cs="Times New Roman"/>
                <w:noProof/>
                <w:sz w:val="24"/>
                <w:szCs w:val="24"/>
                <w:lang w:val="en-US"/>
              </w:rPr>
            </w:pPr>
          </w:p>
          <w:p w14:paraId="55035A88"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I</w:t>
            </w:r>
          </w:p>
          <w:p w14:paraId="7CB506B8" w14:textId="77777777" w:rsidR="005A2D50" w:rsidRPr="005A2D50" w:rsidRDefault="005A2D50" w:rsidP="00F14166">
            <w:pPr>
              <w:pStyle w:val="TableParagraph"/>
              <w:jc w:val="both"/>
              <w:rPr>
                <w:rFonts w:ascii="Times New Roman" w:eastAsia="Times New Roman" w:hAnsi="Times New Roman" w:cs="Times New Roman"/>
                <w:noProof/>
                <w:sz w:val="24"/>
                <w:szCs w:val="24"/>
                <w:lang w:val="en-US"/>
              </w:rPr>
            </w:pPr>
          </w:p>
          <w:p w14:paraId="47CFAF96" w14:textId="77777777" w:rsidR="005A2D50" w:rsidRPr="005A2D50" w:rsidRDefault="005A2D50" w:rsidP="00F14166">
            <w:pPr>
              <w:pStyle w:val="TableParagraph"/>
              <w:jc w:val="both"/>
              <w:rPr>
                <w:rFonts w:ascii="Times New Roman" w:eastAsia="Times New Roman" w:hAnsi="Times New Roman" w:cs="Times New Roman"/>
                <w:noProof/>
                <w:sz w:val="24"/>
                <w:szCs w:val="24"/>
                <w:lang w:val="en-US"/>
              </w:rPr>
            </w:pPr>
          </w:p>
          <w:p w14:paraId="058FF951"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B</w:t>
            </w:r>
          </w:p>
          <w:p w14:paraId="7F5C5A82" w14:textId="77777777" w:rsidR="005A2D50" w:rsidRPr="005A2D50" w:rsidRDefault="005A2D50" w:rsidP="00F14166">
            <w:pPr>
              <w:pStyle w:val="TableParagraph"/>
              <w:tabs>
                <w:tab w:val="left" w:pos="7342"/>
              </w:tabs>
              <w:jc w:val="both"/>
              <w:rPr>
                <w:rFonts w:ascii="Times New Roman" w:eastAsia="Times New Roman" w:hAnsi="Times New Roman" w:cs="Times New Roman"/>
                <w:noProof/>
                <w:sz w:val="24"/>
                <w:szCs w:val="24"/>
                <w:lang w:val="en-US"/>
              </w:rPr>
            </w:pPr>
          </w:p>
          <w:p w14:paraId="15093560" w14:textId="77777777" w:rsidR="005A2D50" w:rsidRPr="005A2D50" w:rsidRDefault="005A2D50" w:rsidP="00F14166">
            <w:pPr>
              <w:pStyle w:val="TableParagraph"/>
              <w:tabs>
                <w:tab w:val="left" w:pos="7342"/>
              </w:tabs>
              <w:jc w:val="both"/>
              <w:rPr>
                <w:rFonts w:ascii="Times New Roman" w:eastAsia="Times New Roman" w:hAnsi="Times New Roman" w:cs="Times New Roman"/>
                <w:noProof/>
                <w:sz w:val="24"/>
                <w:szCs w:val="24"/>
                <w:lang w:val="en-US"/>
              </w:rPr>
            </w:pPr>
          </w:p>
          <w:p w14:paraId="1D515900" w14:textId="77777777" w:rsidR="005A2D50" w:rsidRPr="005A2D50" w:rsidRDefault="005A2D50" w:rsidP="00F14166">
            <w:pPr>
              <w:pStyle w:val="TableParagraph"/>
              <w:tabs>
                <w:tab w:val="left" w:pos="7342"/>
              </w:tabs>
              <w:jc w:val="both"/>
              <w:rPr>
                <w:rFonts w:ascii="Times New Roman" w:hAnsi="Times New Roman"/>
                <w:noProof/>
                <w:sz w:val="24"/>
                <w:lang w:val="en-US"/>
              </w:rPr>
            </w:pPr>
            <w:r w:rsidRPr="005A2D50">
              <w:rPr>
                <w:rFonts w:ascii="Times New Roman" w:hAnsi="Times New Roman"/>
                <w:noProof/>
                <w:sz w:val="24"/>
                <w:lang w:val="en-US"/>
              </w:rPr>
              <w:t>R</w:t>
            </w:r>
          </w:p>
          <w:p w14:paraId="54D02685" w14:textId="77777777" w:rsidR="005A2D50" w:rsidRPr="005A2D50" w:rsidRDefault="005A2D50" w:rsidP="00F14166">
            <w:pPr>
              <w:pStyle w:val="TableParagraph"/>
              <w:tabs>
                <w:tab w:val="left" w:pos="7342"/>
              </w:tabs>
              <w:jc w:val="both"/>
              <w:rPr>
                <w:rFonts w:ascii="Times New Roman" w:eastAsia="Times New Roman" w:hAnsi="Times New Roman" w:cs="Times New Roman"/>
                <w:noProof/>
                <w:sz w:val="24"/>
                <w:szCs w:val="24"/>
                <w:lang w:val="en-US"/>
              </w:rPr>
            </w:pPr>
          </w:p>
          <w:p w14:paraId="5062AE22" w14:textId="77777777" w:rsidR="005A2D50" w:rsidRPr="005A2D50" w:rsidRDefault="005A2D50" w:rsidP="00F14166">
            <w:pPr>
              <w:pStyle w:val="TableParagraph"/>
              <w:tabs>
                <w:tab w:val="left" w:pos="7342"/>
              </w:tabs>
              <w:jc w:val="both"/>
              <w:rPr>
                <w:rFonts w:ascii="Times New Roman" w:hAnsi="Times New Roman"/>
                <w:noProof/>
                <w:sz w:val="24"/>
                <w:lang w:val="en-US"/>
              </w:rPr>
            </w:pPr>
            <w:r w:rsidRPr="005A2D50">
              <w:rPr>
                <w:rFonts w:ascii="Times New Roman" w:hAnsi="Times New Roman"/>
                <w:noProof/>
                <w:sz w:val="24"/>
                <w:lang w:val="en-US"/>
              </w:rPr>
              <w:t>C</w:t>
            </w:r>
          </w:p>
          <w:p w14:paraId="74BF24D1" w14:textId="77777777" w:rsidR="005A2D50" w:rsidRPr="005A2D50" w:rsidRDefault="005A2D50" w:rsidP="00F14166">
            <w:pPr>
              <w:pStyle w:val="TableParagraph"/>
              <w:tabs>
                <w:tab w:val="left" w:pos="7342"/>
              </w:tabs>
              <w:jc w:val="both"/>
              <w:rPr>
                <w:rFonts w:ascii="Times New Roman" w:eastAsia="Times New Roman" w:hAnsi="Times New Roman" w:cs="Times New Roman"/>
                <w:noProof/>
                <w:sz w:val="24"/>
                <w:szCs w:val="24"/>
                <w:lang w:val="en-US"/>
              </w:rPr>
            </w:pPr>
          </w:p>
          <w:p w14:paraId="63F4574A" w14:textId="77777777" w:rsidR="005A2D50" w:rsidRPr="005A2D50" w:rsidRDefault="005A2D50" w:rsidP="00F14166">
            <w:pPr>
              <w:pStyle w:val="TableParagraph"/>
              <w:tabs>
                <w:tab w:val="left" w:pos="7342"/>
              </w:tabs>
              <w:jc w:val="both"/>
              <w:rPr>
                <w:rFonts w:ascii="Times New Roman" w:eastAsia="Times New Roman" w:hAnsi="Times New Roman" w:cs="Times New Roman"/>
                <w:noProof/>
                <w:sz w:val="24"/>
                <w:szCs w:val="24"/>
                <w:lang w:val="en-US"/>
              </w:rPr>
            </w:pPr>
          </w:p>
          <w:p w14:paraId="2FC5AB58" w14:textId="77777777" w:rsidR="005A2D50" w:rsidRPr="005A2D50" w:rsidRDefault="005A2D50" w:rsidP="00F14166">
            <w:pPr>
              <w:pStyle w:val="TableParagraph"/>
              <w:tabs>
                <w:tab w:val="left" w:pos="7342"/>
              </w:tabs>
              <w:jc w:val="both"/>
              <w:rPr>
                <w:rFonts w:ascii="Times New Roman" w:hAnsi="Times New Roman"/>
                <w:noProof/>
                <w:sz w:val="24"/>
                <w:lang w:val="en-US"/>
              </w:rPr>
            </w:pPr>
            <w:r w:rsidRPr="005A2D50">
              <w:rPr>
                <w:rFonts w:ascii="Times New Roman" w:hAnsi="Times New Roman"/>
                <w:noProof/>
                <w:sz w:val="24"/>
                <w:lang w:val="en-US"/>
              </w:rPr>
              <w:t>D</w:t>
            </w:r>
          </w:p>
          <w:p w14:paraId="4D4B134E" w14:textId="77777777" w:rsidR="005A2D50" w:rsidRPr="005A2D50" w:rsidRDefault="005A2D50" w:rsidP="00F14166">
            <w:pPr>
              <w:pStyle w:val="TableParagraph"/>
              <w:tabs>
                <w:tab w:val="left" w:pos="7342"/>
              </w:tabs>
              <w:jc w:val="both"/>
              <w:rPr>
                <w:rFonts w:ascii="Times New Roman" w:eastAsia="Times New Roman" w:hAnsi="Times New Roman" w:cs="Times New Roman"/>
                <w:noProof/>
                <w:sz w:val="24"/>
                <w:szCs w:val="24"/>
                <w:lang w:val="en-US"/>
              </w:rPr>
            </w:pPr>
          </w:p>
          <w:p w14:paraId="543063FD" w14:textId="77777777" w:rsidR="005A2D50" w:rsidRPr="005A2D50" w:rsidRDefault="005A2D50" w:rsidP="00F14166">
            <w:pPr>
              <w:pStyle w:val="TableParagraph"/>
              <w:tabs>
                <w:tab w:val="left" w:pos="7342"/>
              </w:tabs>
              <w:jc w:val="both"/>
              <w:rPr>
                <w:rFonts w:ascii="Times New Roman" w:eastAsia="Times New Roman" w:hAnsi="Times New Roman" w:cs="Times New Roman"/>
                <w:noProof/>
                <w:sz w:val="24"/>
                <w:szCs w:val="24"/>
                <w:lang w:val="en-US"/>
              </w:rPr>
            </w:pPr>
          </w:p>
          <w:p w14:paraId="5F78B3C7" w14:textId="77777777" w:rsidR="005A2D50" w:rsidRPr="005A2D50" w:rsidRDefault="005A2D50" w:rsidP="00F14166">
            <w:pPr>
              <w:pStyle w:val="TableParagraph"/>
              <w:tabs>
                <w:tab w:val="left" w:pos="7342"/>
              </w:tabs>
              <w:jc w:val="both"/>
              <w:rPr>
                <w:rFonts w:ascii="Times New Roman" w:hAnsi="Times New Roman"/>
                <w:noProof/>
                <w:sz w:val="24"/>
                <w:lang w:val="en-US"/>
              </w:rPr>
            </w:pPr>
            <w:r w:rsidRPr="005A2D50">
              <w:rPr>
                <w:rFonts w:ascii="Times New Roman" w:hAnsi="Times New Roman"/>
                <w:noProof/>
                <w:sz w:val="24"/>
                <w:lang w:val="en-US"/>
              </w:rPr>
              <w:t>E</w:t>
            </w:r>
          </w:p>
          <w:p w14:paraId="3495D573" w14:textId="77777777" w:rsidR="005A2D50" w:rsidRPr="005A2D50" w:rsidRDefault="005A2D50" w:rsidP="00F14166">
            <w:pPr>
              <w:pStyle w:val="TableParagraph"/>
              <w:tabs>
                <w:tab w:val="left" w:pos="7342"/>
              </w:tabs>
              <w:jc w:val="both"/>
              <w:rPr>
                <w:rFonts w:ascii="Times New Roman" w:eastAsia="Times New Roman" w:hAnsi="Times New Roman" w:cs="Times New Roman"/>
                <w:noProof/>
                <w:sz w:val="24"/>
                <w:szCs w:val="24"/>
                <w:lang w:val="en-US"/>
              </w:rPr>
            </w:pPr>
          </w:p>
          <w:p w14:paraId="732A75CA" w14:textId="77777777" w:rsidR="005A2D50" w:rsidRPr="005A2D50" w:rsidRDefault="005A2D50" w:rsidP="00F14166">
            <w:pPr>
              <w:pStyle w:val="TableParagraph"/>
              <w:tabs>
                <w:tab w:val="left" w:pos="7342"/>
              </w:tabs>
              <w:jc w:val="both"/>
              <w:rPr>
                <w:rFonts w:ascii="Times New Roman" w:eastAsia="Times New Roman" w:hAnsi="Times New Roman" w:cs="Times New Roman"/>
                <w:noProof/>
                <w:sz w:val="24"/>
                <w:szCs w:val="24"/>
                <w:lang w:val="en-US"/>
              </w:rPr>
            </w:pPr>
          </w:p>
          <w:p w14:paraId="3EF5BE7E" w14:textId="77777777" w:rsidR="005A2D50" w:rsidRPr="005A2D50" w:rsidRDefault="005A2D50" w:rsidP="00F14166">
            <w:pPr>
              <w:pStyle w:val="TableParagraph"/>
              <w:tabs>
                <w:tab w:val="left" w:pos="7342"/>
              </w:tabs>
              <w:jc w:val="both"/>
              <w:rPr>
                <w:rFonts w:ascii="Times New Roman" w:hAnsi="Times New Roman"/>
                <w:noProof/>
                <w:sz w:val="24"/>
                <w:lang w:val="en-US"/>
              </w:rPr>
            </w:pPr>
            <w:r w:rsidRPr="005A2D50">
              <w:rPr>
                <w:rFonts w:ascii="Times New Roman" w:hAnsi="Times New Roman"/>
                <w:noProof/>
                <w:sz w:val="24"/>
                <w:lang w:val="en-US"/>
              </w:rPr>
              <w:t>F</w:t>
            </w:r>
          </w:p>
          <w:p w14:paraId="7499C834" w14:textId="77777777" w:rsidR="005A2D50" w:rsidRPr="005A2D50" w:rsidRDefault="005A2D50" w:rsidP="00F14166">
            <w:pPr>
              <w:pStyle w:val="TableParagraph"/>
              <w:tabs>
                <w:tab w:val="left" w:pos="7342"/>
              </w:tabs>
              <w:jc w:val="both"/>
              <w:rPr>
                <w:rFonts w:ascii="Times New Roman" w:eastAsia="Times New Roman" w:hAnsi="Times New Roman" w:cs="Times New Roman"/>
                <w:noProof/>
                <w:sz w:val="24"/>
                <w:szCs w:val="24"/>
                <w:lang w:val="en-US"/>
              </w:rPr>
            </w:pPr>
          </w:p>
          <w:p w14:paraId="4AA26A53" w14:textId="77777777" w:rsidR="005A2D50" w:rsidRPr="005A2D50" w:rsidRDefault="005A2D50" w:rsidP="00F14166">
            <w:pPr>
              <w:pStyle w:val="TableParagraph"/>
              <w:tabs>
                <w:tab w:val="left" w:pos="7342"/>
              </w:tabs>
              <w:jc w:val="both"/>
              <w:rPr>
                <w:rFonts w:ascii="Times New Roman" w:eastAsia="Times New Roman" w:hAnsi="Times New Roman" w:cs="Times New Roman"/>
                <w:noProof/>
                <w:sz w:val="24"/>
                <w:szCs w:val="24"/>
                <w:lang w:val="en-US"/>
              </w:rPr>
            </w:pPr>
          </w:p>
          <w:p w14:paraId="53D5E0AC" w14:textId="77777777" w:rsidR="005A2D50" w:rsidRPr="005A2D50" w:rsidRDefault="005A2D50" w:rsidP="00F14166">
            <w:pPr>
              <w:pStyle w:val="TableParagraph"/>
              <w:tabs>
                <w:tab w:val="left" w:pos="7342"/>
              </w:tabs>
              <w:jc w:val="both"/>
              <w:rPr>
                <w:rFonts w:ascii="Times New Roman" w:hAnsi="Times New Roman"/>
                <w:noProof/>
                <w:sz w:val="24"/>
                <w:lang w:val="en-US"/>
              </w:rPr>
            </w:pPr>
            <w:r w:rsidRPr="005A2D50">
              <w:rPr>
                <w:rFonts w:ascii="Times New Roman" w:hAnsi="Times New Roman"/>
                <w:noProof/>
                <w:sz w:val="24"/>
                <w:lang w:val="en-US"/>
              </w:rPr>
              <w:t>G</w:t>
            </w:r>
          </w:p>
          <w:p w14:paraId="4F18FD40" w14:textId="77777777" w:rsidR="005A2D50" w:rsidRPr="005A2D50" w:rsidRDefault="005A2D50" w:rsidP="00F14166">
            <w:pPr>
              <w:pStyle w:val="TableParagraph"/>
              <w:tabs>
                <w:tab w:val="left" w:pos="7342"/>
              </w:tabs>
              <w:jc w:val="both"/>
              <w:rPr>
                <w:rFonts w:ascii="Times New Roman" w:eastAsia="Times New Roman" w:hAnsi="Times New Roman" w:cs="Times New Roman"/>
                <w:noProof/>
                <w:sz w:val="24"/>
                <w:szCs w:val="24"/>
                <w:lang w:val="en-US"/>
              </w:rPr>
            </w:pPr>
          </w:p>
          <w:p w14:paraId="0CB86721" w14:textId="77777777" w:rsidR="005A2D50" w:rsidRPr="005A2D50" w:rsidRDefault="005A2D50" w:rsidP="00F14166">
            <w:pPr>
              <w:pStyle w:val="TableParagraph"/>
              <w:tabs>
                <w:tab w:val="left" w:pos="7342"/>
              </w:tabs>
              <w:jc w:val="both"/>
              <w:rPr>
                <w:rFonts w:ascii="Times New Roman" w:hAnsi="Times New Roman"/>
                <w:noProof/>
                <w:sz w:val="24"/>
                <w:lang w:val="en-US"/>
              </w:rPr>
            </w:pPr>
            <w:r w:rsidRPr="005A2D50">
              <w:rPr>
                <w:rFonts w:ascii="Times New Roman" w:hAnsi="Times New Roman"/>
                <w:noProof/>
                <w:sz w:val="24"/>
                <w:lang w:val="en-US"/>
              </w:rPr>
              <w:t>H</w:t>
            </w:r>
          </w:p>
          <w:p w14:paraId="19591F87" w14:textId="77777777" w:rsidR="005A2D50" w:rsidRPr="005A2D50" w:rsidRDefault="005A2D50" w:rsidP="00F14166">
            <w:pPr>
              <w:pStyle w:val="TableParagraph"/>
              <w:tabs>
                <w:tab w:val="left" w:pos="7342"/>
              </w:tabs>
              <w:jc w:val="both"/>
              <w:rPr>
                <w:rFonts w:ascii="Times New Roman" w:eastAsia="Times New Roman" w:hAnsi="Times New Roman" w:cs="Times New Roman"/>
                <w:noProof/>
                <w:sz w:val="24"/>
                <w:szCs w:val="24"/>
                <w:lang w:val="en-US"/>
              </w:rPr>
            </w:pPr>
          </w:p>
        </w:tc>
      </w:tr>
      <w:tr w:rsidR="005A2D50" w:rsidRPr="005A2D50" w14:paraId="4DDBFDC9" w14:textId="77777777" w:rsidTr="00F14166">
        <w:tc>
          <w:tcPr>
            <w:tcW w:w="1240" w:type="pct"/>
          </w:tcPr>
          <w:p w14:paraId="2EFC7955"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DE 99 03 000 000 –</w:t>
            </w:r>
          </w:p>
          <w:p w14:paraId="26C77EAF" w14:textId="77777777" w:rsidR="005A2D50" w:rsidRPr="005A2D50" w:rsidRDefault="005A2D50" w:rsidP="00F14166">
            <w:pPr>
              <w:pStyle w:val="TableParagraph"/>
              <w:jc w:val="both"/>
              <w:rPr>
                <w:rFonts w:ascii="Times New Roman" w:eastAsia="Times New Roman" w:hAnsi="Times New Roman" w:cs="Times New Roman"/>
                <w:noProof/>
                <w:sz w:val="24"/>
                <w:szCs w:val="24"/>
                <w:lang w:val="en-US"/>
              </w:rPr>
            </w:pPr>
          </w:p>
          <w:p w14:paraId="4E53BA05"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Galvojuma atsauce</w:t>
            </w:r>
          </w:p>
        </w:tc>
        <w:tc>
          <w:tcPr>
            <w:tcW w:w="3760" w:type="pct"/>
            <w:gridSpan w:val="2"/>
            <w:tcBorders>
              <w:top w:val="single" w:sz="4" w:space="0" w:color="auto"/>
            </w:tcBorders>
          </w:tcPr>
          <w:p w14:paraId="7D141F5D"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Datu elements ir nepieciešams muitas deklarācijām.</w:t>
            </w:r>
          </w:p>
          <w:p w14:paraId="080432EB" w14:textId="77777777" w:rsidR="005A2D50" w:rsidRPr="005A2D50" w:rsidRDefault="005A2D50" w:rsidP="00F14166">
            <w:pPr>
              <w:pStyle w:val="TableParagraph"/>
              <w:jc w:val="both"/>
              <w:rPr>
                <w:rFonts w:ascii="Times New Roman" w:hAnsi="Times New Roman" w:cs="Times New Roman"/>
                <w:noProof/>
                <w:sz w:val="24"/>
                <w:szCs w:val="24"/>
                <w:lang w:val="en-US"/>
              </w:rPr>
            </w:pPr>
          </w:p>
          <w:p w14:paraId="242205DD" w14:textId="77777777" w:rsidR="005A2D50" w:rsidRPr="005A2D50" w:rsidRDefault="005A2D50" w:rsidP="00F14166">
            <w:pPr>
              <w:pStyle w:val="TableParagraph"/>
              <w:ind w:left="261"/>
              <w:jc w:val="both"/>
              <w:rPr>
                <w:rFonts w:ascii="Times New Roman" w:hAnsi="Times New Roman"/>
                <w:noProof/>
                <w:sz w:val="24"/>
                <w:lang w:val="en-US"/>
              </w:rPr>
            </w:pPr>
            <w:r w:rsidRPr="005A2D50">
              <w:rPr>
                <w:rFonts w:ascii="Times New Roman" w:hAnsi="Times New Roman"/>
                <w:noProof/>
                <w:sz w:val="24"/>
                <w:lang w:val="en-US"/>
              </w:rPr>
              <w:t>“Norādiet operācijai izmantotā galvojuma atsauces numuru un, ja atbilstīgi, pieejas kodu un galvojuma muitas iestādi.”</w:t>
            </w:r>
          </w:p>
          <w:p w14:paraId="4847B45E" w14:textId="77777777" w:rsidR="005A2D50" w:rsidRPr="005A2D50" w:rsidRDefault="005A2D50" w:rsidP="00F14166">
            <w:pPr>
              <w:pStyle w:val="TableParagraph"/>
              <w:jc w:val="both"/>
              <w:rPr>
                <w:rFonts w:ascii="Times New Roman" w:eastAsia="Times New Roman" w:hAnsi="Times New Roman" w:cs="Times New Roman"/>
                <w:noProof/>
                <w:sz w:val="24"/>
                <w:szCs w:val="24"/>
                <w:lang w:val="en-US"/>
              </w:rPr>
            </w:pPr>
          </w:p>
          <w:p w14:paraId="01DF6620"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Datu elements ir obligāts, un tas norāda uz operācijai izmantotā galvojuma atsauces numuru un, ja atbilstīgi, pieejas kodu un galvojuma muitas iestādi. SMK ĪA skaidrots, ka šā d. e. kardinalitāte ir “99x”, un tajā jāsniedz šāda informācija:</w:t>
            </w:r>
          </w:p>
          <w:p w14:paraId="725D8348" w14:textId="77777777" w:rsidR="005A2D50" w:rsidRPr="005A2D50" w:rsidRDefault="005A2D50" w:rsidP="00F14166">
            <w:pPr>
              <w:pStyle w:val="TableParagraph"/>
              <w:jc w:val="both"/>
              <w:rPr>
                <w:rFonts w:ascii="Times New Roman" w:eastAsia="Times New Roman" w:hAnsi="Times New Roman" w:cs="Times New Roman"/>
                <w:noProof/>
                <w:sz w:val="24"/>
                <w:szCs w:val="24"/>
                <w:lang w:val="en-US"/>
              </w:rPr>
            </w:pPr>
          </w:p>
          <w:p w14:paraId="08826111" w14:textId="77777777" w:rsidR="005A2D50" w:rsidRPr="005A2D50" w:rsidRDefault="005A2D50" w:rsidP="00F14166">
            <w:pPr>
              <w:pStyle w:val="ListParagraph"/>
              <w:numPr>
                <w:ilvl w:val="0"/>
                <w:numId w:val="13"/>
              </w:numPr>
              <w:tabs>
                <w:tab w:val="left" w:pos="686"/>
              </w:tabs>
              <w:ind w:left="119" w:firstLine="0"/>
              <w:jc w:val="both"/>
              <w:rPr>
                <w:rFonts w:ascii="Times New Roman" w:hAnsi="Times New Roman" w:cs="Times New Roman"/>
                <w:noProof/>
                <w:sz w:val="24"/>
                <w:szCs w:val="24"/>
                <w:lang w:val="en-US"/>
              </w:rPr>
            </w:pPr>
            <w:r w:rsidRPr="005A2D50">
              <w:rPr>
                <w:rFonts w:ascii="Times New Roman" w:hAnsi="Times New Roman"/>
                <w:i/>
                <w:iCs/>
                <w:noProof/>
                <w:sz w:val="24"/>
                <w:lang w:val="en-US"/>
              </w:rPr>
              <w:t xml:space="preserve">GRN </w:t>
            </w:r>
            <w:r w:rsidRPr="005A2D50">
              <w:rPr>
                <w:rFonts w:ascii="Times New Roman" w:hAnsi="Times New Roman"/>
                <w:noProof/>
                <w:sz w:val="24"/>
                <w:lang w:val="en-US"/>
              </w:rPr>
              <w:t>vai citas atsauces uz galvojumu un pieejas kods;</w:t>
            </w:r>
          </w:p>
          <w:p w14:paraId="0CD26F9E" w14:textId="77777777" w:rsidR="005A2D50" w:rsidRPr="005A2D50" w:rsidRDefault="005A2D50" w:rsidP="00F14166">
            <w:pPr>
              <w:pStyle w:val="ListParagraph"/>
              <w:numPr>
                <w:ilvl w:val="0"/>
                <w:numId w:val="13"/>
              </w:numPr>
              <w:tabs>
                <w:tab w:val="left" w:pos="686"/>
              </w:tabs>
              <w:ind w:left="119" w:firstLine="0"/>
              <w:jc w:val="both"/>
              <w:rPr>
                <w:rFonts w:ascii="Times New Roman" w:hAnsi="Times New Roman"/>
                <w:noProof/>
                <w:sz w:val="24"/>
                <w:lang w:val="en-US"/>
              </w:rPr>
            </w:pPr>
            <w:r w:rsidRPr="005A2D50">
              <w:rPr>
                <w:rFonts w:ascii="Times New Roman" w:hAnsi="Times New Roman"/>
                <w:noProof/>
                <w:sz w:val="24"/>
                <w:lang w:val="en-US"/>
              </w:rPr>
              <w:t>valūtas kods un ievedmuitas un izvedmuitas nodokļa summa un tad, ja piemēro Kodeksa 89. panta 2. punkta pirmo daļu, pārējie maksājumi;</w:t>
            </w:r>
          </w:p>
          <w:p w14:paraId="0010BAD9" w14:textId="77777777" w:rsidR="005A2D50" w:rsidRPr="005A2D50" w:rsidRDefault="005A2D50" w:rsidP="00F14166">
            <w:pPr>
              <w:pStyle w:val="ListParagraph"/>
              <w:numPr>
                <w:ilvl w:val="0"/>
                <w:numId w:val="13"/>
              </w:numPr>
              <w:tabs>
                <w:tab w:val="left" w:pos="686"/>
              </w:tabs>
              <w:ind w:left="119" w:firstLine="0"/>
              <w:jc w:val="both"/>
              <w:rPr>
                <w:rFonts w:ascii="Times New Roman" w:hAnsi="Times New Roman"/>
                <w:i/>
                <w:iCs/>
                <w:noProof/>
                <w:sz w:val="24"/>
                <w:lang w:val="en-US"/>
              </w:rPr>
            </w:pPr>
            <w:r w:rsidRPr="005A2D50">
              <w:rPr>
                <w:rFonts w:ascii="Times New Roman" w:hAnsi="Times New Roman"/>
                <w:i/>
                <w:iCs/>
                <w:noProof/>
                <w:sz w:val="24"/>
                <w:lang w:val="en-US"/>
              </w:rPr>
              <w:t>COG.</w:t>
            </w:r>
          </w:p>
          <w:p w14:paraId="1CDCBE06" w14:textId="77777777" w:rsidR="005A2D50" w:rsidRPr="005A2D50" w:rsidRDefault="005A2D50" w:rsidP="00F14166">
            <w:pPr>
              <w:pStyle w:val="ListParagraph"/>
              <w:tabs>
                <w:tab w:val="left" w:pos="463"/>
              </w:tabs>
              <w:jc w:val="both"/>
              <w:rPr>
                <w:rFonts w:ascii="Times New Roman" w:hAnsi="Times New Roman" w:cs="Times New Roman"/>
                <w:noProof/>
                <w:sz w:val="24"/>
                <w:szCs w:val="24"/>
                <w:lang w:val="en-US"/>
              </w:rPr>
            </w:pPr>
          </w:p>
          <w:p w14:paraId="5B729F95"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i/>
                <w:iCs/>
                <w:noProof/>
                <w:sz w:val="24"/>
                <w:lang w:val="en-US"/>
              </w:rPr>
              <w:t xml:space="preserve">GRN </w:t>
            </w:r>
            <w:r w:rsidRPr="005A2D50">
              <w:rPr>
                <w:rFonts w:ascii="Times New Roman" w:hAnsi="Times New Roman"/>
                <w:noProof/>
                <w:sz w:val="24"/>
                <w:lang w:val="en-US"/>
              </w:rPr>
              <w:t>ir nepieciešams galvojumiem, kas ir derīgi vairāk nekā vienā dalībvalstī (SMK ĪA 154. pants).</w:t>
            </w:r>
          </w:p>
          <w:p w14:paraId="5760EF78" w14:textId="77777777" w:rsidR="005A2D50" w:rsidRPr="005A2D50" w:rsidRDefault="005A2D50" w:rsidP="00F14166">
            <w:pPr>
              <w:pStyle w:val="TableParagraph"/>
              <w:jc w:val="both"/>
              <w:rPr>
                <w:rFonts w:ascii="Times New Roman" w:eastAsia="Times New Roman" w:hAnsi="Times New Roman" w:cs="Times New Roman"/>
                <w:noProof/>
                <w:sz w:val="24"/>
                <w:szCs w:val="24"/>
                <w:lang w:val="en-US"/>
              </w:rPr>
            </w:pPr>
            <w:r w:rsidRPr="005A2D50">
              <w:rPr>
                <w:rFonts w:ascii="Times New Roman" w:hAnsi="Times New Roman"/>
                <w:noProof/>
                <w:sz w:val="24"/>
                <w:lang w:val="en-US"/>
              </w:rPr>
              <w:t xml:space="preserve">Ja galvojums ir derīgs tikai vienā dalībvalstī, “citas atsauces uz galvojumu” var </w:t>
            </w:r>
            <w:r w:rsidRPr="005A2D50">
              <w:rPr>
                <w:rFonts w:ascii="Times New Roman" w:hAnsi="Times New Roman"/>
                <w:i/>
                <w:iCs/>
                <w:noProof/>
                <w:sz w:val="24"/>
                <w:lang w:val="en-US"/>
              </w:rPr>
              <w:t xml:space="preserve">GRN </w:t>
            </w:r>
            <w:r w:rsidRPr="005A2D50">
              <w:rPr>
                <w:rFonts w:ascii="Times New Roman" w:hAnsi="Times New Roman"/>
                <w:noProof/>
                <w:sz w:val="24"/>
                <w:lang w:val="en-US"/>
              </w:rPr>
              <w:t>vietā izmantot deklarācijā iekļautajam datu elementam 99 03 000 000, kā norādīts šā datu elementa aprakstā, kas sniegts SMK ĪA B pielikumā, atkarībā no attiecīgās dalībvalsts galvojumu pārvaldības sistēmas specifikācijām.</w:t>
            </w:r>
          </w:p>
          <w:p w14:paraId="3CCFAE5A" w14:textId="77777777" w:rsidR="005A2D50" w:rsidRPr="005A2D50" w:rsidRDefault="005A2D50" w:rsidP="00F14166">
            <w:pPr>
              <w:pStyle w:val="TableParagraph"/>
              <w:jc w:val="both"/>
              <w:rPr>
                <w:rFonts w:ascii="Times New Roman" w:hAnsi="Times New Roman" w:cs="Times New Roman"/>
                <w:noProof/>
                <w:sz w:val="24"/>
                <w:szCs w:val="24"/>
                <w:lang w:val="en-US"/>
              </w:rPr>
            </w:pPr>
            <w:r w:rsidRPr="005A2D50">
              <w:rPr>
                <w:rFonts w:ascii="Times New Roman" w:hAnsi="Times New Roman"/>
                <w:noProof/>
                <w:sz w:val="24"/>
                <w:lang w:val="en-US"/>
              </w:rPr>
              <w:t xml:space="preserve">Galvojuma esību un derīgumu </w:t>
            </w:r>
            <w:r w:rsidRPr="005A2D50">
              <w:rPr>
                <w:rFonts w:ascii="Times New Roman" w:hAnsi="Times New Roman"/>
                <w:i/>
                <w:iCs/>
                <w:noProof/>
                <w:sz w:val="24"/>
                <w:lang w:val="en-US"/>
              </w:rPr>
              <w:t xml:space="preserve">CA </w:t>
            </w:r>
            <w:r w:rsidRPr="005A2D50">
              <w:rPr>
                <w:rFonts w:ascii="Times New Roman" w:hAnsi="Times New Roman"/>
                <w:noProof/>
                <w:sz w:val="24"/>
                <w:lang w:val="en-US"/>
              </w:rPr>
              <w:t xml:space="preserve">pārbauda katru reizi, kad uzņēmējs sniedz </w:t>
            </w:r>
            <w:r w:rsidRPr="005A2D50">
              <w:rPr>
                <w:rFonts w:ascii="Times New Roman" w:hAnsi="Times New Roman"/>
                <w:i/>
                <w:iCs/>
                <w:noProof/>
                <w:sz w:val="24"/>
                <w:lang w:val="en-US"/>
              </w:rPr>
              <w:t xml:space="preserve">GRN </w:t>
            </w:r>
            <w:r w:rsidRPr="005A2D50">
              <w:rPr>
                <w:rFonts w:ascii="Times New Roman" w:hAnsi="Times New Roman"/>
                <w:noProof/>
                <w:sz w:val="24"/>
                <w:lang w:val="en-US"/>
              </w:rPr>
              <w:t xml:space="preserve">vai citu atsauci uz galvojumu (D. e. 99 03 000 000 B pielikumā), izmantojot muitas deklarāciju (SMK ĪA 154. panta 3. punkts). Attiecībā uz īpašo procedūru (kas nav tranzīts) atsauces summas daļas pārraudzību nodrošina ar regulāru un atbilstošu revīziju. Tātad </w:t>
            </w:r>
            <w:r w:rsidRPr="005A2D50">
              <w:rPr>
                <w:rFonts w:ascii="Times New Roman" w:hAnsi="Times New Roman"/>
                <w:i/>
                <w:iCs/>
                <w:noProof/>
                <w:sz w:val="24"/>
                <w:lang w:val="en-US"/>
              </w:rPr>
              <w:t xml:space="preserve">CA </w:t>
            </w:r>
            <w:r w:rsidRPr="005A2D50">
              <w:rPr>
                <w:rFonts w:ascii="Times New Roman" w:hAnsi="Times New Roman"/>
                <w:noProof/>
                <w:sz w:val="24"/>
                <w:lang w:val="en-US"/>
              </w:rPr>
              <w:t xml:space="preserve">ir tikai jāpārbauda </w:t>
            </w:r>
            <w:r w:rsidRPr="005A2D50">
              <w:rPr>
                <w:rFonts w:ascii="Times New Roman" w:hAnsi="Times New Roman"/>
                <w:i/>
                <w:iCs/>
                <w:noProof/>
                <w:sz w:val="24"/>
                <w:lang w:val="en-US"/>
              </w:rPr>
              <w:t xml:space="preserve">GRN </w:t>
            </w:r>
            <w:r w:rsidRPr="005A2D50">
              <w:rPr>
                <w:rFonts w:ascii="Times New Roman" w:hAnsi="Times New Roman"/>
                <w:noProof/>
                <w:sz w:val="24"/>
                <w:lang w:val="en-US"/>
              </w:rPr>
              <w:t>vai citas atsauces uz galvojumu esība un derīgums.</w:t>
            </w:r>
          </w:p>
          <w:p w14:paraId="066091C8"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 xml:space="preserve">Attiecībā uz atbrīvojumu no galvojuma saskaņā ar SMK 89. panta 7. un 8. punktu muitas dienesti var sniegt īpašu </w:t>
            </w:r>
            <w:r w:rsidRPr="005A2D50">
              <w:rPr>
                <w:rFonts w:ascii="Times New Roman" w:hAnsi="Times New Roman"/>
                <w:i/>
                <w:iCs/>
                <w:noProof/>
                <w:sz w:val="24"/>
                <w:lang w:val="en-US"/>
              </w:rPr>
              <w:t xml:space="preserve">GRN </w:t>
            </w:r>
            <w:r w:rsidRPr="005A2D50">
              <w:rPr>
                <w:rFonts w:ascii="Times New Roman" w:hAnsi="Times New Roman"/>
                <w:noProof/>
                <w:sz w:val="24"/>
                <w:lang w:val="en-US"/>
              </w:rPr>
              <w:t>(vai citu īpašu atsauci), lai muitas deklarācijā izpildītu šā datu elementa obligāto prasību (t. i., norāde uz kodu 8 vai “C” līdz “G” un “R” attiecībā uz d. e. 99 02 000 000 B pielikumā). SMK ĪA A un B pielikumos noteiktais šā datu elementa formāts ir saistošs. To varētu piemērot arī gadījumos, kad “erga omnes” nodokļa likme ir nulle un prasītā galvojuma atsauces summa ir nulle.</w:t>
            </w:r>
          </w:p>
          <w:p w14:paraId="41C56C64"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Pretēji minētajam, ja atbrīvojums no galvojuma tiek piešķirts saskaņā ar SMK 95. panta 2. punktu</w:t>
            </w:r>
            <w:r w:rsidRPr="005A2D50">
              <w:rPr>
                <w:rFonts w:ascii="Times New Roman" w:eastAsia="Times New Roman" w:hAnsi="Times New Roman" w:cs="Times New Roman"/>
                <w:noProof/>
                <w:sz w:val="24"/>
                <w:szCs w:val="24"/>
                <w:vertAlign w:val="superscript"/>
                <w:lang w:val="en-US"/>
              </w:rPr>
              <w:footnoteReference w:id="27"/>
            </w:r>
            <w:r w:rsidRPr="005A2D50">
              <w:rPr>
                <w:rFonts w:ascii="Times New Roman" w:eastAsia="Times New Roman" w:hAnsi="Times New Roman" w:cs="Times New Roman"/>
                <w:noProof/>
                <w:sz w:val="24"/>
                <w:szCs w:val="24"/>
                <w:vertAlign w:val="superscript"/>
                <w:lang w:val="en-US"/>
              </w:rPr>
              <w:t xml:space="preserve"> </w:t>
            </w:r>
            <w:r w:rsidRPr="005A2D50">
              <w:rPr>
                <w:rFonts w:ascii="Times New Roman" w:hAnsi="Times New Roman"/>
                <w:noProof/>
                <w:sz w:val="24"/>
                <w:lang w:val="en-US"/>
              </w:rPr>
              <w:t xml:space="preserve">(atsauces summa &gt; 0), muitas iestādei ir jāizsniedz un jāpaziņo regulārs </w:t>
            </w:r>
            <w:r w:rsidRPr="005A2D50">
              <w:rPr>
                <w:rFonts w:ascii="Times New Roman" w:hAnsi="Times New Roman"/>
                <w:i/>
                <w:iCs/>
                <w:noProof/>
                <w:sz w:val="24"/>
                <w:lang w:val="en-US"/>
              </w:rPr>
              <w:t xml:space="preserve">GRN </w:t>
            </w:r>
            <w:r w:rsidRPr="005A2D50">
              <w:rPr>
                <w:rFonts w:ascii="Times New Roman" w:hAnsi="Times New Roman"/>
                <w:noProof/>
                <w:sz w:val="24"/>
                <w:lang w:val="en-US"/>
              </w:rPr>
              <w:t>numurs (vai cita atsauce), jo atsauces summa ir jāpārrauga (tā ir noteikta, un to nedrīkst pārsniegt). Tas attiecas arī uz galvojuma tipa kodu “5”</w:t>
            </w:r>
            <w:r w:rsidRPr="005A2D50">
              <w:rPr>
                <w:rStyle w:val="FootnoteReference"/>
                <w:rFonts w:ascii="Times New Roman" w:eastAsia="Times New Roman" w:hAnsi="Times New Roman" w:cs="Times New Roman"/>
                <w:noProof/>
                <w:sz w:val="24"/>
                <w:szCs w:val="24"/>
                <w:lang w:val="en-US"/>
              </w:rPr>
              <w:footnoteReference w:id="28"/>
            </w:r>
            <w:r w:rsidRPr="005A2D50">
              <w:rPr>
                <w:rFonts w:ascii="Times New Roman" w:hAnsi="Times New Roman"/>
                <w:noProof/>
                <w:sz w:val="24"/>
                <w:lang w:val="en-US"/>
              </w:rPr>
              <w:t xml:space="preserve"> (d. e. 99 02 000 000 B pielikumā).</w:t>
            </w:r>
          </w:p>
        </w:tc>
      </w:tr>
    </w:tbl>
    <w:p w14:paraId="0BA3F079" w14:textId="77777777" w:rsidR="005A2D50" w:rsidRPr="005A2D50" w:rsidRDefault="005A2D50" w:rsidP="005A2D50">
      <w:pPr>
        <w:jc w:val="both"/>
        <w:rPr>
          <w:rFonts w:ascii="Times New Roman" w:eastAsia="Times New Roman" w:hAnsi="Times New Roman" w:cs="Times New Roman"/>
          <w:noProof/>
          <w:sz w:val="24"/>
          <w:szCs w:val="24"/>
          <w:lang w:val="en-US"/>
        </w:rPr>
      </w:pPr>
    </w:p>
    <w:p w14:paraId="2B4D0D60" w14:textId="77777777" w:rsidR="005A2D50" w:rsidRPr="005A2D50" w:rsidRDefault="005A2D50" w:rsidP="005A2D50">
      <w:pPr>
        <w:jc w:val="both"/>
        <w:rPr>
          <w:rFonts w:ascii="Times New Roman" w:hAnsi="Times New Roman"/>
          <w:i/>
          <w:noProof/>
          <w:sz w:val="24"/>
          <w:u w:val="single" w:color="000000"/>
          <w:lang w:val="en-US"/>
        </w:rPr>
      </w:pPr>
      <w:r w:rsidRPr="005A2D50">
        <w:rPr>
          <w:rFonts w:ascii="Times New Roman" w:hAnsi="Times New Roman"/>
          <w:i/>
          <w:noProof/>
          <w:sz w:val="24"/>
          <w:u w:val="single" w:color="000000"/>
          <w:lang w:val="en-US"/>
        </w:rPr>
        <w:t>Pienākums datu elementus 99 02 000 000 un 99 03 000 000 (Galvojuma veids un Galvojuma atsauce) uzrādīt deleģētā akta B pielikumā deklarācijas galvenē procedūrām H1, H3, H4, H6 (attiecīgi laišana brīvā apgrozībā un galapatēriņam, pagaidu ievešana, ievešana pārstrādei, pasta satiksme laišanai brīvā apgrozībā).</w:t>
      </w:r>
    </w:p>
    <w:p w14:paraId="4606F74A" w14:textId="77777777" w:rsidR="005A2D50" w:rsidRPr="005A2D50" w:rsidRDefault="005A2D50" w:rsidP="005A2D50">
      <w:pPr>
        <w:jc w:val="both"/>
        <w:rPr>
          <w:rFonts w:ascii="Times New Roman" w:eastAsia="Times New Roman" w:hAnsi="Times New Roman" w:cs="Times New Roman"/>
          <w:noProof/>
          <w:sz w:val="24"/>
          <w:szCs w:val="24"/>
          <w:lang w:val="en-US"/>
        </w:rPr>
      </w:pPr>
      <w:r w:rsidRPr="005A2D50">
        <w:rPr>
          <w:rFonts w:ascii="Times New Roman" w:hAnsi="Times New Roman"/>
          <w:i/>
          <w:noProof/>
          <w:sz w:val="24"/>
          <w:lang w:val="en-US"/>
        </w:rPr>
        <w:t xml:space="preserve">Tas norādīts SMK DA B pielikumā, piemērojot iepriekš minētās procedūras, datu elementu </w:t>
      </w:r>
      <w:r w:rsidRPr="005A2D50">
        <w:rPr>
          <w:rFonts w:ascii="Times New Roman" w:hAnsi="Times New Roman"/>
          <w:i/>
          <w:noProof/>
          <w:sz w:val="24"/>
          <w:u w:val="single"/>
          <w:lang w:val="en-US"/>
        </w:rPr>
        <w:t xml:space="preserve">99 02 000 000 </w:t>
      </w:r>
      <w:r w:rsidRPr="005A2D50">
        <w:rPr>
          <w:rFonts w:ascii="Times New Roman" w:hAnsi="Times New Roman"/>
          <w:i/>
          <w:noProof/>
          <w:sz w:val="24"/>
          <w:lang w:val="en-US"/>
        </w:rPr>
        <w:t>un 99 03 000 000 atzīmēšana ar burtu “A” norāda, ka deklarācijā, kas iesniegta saistībā ar šīm muitas procedūrām, šie datu elementi ir obligāti.</w:t>
      </w:r>
    </w:p>
    <w:p w14:paraId="14499C71" w14:textId="77777777" w:rsidR="005A2D50" w:rsidRPr="005A2D50" w:rsidRDefault="005A2D50" w:rsidP="005A2D50">
      <w:pPr>
        <w:jc w:val="both"/>
        <w:rPr>
          <w:rFonts w:ascii="Times New Roman" w:hAnsi="Times New Roman"/>
          <w:i/>
          <w:noProof/>
          <w:sz w:val="24"/>
          <w:lang w:val="en-US"/>
        </w:rPr>
      </w:pPr>
      <w:r w:rsidRPr="005A2D50">
        <w:rPr>
          <w:rFonts w:ascii="Times New Roman" w:hAnsi="Times New Roman"/>
          <w:i/>
          <w:noProof/>
          <w:sz w:val="24"/>
          <w:lang w:val="en-US"/>
        </w:rPr>
        <w:t>Tomēr saskaņā ar B pielikuma 3. ievadpiezīmi ““A”, “B” vai “C” simboli, kas uzskaitīti 2. nodaļas 3. iedaļā, neietekmē to, ka konkrētus datus vāc tikai pamatotos apstākļos”. Piemēram, papildvienības (statuss “A”) tiek vāktas tikai tad, ja to prasa TARIC. Ja galvojumu neprasa saskaņā ar SMK 89. panta 7. punktu un 89. panta 8. punktu, GRN nav jānorāda obligāti – galvojuma veids 8 vai “C” līdz “G” un “R” (d. e. 8/2).</w:t>
      </w:r>
    </w:p>
    <w:p w14:paraId="67034442" w14:textId="77777777" w:rsidR="005A2D50" w:rsidRPr="005A2D50" w:rsidRDefault="005A2D50" w:rsidP="005A2D50">
      <w:pPr>
        <w:jc w:val="both"/>
        <w:rPr>
          <w:rFonts w:ascii="Times New Roman" w:hAnsi="Times New Roman"/>
          <w:i/>
          <w:noProof/>
          <w:sz w:val="24"/>
          <w:lang w:val="en-US"/>
        </w:rPr>
      </w:pPr>
      <w:r w:rsidRPr="005A2D50">
        <w:rPr>
          <w:rFonts w:ascii="Times New Roman" w:hAnsi="Times New Roman"/>
          <w:i/>
          <w:noProof/>
          <w:sz w:val="24"/>
          <w:lang w:val="en-US"/>
        </w:rPr>
        <w:t>Kā norādīts turpmāk, dažos gadījumos datu elementi 99 02 000 000 un 99 03 000 000 deklarācijās ar H1, H3, H4 un H6 profilu varētu būt lieki (no datu pārbaudes viedokļa). Šo datu iesniegšana un pārbaude varētu radīt slogu gan deklarētājam, gan muitai.</w:t>
      </w:r>
    </w:p>
    <w:p w14:paraId="035E9470" w14:textId="77777777" w:rsidR="005A2D50" w:rsidRPr="005A2D50" w:rsidRDefault="005A2D50" w:rsidP="005A2D50">
      <w:pPr>
        <w:jc w:val="both"/>
        <w:rPr>
          <w:rFonts w:ascii="Times New Roman" w:hAnsi="Times New Roman"/>
          <w:i/>
          <w:noProof/>
          <w:sz w:val="24"/>
          <w:lang w:val="en-US"/>
        </w:rPr>
      </w:pPr>
      <w:r w:rsidRPr="005A2D50">
        <w:rPr>
          <w:rFonts w:ascii="Times New Roman" w:hAnsi="Times New Roman"/>
          <w:i/>
          <w:noProof/>
          <w:sz w:val="24"/>
          <w:lang w:val="en-US"/>
        </w:rPr>
        <w:t>Piemēram, ja CA pieņem deklarāciju īpašām procedūrām, deklarēšanas sistēma pārbauda muitas lēmumu pārvaldības sistēmas (CDMS) atļaujas esību un derīgumu. Šajā nolūkā deklarācijā ir norādīts obligātais d. e. 12 12 080 000 (atļaujas turētājs). Turklāt SPE atļauja nevar būt derīga, ja nav sniegts prasītais pamata galvojums. Atļaujas derīgums nozīmē arī to, ka šīs procedūras galvojums ir derīgs. Vēl ir jānovērtē, vai šo datu elementu neesība deklarācijā negatīvi neietekmē atsauces summas pārraudzību. Tomēr šos d. e. ieteicams iekļaut deklarācijā vismaz šādam mērķim.</w:t>
      </w:r>
    </w:p>
    <w:p w14:paraId="5E7134D9" w14:textId="77777777" w:rsidR="005A2D50" w:rsidRPr="005A2D50" w:rsidRDefault="005A2D50" w:rsidP="005A2D50">
      <w:pPr>
        <w:jc w:val="both"/>
        <w:rPr>
          <w:rFonts w:ascii="Times New Roman" w:hAnsi="Times New Roman"/>
          <w:i/>
          <w:noProof/>
          <w:sz w:val="24"/>
          <w:lang w:val="en-US"/>
        </w:rPr>
      </w:pPr>
      <w:r w:rsidRPr="005A2D50">
        <w:rPr>
          <w:rFonts w:ascii="Times New Roman" w:hAnsi="Times New Roman"/>
          <w:i/>
          <w:noProof/>
          <w:sz w:val="24"/>
          <w:lang w:val="en-US"/>
        </w:rPr>
        <w:t>Datu elements 99 02 000 000 un 99 03 000 000 ir noteikti jānorāda H1, H3 un H4 profilu deklarācijās, ja saskaņā ar SMK DA 163. pantu muitas deklarāciju uzskata par atļaujas pieteikumu ar nosacījumu, ka to papildina ar papildu datu elementiem, kā noteikts A pielikumā.</w:t>
      </w:r>
    </w:p>
    <w:p w14:paraId="38055075" w14:textId="77777777" w:rsidR="005A2D50" w:rsidRPr="005A2D50" w:rsidRDefault="005A2D50" w:rsidP="005A2D50">
      <w:pPr>
        <w:jc w:val="both"/>
        <w:rPr>
          <w:rFonts w:ascii="Times New Roman" w:hAnsi="Times New Roman"/>
          <w:i/>
          <w:noProof/>
          <w:sz w:val="24"/>
          <w:lang w:val="en-US"/>
        </w:rPr>
      </w:pPr>
      <w:r w:rsidRPr="005A2D50">
        <w:rPr>
          <w:rFonts w:ascii="Times New Roman" w:hAnsi="Times New Roman"/>
          <w:i/>
          <w:noProof/>
          <w:sz w:val="24"/>
          <w:lang w:val="en-US"/>
        </w:rPr>
        <w:t>Tomēr 163. panta 2. punkta d) apakšpunktā noteikts: “Muitas deklarāciju neuzskata par pieteikumu atļaujas saņemšanai šādā gadījumā: d) attiecībā uz pieteikumiem tādu atļauju saņemšanai, kuras skar vairāk nekā vienu dalībvalsti, izņemot pagaidu ievešanas atļaujas.” Ņemot vērā šo punktu, var teikt, ka datu elements 99 02 000 000 un 99 03 000 000 B pielikumā var būt nepieciešams un obligāts tikai tad, ja tiek iesniegta deklarācija pagaidu ievešanai vai ja šī operācija ietver vairāk nekā vienu dalībvalsti.</w:t>
      </w:r>
    </w:p>
    <w:p w14:paraId="3EEC7A5C" w14:textId="77777777" w:rsidR="005A2D50" w:rsidRPr="005A2D50" w:rsidRDefault="005A2D50" w:rsidP="005A2D50">
      <w:pPr>
        <w:jc w:val="both"/>
        <w:rPr>
          <w:rFonts w:ascii="Times New Roman" w:hAnsi="Times New Roman"/>
          <w:i/>
          <w:noProof/>
          <w:sz w:val="24"/>
          <w:lang w:val="en-US"/>
        </w:rPr>
      </w:pPr>
      <w:r w:rsidRPr="005A2D50">
        <w:rPr>
          <w:rFonts w:ascii="Times New Roman" w:hAnsi="Times New Roman"/>
          <w:i/>
          <w:noProof/>
          <w:sz w:val="24"/>
          <w:lang w:val="en-US"/>
        </w:rPr>
        <w:t>Tomēr saskaņā ar SMK ĪA 154. panta 3. punktu katru reizi, kad GRN iesniedz deklarētājs, CA ir pienākums muitošanas posmā pārbaudīt galvojuma esību un derīgumu.</w:t>
      </w:r>
    </w:p>
    <w:p w14:paraId="111EFDCE" w14:textId="77777777" w:rsidR="005A2D50" w:rsidRPr="005A2D50" w:rsidRDefault="005A2D50" w:rsidP="005A2D50">
      <w:pPr>
        <w:jc w:val="both"/>
        <w:rPr>
          <w:rFonts w:ascii="Times New Roman" w:hAnsi="Times New Roman"/>
          <w:i/>
          <w:noProof/>
          <w:sz w:val="24"/>
          <w:lang w:val="en-US"/>
        </w:rPr>
      </w:pPr>
      <w:r w:rsidRPr="005A2D50">
        <w:rPr>
          <w:rFonts w:ascii="Times New Roman" w:hAnsi="Times New Roman"/>
          <w:i/>
          <w:noProof/>
          <w:sz w:val="24"/>
          <w:lang w:val="en-US"/>
        </w:rPr>
        <w:t>Dalībvalstis, kurā galvojums ir derīgs, var pieņemt lēmumu atteikties no prasības muitas deklarācijā norādīt šos datu elementus, bet tikai tad, ja galvojums ir derīgs vienā dalībvalstī. Jebkurā gadījumā CA veic galvojuma pārraudzību.</w:t>
      </w:r>
    </w:p>
    <w:p w14:paraId="6CFB8E44" w14:textId="77777777" w:rsidR="005A2D50" w:rsidRPr="005A2D50" w:rsidRDefault="005A2D50" w:rsidP="005A2D50">
      <w:pPr>
        <w:pStyle w:val="BodyText"/>
        <w:rPr>
          <w:lang w:val="en-US"/>
        </w:rPr>
      </w:pPr>
      <w:r w:rsidRPr="005A2D50">
        <w:rPr>
          <w:lang w:val="en-US"/>
        </w:rPr>
        <w:t xml:space="preserve">D. e. 8/6, 8/7 (A pielikums) un 99 02 000 000, 99 03 000 000 (B pielikums) dara pieejamus tikai tad, ja prasīto galvojumu sniedz un muita to pieņem. Šī informācija ir jāuzglabā un ar to jāapmainās </w:t>
      </w:r>
      <w:r w:rsidRPr="005A2D50">
        <w:rPr>
          <w:i/>
          <w:iCs/>
          <w:lang w:val="en-US"/>
        </w:rPr>
        <w:t xml:space="preserve">GUM </w:t>
      </w:r>
      <w:r w:rsidRPr="005A2D50">
        <w:rPr>
          <w:lang w:val="en-US"/>
        </w:rPr>
        <w:t>ar citām attiecīgajām IT lietotnēm (</w:t>
      </w:r>
      <w:r w:rsidRPr="005A2D50">
        <w:rPr>
          <w:i/>
          <w:iCs/>
          <w:lang w:val="en-US"/>
        </w:rPr>
        <w:t xml:space="preserve">CDS </w:t>
      </w:r>
      <w:r w:rsidRPr="005A2D50">
        <w:rPr>
          <w:lang w:val="en-US"/>
        </w:rPr>
        <w:t xml:space="preserve">atļaujām, kam nepieciešams galvojums, un Muitas deklarāciju sistēmām). Līdz </w:t>
      </w:r>
      <w:r w:rsidRPr="005A2D50">
        <w:rPr>
          <w:i/>
          <w:iCs/>
          <w:lang w:val="en-US"/>
        </w:rPr>
        <w:t xml:space="preserve">GUM </w:t>
      </w:r>
      <w:r w:rsidRPr="005A2D50">
        <w:rPr>
          <w:lang w:val="en-US"/>
        </w:rPr>
        <w:t xml:space="preserve">ieviešanai muitas dienesti var izmantot brīvo tekstlodziņu (lauku) d. e. VI/5 (“atsauces summa”), kas iekļauts SMK DA A pielikuma VI sadaļā, lai norādītu, kā tika noteikta atsauces summa, atsauces summas dažādās daļas un atbilstīgie </w:t>
      </w:r>
      <w:r w:rsidRPr="005A2D50">
        <w:rPr>
          <w:i/>
          <w:iCs/>
          <w:lang w:val="en-US"/>
        </w:rPr>
        <w:t>GRN</w:t>
      </w:r>
      <w:r w:rsidRPr="005A2D50">
        <w:rPr>
          <w:lang w:val="en-US"/>
        </w:rPr>
        <w:t>.</w:t>
      </w:r>
    </w:p>
    <w:p w14:paraId="098DBD05" w14:textId="77777777" w:rsidR="005A2D50" w:rsidRPr="005A2D50" w:rsidRDefault="005A2D50" w:rsidP="005A2D50">
      <w:pPr>
        <w:pStyle w:val="BodyText"/>
        <w:rPr>
          <w:lang w:val="en-US"/>
        </w:rPr>
      </w:pPr>
      <w:r w:rsidRPr="005A2D50">
        <w:rPr>
          <w:lang w:val="en-US"/>
        </w:rPr>
        <w:t xml:space="preserve">Ja dalībvalstīm nav IT lietotnes galvojumu pārvaldībai, var atļaut izmantot procedūru papīra formātā. Tas var būt līdzīgi kā darbības nepārtrauktības procedūrai, ko galvojumu pārvaldībai izmanto tranzīta gadījumos. Šajā nolūkā dokumenti, ko </w:t>
      </w:r>
      <w:r w:rsidRPr="005A2D50">
        <w:rPr>
          <w:i/>
          <w:iCs/>
          <w:lang w:val="en-US"/>
        </w:rPr>
        <w:t xml:space="preserve">CA </w:t>
      </w:r>
      <w:r w:rsidRPr="005A2D50">
        <w:rPr>
          <w:lang w:val="en-US"/>
        </w:rPr>
        <w:t>izsniedz uzņēmējam, var būt SMK ĪA 72-04. pielikuma VI un VII nodaļā norādītajā formā.</w:t>
      </w:r>
    </w:p>
    <w:p w14:paraId="1D99151A" w14:textId="77777777" w:rsidR="005A2D50" w:rsidRPr="005A2D50" w:rsidRDefault="005A2D50" w:rsidP="005A2D50">
      <w:pPr>
        <w:pStyle w:val="BodyText"/>
        <w:rPr>
          <w:lang w:val="en-US"/>
        </w:rPr>
      </w:pPr>
    </w:p>
    <w:p w14:paraId="14CB4756" w14:textId="77777777" w:rsidR="005A2D50" w:rsidRPr="005A2D50" w:rsidRDefault="005A2D50" w:rsidP="005A2D50">
      <w:pPr>
        <w:pStyle w:val="Heading1"/>
        <w:rPr>
          <w:noProof/>
          <w:lang w:val="en-US"/>
        </w:rPr>
      </w:pPr>
      <w:bookmarkStart w:id="170" w:name="VI.3._Consultation_procedure"/>
      <w:bookmarkStart w:id="171" w:name="_bookmark46"/>
      <w:bookmarkStart w:id="172" w:name="_Toc104982804"/>
      <w:bookmarkEnd w:id="170"/>
      <w:bookmarkEnd w:id="171"/>
      <w:r w:rsidRPr="005A2D50">
        <w:rPr>
          <w:noProof/>
          <w:lang w:val="en-US"/>
        </w:rPr>
        <w:t>VI.3. Apspriešanās procedūra</w:t>
      </w:r>
      <w:bookmarkEnd w:id="172"/>
    </w:p>
    <w:p w14:paraId="557C6D42"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21784D9A" w14:textId="77777777" w:rsidR="005A2D50" w:rsidRPr="005A2D50" w:rsidRDefault="005A2D50" w:rsidP="005A2D50">
      <w:pPr>
        <w:pStyle w:val="BodyText"/>
        <w:rPr>
          <w:lang w:val="en-US"/>
        </w:rPr>
      </w:pPr>
      <w:r w:rsidRPr="005A2D50">
        <w:rPr>
          <w:lang w:val="en-US"/>
        </w:rPr>
        <w:t xml:space="preserve">Informācija, ar kuru dalībvalstis apmainās apspriedēs par </w:t>
      </w:r>
      <w:r w:rsidRPr="005A2D50">
        <w:rPr>
          <w:i/>
          <w:iCs/>
          <w:lang w:val="en-US"/>
        </w:rPr>
        <w:t xml:space="preserve">CGU </w:t>
      </w:r>
      <w:r w:rsidRPr="005A2D50">
        <w:rPr>
          <w:lang w:val="en-US"/>
        </w:rPr>
        <w:t xml:space="preserve">atļaujas piešķiršanu, ir daļa no lēmumu pieņemšanas procesa. Pašlaik </w:t>
      </w:r>
      <w:r w:rsidRPr="005A2D50">
        <w:rPr>
          <w:i/>
          <w:iCs/>
          <w:lang w:val="en-US"/>
        </w:rPr>
        <w:t xml:space="preserve">CDS </w:t>
      </w:r>
      <w:r w:rsidRPr="005A2D50">
        <w:rPr>
          <w:lang w:val="en-US"/>
        </w:rPr>
        <w:t xml:space="preserve">nodrošina informācijas apmaiņu un glabāšanu attiecībā uz apspriedēm, kurām jānotiek saskaņā ar Īstenošanas regulas (ES) 2015/2447 14. pantu, tostarp apspriedēm par </w:t>
      </w:r>
      <w:r w:rsidRPr="005A2D50">
        <w:rPr>
          <w:i/>
          <w:iCs/>
          <w:lang w:val="en-US"/>
        </w:rPr>
        <w:t xml:space="preserve">CGU </w:t>
      </w:r>
      <w:r w:rsidRPr="005A2D50">
        <w:rPr>
          <w:lang w:val="en-US"/>
        </w:rPr>
        <w:t>atļaujas piešķiršanu.</w:t>
      </w:r>
    </w:p>
    <w:p w14:paraId="1F45D182" w14:textId="77777777" w:rsidR="005A2D50" w:rsidRPr="005A2D50" w:rsidRDefault="005A2D50" w:rsidP="005A2D50">
      <w:pPr>
        <w:pStyle w:val="BodyText"/>
        <w:rPr>
          <w:lang w:val="en-US"/>
        </w:rPr>
      </w:pPr>
      <w:r w:rsidRPr="005A2D50">
        <w:rPr>
          <w:lang w:val="en-US"/>
        </w:rPr>
        <w:t xml:space="preserve">Uzņēmējam savā pieteikumā </w:t>
      </w:r>
      <w:r w:rsidRPr="005A2D50">
        <w:rPr>
          <w:i/>
          <w:iCs/>
          <w:lang w:val="en-US"/>
        </w:rPr>
        <w:t xml:space="preserve">CGU </w:t>
      </w:r>
      <w:r w:rsidRPr="005A2D50">
        <w:rPr>
          <w:lang w:val="en-US"/>
        </w:rPr>
        <w:t>atļaujas saņemšanai jānorāda, kurās dalībvalstīs un kādā procedūrā plānots izmantot galvojumu, kā arī jānorāda atsauces summa, kas nosakāma saskaņā ar SMK ĪA 155. pantu, lai būtu derīga katrā dalībvalstī.</w:t>
      </w:r>
    </w:p>
    <w:p w14:paraId="5483236B" w14:textId="77777777" w:rsidR="005A2D50" w:rsidRPr="005A2D50" w:rsidRDefault="005A2D50" w:rsidP="005A2D50">
      <w:pPr>
        <w:pStyle w:val="BodyText"/>
        <w:rPr>
          <w:lang w:val="en-US"/>
        </w:rPr>
      </w:pPr>
      <w:r w:rsidRPr="005A2D50">
        <w:rPr>
          <w:lang w:val="en-US"/>
        </w:rPr>
        <w:t xml:space="preserve">Pamatojoties uz šo informāciju, kompetentā iestāde sāk apspriešanās procedūru ar attiecīgo dalībvalstu kontaktpunktiem, lai vienotos par savstarpēji saskaņotu un, ja atbilstīgi, pieņemamu atsauces summas sadalījumu. Saraksts ar muitas dienestu kontaktpunktiem, kas ir atbildīgi par Komisijas 2015. gada 17. decembra Deleģētās regulas (ES) 2016/341 3. panta 2. punktā minēto informācijas apmaiņu, ir pieejams </w:t>
      </w:r>
      <w:r w:rsidRPr="005A2D50">
        <w:rPr>
          <w:i/>
          <w:iCs/>
          <w:lang w:val="en-US"/>
        </w:rPr>
        <w:t xml:space="preserve">EUROPA </w:t>
      </w:r>
      <w:r w:rsidRPr="005A2D50">
        <w:rPr>
          <w:lang w:val="en-US"/>
        </w:rPr>
        <w:t>tīmekļa vietnē.</w:t>
      </w:r>
      <w:r w:rsidRPr="005A2D50">
        <w:rPr>
          <w:rStyle w:val="FootnoteReference"/>
          <w:lang w:val="en-US"/>
        </w:rPr>
        <w:footnoteReference w:id="29"/>
      </w:r>
    </w:p>
    <w:p w14:paraId="45F2ACBE" w14:textId="77777777" w:rsidR="005A2D50" w:rsidRPr="005A2D50" w:rsidRDefault="005A2D50" w:rsidP="005A2D50">
      <w:pPr>
        <w:pStyle w:val="BodyText"/>
        <w:rPr>
          <w:lang w:val="en-US"/>
        </w:rPr>
      </w:pPr>
      <w:r w:rsidRPr="005A2D50">
        <w:rPr>
          <w:lang w:val="en-US"/>
        </w:rPr>
        <w:t>Praksē var rasties turpmāk minētās situācijas.</w:t>
      </w:r>
    </w:p>
    <w:p w14:paraId="09D9CBF2" w14:textId="77777777" w:rsidR="005A2D50" w:rsidRPr="005A2D50" w:rsidRDefault="005A2D50" w:rsidP="005A2D50">
      <w:pPr>
        <w:pStyle w:val="BodyText"/>
        <w:rPr>
          <w:lang w:val="en-US"/>
        </w:rPr>
      </w:pPr>
    </w:p>
    <w:p w14:paraId="0371AB01" w14:textId="77777777" w:rsidR="005A2D50" w:rsidRPr="005A2D50" w:rsidRDefault="005A2D50" w:rsidP="005A2D50">
      <w:pPr>
        <w:pStyle w:val="BodyText"/>
        <w:ind w:left="284"/>
        <w:rPr>
          <w:lang w:val="en-US"/>
        </w:rPr>
      </w:pPr>
      <w:r w:rsidRPr="005A2D50">
        <w:rPr>
          <w:lang w:val="en-US"/>
        </w:rPr>
        <w:t xml:space="preserve">a) Ja vienas </w:t>
      </w:r>
      <w:r w:rsidRPr="005A2D50">
        <w:rPr>
          <w:i/>
          <w:iCs/>
          <w:lang w:val="en-US"/>
        </w:rPr>
        <w:t xml:space="preserve">CGU </w:t>
      </w:r>
      <w:r w:rsidRPr="005A2D50">
        <w:rPr>
          <w:lang w:val="en-US"/>
        </w:rPr>
        <w:t>atļaujas ietvaros divas dažādas dalībvalstis izdos divas dažādas atļaujas īpašām procedūrām, pieteikuma iesniedzējam jānorāda atsauces summa katrai atļaujai veikt īpašu procedūru (uz abām atļaujām attiecas viens vispārējais galvojums). Šajā gadījumā saskaņā ar SMK TDA 8. pantu iesaistītajām dalībvalstīm savstarpēji jāapspriežas par atsauces summas sadali.</w:t>
      </w:r>
    </w:p>
    <w:p w14:paraId="3AB9FFA8" w14:textId="77777777" w:rsidR="005A2D50" w:rsidRPr="005A2D50" w:rsidRDefault="005A2D50" w:rsidP="005A2D50">
      <w:pPr>
        <w:pStyle w:val="BodyText"/>
        <w:ind w:left="284"/>
        <w:rPr>
          <w:lang w:val="en-US"/>
        </w:rPr>
      </w:pPr>
      <w:r w:rsidRPr="005A2D50">
        <w:rPr>
          <w:lang w:val="en-US"/>
        </w:rPr>
        <w:t>b) Ja vairākās dalībvalstīs, kurās vispārējais galvojums ir derīgs, ir jāuzsāk vairākas operācijas, kas saistītas ar dažādām precēm, bet uz kurām attiecas viena atļauja veikt īpašās procedūras, iesaistītajām dalībvalstīm jāsāk apspriešanās par atsauces summas sadali.</w:t>
      </w:r>
    </w:p>
    <w:p w14:paraId="0C91B603" w14:textId="77777777" w:rsidR="005A2D50" w:rsidRPr="005A2D50" w:rsidRDefault="005A2D50" w:rsidP="005A2D50">
      <w:pPr>
        <w:pStyle w:val="BodyText"/>
        <w:ind w:left="284"/>
        <w:rPr>
          <w:lang w:val="en-US"/>
        </w:rPr>
      </w:pPr>
      <w:r w:rsidRPr="005A2D50">
        <w:rPr>
          <w:lang w:val="en-US"/>
        </w:rPr>
        <w:t>c) Atsauces summa starp dalībvalstīm nav jāsadala, ja operācijas, uz kurām attiecas viens vispārējs galvojums, ko var izmantot vairāk nekā vienā dalībvalstī, ir jāsāk tikai vienā no attiecīgajām dalībvalstīm un preces, kurām piemēro procedūru, pārvieto uz citu dalībvalsti vai vairāk nekā vienu citu dalībvalsti, neatkarīgi no tā, vai procedūra tiek pabeigta pirmajā vai citā dalībvalstī pēc preču pārvietošanas. Tomēr šo dalībvalstu apspriešanās var notikt saistībā ar citiem vispārējā galvojuma atļaujas noteikumiem (nosacījumiem, kas jāievēro) (piemēram, citu maksājumu summa, lai pārbaudītu SMK 95. panta nosacījumus/kritērijus).</w:t>
      </w:r>
    </w:p>
    <w:p w14:paraId="4D004CBB" w14:textId="77777777" w:rsidR="005A2D50" w:rsidRPr="005A2D50" w:rsidRDefault="005A2D50" w:rsidP="005A2D50">
      <w:pPr>
        <w:jc w:val="both"/>
        <w:rPr>
          <w:rFonts w:ascii="Times New Roman" w:eastAsia="Times New Roman" w:hAnsi="Times New Roman" w:cs="Times New Roman"/>
          <w:noProof/>
          <w:sz w:val="24"/>
          <w:szCs w:val="24"/>
          <w:lang w:val="en-US"/>
        </w:rPr>
      </w:pPr>
    </w:p>
    <w:p w14:paraId="1F8C9241" w14:textId="77777777" w:rsidR="005A2D50" w:rsidRPr="005A2D50" w:rsidRDefault="005A2D50" w:rsidP="005A2D50">
      <w:pPr>
        <w:pStyle w:val="BodyText"/>
        <w:rPr>
          <w:lang w:val="en-US"/>
        </w:rPr>
      </w:pPr>
      <w:r w:rsidRPr="005A2D50">
        <w:rPr>
          <w:lang w:val="en-US"/>
        </w:rPr>
        <w:t xml:space="preserve">Vispārīgi noteikumi (SMK 22. panta 3. punkts, SMK ĪA 14. pants) par termiņiem attiecas uz apspriešanos starp </w:t>
      </w:r>
      <w:r w:rsidRPr="005A2D50">
        <w:rPr>
          <w:i/>
          <w:iCs/>
          <w:lang w:val="en-US"/>
        </w:rPr>
        <w:t>CA.</w:t>
      </w:r>
      <w:r w:rsidRPr="005A2D50">
        <w:rPr>
          <w:rStyle w:val="FootnoteReference"/>
          <w:lang w:val="en-US"/>
        </w:rPr>
        <w:footnoteReference w:id="30"/>
      </w:r>
    </w:p>
    <w:p w14:paraId="6ED385CD" w14:textId="77777777" w:rsidR="005A2D50" w:rsidRPr="005A2D50" w:rsidRDefault="005A2D50" w:rsidP="005A2D50">
      <w:pPr>
        <w:pStyle w:val="BodyText"/>
        <w:rPr>
          <w:lang w:val="en-US"/>
        </w:rPr>
      </w:pPr>
      <w:r w:rsidRPr="005A2D50">
        <w:rPr>
          <w:lang w:val="en-US"/>
        </w:rPr>
        <w:t>Kā norādīts SMK 22. panta 3. punktā, lēmumu pieņem 120 dienu laikā no pieteikuma pieņemšanas dienas. Pieprasījums apspriesties ir jānosūta tūlīt pēc pieteikuma pieņemšanas. Dalībvalstij, ar kuru notikusi apspriešanās, savs atzinums jāsniedz norādītajā laikā (</w:t>
      </w:r>
      <w:r w:rsidRPr="005A2D50">
        <w:rPr>
          <w:i/>
          <w:iCs/>
          <w:lang w:val="en-US"/>
        </w:rPr>
        <w:t xml:space="preserve">CDS </w:t>
      </w:r>
      <w:r w:rsidRPr="005A2D50">
        <w:rPr>
          <w:lang w:val="en-US"/>
        </w:rPr>
        <w:t>paredz ne vairāk kā 45 dienas). Noteiktos apstākļos kompetentā iestāde var šo termiņu pagarināt. Saskaņā ar SMK ĪA 14. panta 3. punktu, ja dalībvalsts, ar kuru notikusi apspriešanās, neatbild noteiktajā termiņā, “nosacījumus un kritērijus, par kuriem notika apspriešanās, uzskata par izpildītiem” (uzskata, ka pozitīvu atbildi sniedz dalībvalstis, kuras uzņemsies finansiālu atbildību par labvēlīgo lēmumu attiecībā uz to daļu, par kuru tika uzsākta apspriešanās).</w:t>
      </w:r>
    </w:p>
    <w:p w14:paraId="43C10089" w14:textId="77777777" w:rsidR="005A2D50" w:rsidRPr="005A2D50" w:rsidRDefault="005A2D50" w:rsidP="005A2D50">
      <w:pPr>
        <w:pStyle w:val="BodyText"/>
        <w:rPr>
          <w:lang w:val="en-US"/>
        </w:rPr>
      </w:pPr>
      <w:r w:rsidRPr="005A2D50">
        <w:rPr>
          <w:lang w:val="en-US"/>
        </w:rPr>
        <w:t>Ja muitas parāds ir radies dalībvalstī, kas nav tā dalībvalsts, kurā ir iesniegts galvojums, muitas parāda un citu maksājumu, ja piemērojami, piedziņai piemēro SMK ĪA 165. pantu (“savstarpējā palīdzība”).</w:t>
      </w:r>
    </w:p>
    <w:p w14:paraId="5E3E535F" w14:textId="77777777" w:rsidR="005A2D50" w:rsidRPr="005A2D50" w:rsidRDefault="005A2D50" w:rsidP="005A2D50">
      <w:pPr>
        <w:pStyle w:val="BodyText"/>
        <w:rPr>
          <w:lang w:val="en-US"/>
        </w:rPr>
      </w:pPr>
      <w:r w:rsidRPr="005A2D50">
        <w:rPr>
          <w:lang w:val="en-US"/>
        </w:rPr>
        <w:t>Apspriešanās par galvinieka/uzņēmuma apstiprināšanu nav nepieciešama pat tad, ja galvojums ir derīgs vairāk nekā vienā dalībvalstī.</w:t>
      </w:r>
    </w:p>
    <w:p w14:paraId="181147EB" w14:textId="77777777" w:rsidR="005A2D50" w:rsidRPr="005A2D50" w:rsidRDefault="005A2D50" w:rsidP="005A2D50">
      <w:pPr>
        <w:pStyle w:val="BodyText"/>
        <w:rPr>
          <w:lang w:val="en-US"/>
        </w:rPr>
      </w:pPr>
    </w:p>
    <w:p w14:paraId="6A00C521" w14:textId="77777777" w:rsidR="005A2D50" w:rsidRPr="005A2D50" w:rsidRDefault="005A2D50" w:rsidP="005A2D50">
      <w:pPr>
        <w:pStyle w:val="Heading2"/>
        <w:rPr>
          <w:noProof/>
          <w:lang w:val="en-US"/>
        </w:rPr>
      </w:pPr>
      <w:bookmarkStart w:id="173" w:name="VI.3.1._Acceptance_of_the_splitting_of_t"/>
      <w:bookmarkStart w:id="174" w:name="_bookmark47"/>
      <w:bookmarkStart w:id="175" w:name="_Toc104982805"/>
      <w:bookmarkEnd w:id="173"/>
      <w:bookmarkEnd w:id="174"/>
      <w:r w:rsidRPr="005A2D50">
        <w:rPr>
          <w:noProof/>
          <w:lang w:val="en-US"/>
        </w:rPr>
        <w:t>VI.3.1. Atsauces summas sadalījuma akceptēšana</w:t>
      </w:r>
      <w:bookmarkEnd w:id="175"/>
    </w:p>
    <w:p w14:paraId="3A977D1F"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60A7EAF2" w14:textId="77777777" w:rsidR="005A2D50" w:rsidRPr="005A2D50" w:rsidRDefault="005A2D50" w:rsidP="005A2D50">
      <w:pPr>
        <w:pStyle w:val="BodyText"/>
        <w:rPr>
          <w:lang w:val="en-US"/>
        </w:rPr>
      </w:pPr>
      <w:r w:rsidRPr="005A2D50">
        <w:rPr>
          <w:lang w:val="en-US"/>
        </w:rPr>
        <w:t xml:space="preserve">Lai nodrošinātu netraucētu muitas procesu citās dalībvalstīs, ir ieteicams informēt attiecīgos kontaktpunktus par apspriešanos saistībā ar </w:t>
      </w:r>
      <w:r w:rsidRPr="005A2D50">
        <w:rPr>
          <w:i/>
          <w:iCs/>
          <w:lang w:val="en-US"/>
        </w:rPr>
        <w:t xml:space="preserve">CGU </w:t>
      </w:r>
      <w:r w:rsidRPr="005A2D50">
        <w:rPr>
          <w:lang w:val="en-US"/>
        </w:rPr>
        <w:t>atļaujas projektu un par atsauces summas sadalījuma akceptēšanu.</w:t>
      </w:r>
    </w:p>
    <w:p w14:paraId="24ED3A34" w14:textId="77777777" w:rsidR="005A2D50" w:rsidRPr="005A2D50" w:rsidRDefault="005A2D50" w:rsidP="005A2D50">
      <w:pPr>
        <w:pStyle w:val="BodyText"/>
        <w:rPr>
          <w:lang w:val="en-US"/>
        </w:rPr>
      </w:pPr>
    </w:p>
    <w:p w14:paraId="3BDEB322" w14:textId="77777777" w:rsidR="005A2D50" w:rsidRPr="005A2D50" w:rsidRDefault="005A2D50" w:rsidP="005A2D50">
      <w:pPr>
        <w:pStyle w:val="Heading2"/>
        <w:rPr>
          <w:noProof/>
          <w:lang w:val="en-US"/>
        </w:rPr>
      </w:pPr>
      <w:bookmarkStart w:id="176" w:name="VI.3.2._Rejection_of_the_proposed_split_"/>
      <w:bookmarkStart w:id="177" w:name="_bookmark48"/>
      <w:bookmarkStart w:id="178" w:name="_Toc104982806"/>
      <w:bookmarkEnd w:id="176"/>
      <w:bookmarkEnd w:id="177"/>
      <w:r w:rsidRPr="005A2D50">
        <w:rPr>
          <w:noProof/>
          <w:lang w:val="en-US"/>
        </w:rPr>
        <w:t>VI.3.2. Atsauces summas piedāvātā sadalījuma noraidīšana</w:t>
      </w:r>
      <w:bookmarkEnd w:id="178"/>
    </w:p>
    <w:p w14:paraId="698AFBD0"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13EB39F3" w14:textId="77777777" w:rsidR="005A2D50" w:rsidRPr="005A2D50" w:rsidRDefault="005A2D50" w:rsidP="005A2D50">
      <w:pPr>
        <w:pStyle w:val="BodyText"/>
        <w:rPr>
          <w:lang w:val="en-US"/>
        </w:rPr>
      </w:pPr>
      <w:r w:rsidRPr="005A2D50">
        <w:rPr>
          <w:lang w:val="en-US"/>
        </w:rPr>
        <w:t xml:space="preserve">Ja dalībvalsts, ar kuru notikusi apspriešanās, nepiekrīt piedāvātajai atsauces summas daļai, tai nekavējoties jāinformē dalībvalsts, kura ir saņēmusi pieteikumu </w:t>
      </w:r>
      <w:r w:rsidRPr="005A2D50">
        <w:rPr>
          <w:i/>
          <w:iCs/>
          <w:lang w:val="en-US"/>
        </w:rPr>
        <w:t xml:space="preserve">CGU </w:t>
      </w:r>
      <w:r w:rsidRPr="005A2D50">
        <w:rPr>
          <w:lang w:val="en-US"/>
        </w:rPr>
        <w:t>atļaujas saņemšanai, norādot pamatojumu, kāpēc tā ierosina noraidīt piedāvāto atsauces summas sadalījumu.</w:t>
      </w:r>
    </w:p>
    <w:p w14:paraId="421ADB85" w14:textId="77777777" w:rsidR="005A2D50" w:rsidRPr="005A2D50" w:rsidRDefault="005A2D50" w:rsidP="005A2D50">
      <w:pPr>
        <w:pStyle w:val="BodyText"/>
        <w:rPr>
          <w:lang w:val="en-US"/>
        </w:rPr>
      </w:pPr>
      <w:r w:rsidRPr="005A2D50">
        <w:rPr>
          <w:lang w:val="en-US"/>
        </w:rPr>
        <w:t>Pirms tāda lēmuma pieņemšanas, kas nelabvēlīgi ietekmētu pieteikuma iesniedzēju, tās dalībvalsts muitas dienesti, kurā iesniegts pieteikums, pieteikuma iesniedzējam dara zināmu pamatojumu, kādēļ tie ir paredzējuši pieņemt šo lēmumu, un dod pieteikuma iesniedzējam iespēju izteikt savu viedokli noteiktā laikposmā no dienas, kurā viņš saņēmis minēto paziņojumu vai kad uzskata, ka viņš to ir saņēmis (SMK 22. panta 6. punkts un SMK ĪA 8. un 9. pants).</w:t>
      </w:r>
    </w:p>
    <w:p w14:paraId="1B6458A8" w14:textId="77777777" w:rsidR="005A2D50" w:rsidRPr="005A2D50" w:rsidRDefault="005A2D50" w:rsidP="005A2D50">
      <w:pPr>
        <w:pStyle w:val="BodyText"/>
        <w:rPr>
          <w:lang w:val="en-US"/>
        </w:rPr>
      </w:pPr>
      <w:r w:rsidRPr="005A2D50">
        <w:rPr>
          <w:lang w:val="en-US"/>
        </w:rPr>
        <w:t>Pirms lēmuma pieņemšanas starp dalībvalstīm jāuzsāk vēl viena apspriešanās. Pēc minētā laikposma beigām pieteikuma iesniedzējam atbilstošā veidā paziņo par šo lēmumu.</w:t>
      </w:r>
    </w:p>
    <w:p w14:paraId="73A9E89D" w14:textId="77777777" w:rsidR="005A2D50" w:rsidRPr="005A2D50" w:rsidRDefault="005A2D50" w:rsidP="005A2D50">
      <w:pPr>
        <w:pStyle w:val="BodyText"/>
        <w:rPr>
          <w:lang w:val="en-US"/>
        </w:rPr>
      </w:pPr>
      <w:r w:rsidRPr="005A2D50">
        <w:rPr>
          <w:lang w:val="en-US"/>
        </w:rPr>
        <w:t>Var pieņemt arī lēmumu, kas izslēdz to atsauces summas daļu, par kuru nav panākta vienošanās. Negatīvais atzinums, ko sniegusi dalībvalsts, ar kuru notikusi apspriešanās, ir saistošs dalībvalstij, kura pieņem lēmumu, tādā nozīmē, ka šai dalībvalstij lēmumā jāiekļauj negatīvais atzinums.</w:t>
      </w:r>
    </w:p>
    <w:p w14:paraId="584DC918" w14:textId="77777777" w:rsidR="005A2D50" w:rsidRPr="005A2D50" w:rsidRDefault="005A2D50" w:rsidP="005A2D50">
      <w:pPr>
        <w:pStyle w:val="BodyText"/>
        <w:rPr>
          <w:lang w:val="en-US"/>
        </w:rPr>
      </w:pPr>
      <w:r w:rsidRPr="005A2D50">
        <w:rPr>
          <w:lang w:val="en-US"/>
        </w:rPr>
        <w:t>SMK 44. pantā noteikts šādi: “Ikvienai personai, kuru tieši un individuāli skar muitas dienestu lēmums, kas saistīts ar tiesību aktu muitas jomā piemērošanu, ir tiesības šo lēmumu pārsūdzēt. Pārsūdzības tiesības ir arī ikvienai personai, kura ir pieprasījusi muitas dienestu lēmumu un pēc minētā pieteikuma iesniegšanas nav to saņēmusi 22. panta 3. punktā noteiktajā termiņā.”</w:t>
      </w:r>
    </w:p>
    <w:p w14:paraId="3B287383" w14:textId="77777777" w:rsidR="005A2D50" w:rsidRPr="005A2D50" w:rsidRDefault="005A2D50" w:rsidP="005A2D50">
      <w:pPr>
        <w:pStyle w:val="BodyText"/>
        <w:rPr>
          <w:lang w:val="en-US"/>
        </w:rPr>
      </w:pPr>
    </w:p>
    <w:p w14:paraId="19E4419B" w14:textId="77777777" w:rsidR="005A2D50" w:rsidRPr="005A2D50" w:rsidRDefault="005A2D50" w:rsidP="005A2D50">
      <w:pPr>
        <w:pStyle w:val="Heading1"/>
        <w:rPr>
          <w:noProof/>
          <w:lang w:val="en-US"/>
        </w:rPr>
      </w:pPr>
      <w:bookmarkStart w:id="179" w:name="VI.4._Monitoring_of_the_reference_amount"/>
      <w:bookmarkStart w:id="180" w:name="_bookmark49"/>
      <w:bookmarkStart w:id="181" w:name="_Toc104982807"/>
      <w:bookmarkEnd w:id="179"/>
      <w:bookmarkEnd w:id="180"/>
      <w:r w:rsidRPr="005A2D50">
        <w:rPr>
          <w:noProof/>
          <w:lang w:val="en-US"/>
        </w:rPr>
        <w:t>VI.4. Atsauces summas pārraudzība pārejas posmā</w:t>
      </w:r>
      <w:bookmarkEnd w:id="181"/>
    </w:p>
    <w:p w14:paraId="64B5A90E"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28235E72" w14:textId="77777777" w:rsidR="005A2D50" w:rsidRPr="005A2D50" w:rsidRDefault="005A2D50" w:rsidP="005A2D50">
      <w:pPr>
        <w:pStyle w:val="BodyText"/>
        <w:rPr>
          <w:lang w:val="en-US"/>
        </w:rPr>
      </w:pPr>
      <w:r w:rsidRPr="005A2D50">
        <w:rPr>
          <w:lang w:val="en-US"/>
        </w:rPr>
        <w:t>Saskaņā ar SMK 89. panta 6. punktu muitas dienestiem ir pienākums uzraudzīt galvojumu. Tas jādara arī pārejas posmā.</w:t>
      </w:r>
    </w:p>
    <w:p w14:paraId="6FEB0584" w14:textId="77777777" w:rsidR="005A2D50" w:rsidRPr="005A2D50" w:rsidRDefault="005A2D50" w:rsidP="005A2D50">
      <w:pPr>
        <w:pStyle w:val="BodyText"/>
        <w:rPr>
          <w:lang w:val="en-US"/>
        </w:rPr>
      </w:pPr>
      <w:r w:rsidRPr="005A2D50">
        <w:rPr>
          <w:lang w:val="en-US"/>
        </w:rPr>
        <w:t xml:space="preserve">Līdz </w:t>
      </w:r>
      <w:r w:rsidRPr="005A2D50">
        <w:rPr>
          <w:i/>
          <w:iCs/>
          <w:lang w:val="en-US"/>
        </w:rPr>
        <w:t xml:space="preserve">GUM </w:t>
      </w:r>
      <w:r w:rsidRPr="005A2D50">
        <w:rPr>
          <w:lang w:val="en-US"/>
        </w:rPr>
        <w:t xml:space="preserve">ieviešanas dienai SMK TDA 8. pants paredz alternatīvu risinājumu, lai </w:t>
      </w:r>
      <w:r w:rsidRPr="005A2D50">
        <w:rPr>
          <w:i/>
          <w:iCs/>
          <w:lang w:val="en-US"/>
        </w:rPr>
        <w:t xml:space="preserve">CA </w:t>
      </w:r>
      <w:r w:rsidRPr="005A2D50">
        <w:rPr>
          <w:lang w:val="en-US"/>
        </w:rPr>
        <w:t>varētu ievērot SMK 89. panta 6. punktā noteikto pienākumu uzraudzīt galvojumus.</w:t>
      </w:r>
    </w:p>
    <w:p w14:paraId="263F8B72" w14:textId="77777777" w:rsidR="005A2D50" w:rsidRPr="005A2D50" w:rsidRDefault="005A2D50" w:rsidP="005A2D50">
      <w:pPr>
        <w:pStyle w:val="BodyText"/>
        <w:rPr>
          <w:lang w:val="en-US"/>
        </w:rPr>
      </w:pPr>
      <w:r w:rsidRPr="005A2D50">
        <w:rPr>
          <w:lang w:val="en-US"/>
        </w:rPr>
        <w:t>Dalībvalstis pārrauga savu atsauces summas daļu saskaņā ar SMK ĪA 157. pantu. Katra dalībvalsts var izmantot savus praksē pastāvošos / valsts pasākumus, lai izpildītu pienākumu pārraudzīt atsauces summu.</w:t>
      </w:r>
    </w:p>
    <w:p w14:paraId="6ED55CDE" w14:textId="77777777" w:rsidR="005A2D50" w:rsidRPr="005A2D50" w:rsidRDefault="005A2D50" w:rsidP="005A2D50">
      <w:pPr>
        <w:pStyle w:val="BodyText"/>
        <w:rPr>
          <w:lang w:val="en-US"/>
        </w:rPr>
      </w:pPr>
      <w:r w:rsidRPr="005A2D50">
        <w:rPr>
          <w:lang w:val="en-US"/>
        </w:rPr>
        <w:t xml:space="preserve">Turklāt personai, kurai prasīts sniegt galvojumu, jānodrošina, ka atsauces summa ir pietiekama, lai segtu ievedmuitas vai izvedmuitas nodokli un citus maksājumus, kas maksājami saistībā ar preču importu vai eksportu, ja uz tām attiecas galvojums. Ja pastāv pazīmes, kas liecina, ka atsauces summa vairs nav pietiekama, lai segtu visas operācijas, personai par to nekavējoties jāinformē </w:t>
      </w:r>
      <w:r w:rsidRPr="005A2D50">
        <w:rPr>
          <w:i/>
          <w:iCs/>
          <w:lang w:val="en-US"/>
        </w:rPr>
        <w:t>COG</w:t>
      </w:r>
      <w:r w:rsidRPr="005A2D50">
        <w:rPr>
          <w:lang w:val="en-US"/>
        </w:rPr>
        <w:t>.</w:t>
      </w:r>
    </w:p>
    <w:p w14:paraId="0A58A34B" w14:textId="77777777" w:rsidR="005A2D50" w:rsidRPr="005A2D50" w:rsidRDefault="005A2D50" w:rsidP="005A2D50">
      <w:pPr>
        <w:rPr>
          <w:rFonts w:ascii="Times New Roman" w:hAnsi="Times New Roman" w:cs="Times New Roman"/>
          <w:noProof/>
          <w:sz w:val="24"/>
          <w:szCs w:val="24"/>
          <w:lang w:val="en-US"/>
        </w:rPr>
      </w:pPr>
      <w:r w:rsidRPr="005A2D50">
        <w:rPr>
          <w:rFonts w:ascii="Times New Roman" w:hAnsi="Times New Roman" w:cs="Times New Roman"/>
          <w:noProof/>
          <w:sz w:val="24"/>
          <w:szCs w:val="24"/>
          <w:lang w:val="en-US"/>
        </w:rPr>
        <w:br w:type="page"/>
      </w:r>
    </w:p>
    <w:p w14:paraId="057D246E" w14:textId="77777777" w:rsidR="005A2D50" w:rsidRPr="005A2D50" w:rsidRDefault="005A2D50" w:rsidP="005A2D50">
      <w:pPr>
        <w:jc w:val="both"/>
        <w:rPr>
          <w:rFonts w:ascii="Times New Roman" w:hAnsi="Times New Roman" w:cs="Times New Roman"/>
          <w:noProof/>
          <w:sz w:val="24"/>
          <w:szCs w:val="24"/>
          <w:lang w:val="en-US"/>
        </w:rPr>
      </w:pPr>
    </w:p>
    <w:p w14:paraId="2CEB3B92" w14:textId="77777777" w:rsidR="005A2D50" w:rsidRPr="005A2D50" w:rsidRDefault="005A2D50" w:rsidP="005A2D50">
      <w:pPr>
        <w:pStyle w:val="Heading1"/>
        <w:rPr>
          <w:noProof/>
          <w:lang w:val="en-US"/>
        </w:rPr>
      </w:pPr>
      <w:bookmarkStart w:id="182" w:name="VII._ANNEXES"/>
      <w:bookmarkStart w:id="183" w:name="_bookmark50"/>
      <w:bookmarkStart w:id="184" w:name="_Toc104982808"/>
      <w:bookmarkEnd w:id="182"/>
      <w:bookmarkEnd w:id="183"/>
      <w:r w:rsidRPr="005A2D50">
        <w:rPr>
          <w:noProof/>
          <w:lang w:val="en-US"/>
        </w:rPr>
        <w:t>VII. PIELIKUMI</w:t>
      </w:r>
      <w:bookmarkEnd w:id="184"/>
    </w:p>
    <w:p w14:paraId="57591EF0" w14:textId="77777777" w:rsidR="005A2D50" w:rsidRPr="005A2D50" w:rsidRDefault="005A2D50" w:rsidP="005A2D50">
      <w:pPr>
        <w:jc w:val="both"/>
        <w:rPr>
          <w:rFonts w:ascii="Times New Roman" w:hAnsi="Times New Roman" w:cs="Times New Roman"/>
          <w:b/>
          <w:noProof/>
          <w:sz w:val="24"/>
          <w:szCs w:val="24"/>
          <w:lang w:val="en-US"/>
        </w:rPr>
      </w:pPr>
      <w:bookmarkStart w:id="185" w:name="Annex_1_Specific_data_requirements__for_"/>
      <w:bookmarkStart w:id="186" w:name="_bookmark51"/>
      <w:bookmarkEnd w:id="185"/>
      <w:bookmarkEnd w:id="186"/>
    </w:p>
    <w:p w14:paraId="1104C14B" w14:textId="77777777" w:rsidR="005A2D50" w:rsidRPr="005A2D50" w:rsidRDefault="005A2D50" w:rsidP="005A2D50">
      <w:pPr>
        <w:pStyle w:val="Heading1"/>
        <w:rPr>
          <w:rFonts w:eastAsia="Times New Roman" w:cs="Times New Roman"/>
          <w:noProof/>
          <w:szCs w:val="24"/>
          <w:lang w:val="en-US"/>
        </w:rPr>
      </w:pPr>
      <w:bookmarkStart w:id="187" w:name="_Toc104982809"/>
      <w:r w:rsidRPr="005A2D50">
        <w:rPr>
          <w:noProof/>
          <w:lang w:val="en-US"/>
        </w:rPr>
        <w:t xml:space="preserve">1. pielikums. </w:t>
      </w:r>
      <w:r w:rsidRPr="005A2D50">
        <w:rPr>
          <w:noProof/>
          <w:u w:val="single" w:color="000000"/>
          <w:lang w:val="en-US"/>
        </w:rPr>
        <w:t>Īpašas datu prasības</w:t>
      </w:r>
      <w:r w:rsidRPr="005A2D50">
        <w:rPr>
          <w:rFonts w:cs="Times New Roman"/>
          <w:noProof/>
          <w:szCs w:val="24"/>
          <w:u w:val="single" w:color="000000"/>
          <w:vertAlign w:val="superscript"/>
          <w:lang w:val="en-US"/>
        </w:rPr>
        <w:footnoteReference w:id="31"/>
      </w:r>
      <w:r w:rsidRPr="005A2D50">
        <w:rPr>
          <w:rFonts w:cs="Times New Roman"/>
          <w:noProof/>
          <w:szCs w:val="24"/>
          <w:u w:val="single" w:color="000000"/>
          <w:vertAlign w:val="superscript"/>
          <w:lang w:val="en-US"/>
        </w:rPr>
        <w:t xml:space="preserve"> </w:t>
      </w:r>
      <w:r w:rsidRPr="005A2D50">
        <w:rPr>
          <w:noProof/>
          <w:lang w:val="en-US"/>
        </w:rPr>
        <w:t xml:space="preserve">attiecībā uz pieteikumu un </w:t>
      </w:r>
      <w:r w:rsidRPr="005A2D50">
        <w:rPr>
          <w:i/>
          <w:iCs/>
          <w:noProof/>
          <w:lang w:val="en-US"/>
        </w:rPr>
        <w:t xml:space="preserve">CGU </w:t>
      </w:r>
      <w:r w:rsidRPr="005A2D50">
        <w:rPr>
          <w:noProof/>
          <w:lang w:val="en-US"/>
        </w:rPr>
        <w:t>atļauju, tostarp iespējams samazinājums vai atbrīvojums (SMK DA A pielikums, VI sadaļa)</w:t>
      </w:r>
      <w:bookmarkEnd w:id="187"/>
    </w:p>
    <w:p w14:paraId="7E78277E" w14:textId="77777777" w:rsidR="005A2D50" w:rsidRPr="005A2D50" w:rsidRDefault="005A2D50" w:rsidP="005A2D50">
      <w:pPr>
        <w:jc w:val="both"/>
        <w:rPr>
          <w:rFonts w:ascii="Times New Roman" w:eastAsia="Times New Roman" w:hAnsi="Times New Roman" w:cs="Times New Roman"/>
          <w:b/>
          <w:bCs/>
          <w:noProof/>
          <w:sz w:val="24"/>
          <w:szCs w:val="24"/>
          <w:lang w:val="en-US"/>
        </w:rPr>
      </w:pPr>
    </w:p>
    <w:tbl>
      <w:tblPr>
        <w:tblW w:w="5000" w:type="pct"/>
        <w:tblCellMar>
          <w:top w:w="28" w:type="dxa"/>
          <w:left w:w="28" w:type="dxa"/>
          <w:bottom w:w="28" w:type="dxa"/>
          <w:right w:w="28" w:type="dxa"/>
        </w:tblCellMar>
        <w:tblLook w:val="01E0" w:firstRow="1" w:lastRow="1" w:firstColumn="1" w:lastColumn="1" w:noHBand="0" w:noVBand="0"/>
      </w:tblPr>
      <w:tblGrid>
        <w:gridCol w:w="337"/>
        <w:gridCol w:w="6446"/>
        <w:gridCol w:w="1585"/>
        <w:gridCol w:w="763"/>
      </w:tblGrid>
      <w:tr w:rsidR="005A2D50" w:rsidRPr="005A2D50" w14:paraId="39550D80" w14:textId="77777777" w:rsidTr="00F14166">
        <w:tc>
          <w:tcPr>
            <w:tcW w:w="184" w:type="pct"/>
            <w:tcBorders>
              <w:top w:val="single" w:sz="5" w:space="0" w:color="000000"/>
              <w:left w:val="single" w:sz="5" w:space="0" w:color="000000"/>
              <w:bottom w:val="single" w:sz="5" w:space="0" w:color="000000"/>
              <w:right w:val="single" w:sz="5" w:space="0" w:color="000000"/>
            </w:tcBorders>
          </w:tcPr>
          <w:p w14:paraId="62901764"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Nē</w:t>
            </w:r>
          </w:p>
        </w:tc>
        <w:tc>
          <w:tcPr>
            <w:tcW w:w="3530" w:type="pct"/>
            <w:tcBorders>
              <w:top w:val="single" w:sz="5" w:space="0" w:color="000000"/>
              <w:left w:val="single" w:sz="5" w:space="0" w:color="000000"/>
              <w:bottom w:val="single" w:sz="5" w:space="0" w:color="000000"/>
              <w:right w:val="single" w:sz="5" w:space="0" w:color="000000"/>
            </w:tcBorders>
          </w:tcPr>
          <w:p w14:paraId="4CDE32AA"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Nepieciešami datu elementi</w:t>
            </w:r>
          </w:p>
        </w:tc>
        <w:tc>
          <w:tcPr>
            <w:tcW w:w="868" w:type="pct"/>
            <w:tcBorders>
              <w:top w:val="single" w:sz="5" w:space="0" w:color="000000"/>
              <w:left w:val="single" w:sz="5" w:space="0" w:color="000000"/>
              <w:bottom w:val="single" w:sz="5" w:space="0" w:color="000000"/>
              <w:right w:val="single" w:sz="5" w:space="0" w:color="000000"/>
            </w:tcBorders>
          </w:tcPr>
          <w:p w14:paraId="034A8DB6"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Pieteikums</w:t>
            </w:r>
          </w:p>
        </w:tc>
        <w:tc>
          <w:tcPr>
            <w:tcW w:w="418" w:type="pct"/>
            <w:tcBorders>
              <w:top w:val="single" w:sz="5" w:space="0" w:color="000000"/>
              <w:left w:val="single" w:sz="5" w:space="0" w:color="000000"/>
              <w:bottom w:val="single" w:sz="5" w:space="0" w:color="000000"/>
              <w:right w:val="single" w:sz="5" w:space="0" w:color="000000"/>
            </w:tcBorders>
          </w:tcPr>
          <w:p w14:paraId="5E2B2C73"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Atļauja</w:t>
            </w:r>
          </w:p>
        </w:tc>
      </w:tr>
      <w:tr w:rsidR="005A2D50" w:rsidRPr="005A2D50" w14:paraId="53B51475" w14:textId="77777777" w:rsidTr="00F14166">
        <w:tc>
          <w:tcPr>
            <w:tcW w:w="184" w:type="pct"/>
            <w:tcBorders>
              <w:top w:val="single" w:sz="5" w:space="0" w:color="000000"/>
              <w:left w:val="single" w:sz="5" w:space="0" w:color="000000"/>
              <w:bottom w:val="single" w:sz="5" w:space="0" w:color="000000"/>
              <w:right w:val="single" w:sz="5" w:space="0" w:color="000000"/>
            </w:tcBorders>
          </w:tcPr>
          <w:p w14:paraId="0EF3AA31"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1.</w:t>
            </w:r>
          </w:p>
        </w:tc>
        <w:tc>
          <w:tcPr>
            <w:tcW w:w="3530" w:type="pct"/>
            <w:tcBorders>
              <w:top w:val="single" w:sz="5" w:space="0" w:color="000000"/>
              <w:left w:val="single" w:sz="5" w:space="0" w:color="000000"/>
              <w:bottom w:val="single" w:sz="5" w:space="0" w:color="000000"/>
              <w:right w:val="single" w:sz="5" w:space="0" w:color="000000"/>
            </w:tcBorders>
          </w:tcPr>
          <w:p w14:paraId="34D4C03D"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VI/1. Nodokļa un citu maksājumu summa</w:t>
            </w:r>
          </w:p>
          <w:p w14:paraId="60DFC4F7"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Attiecībā uz pēdējo 12 mēnešu periodu norādiet augstāko nodokļa un citu maksājumu summu, kas piemērojama par katru atsevišķu sūtījumu. Ja šāda informācija nav pieejama, attiecībā uz turpmāko 12 mēnešu periodu norādiet iespējamo augstāko nodokļa un citu maksājumu summu, kas piemērojama katram atsevišķam sūtījumam.</w:t>
            </w:r>
          </w:p>
        </w:tc>
        <w:tc>
          <w:tcPr>
            <w:tcW w:w="868" w:type="pct"/>
            <w:tcBorders>
              <w:top w:val="single" w:sz="5" w:space="0" w:color="000000"/>
              <w:left w:val="single" w:sz="5" w:space="0" w:color="000000"/>
              <w:bottom w:val="single" w:sz="5" w:space="0" w:color="000000"/>
              <w:right w:val="single" w:sz="5" w:space="0" w:color="000000"/>
            </w:tcBorders>
          </w:tcPr>
          <w:p w14:paraId="03942BA6"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Jā</w:t>
            </w:r>
          </w:p>
        </w:tc>
        <w:tc>
          <w:tcPr>
            <w:tcW w:w="418" w:type="pct"/>
            <w:tcBorders>
              <w:top w:val="single" w:sz="5" w:space="0" w:color="000000"/>
              <w:left w:val="single" w:sz="5" w:space="0" w:color="000000"/>
              <w:bottom w:val="single" w:sz="5" w:space="0" w:color="000000"/>
              <w:right w:val="single" w:sz="5" w:space="0" w:color="000000"/>
            </w:tcBorders>
          </w:tcPr>
          <w:p w14:paraId="665B32B4"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Nē</w:t>
            </w:r>
          </w:p>
        </w:tc>
      </w:tr>
      <w:tr w:rsidR="005A2D50" w:rsidRPr="005A2D50" w14:paraId="050762E5" w14:textId="77777777" w:rsidTr="00F14166">
        <w:tc>
          <w:tcPr>
            <w:tcW w:w="184" w:type="pct"/>
            <w:tcBorders>
              <w:top w:val="single" w:sz="5" w:space="0" w:color="000000"/>
              <w:left w:val="single" w:sz="5" w:space="0" w:color="000000"/>
              <w:bottom w:val="single" w:sz="5" w:space="0" w:color="000000"/>
              <w:right w:val="single" w:sz="5" w:space="0" w:color="000000"/>
            </w:tcBorders>
          </w:tcPr>
          <w:p w14:paraId="64DEAA03"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2.</w:t>
            </w:r>
          </w:p>
        </w:tc>
        <w:tc>
          <w:tcPr>
            <w:tcW w:w="3530" w:type="pct"/>
            <w:tcBorders>
              <w:top w:val="single" w:sz="5" w:space="0" w:color="000000"/>
              <w:left w:val="single" w:sz="5" w:space="0" w:color="000000"/>
              <w:bottom w:val="single" w:sz="5" w:space="0" w:color="000000"/>
              <w:right w:val="single" w:sz="5" w:space="0" w:color="000000"/>
            </w:tcBorders>
          </w:tcPr>
          <w:p w14:paraId="4D2D294E"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VI/2. Vidējais laikposms starp procedūras piemērošanas precēm uzsākšanu un procedūras slēgšanu</w:t>
            </w:r>
          </w:p>
          <w:p w14:paraId="5896649C"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Norādiet vidējo laikposmu starp procedūras piemērošanas precēm uzsākšanu un procedūras slēgšanu attiecībā uz pēdējo 12 mēnešu laikposmu. Šo informāciju norāda tikai tad, ja vispārējo galvojumu paredzēts izmantot, lai precēm piemērotu īpašu procedūru.</w:t>
            </w:r>
          </w:p>
        </w:tc>
        <w:tc>
          <w:tcPr>
            <w:tcW w:w="868" w:type="pct"/>
            <w:tcBorders>
              <w:top w:val="single" w:sz="5" w:space="0" w:color="000000"/>
              <w:left w:val="single" w:sz="5" w:space="0" w:color="000000"/>
              <w:bottom w:val="single" w:sz="5" w:space="0" w:color="000000"/>
              <w:right w:val="single" w:sz="5" w:space="0" w:color="000000"/>
            </w:tcBorders>
          </w:tcPr>
          <w:p w14:paraId="1C9E9542"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Jā</w:t>
            </w:r>
          </w:p>
        </w:tc>
        <w:tc>
          <w:tcPr>
            <w:tcW w:w="418" w:type="pct"/>
            <w:tcBorders>
              <w:top w:val="single" w:sz="5" w:space="0" w:color="000000"/>
              <w:left w:val="single" w:sz="5" w:space="0" w:color="000000"/>
              <w:bottom w:val="single" w:sz="5" w:space="0" w:color="000000"/>
              <w:right w:val="single" w:sz="5" w:space="0" w:color="000000"/>
            </w:tcBorders>
          </w:tcPr>
          <w:p w14:paraId="0AD0BDA0"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Nē</w:t>
            </w:r>
          </w:p>
        </w:tc>
      </w:tr>
      <w:tr w:rsidR="005A2D50" w:rsidRPr="005A2D50" w14:paraId="2F34B6C4" w14:textId="77777777" w:rsidTr="00F14166">
        <w:tc>
          <w:tcPr>
            <w:tcW w:w="184" w:type="pct"/>
            <w:tcBorders>
              <w:top w:val="single" w:sz="5" w:space="0" w:color="000000"/>
              <w:left w:val="single" w:sz="5" w:space="0" w:color="000000"/>
              <w:bottom w:val="single" w:sz="5" w:space="0" w:color="000000"/>
              <w:right w:val="single" w:sz="5" w:space="0" w:color="000000"/>
            </w:tcBorders>
          </w:tcPr>
          <w:p w14:paraId="07698E69"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3.</w:t>
            </w:r>
          </w:p>
        </w:tc>
        <w:tc>
          <w:tcPr>
            <w:tcW w:w="3530" w:type="pct"/>
            <w:tcBorders>
              <w:top w:val="single" w:sz="5" w:space="0" w:color="000000"/>
              <w:left w:val="single" w:sz="5" w:space="0" w:color="000000"/>
              <w:bottom w:val="single" w:sz="5" w:space="0" w:color="000000"/>
              <w:right w:val="single" w:sz="5" w:space="0" w:color="000000"/>
            </w:tcBorders>
          </w:tcPr>
          <w:p w14:paraId="778913DB"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VI/3. Galvojuma apmērs (SMK ĪA 158. pants)</w:t>
            </w:r>
          </w:p>
          <w:p w14:paraId="60CB9DDC"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Norādiet, vai galvojuma, kam jāsedz esošie muitas parādi, un, ja atbilstīgi, citu maksājumu apmērs ir 100 % vai 30 % no atsauces summas attiecīgās daļas un/vai galvojuma, kam jāsedz iespējamie muitas parādi, un, ja atbilstīgi, citu maksājumu apmērs ir 100 %, 50 %, 30 % vai 0 % no atsauces summas attiecīgās daļas. Atļaujas sniedzējs muitas dienests var, ja atbilstīgi, sniegt piezīmes.</w:t>
            </w:r>
          </w:p>
        </w:tc>
        <w:tc>
          <w:tcPr>
            <w:tcW w:w="868" w:type="pct"/>
            <w:tcBorders>
              <w:top w:val="single" w:sz="5" w:space="0" w:color="000000"/>
              <w:left w:val="single" w:sz="5" w:space="0" w:color="000000"/>
              <w:bottom w:val="single" w:sz="5" w:space="0" w:color="000000"/>
              <w:right w:val="single" w:sz="5" w:space="0" w:color="000000"/>
            </w:tcBorders>
          </w:tcPr>
          <w:p w14:paraId="7E73F0F0"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Jā</w:t>
            </w:r>
          </w:p>
        </w:tc>
        <w:tc>
          <w:tcPr>
            <w:tcW w:w="418" w:type="pct"/>
            <w:tcBorders>
              <w:top w:val="single" w:sz="5" w:space="0" w:color="000000"/>
              <w:left w:val="single" w:sz="5" w:space="0" w:color="000000"/>
              <w:bottom w:val="single" w:sz="5" w:space="0" w:color="000000"/>
              <w:right w:val="single" w:sz="5" w:space="0" w:color="000000"/>
            </w:tcBorders>
          </w:tcPr>
          <w:p w14:paraId="40EF163B"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Jā</w:t>
            </w:r>
          </w:p>
        </w:tc>
      </w:tr>
      <w:tr w:rsidR="005A2D50" w:rsidRPr="005A2D50" w14:paraId="7434017A" w14:textId="77777777" w:rsidTr="00F14166">
        <w:tc>
          <w:tcPr>
            <w:tcW w:w="184" w:type="pct"/>
            <w:tcBorders>
              <w:top w:val="single" w:sz="5" w:space="0" w:color="000000"/>
              <w:left w:val="single" w:sz="5" w:space="0" w:color="000000"/>
              <w:bottom w:val="single" w:sz="5" w:space="0" w:color="000000"/>
              <w:right w:val="single" w:sz="5" w:space="0" w:color="000000"/>
            </w:tcBorders>
          </w:tcPr>
          <w:p w14:paraId="1454552C"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4.</w:t>
            </w:r>
          </w:p>
        </w:tc>
        <w:tc>
          <w:tcPr>
            <w:tcW w:w="3530" w:type="pct"/>
            <w:tcBorders>
              <w:top w:val="single" w:sz="5" w:space="0" w:color="000000"/>
              <w:left w:val="single" w:sz="5" w:space="0" w:color="000000"/>
              <w:bottom w:val="single" w:sz="5" w:space="0" w:color="000000"/>
              <w:right w:val="single" w:sz="5" w:space="0" w:color="000000"/>
            </w:tcBorders>
          </w:tcPr>
          <w:p w14:paraId="025435E8"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VI/4. Galvojuma veids (SMK 92. panta 1. punkts) Norādiet, kāds būs galvojuma veids.</w:t>
            </w:r>
          </w:p>
          <w:p w14:paraId="73A4AC3E"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Ja galvojums ir sniegts kā saistības,</w:t>
            </w:r>
          </w:p>
          <w:p w14:paraId="0F70B1C0"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norādiet galvinieka pilnu vārdu, uzvārdu / nosaukumu un adresi.</w:t>
            </w:r>
          </w:p>
          <w:p w14:paraId="715FDA74"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Ja galvojums ir derīgs vairāk nekā vienā dalībvalstī, norādiet galvinieka pārstāvju citās dalībvalstīs pilnus vārdus, uzvārdus / nosaukumus un adreses.</w:t>
            </w:r>
          </w:p>
        </w:tc>
        <w:tc>
          <w:tcPr>
            <w:tcW w:w="868" w:type="pct"/>
            <w:tcBorders>
              <w:top w:val="single" w:sz="5" w:space="0" w:color="000000"/>
              <w:left w:val="single" w:sz="5" w:space="0" w:color="000000"/>
              <w:bottom w:val="single" w:sz="5" w:space="0" w:color="000000"/>
              <w:right w:val="single" w:sz="5" w:space="0" w:color="000000"/>
            </w:tcBorders>
          </w:tcPr>
          <w:p w14:paraId="054C8DD4" w14:textId="77777777" w:rsidR="005A2D50" w:rsidRPr="005A2D50" w:rsidRDefault="005A2D50" w:rsidP="00F14166">
            <w:pPr>
              <w:pStyle w:val="TableParagraph"/>
              <w:tabs>
                <w:tab w:val="left" w:pos="1167"/>
              </w:tabs>
              <w:jc w:val="both"/>
              <w:rPr>
                <w:rFonts w:ascii="Times New Roman" w:hAnsi="Times New Roman"/>
                <w:noProof/>
                <w:sz w:val="24"/>
                <w:lang w:val="en-US"/>
              </w:rPr>
            </w:pPr>
            <w:r w:rsidRPr="005A2D50">
              <w:rPr>
                <w:rFonts w:ascii="Times New Roman" w:hAnsi="Times New Roman"/>
                <w:noProof/>
                <w:sz w:val="24"/>
                <w:lang w:val="en-US"/>
              </w:rPr>
              <w:t>Jā – pieteikuma iesniedzējs var izvēlēties</w:t>
            </w:r>
          </w:p>
        </w:tc>
        <w:tc>
          <w:tcPr>
            <w:tcW w:w="418" w:type="pct"/>
            <w:tcBorders>
              <w:top w:val="single" w:sz="5" w:space="0" w:color="000000"/>
              <w:left w:val="single" w:sz="5" w:space="0" w:color="000000"/>
              <w:bottom w:val="single" w:sz="5" w:space="0" w:color="000000"/>
              <w:right w:val="single" w:sz="5" w:space="0" w:color="000000"/>
            </w:tcBorders>
          </w:tcPr>
          <w:p w14:paraId="64E9B0E4"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Nē</w:t>
            </w:r>
          </w:p>
        </w:tc>
      </w:tr>
      <w:tr w:rsidR="005A2D50" w:rsidRPr="005A2D50" w14:paraId="5A050EBA" w14:textId="77777777" w:rsidTr="00F14166">
        <w:tc>
          <w:tcPr>
            <w:tcW w:w="184" w:type="pct"/>
            <w:tcBorders>
              <w:top w:val="single" w:sz="5" w:space="0" w:color="000000"/>
              <w:left w:val="single" w:sz="5" w:space="0" w:color="000000"/>
              <w:bottom w:val="single" w:sz="5" w:space="0" w:color="000000"/>
              <w:right w:val="single" w:sz="5" w:space="0" w:color="000000"/>
            </w:tcBorders>
          </w:tcPr>
          <w:p w14:paraId="0A299FAF"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5.</w:t>
            </w:r>
          </w:p>
        </w:tc>
        <w:tc>
          <w:tcPr>
            <w:tcW w:w="3530" w:type="pct"/>
            <w:tcBorders>
              <w:top w:val="single" w:sz="5" w:space="0" w:color="000000"/>
              <w:left w:val="single" w:sz="5" w:space="0" w:color="000000"/>
              <w:bottom w:val="single" w:sz="5" w:space="0" w:color="000000"/>
              <w:right w:val="single" w:sz="5" w:space="0" w:color="000000"/>
            </w:tcBorders>
          </w:tcPr>
          <w:p w14:paraId="79DFA183"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VI.5. Atsauces summa (SMK ĪA 155. pants)</w:t>
            </w:r>
          </w:p>
          <w:p w14:paraId="13440D7D"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Sniedziet informāciju par atsauces summu, kas aptver visas pieteikuma iesniedzēja darbības, deklarācijas vai procedūras, atbilstīgi SMK 89. panta 5. punktam. Ja lēmuma pieņēmēja muitas dienesta noteiktā atsauces summa atšķiras no tās, kas norādīta pieteikumā, pamatojiet atšķirības iemeslus.</w:t>
            </w:r>
          </w:p>
        </w:tc>
        <w:tc>
          <w:tcPr>
            <w:tcW w:w="868" w:type="pct"/>
            <w:tcBorders>
              <w:top w:val="single" w:sz="5" w:space="0" w:color="000000"/>
              <w:left w:val="single" w:sz="5" w:space="0" w:color="000000"/>
              <w:bottom w:val="single" w:sz="5" w:space="0" w:color="000000"/>
              <w:right w:val="single" w:sz="5" w:space="0" w:color="000000"/>
            </w:tcBorders>
          </w:tcPr>
          <w:p w14:paraId="34C6214B"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Jā</w:t>
            </w:r>
          </w:p>
        </w:tc>
        <w:tc>
          <w:tcPr>
            <w:tcW w:w="418" w:type="pct"/>
            <w:tcBorders>
              <w:top w:val="single" w:sz="5" w:space="0" w:color="000000"/>
              <w:left w:val="single" w:sz="5" w:space="0" w:color="000000"/>
              <w:bottom w:val="single" w:sz="5" w:space="0" w:color="000000"/>
              <w:right w:val="single" w:sz="5" w:space="0" w:color="000000"/>
            </w:tcBorders>
          </w:tcPr>
          <w:p w14:paraId="2FF80C85"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Jā</w:t>
            </w:r>
          </w:p>
        </w:tc>
      </w:tr>
      <w:tr w:rsidR="005A2D50" w:rsidRPr="005A2D50" w14:paraId="73014CAD" w14:textId="77777777" w:rsidTr="00F14166">
        <w:tc>
          <w:tcPr>
            <w:tcW w:w="184" w:type="pct"/>
            <w:tcBorders>
              <w:top w:val="single" w:sz="5" w:space="0" w:color="000000"/>
              <w:left w:val="single" w:sz="5" w:space="0" w:color="000000"/>
              <w:bottom w:val="single" w:sz="5" w:space="0" w:color="000000"/>
              <w:right w:val="single" w:sz="5" w:space="0" w:color="000000"/>
            </w:tcBorders>
          </w:tcPr>
          <w:p w14:paraId="0F12C932"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6.</w:t>
            </w:r>
          </w:p>
        </w:tc>
        <w:tc>
          <w:tcPr>
            <w:tcW w:w="3530" w:type="pct"/>
            <w:tcBorders>
              <w:top w:val="single" w:sz="5" w:space="0" w:color="000000"/>
              <w:left w:val="single" w:sz="5" w:space="0" w:color="000000"/>
              <w:bottom w:val="single" w:sz="5" w:space="0" w:color="000000"/>
              <w:right w:val="single" w:sz="5" w:space="0" w:color="000000"/>
            </w:tcBorders>
          </w:tcPr>
          <w:p w14:paraId="5EBD2B8D"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VI.6. Maksājuma termiņš (SMK 110. pants)</w:t>
            </w:r>
          </w:p>
          <w:p w14:paraId="1A3C9665"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Ja vispārējais galvojums ir sniegts, lai segtu ievedmuitas vai izvedmuitas nodokli, kas jāmaksā, ja preces laiž brīvā apgrozībā vai nodod galapatēriņam, norādiet, vai galvojums segs:</w:t>
            </w:r>
          </w:p>
          <w:p w14:paraId="21624FD3"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parasto laikposmu pirms maksājuma, t. i., maksimāli 10 dienas pēc paziņošanas personai, kam radies muitas parāds, saskaņā ar SMK 108. pantu.</w:t>
            </w:r>
          </w:p>
        </w:tc>
        <w:tc>
          <w:tcPr>
            <w:tcW w:w="868" w:type="pct"/>
            <w:tcBorders>
              <w:top w:val="single" w:sz="5" w:space="0" w:color="000000"/>
              <w:left w:val="single" w:sz="5" w:space="0" w:color="000000"/>
              <w:bottom w:val="single" w:sz="5" w:space="0" w:color="000000"/>
              <w:right w:val="single" w:sz="5" w:space="0" w:color="000000"/>
            </w:tcBorders>
          </w:tcPr>
          <w:p w14:paraId="539D0ECB"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Jā</w:t>
            </w:r>
          </w:p>
        </w:tc>
        <w:tc>
          <w:tcPr>
            <w:tcW w:w="418" w:type="pct"/>
            <w:tcBorders>
              <w:top w:val="single" w:sz="5" w:space="0" w:color="000000"/>
              <w:left w:val="single" w:sz="5" w:space="0" w:color="000000"/>
              <w:bottom w:val="single" w:sz="5" w:space="0" w:color="000000"/>
              <w:right w:val="single" w:sz="5" w:space="0" w:color="000000"/>
            </w:tcBorders>
          </w:tcPr>
          <w:p w14:paraId="4B4D63FA"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Jā</w:t>
            </w:r>
          </w:p>
        </w:tc>
      </w:tr>
    </w:tbl>
    <w:p w14:paraId="13E78768"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34424C51" w14:textId="77777777" w:rsidR="005A2D50" w:rsidRPr="005A2D50" w:rsidRDefault="005A2D50" w:rsidP="005A2D50">
      <w:pPr>
        <w:pStyle w:val="Heading1"/>
        <w:rPr>
          <w:noProof/>
          <w:lang w:val="en-US"/>
        </w:rPr>
      </w:pPr>
      <w:bookmarkStart w:id="188" w:name="Annex_A,_Title_I_UCC_DA_—_Guarantee_refe"/>
      <w:bookmarkStart w:id="189" w:name="_bookmark52"/>
      <w:bookmarkStart w:id="190" w:name="_Toc104982810"/>
      <w:bookmarkEnd w:id="188"/>
      <w:bookmarkEnd w:id="189"/>
      <w:r w:rsidRPr="005A2D50">
        <w:rPr>
          <w:noProof/>
          <w:lang w:val="en-US"/>
        </w:rPr>
        <w:t>SMK DA A pielikums, I sadaļa. Galvojuma atsauces (datu elementi), kas jānorāda citiem pieteikumiem un atļaujām</w:t>
      </w:r>
      <w:bookmarkEnd w:id="190"/>
    </w:p>
    <w:p w14:paraId="6E76875B"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54339648" w14:textId="77777777" w:rsidR="005A2D50" w:rsidRPr="005A2D50" w:rsidRDefault="005A2D50" w:rsidP="005A2D50">
      <w:pPr>
        <w:pStyle w:val="BodyText"/>
        <w:rPr>
          <w:lang w:val="en-US"/>
        </w:rPr>
      </w:pPr>
      <w:r w:rsidRPr="005A2D50">
        <w:rPr>
          <w:lang w:val="en-US"/>
        </w:rPr>
        <w:t>1. Saistībā ar attiecīgo atļauju sniegtā galvojuma atsauces numurs.</w:t>
      </w:r>
    </w:p>
    <w:p w14:paraId="5A193B78" w14:textId="77777777" w:rsidR="005A2D50" w:rsidRPr="005A2D50" w:rsidRDefault="005A2D50" w:rsidP="005A2D50">
      <w:pPr>
        <w:pStyle w:val="BodyText"/>
        <w:rPr>
          <w:lang w:val="en-US"/>
        </w:rPr>
      </w:pPr>
      <w:r w:rsidRPr="005A2D50">
        <w:rPr>
          <w:lang w:val="en-US"/>
        </w:rPr>
        <w:t>2. Galvojuma summa (vienreizējā galvojuma summa vai – attiecībā uz vispārējo galvojumu – summa, kas vienāda ar to daļu no atsauces summas, kura iedalīta konkrētajai pagaidu uzglabāšanas vietas vai īpašas procedūras piemērošanas atļaujai).</w:t>
      </w:r>
    </w:p>
    <w:p w14:paraId="150B5957" w14:textId="77777777" w:rsidR="005A2D50" w:rsidRPr="005A2D50" w:rsidRDefault="005A2D50" w:rsidP="005A2D50">
      <w:pPr>
        <w:pStyle w:val="BodyText"/>
        <w:rPr>
          <w:lang w:val="en-US"/>
        </w:rPr>
      </w:pPr>
    </w:p>
    <w:p w14:paraId="6F6F23E9" w14:textId="77777777" w:rsidR="005A2D50" w:rsidRPr="005A2D50" w:rsidRDefault="005A2D50" w:rsidP="005A2D50">
      <w:pPr>
        <w:pStyle w:val="BodyText"/>
        <w:rPr>
          <w:lang w:val="en-US"/>
        </w:rPr>
      </w:pPr>
      <w:r w:rsidRPr="005A2D50">
        <w:rPr>
          <w:lang w:val="en-US"/>
        </w:rPr>
        <w:t>Pieteikumi un atļaujas, kuros jānorāda datu elementi attiecībā uz galvojumiem</w:t>
      </w:r>
    </w:p>
    <w:p w14:paraId="15C1A286" w14:textId="77777777" w:rsidR="005A2D50" w:rsidRPr="005A2D50" w:rsidRDefault="005A2D50" w:rsidP="005A2D50">
      <w:pPr>
        <w:pStyle w:val="BodyText"/>
        <w:rPr>
          <w:lang w:val="en-US"/>
        </w:rPr>
      </w:pPr>
    </w:p>
    <w:p w14:paraId="4084B257" w14:textId="77777777" w:rsidR="005A2D50" w:rsidRPr="005A2D50" w:rsidRDefault="005A2D50" w:rsidP="005A2D50">
      <w:pPr>
        <w:pStyle w:val="BodyText"/>
        <w:numPr>
          <w:ilvl w:val="0"/>
          <w:numId w:val="8"/>
        </w:numPr>
        <w:tabs>
          <w:tab w:val="left" w:pos="851"/>
        </w:tabs>
        <w:ind w:left="284" w:firstLine="0"/>
        <w:rPr>
          <w:lang w:val="en-US"/>
        </w:rPr>
      </w:pPr>
      <w:r w:rsidRPr="005A2D50">
        <w:rPr>
          <w:lang w:val="en-US"/>
        </w:rPr>
        <w:t>Pieteikums un atļauja atlikt maksājamā nodokļa samaksu, ja vien atļauja netiek piešķirta attiecībā uz vienu darbību (SMK 110. pants/VII sadaļa).</w:t>
      </w:r>
    </w:p>
    <w:p w14:paraId="3DBA8E45" w14:textId="77777777" w:rsidR="005A2D50" w:rsidRPr="005A2D50" w:rsidRDefault="005A2D50" w:rsidP="005A2D50">
      <w:pPr>
        <w:pStyle w:val="BodyText"/>
        <w:numPr>
          <w:ilvl w:val="0"/>
          <w:numId w:val="8"/>
        </w:numPr>
        <w:tabs>
          <w:tab w:val="left" w:pos="851"/>
        </w:tabs>
        <w:ind w:left="284" w:firstLine="0"/>
        <w:rPr>
          <w:lang w:val="en-US"/>
        </w:rPr>
      </w:pPr>
      <w:r w:rsidRPr="005A2D50">
        <w:rPr>
          <w:lang w:val="en-US"/>
        </w:rPr>
        <w:t>Pieteikums un atļauja pagaidu uzglabāšanas vietu darbībai (SMK 148. pants/IX sadaļa).</w:t>
      </w:r>
    </w:p>
    <w:p w14:paraId="38F0BEAA" w14:textId="77777777" w:rsidR="005A2D50" w:rsidRPr="005A2D50" w:rsidRDefault="005A2D50" w:rsidP="005A2D50">
      <w:pPr>
        <w:pStyle w:val="BodyText"/>
        <w:numPr>
          <w:ilvl w:val="0"/>
          <w:numId w:val="8"/>
        </w:numPr>
        <w:tabs>
          <w:tab w:val="left" w:pos="851"/>
        </w:tabs>
        <w:ind w:left="284" w:firstLine="0"/>
        <w:rPr>
          <w:lang w:val="en-US"/>
        </w:rPr>
      </w:pPr>
      <w:r w:rsidRPr="005A2D50">
        <w:rPr>
          <w:lang w:val="en-US"/>
        </w:rPr>
        <w:t>Pieteikums un atļauja izmantot ievešanas pārstrādei procedūru (SMK 211. panta 1. punkta a) apakšpunkts/XVII sadaļa).</w:t>
      </w:r>
    </w:p>
    <w:p w14:paraId="06CF522F" w14:textId="77777777" w:rsidR="005A2D50" w:rsidRPr="005A2D50" w:rsidRDefault="005A2D50" w:rsidP="005A2D50">
      <w:pPr>
        <w:pStyle w:val="BodyText"/>
        <w:numPr>
          <w:ilvl w:val="0"/>
          <w:numId w:val="8"/>
        </w:numPr>
        <w:tabs>
          <w:tab w:val="left" w:pos="851"/>
        </w:tabs>
        <w:ind w:left="284" w:firstLine="0"/>
        <w:rPr>
          <w:lang w:val="en-US"/>
        </w:rPr>
      </w:pPr>
      <w:r w:rsidRPr="005A2D50">
        <w:rPr>
          <w:lang w:val="en-US"/>
        </w:rPr>
        <w:t>Pieteikums un atļauja izmantot izvešanas pārstrādei procedūru (SMK 211. panta 1. punkta a) apakšpunkts/XVIII sadaļa).</w:t>
      </w:r>
    </w:p>
    <w:p w14:paraId="5A90810E" w14:textId="77777777" w:rsidR="005A2D50" w:rsidRPr="005A2D50" w:rsidRDefault="005A2D50" w:rsidP="005A2D50">
      <w:pPr>
        <w:pStyle w:val="BodyText"/>
        <w:numPr>
          <w:ilvl w:val="0"/>
          <w:numId w:val="8"/>
        </w:numPr>
        <w:tabs>
          <w:tab w:val="left" w:pos="851"/>
        </w:tabs>
        <w:ind w:left="284" w:firstLine="0"/>
        <w:rPr>
          <w:lang w:val="en-US"/>
        </w:rPr>
      </w:pPr>
      <w:r w:rsidRPr="005A2D50">
        <w:rPr>
          <w:lang w:val="en-US"/>
        </w:rPr>
        <w:t>Pieteikums un atļauja izmantot galapatēriņa procedūru (SMK 211. panta 1. punkta a) apakšpunkts).</w:t>
      </w:r>
    </w:p>
    <w:p w14:paraId="74B3E7D3" w14:textId="77777777" w:rsidR="005A2D50" w:rsidRPr="005A2D50" w:rsidRDefault="005A2D50" w:rsidP="005A2D50">
      <w:pPr>
        <w:pStyle w:val="BodyText"/>
        <w:numPr>
          <w:ilvl w:val="0"/>
          <w:numId w:val="8"/>
        </w:numPr>
        <w:tabs>
          <w:tab w:val="left" w:pos="851"/>
        </w:tabs>
        <w:ind w:left="284" w:firstLine="0"/>
        <w:rPr>
          <w:lang w:val="en-US"/>
        </w:rPr>
      </w:pPr>
      <w:r w:rsidRPr="005A2D50">
        <w:rPr>
          <w:lang w:val="en-US"/>
        </w:rPr>
        <w:t>Pieteikums un atļauja izmantot pagaidu ievešanas procedūru (SMK 211. panta 1. punkta a) apakšpunkts).</w:t>
      </w:r>
    </w:p>
    <w:p w14:paraId="34D17F84" w14:textId="77777777" w:rsidR="005A2D50" w:rsidRPr="005A2D50" w:rsidRDefault="005A2D50" w:rsidP="005A2D50">
      <w:pPr>
        <w:pStyle w:val="BodyText"/>
        <w:numPr>
          <w:ilvl w:val="0"/>
          <w:numId w:val="8"/>
        </w:numPr>
        <w:tabs>
          <w:tab w:val="left" w:pos="851"/>
        </w:tabs>
        <w:ind w:left="284" w:firstLine="0"/>
        <w:rPr>
          <w:lang w:val="en-US"/>
        </w:rPr>
      </w:pPr>
      <w:r w:rsidRPr="005A2D50">
        <w:rPr>
          <w:lang w:val="en-US"/>
        </w:rPr>
        <w:t>Pieteikums un atļauja uzglabāšanas vietu darbībai preču uzglabāšanai muitas noliktavā (SMK 211. panta 1. punkta b) apakšpunkts).</w:t>
      </w:r>
      <w:r w:rsidRPr="005A2D50">
        <w:rPr>
          <w:lang w:val="en-US"/>
        </w:rPr>
        <w:br w:type="page"/>
      </w:r>
    </w:p>
    <w:p w14:paraId="6415BA27" w14:textId="77777777" w:rsidR="005A2D50" w:rsidRPr="005A2D50" w:rsidRDefault="005A2D50" w:rsidP="005A2D50">
      <w:pPr>
        <w:jc w:val="both"/>
        <w:rPr>
          <w:rFonts w:ascii="Times New Roman" w:hAnsi="Times New Roman" w:cs="Times New Roman"/>
          <w:noProof/>
          <w:sz w:val="24"/>
          <w:szCs w:val="24"/>
          <w:lang w:val="en-US"/>
        </w:rPr>
      </w:pPr>
    </w:p>
    <w:p w14:paraId="309343C9" w14:textId="77777777" w:rsidR="005A2D50" w:rsidRPr="005A2D50" w:rsidRDefault="005A2D50" w:rsidP="005A2D50">
      <w:pPr>
        <w:pStyle w:val="Heading1"/>
        <w:rPr>
          <w:noProof/>
          <w:lang w:val="en-US"/>
        </w:rPr>
      </w:pPr>
      <w:bookmarkStart w:id="191" w:name="Annex_2_Examples"/>
      <w:bookmarkStart w:id="192" w:name="_bookmark53"/>
      <w:bookmarkStart w:id="193" w:name="_Toc104982811"/>
      <w:bookmarkEnd w:id="191"/>
      <w:bookmarkEnd w:id="192"/>
      <w:r w:rsidRPr="005A2D50">
        <w:rPr>
          <w:noProof/>
          <w:lang w:val="en-US"/>
        </w:rPr>
        <w:t xml:space="preserve">2. pielikums. </w:t>
      </w:r>
      <w:bookmarkEnd w:id="193"/>
      <w:r w:rsidRPr="005A2D50">
        <w:rPr>
          <w:noProof/>
          <w:lang w:val="en-US"/>
        </w:rPr>
        <w:t>Piemēri</w:t>
      </w:r>
    </w:p>
    <w:p w14:paraId="1C9C32CA" w14:textId="77777777" w:rsidR="005A2D50" w:rsidRPr="005A2D50" w:rsidRDefault="005A2D50" w:rsidP="005A2D50">
      <w:pPr>
        <w:pStyle w:val="BodyText"/>
        <w:rPr>
          <w:lang w:val="en-US"/>
        </w:rPr>
      </w:pPr>
    </w:p>
    <w:p w14:paraId="2F552EC6" w14:textId="77777777" w:rsidR="005A2D50" w:rsidRPr="005A2D50" w:rsidRDefault="005A2D50" w:rsidP="005A2D50">
      <w:pPr>
        <w:pStyle w:val="Heading2"/>
        <w:rPr>
          <w:noProof/>
          <w:lang w:val="en-US"/>
        </w:rPr>
      </w:pPr>
      <w:bookmarkStart w:id="194" w:name="A2.1_Calculation_of_the_amount_of_the_co"/>
      <w:bookmarkStart w:id="195" w:name="_bookmark54"/>
      <w:bookmarkStart w:id="196" w:name="_Toc104982812"/>
      <w:bookmarkEnd w:id="194"/>
      <w:bookmarkEnd w:id="195"/>
      <w:r w:rsidRPr="005A2D50">
        <w:rPr>
          <w:noProof/>
          <w:lang w:val="en-US"/>
        </w:rPr>
        <w:t>A2.1. Summas aprēķins vispārējam galvojumam ar iespējamu samazinājumu/atbrīvojumu</w:t>
      </w:r>
      <w:bookmarkEnd w:id="196"/>
    </w:p>
    <w:p w14:paraId="71F02F07"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26491C3A" w14:textId="77777777" w:rsidR="005A2D50" w:rsidRPr="005A2D50" w:rsidRDefault="005A2D50" w:rsidP="005A2D50">
      <w:pPr>
        <w:pStyle w:val="BodyText"/>
        <w:rPr>
          <w:lang w:val="en-US"/>
        </w:rPr>
      </w:pPr>
      <w:r w:rsidRPr="005A2D50">
        <w:rPr>
          <w:lang w:val="en-US"/>
        </w:rPr>
        <w:t xml:space="preserve">Atsauces summa kopā ir </w:t>
      </w:r>
      <w:r w:rsidRPr="005A2D50">
        <w:rPr>
          <w:b/>
          <w:lang w:val="en-US"/>
        </w:rPr>
        <w:t>1 000 000 EUR</w:t>
      </w:r>
      <w:r w:rsidRPr="005A2D50">
        <w:rPr>
          <w:lang w:val="en-US"/>
        </w:rPr>
        <w:t>, ko sadala šādi: muitas procedūra (A) 200 000 EUR; (B) 200 000 EUR; (C) 200 000 EUR; (D) 200 000 EUR un (E) 200 000 EUR.</w:t>
      </w:r>
    </w:p>
    <w:p w14:paraId="5DCC9A23" w14:textId="77777777" w:rsidR="005A2D50" w:rsidRPr="005A2D50" w:rsidRDefault="005A2D50" w:rsidP="005A2D50">
      <w:pPr>
        <w:pStyle w:val="BodyText"/>
        <w:rPr>
          <w:u w:color="000000"/>
          <w:lang w:val="en-US"/>
        </w:rPr>
      </w:pPr>
    </w:p>
    <w:p w14:paraId="0D420BFB" w14:textId="77777777" w:rsidR="005A2D50" w:rsidRPr="005A2D50" w:rsidRDefault="005A2D50" w:rsidP="005A2D50">
      <w:pPr>
        <w:pStyle w:val="BodyText"/>
        <w:rPr>
          <w:u w:val="single" w:color="000000"/>
          <w:lang w:val="en-US"/>
        </w:rPr>
      </w:pPr>
      <w:r w:rsidRPr="005A2D50">
        <w:rPr>
          <w:u w:val="single" w:color="000000"/>
          <w:lang w:val="en-US"/>
        </w:rPr>
        <w:t xml:space="preserve">i) Uzņēmēji, kas nav </w:t>
      </w:r>
      <w:r w:rsidRPr="005A2D50">
        <w:rPr>
          <w:i/>
          <w:iCs/>
          <w:u w:val="single" w:color="000000"/>
          <w:lang w:val="en-US"/>
        </w:rPr>
        <w:t>AEOC</w:t>
      </w:r>
    </w:p>
    <w:p w14:paraId="39D258CD" w14:textId="77777777" w:rsidR="005A2D50" w:rsidRPr="005A2D50" w:rsidRDefault="005A2D50" w:rsidP="005A2D50">
      <w:pPr>
        <w:jc w:val="both"/>
        <w:rPr>
          <w:rFonts w:ascii="Times New Roman" w:eastAsia="Times New Roman" w:hAnsi="Times New Roman" w:cs="Times New Roman"/>
          <w:noProof/>
          <w:sz w:val="24"/>
          <w:szCs w:val="24"/>
          <w:lang w:val="en-US"/>
        </w:rPr>
      </w:pPr>
    </w:p>
    <w:p w14:paraId="55A5884A" w14:textId="77777777" w:rsidR="005A2D50" w:rsidRPr="005A2D50" w:rsidRDefault="005A2D50" w:rsidP="005A2D50">
      <w:pPr>
        <w:jc w:val="center"/>
        <w:rPr>
          <w:rFonts w:ascii="Times New Roman" w:eastAsia="Times New Roman" w:hAnsi="Times New Roman" w:cs="Times New Roman"/>
          <w:noProof/>
          <w:sz w:val="24"/>
          <w:szCs w:val="24"/>
          <w:lang w:val="en-US"/>
        </w:rPr>
      </w:pPr>
      <w:r w:rsidRPr="005A2D50">
        <w:rPr>
          <w:rFonts w:ascii="Times New Roman" w:eastAsia="Times New Roman" w:hAnsi="Times New Roman" w:cs="Times New Roman"/>
          <w:noProof/>
          <w:sz w:val="24"/>
          <w:szCs w:val="24"/>
          <w:lang w:val="en-US"/>
        </w:rPr>
        <w:drawing>
          <wp:inline distT="0" distB="0" distL="0" distR="0" wp14:anchorId="0F8AA85E" wp14:editId="5569DD03">
            <wp:extent cx="5762625" cy="2817495"/>
            <wp:effectExtent l="0" t="0" r="0" b="0"/>
            <wp:docPr id="11" name="Picture 1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Diagram&#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5762625" cy="2817495"/>
                    </a:xfrm>
                    <a:prstGeom prst="rect">
                      <a:avLst/>
                    </a:prstGeom>
                  </pic:spPr>
                </pic:pic>
              </a:graphicData>
            </a:graphic>
          </wp:inline>
        </w:drawing>
      </w:r>
    </w:p>
    <w:p w14:paraId="4A6A543A" w14:textId="77777777" w:rsidR="005A2D50" w:rsidRPr="005A2D50" w:rsidRDefault="005A2D50" w:rsidP="005A2D50">
      <w:pPr>
        <w:jc w:val="both"/>
        <w:rPr>
          <w:rFonts w:ascii="Times New Roman" w:eastAsia="Times New Roman" w:hAnsi="Times New Roman" w:cs="Times New Roman"/>
          <w:noProof/>
          <w:sz w:val="24"/>
          <w:szCs w:val="24"/>
          <w:lang w:val="en-US"/>
        </w:rPr>
      </w:pPr>
    </w:p>
    <w:p w14:paraId="6C2E0AA3" w14:textId="77777777" w:rsidR="005A2D50" w:rsidRPr="005A2D50" w:rsidRDefault="005A2D50" w:rsidP="005A2D50">
      <w:pPr>
        <w:jc w:val="both"/>
        <w:rPr>
          <w:rFonts w:ascii="Times New Roman" w:eastAsia="Times New Roman" w:hAnsi="Times New Roman" w:cs="Times New Roman"/>
          <w:noProof/>
          <w:sz w:val="24"/>
          <w:szCs w:val="24"/>
          <w:lang w:val="en-US"/>
        </w:rPr>
      </w:pPr>
      <w:r w:rsidRPr="005A2D50">
        <w:rPr>
          <w:rFonts w:ascii="Times New Roman" w:hAnsi="Times New Roman"/>
          <w:noProof/>
          <w:sz w:val="24"/>
          <w:lang w:val="en-US"/>
        </w:rPr>
        <w:t xml:space="preserve">Uzņēmējam prasītā galvojuma faktiskā summa var sasniegt </w:t>
      </w:r>
      <w:r w:rsidRPr="005A2D50">
        <w:rPr>
          <w:rFonts w:ascii="Times New Roman" w:hAnsi="Times New Roman"/>
          <w:b/>
          <w:bCs/>
          <w:noProof/>
          <w:sz w:val="24"/>
          <w:lang w:val="en-US"/>
        </w:rPr>
        <w:t>700 000 EUR, ja tiek piešķirts samazinājums līdz 50 % no iespējamajam muitas parādam noteiktās atsauces summas.</w:t>
      </w:r>
    </w:p>
    <w:p w14:paraId="3D5AF9B0" w14:textId="77777777" w:rsidR="005A2D50" w:rsidRPr="005A2D50" w:rsidRDefault="005A2D50" w:rsidP="005A2D50">
      <w:pPr>
        <w:jc w:val="both"/>
        <w:rPr>
          <w:rFonts w:ascii="Times New Roman" w:eastAsia="Times New Roman" w:hAnsi="Times New Roman" w:cs="Times New Roman"/>
          <w:noProof/>
          <w:sz w:val="24"/>
          <w:szCs w:val="24"/>
          <w:lang w:val="en-US"/>
        </w:rPr>
      </w:pPr>
    </w:p>
    <w:p w14:paraId="6629B31F" w14:textId="77777777" w:rsidR="005A2D50" w:rsidRPr="005A2D50" w:rsidRDefault="005A2D50" w:rsidP="005A2D50">
      <w:pPr>
        <w:jc w:val="both"/>
        <w:rPr>
          <w:rFonts w:ascii="Times New Roman" w:eastAsia="Times New Roman" w:hAnsi="Times New Roman" w:cs="Times New Roman"/>
          <w:noProof/>
          <w:sz w:val="24"/>
          <w:szCs w:val="24"/>
          <w:lang w:val="en-US"/>
        </w:rPr>
      </w:pPr>
      <w:r w:rsidRPr="005A2D50">
        <w:rPr>
          <w:rFonts w:ascii="Times New Roman" w:hAnsi="Times New Roman"/>
          <w:noProof/>
          <w:sz w:val="24"/>
          <w:u w:val="single"/>
          <w:lang w:val="en-US"/>
        </w:rPr>
        <w:t>ii) </w:t>
      </w:r>
      <w:r w:rsidRPr="005A2D50">
        <w:rPr>
          <w:rFonts w:ascii="Times New Roman" w:hAnsi="Times New Roman"/>
          <w:i/>
          <w:iCs/>
          <w:noProof/>
          <w:sz w:val="24"/>
          <w:u w:val="single"/>
          <w:lang w:val="en-US"/>
        </w:rPr>
        <w:t>AEOC</w:t>
      </w:r>
    </w:p>
    <w:p w14:paraId="68C99276" w14:textId="77777777" w:rsidR="005A2D50" w:rsidRPr="005A2D50" w:rsidRDefault="005A2D50" w:rsidP="005A2D50">
      <w:pPr>
        <w:jc w:val="both"/>
        <w:rPr>
          <w:rFonts w:ascii="Times New Roman" w:eastAsia="Times New Roman" w:hAnsi="Times New Roman" w:cs="Times New Roman"/>
          <w:noProof/>
          <w:sz w:val="24"/>
          <w:szCs w:val="24"/>
          <w:lang w:val="en-US"/>
        </w:rPr>
      </w:pPr>
    </w:p>
    <w:p w14:paraId="1804AFC8" w14:textId="77777777" w:rsidR="005A2D50" w:rsidRPr="005A2D50" w:rsidRDefault="005A2D50" w:rsidP="005A2D50">
      <w:pPr>
        <w:jc w:val="center"/>
        <w:rPr>
          <w:rFonts w:ascii="Times New Roman" w:eastAsia="Times New Roman" w:hAnsi="Times New Roman" w:cs="Times New Roman"/>
          <w:noProof/>
          <w:sz w:val="24"/>
          <w:szCs w:val="24"/>
          <w:lang w:val="en-US"/>
        </w:rPr>
      </w:pPr>
      <w:r w:rsidRPr="005A2D50">
        <w:rPr>
          <w:rFonts w:ascii="Times New Roman" w:eastAsia="Times New Roman" w:hAnsi="Times New Roman" w:cs="Times New Roman"/>
          <w:noProof/>
          <w:sz w:val="24"/>
          <w:szCs w:val="24"/>
          <w:lang w:val="en-US"/>
        </w:rPr>
        <w:drawing>
          <wp:inline distT="0" distB="0" distL="0" distR="0" wp14:anchorId="5950A523" wp14:editId="05DC22E2">
            <wp:extent cx="4740051" cy="2309060"/>
            <wp:effectExtent l="0" t="0" r="0" b="0"/>
            <wp:docPr id="12" name="Picture 1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iagram&#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4740051" cy="2309060"/>
                    </a:xfrm>
                    <a:prstGeom prst="rect">
                      <a:avLst/>
                    </a:prstGeom>
                  </pic:spPr>
                </pic:pic>
              </a:graphicData>
            </a:graphic>
          </wp:inline>
        </w:drawing>
      </w:r>
    </w:p>
    <w:p w14:paraId="06D84940" w14:textId="77777777" w:rsidR="005A2D50" w:rsidRPr="005A2D50" w:rsidRDefault="005A2D50" w:rsidP="005A2D50">
      <w:pPr>
        <w:jc w:val="both"/>
        <w:rPr>
          <w:rFonts w:ascii="Times New Roman" w:hAnsi="Times New Roman" w:cs="Times New Roman"/>
          <w:noProof/>
          <w:sz w:val="24"/>
          <w:szCs w:val="24"/>
          <w:lang w:val="en-US"/>
        </w:rPr>
      </w:pPr>
    </w:p>
    <w:p w14:paraId="327EDB91" w14:textId="77777777" w:rsidR="005A2D50" w:rsidRPr="005A2D50" w:rsidRDefault="005A2D50" w:rsidP="005A2D50">
      <w:pPr>
        <w:jc w:val="both"/>
        <w:rPr>
          <w:rFonts w:ascii="Times New Roman" w:eastAsia="Times New Roman" w:hAnsi="Times New Roman" w:cs="Times New Roman"/>
          <w:noProof/>
          <w:sz w:val="24"/>
          <w:szCs w:val="24"/>
          <w:lang w:val="en-US"/>
        </w:rPr>
      </w:pPr>
      <w:r w:rsidRPr="005A2D50">
        <w:rPr>
          <w:rFonts w:ascii="Times New Roman" w:hAnsi="Times New Roman"/>
          <w:noProof/>
          <w:sz w:val="24"/>
          <w:lang w:val="en-US"/>
        </w:rPr>
        <w:t xml:space="preserve">Uzņēmējam prasītā galvojuma faktiskā summa var sasniegt </w:t>
      </w:r>
      <w:r w:rsidRPr="005A2D50">
        <w:rPr>
          <w:rFonts w:ascii="Times New Roman" w:hAnsi="Times New Roman"/>
          <w:b/>
          <w:bCs/>
          <w:noProof/>
          <w:sz w:val="24"/>
          <w:lang w:val="en-US"/>
        </w:rPr>
        <w:t>120 000 EUR, ja tiek piešķirts atbrīvojums no galvojuma līdz iespējamajam muitas parādam noteiktās atsauces summas.</w:t>
      </w:r>
    </w:p>
    <w:p w14:paraId="47BA0FCF" w14:textId="77777777" w:rsidR="005A2D50" w:rsidRPr="005A2D50" w:rsidRDefault="005A2D50" w:rsidP="005A2D50">
      <w:pPr>
        <w:jc w:val="both"/>
        <w:rPr>
          <w:rFonts w:ascii="Times New Roman" w:eastAsia="Times New Roman" w:hAnsi="Times New Roman" w:cs="Times New Roman"/>
          <w:noProof/>
          <w:sz w:val="24"/>
          <w:szCs w:val="24"/>
          <w:lang w:val="en-US"/>
        </w:rPr>
      </w:pPr>
    </w:p>
    <w:p w14:paraId="47FD52A3" w14:textId="77777777" w:rsidR="005A2D50" w:rsidRPr="005A2D50" w:rsidRDefault="005A2D50" w:rsidP="005A2D50">
      <w:pPr>
        <w:pStyle w:val="Heading2"/>
        <w:rPr>
          <w:noProof/>
          <w:lang w:val="en-US"/>
        </w:rPr>
      </w:pPr>
      <w:bookmarkStart w:id="197" w:name="A2.2_Geographical_validity_of_the_guaran"/>
      <w:bookmarkStart w:id="198" w:name="_bookmark55"/>
      <w:bookmarkStart w:id="199" w:name="_Toc104982813"/>
      <w:bookmarkEnd w:id="197"/>
      <w:bookmarkEnd w:id="198"/>
      <w:r w:rsidRPr="005A2D50">
        <w:rPr>
          <w:noProof/>
          <w:lang w:val="en-US"/>
        </w:rPr>
        <w:t>A2.2. Galvojuma derīguma ģeogrāfiskais areāls, ja tiek piemērotas īpašas procedūras, kas attiecas uz vairāk nekā vienu dalībvalsti</w:t>
      </w:r>
      <w:bookmarkEnd w:id="199"/>
    </w:p>
    <w:p w14:paraId="5C581A45"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3AF4A7DA" w14:textId="77777777" w:rsidR="005A2D50" w:rsidRPr="005A2D50" w:rsidRDefault="005A2D50" w:rsidP="005A2D50">
      <w:pPr>
        <w:jc w:val="both"/>
        <w:rPr>
          <w:rFonts w:ascii="Times New Roman" w:eastAsia="Times New Roman" w:hAnsi="Times New Roman" w:cs="Times New Roman"/>
          <w:noProof/>
          <w:sz w:val="24"/>
          <w:szCs w:val="24"/>
          <w:lang w:val="en-US"/>
        </w:rPr>
      </w:pPr>
      <w:r w:rsidRPr="005A2D50">
        <w:rPr>
          <w:rFonts w:ascii="Times New Roman" w:hAnsi="Times New Roman"/>
          <w:noProof/>
          <w:sz w:val="24"/>
          <w:lang w:val="en-US"/>
        </w:rPr>
        <w:t xml:space="preserve">Šis piemērs attiecas uz IP, bet tas </w:t>
      </w:r>
      <w:r w:rsidRPr="005A2D50">
        <w:rPr>
          <w:rFonts w:ascii="Times New Roman" w:hAnsi="Times New Roman"/>
          <w:i/>
          <w:iCs/>
          <w:noProof/>
          <w:sz w:val="24"/>
          <w:lang w:val="en-US"/>
        </w:rPr>
        <w:t>mutatis mutandis attiecas uz visām īpašajām procedūrām, kuras skar vairāk nekā vienu dalībvalsti</w:t>
      </w:r>
      <w:r w:rsidRPr="005A2D50">
        <w:rPr>
          <w:rFonts w:ascii="Times New Roman" w:hAnsi="Times New Roman"/>
          <w:noProof/>
          <w:sz w:val="24"/>
          <w:lang w:val="en-US"/>
        </w:rPr>
        <w:t>.</w:t>
      </w:r>
    </w:p>
    <w:p w14:paraId="56D8276B" w14:textId="77777777" w:rsidR="005A2D50" w:rsidRPr="005A2D50" w:rsidRDefault="005A2D50" w:rsidP="005A2D50">
      <w:pPr>
        <w:pStyle w:val="BodyText"/>
        <w:rPr>
          <w:lang w:val="en-US"/>
        </w:rPr>
      </w:pPr>
      <w:r w:rsidRPr="005A2D50">
        <w:rPr>
          <w:lang w:val="en-US"/>
        </w:rPr>
        <w:t>Atļaujā veikt IP var noteikt, ka preces, kurām piemēro IP procedūru A dalībvalstī, var apstrādāt dalībvalstī B un dalībvalstī C.</w:t>
      </w:r>
    </w:p>
    <w:p w14:paraId="3D6D09D0" w14:textId="77777777" w:rsidR="005A2D50" w:rsidRPr="005A2D50" w:rsidRDefault="005A2D50" w:rsidP="005A2D50">
      <w:pPr>
        <w:pStyle w:val="BodyText"/>
        <w:rPr>
          <w:lang w:val="en-US"/>
        </w:rPr>
      </w:pPr>
      <w:r w:rsidRPr="005A2D50">
        <w:rPr>
          <w:lang w:val="en-US"/>
        </w:rPr>
        <w:t>Pastāv iespēja, ka precēm nelikumīgi netiks piemērota procedūra nevienā no trim dalībvalstīm (A, B un C), radot parādu jebkurā no šīm dalībvalstīm. Tāpēc galvojumam ir jābūt derīgam visās trīs dalībvalstīs.</w:t>
      </w:r>
    </w:p>
    <w:p w14:paraId="1B1E5784" w14:textId="77777777" w:rsidR="005A2D50" w:rsidRPr="005A2D50" w:rsidRDefault="005A2D50" w:rsidP="005A2D50">
      <w:pPr>
        <w:pStyle w:val="BodyText"/>
        <w:rPr>
          <w:lang w:val="en-US"/>
        </w:rPr>
      </w:pPr>
      <w:r w:rsidRPr="005A2D50">
        <w:rPr>
          <w:lang w:val="en-US"/>
        </w:rPr>
        <w:t>Tomēr, piemērojot minēto īpašo procedūru, preces var šķērsot arī citu dalībvalstu teritoriju (X un Y), ne tikai A, B un C, piemēram, preces var pārvietot no dalībvalsts A uz dalībvalsti B, tāpēc pastāv iespēja, ka parāds rodas arī šajās citās dalībvalstīs X un Y, tātad galvojumam ir jābūt derīgam arī šajās dalībvalstīs.</w:t>
      </w:r>
    </w:p>
    <w:p w14:paraId="76102C74" w14:textId="77777777" w:rsidR="005A2D50" w:rsidRPr="005A2D50" w:rsidRDefault="005A2D50" w:rsidP="005A2D50">
      <w:pPr>
        <w:pStyle w:val="BodyText"/>
        <w:rPr>
          <w:lang w:val="en-US"/>
        </w:rPr>
      </w:pPr>
      <w:r w:rsidRPr="005A2D50">
        <w:rPr>
          <w:lang w:val="en-US"/>
        </w:rPr>
        <w:t>Tā kā īpašu procedūru atļaujā nevar norādīt teritoriju, caur kurām dalībvalstīm var pārvietot preces, katrā ES dalībvalstī precēm varētu nepiemērot attiecīgo īpašo procedūru, kas būtu nelikumīgi. Tāpēc galvojumam ir jābūt derīgam visā ES.</w:t>
      </w:r>
    </w:p>
    <w:p w14:paraId="6586659C" w14:textId="77777777" w:rsidR="005A2D50" w:rsidRPr="005A2D50" w:rsidRDefault="005A2D50" w:rsidP="005A2D50">
      <w:pPr>
        <w:pStyle w:val="BodyText"/>
        <w:rPr>
          <w:lang w:val="en-US"/>
        </w:rPr>
      </w:pPr>
    </w:p>
    <w:p w14:paraId="6FF4FB18" w14:textId="77777777" w:rsidR="005A2D50" w:rsidRPr="005A2D50" w:rsidRDefault="005A2D50" w:rsidP="005A2D50">
      <w:pPr>
        <w:pStyle w:val="Heading2"/>
        <w:rPr>
          <w:noProof/>
          <w:lang w:val="en-US"/>
        </w:rPr>
      </w:pPr>
      <w:bookmarkStart w:id="200" w:name="A2.3_Deferred_payment_in_a_multi-Member_"/>
      <w:bookmarkStart w:id="201" w:name="_bookmark56"/>
      <w:bookmarkStart w:id="202" w:name="_Toc104982814"/>
      <w:bookmarkEnd w:id="200"/>
      <w:bookmarkEnd w:id="201"/>
      <w:r w:rsidRPr="005A2D50">
        <w:rPr>
          <w:noProof/>
          <w:lang w:val="en-US"/>
        </w:rPr>
        <w:t>A2.3. Atliktais maksājums vairāku dalībvalstu galvojuma gadījumā</w:t>
      </w:r>
      <w:bookmarkEnd w:id="202"/>
    </w:p>
    <w:p w14:paraId="2451B75D"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6DF43722" w14:textId="77777777" w:rsidR="005A2D50" w:rsidRPr="005A2D50" w:rsidRDefault="005A2D50" w:rsidP="005A2D50">
      <w:pPr>
        <w:pStyle w:val="BodyText"/>
        <w:rPr>
          <w:b/>
          <w:bCs/>
          <w:lang w:val="en-US"/>
        </w:rPr>
      </w:pPr>
      <w:bookmarkStart w:id="203" w:name="Situation_1"/>
      <w:bookmarkEnd w:id="203"/>
      <w:r w:rsidRPr="005A2D50">
        <w:rPr>
          <w:b/>
          <w:bCs/>
          <w:lang w:val="en-US"/>
        </w:rPr>
        <w:t>1. situācija</w:t>
      </w:r>
    </w:p>
    <w:p w14:paraId="4CF41713" w14:textId="77777777" w:rsidR="005A2D50" w:rsidRPr="005A2D50" w:rsidRDefault="005A2D50" w:rsidP="005A2D50">
      <w:pPr>
        <w:jc w:val="both"/>
        <w:rPr>
          <w:rFonts w:ascii="Times New Roman" w:eastAsia="Times New Roman" w:hAnsi="Times New Roman" w:cs="Times New Roman"/>
          <w:b/>
          <w:bCs/>
          <w:i/>
          <w:noProof/>
          <w:sz w:val="24"/>
          <w:szCs w:val="24"/>
          <w:lang w:val="en-US"/>
        </w:rPr>
      </w:pPr>
    </w:p>
    <w:p w14:paraId="4B261A54" w14:textId="77777777" w:rsidR="005A2D50" w:rsidRPr="005A2D50" w:rsidRDefault="005A2D50" w:rsidP="005A2D50">
      <w:pPr>
        <w:pStyle w:val="BodyText"/>
        <w:rPr>
          <w:lang w:val="en-US"/>
        </w:rPr>
      </w:pPr>
      <w:r w:rsidRPr="005A2D50">
        <w:rPr>
          <w:lang w:val="en-US"/>
        </w:rPr>
        <w:t xml:space="preserve">Uzņēmējs ir reģistrēts un veic ar muitu saistīto uzskaiti, un tam ir piešķirts </w:t>
      </w:r>
      <w:r w:rsidRPr="005A2D50">
        <w:rPr>
          <w:i/>
          <w:iCs/>
          <w:lang w:val="en-US"/>
        </w:rPr>
        <w:t xml:space="preserve">AEOC </w:t>
      </w:r>
      <w:r w:rsidRPr="005A2D50">
        <w:rPr>
          <w:lang w:val="en-US"/>
        </w:rPr>
        <w:t>statuss uzņēmējā dalībvalstī (dalībvalstī Nr. 1). Uzņēmējs iesniedz pieteikumu atļaujai atlikt maksājumu citā dalībvalstī (dalībvalstī Nr. 2) attiecībā uz precēm, kas laižamas brīvā apgrozībā dalībvalstī Nr. 2. Uzņēmējs neveic ar muitu saistīto uzskaiti dalībvalstī Nr. 2.</w:t>
      </w:r>
    </w:p>
    <w:p w14:paraId="0FCCEDF9" w14:textId="77777777" w:rsidR="005A2D50" w:rsidRPr="005A2D50" w:rsidRDefault="005A2D50" w:rsidP="005A2D50">
      <w:pPr>
        <w:pStyle w:val="BodyText"/>
        <w:rPr>
          <w:lang w:val="en-US"/>
        </w:rPr>
      </w:pPr>
      <w:r w:rsidRPr="005A2D50">
        <w:rPr>
          <w:lang w:val="en-US"/>
        </w:rPr>
        <w:t>Muitas dienests, kas ir kompetents dot atļauju atlikt maksājumu</w:t>
      </w:r>
    </w:p>
    <w:p w14:paraId="43D21AAF" w14:textId="77777777" w:rsidR="005A2D50" w:rsidRPr="005A2D50" w:rsidRDefault="005A2D50" w:rsidP="005A2D50">
      <w:pPr>
        <w:pStyle w:val="BodyText"/>
        <w:rPr>
          <w:lang w:val="en-US"/>
        </w:rPr>
      </w:pPr>
      <w:r w:rsidRPr="005A2D50">
        <w:rPr>
          <w:lang w:val="en-US"/>
        </w:rPr>
        <w:t>Dalībvalsts Nr. 2 piešķirs atlikto maksājumu saskaņā ar SMK 110. panta b) punktu, jo preces importē dalībvalstī Nr. 2 un atliktā maksājuma uzraudzība ir iespējama, izmantojot uzņēmēja iesniegto informāciju. Šajā konkrētajā situācijā turpmāka piekļuve uzņēmēja uzskaitei nav nepieciešama, lai piešķirtu un uzraudzītu atliktā maksājuma atļauju. Ja maksājums tiek atlikts, atļaujas pareizas izmantošanas uzraudzībai nepieciešamā informācija ir muitas un citu nodokļu summa. Šo informāciju norāda muitas deklarācijā un atbilstošajā muitas nodokļu novērtējumā. Tā kā iepriekš minētā informācija atsauces summas uzraudzībai ir iekļauta muitas IT sistēmās/reģistros, šajā gadījumā nav nepieciešama padziļināta piekļuve pieteikuma iesniedzēja uzskaitei.</w:t>
      </w:r>
    </w:p>
    <w:p w14:paraId="6E569260" w14:textId="77777777" w:rsidR="005A2D50" w:rsidRPr="005A2D50" w:rsidRDefault="005A2D50" w:rsidP="005A2D50">
      <w:pPr>
        <w:pStyle w:val="BodyText"/>
        <w:rPr>
          <w:lang w:val="en-US"/>
        </w:rPr>
      </w:pPr>
      <w:r w:rsidRPr="005A2D50">
        <w:rPr>
          <w:lang w:val="en-US"/>
        </w:rPr>
        <w:t xml:space="preserve">Muitas dienests, kas ir kompetents piešķirt </w:t>
      </w:r>
      <w:r w:rsidRPr="005A2D50">
        <w:rPr>
          <w:i/>
          <w:iCs/>
          <w:lang w:val="en-US"/>
        </w:rPr>
        <w:t xml:space="preserve">CGU </w:t>
      </w:r>
      <w:r w:rsidRPr="005A2D50">
        <w:rPr>
          <w:lang w:val="en-US"/>
        </w:rPr>
        <w:t>atļauju</w:t>
      </w:r>
    </w:p>
    <w:p w14:paraId="0A3A4ECF" w14:textId="77777777" w:rsidR="005A2D50" w:rsidRPr="005A2D50" w:rsidRDefault="005A2D50" w:rsidP="005A2D50">
      <w:pPr>
        <w:pStyle w:val="BodyText"/>
        <w:rPr>
          <w:lang w:val="en-US"/>
        </w:rPr>
      </w:pPr>
      <w:r w:rsidRPr="005A2D50">
        <w:rPr>
          <w:lang w:val="en-US"/>
        </w:rPr>
        <w:t>Saskaņā ar ĪA 345. pantu, lai saņemtu atļauju atlikt maksājumu, ir jāsaņem atbilstoša atļauja izmantot vispārējo galvojumu (</w:t>
      </w:r>
      <w:r w:rsidRPr="005A2D50">
        <w:rPr>
          <w:i/>
          <w:iCs/>
          <w:lang w:val="en-US"/>
        </w:rPr>
        <w:t xml:space="preserve">CGU </w:t>
      </w:r>
      <w:r w:rsidRPr="005A2D50">
        <w:rPr>
          <w:lang w:val="en-US"/>
        </w:rPr>
        <w:t xml:space="preserve">atļauja). Tā kā uzņēmējam tika piešķirts </w:t>
      </w:r>
      <w:r w:rsidRPr="005A2D50">
        <w:rPr>
          <w:i/>
          <w:iCs/>
          <w:lang w:val="en-US"/>
        </w:rPr>
        <w:t xml:space="preserve">AEOC </w:t>
      </w:r>
      <w:r w:rsidRPr="005A2D50">
        <w:rPr>
          <w:lang w:val="en-US"/>
        </w:rPr>
        <w:t xml:space="preserve">statuss dalībvalstī Nr. 1, tad šī dalībvalsts ir atbildīga par to, lai piešķirtu attiecīgo </w:t>
      </w:r>
      <w:r w:rsidRPr="005A2D50">
        <w:rPr>
          <w:i/>
          <w:iCs/>
          <w:lang w:val="en-US"/>
        </w:rPr>
        <w:t xml:space="preserve">CGU </w:t>
      </w:r>
      <w:r w:rsidRPr="005A2D50">
        <w:rPr>
          <w:lang w:val="en-US"/>
        </w:rPr>
        <w:t>atļauju. Šeit nedrīkst aizmirst, ka dalībvalsts Nr. 1 jau novērtēja SMK 39. panta a) un d) punkta kritērijus. Šajā gadījumā atbilstoši ĪA 14. pantam dalībvalsts Nr. 1 muitai ir jāapspriežas ar dalībvalsti Nr. 2 par atsauces summu. Dalībvalsts Nr. 2 ir atbildīga par atsauces summas pārraudzību.</w:t>
      </w:r>
    </w:p>
    <w:p w14:paraId="79EE1E42" w14:textId="77777777" w:rsidR="005A2D50" w:rsidRPr="005A2D50" w:rsidRDefault="005A2D50" w:rsidP="005A2D50">
      <w:pPr>
        <w:pStyle w:val="BodyText"/>
        <w:rPr>
          <w:lang w:val="en-US"/>
        </w:rPr>
      </w:pPr>
      <w:r w:rsidRPr="005A2D50">
        <w:rPr>
          <w:lang w:val="en-US"/>
        </w:rPr>
        <w:t xml:space="preserve">Jānovērš iespēja, ka dalībvalsts Nr. 2 izskata kritērijus, kurus dalībvalsts Nr. 1 saistībā ar </w:t>
      </w:r>
      <w:r w:rsidRPr="005A2D50">
        <w:rPr>
          <w:i/>
          <w:iCs/>
          <w:lang w:val="en-US"/>
        </w:rPr>
        <w:t xml:space="preserve">AEOC </w:t>
      </w:r>
      <w:r w:rsidRPr="005A2D50">
        <w:rPr>
          <w:lang w:val="en-US"/>
        </w:rPr>
        <w:t xml:space="preserve">jau ir novērtējusi un uzrauga. Muitas dienestam, kas ir kompetents attiecībā uz </w:t>
      </w:r>
      <w:r w:rsidRPr="005A2D50">
        <w:rPr>
          <w:i/>
          <w:iCs/>
          <w:lang w:val="en-US"/>
        </w:rPr>
        <w:t>AEOC</w:t>
      </w:r>
      <w:r w:rsidRPr="005A2D50">
        <w:rPr>
          <w:lang w:val="en-US"/>
        </w:rPr>
        <w:t>, jābūt iespējai ņemt vērā arī uzņēmēja darbības citās dalībvalstīs.</w:t>
      </w:r>
    </w:p>
    <w:p w14:paraId="3F0BB99F" w14:textId="77777777" w:rsidR="005A2D50" w:rsidRPr="005A2D50" w:rsidRDefault="005A2D50" w:rsidP="005A2D50">
      <w:pPr>
        <w:jc w:val="both"/>
        <w:rPr>
          <w:rFonts w:ascii="Times New Roman" w:hAnsi="Times New Roman" w:cs="Times New Roman"/>
          <w:noProof/>
          <w:sz w:val="24"/>
          <w:szCs w:val="24"/>
          <w:lang w:val="en-US"/>
        </w:rPr>
      </w:pPr>
    </w:p>
    <w:p w14:paraId="3FDCD51D" w14:textId="77777777" w:rsidR="005A2D50" w:rsidRPr="005A2D50" w:rsidRDefault="005A2D50" w:rsidP="005A2D50">
      <w:pPr>
        <w:pStyle w:val="BodyText"/>
        <w:keepNext/>
        <w:keepLines/>
        <w:rPr>
          <w:b/>
          <w:bCs/>
          <w:lang w:val="en-US"/>
        </w:rPr>
      </w:pPr>
      <w:bookmarkStart w:id="204" w:name="Situation_2"/>
      <w:bookmarkEnd w:id="204"/>
      <w:r w:rsidRPr="005A2D50">
        <w:rPr>
          <w:b/>
          <w:bCs/>
          <w:lang w:val="en-US"/>
        </w:rPr>
        <w:t>2. situācija</w:t>
      </w:r>
    </w:p>
    <w:p w14:paraId="15E896E6" w14:textId="77777777" w:rsidR="005A2D50" w:rsidRPr="005A2D50" w:rsidRDefault="005A2D50" w:rsidP="005A2D50">
      <w:pPr>
        <w:keepNext/>
        <w:keepLines/>
        <w:jc w:val="both"/>
        <w:rPr>
          <w:rFonts w:ascii="Times New Roman" w:eastAsia="Times New Roman" w:hAnsi="Times New Roman" w:cs="Times New Roman"/>
          <w:b/>
          <w:bCs/>
          <w:i/>
          <w:noProof/>
          <w:sz w:val="24"/>
          <w:szCs w:val="24"/>
          <w:lang w:val="en-US"/>
        </w:rPr>
      </w:pPr>
    </w:p>
    <w:p w14:paraId="16F1B579" w14:textId="77777777" w:rsidR="005A2D50" w:rsidRPr="005A2D50" w:rsidRDefault="005A2D50" w:rsidP="005A2D50">
      <w:pPr>
        <w:pStyle w:val="BodyText"/>
        <w:keepNext/>
        <w:keepLines/>
        <w:rPr>
          <w:lang w:val="en-US"/>
        </w:rPr>
      </w:pPr>
      <w:r w:rsidRPr="005A2D50">
        <w:rPr>
          <w:lang w:val="en-US"/>
        </w:rPr>
        <w:t>Uzņēmējs atrodas un veic ar muitu saistīto uzskaiti dalībvalstī Nr. 1. Uzņēmējam nav atļaujas veikt darbību dalībvalstī Nr. 1. Uzņēmējs iesniedz pieteikumu atļaujai atlikt maksājumu dalībvalstī Nr. 2 attiecībā uz precēm, kas laistas brīvā apgrozībā dalībvalstī Nr. 2. Uzņēmējs neveic ar muitu saistīto uzskaiti dalībvalstī Nr. 2.</w:t>
      </w:r>
    </w:p>
    <w:p w14:paraId="51CB941C" w14:textId="77777777" w:rsidR="005A2D50" w:rsidRPr="005A2D50" w:rsidRDefault="005A2D50" w:rsidP="005A2D50">
      <w:pPr>
        <w:pStyle w:val="BodyText"/>
        <w:rPr>
          <w:lang w:val="en-US"/>
        </w:rPr>
      </w:pPr>
      <w:r w:rsidRPr="005A2D50">
        <w:rPr>
          <w:lang w:val="en-US"/>
        </w:rPr>
        <w:t>Muitas dienests, kas ir kompetents dot atļauju atlikt maksājumu</w:t>
      </w:r>
    </w:p>
    <w:p w14:paraId="09FDD602" w14:textId="77777777" w:rsidR="005A2D50" w:rsidRPr="005A2D50" w:rsidRDefault="005A2D50" w:rsidP="005A2D50">
      <w:pPr>
        <w:pStyle w:val="BodyText"/>
        <w:rPr>
          <w:lang w:val="en-US"/>
        </w:rPr>
      </w:pPr>
      <w:r w:rsidRPr="005A2D50">
        <w:rPr>
          <w:lang w:val="en-US"/>
        </w:rPr>
        <w:t>Dalībvalsts Nr. 2 piešķirs atlikto maksājumu saskaņā ar SMK 110. panta b) punktu, jo preces importē caur dalībvalsti Nr. 2 un atliktā maksājuma uzraudzība ir iespējama, izmantojot uzņēmēja iesniegto informāciju (kā 1. piemērā).</w:t>
      </w:r>
    </w:p>
    <w:p w14:paraId="6A07CA6A" w14:textId="77777777" w:rsidR="005A2D50" w:rsidRPr="005A2D50" w:rsidRDefault="005A2D50" w:rsidP="005A2D50">
      <w:pPr>
        <w:pStyle w:val="BodyText"/>
        <w:rPr>
          <w:lang w:val="en-US"/>
        </w:rPr>
      </w:pPr>
      <w:r w:rsidRPr="005A2D50">
        <w:rPr>
          <w:lang w:val="en-US"/>
        </w:rPr>
        <w:t xml:space="preserve">Muitas dienests, kas ir kompetents piešķirt </w:t>
      </w:r>
      <w:r w:rsidRPr="005A2D50">
        <w:rPr>
          <w:i/>
          <w:iCs/>
          <w:lang w:val="en-US"/>
        </w:rPr>
        <w:t xml:space="preserve">CGU </w:t>
      </w:r>
      <w:r w:rsidRPr="005A2D50">
        <w:rPr>
          <w:lang w:val="en-US"/>
        </w:rPr>
        <w:t>atļauju</w:t>
      </w:r>
    </w:p>
    <w:p w14:paraId="47ED2D7B" w14:textId="77777777" w:rsidR="005A2D50" w:rsidRPr="005A2D50" w:rsidRDefault="005A2D50" w:rsidP="005A2D50">
      <w:pPr>
        <w:pStyle w:val="BodyText"/>
        <w:rPr>
          <w:lang w:val="en-US"/>
        </w:rPr>
      </w:pPr>
      <w:r w:rsidRPr="005A2D50">
        <w:rPr>
          <w:lang w:val="en-US"/>
        </w:rPr>
        <w:t xml:space="preserve">Tā kā attiecīgā informācija atsauces summas pārraudzībai ir pieejama dalībvalstī Nr. 2 (izmantojot muitas IT sistēmu), saskaņā ar SMK 22. panta 1. punktu arī dalībvalsts Nr. 2 būtu kompetenta piešķirt </w:t>
      </w:r>
      <w:r w:rsidRPr="005A2D50">
        <w:rPr>
          <w:i/>
          <w:iCs/>
          <w:lang w:val="en-US"/>
        </w:rPr>
        <w:t xml:space="preserve">CGU </w:t>
      </w:r>
      <w:r w:rsidRPr="005A2D50">
        <w:rPr>
          <w:lang w:val="en-US"/>
        </w:rPr>
        <w:t xml:space="preserve">atļauju. Ja tiek piešķirta </w:t>
      </w:r>
      <w:r w:rsidRPr="005A2D50">
        <w:rPr>
          <w:i/>
          <w:iCs/>
          <w:lang w:val="en-US"/>
        </w:rPr>
        <w:t xml:space="preserve">CGU </w:t>
      </w:r>
      <w:r w:rsidRPr="005A2D50">
        <w:rPr>
          <w:lang w:val="en-US"/>
        </w:rPr>
        <w:t>atļauja attiecībā uz atlikto maksājumu, ir jāievēro SMK 95. panta 1. punkta a), b) un c) apakšpunkts un ir jākonsultējas ar dalībvalsti Nr. 1 atbilstoši SMK ĪA 14. pantam. Šajā situācijā pietiek, ja ir nodrošināta piekļuve uzņēmēja uzskaitei. Atsauces summu noteiks un pārraudzīs dalībvalsts Nr. 2 muita; apspriešanās par atsauces summu nav nepieciešama, jo muitas deklarācijas tiks iesniegtas un preces tiks importētas dalībvalstī Nr. 2.</w:t>
      </w:r>
    </w:p>
    <w:p w14:paraId="70F6B3E1" w14:textId="77777777" w:rsidR="005A2D50" w:rsidRPr="005A2D50" w:rsidRDefault="005A2D50" w:rsidP="005A2D50">
      <w:pPr>
        <w:pStyle w:val="BodyText"/>
        <w:rPr>
          <w:lang w:val="en-US"/>
        </w:rPr>
      </w:pPr>
    </w:p>
    <w:p w14:paraId="435FA3AB" w14:textId="77777777" w:rsidR="005A2D50" w:rsidRPr="005A2D50" w:rsidRDefault="005A2D50" w:rsidP="005A2D50">
      <w:pPr>
        <w:pStyle w:val="Heading2"/>
        <w:rPr>
          <w:rFonts w:cs="Times New Roman"/>
          <w:noProof/>
          <w:lang w:val="en-US"/>
        </w:rPr>
      </w:pPr>
      <w:bookmarkStart w:id="205" w:name="A2.4_Proposal_for_the_GRN_structure"/>
      <w:bookmarkStart w:id="206" w:name="_bookmark57"/>
      <w:bookmarkStart w:id="207" w:name="_Toc104982815"/>
      <w:bookmarkEnd w:id="205"/>
      <w:bookmarkEnd w:id="206"/>
      <w:r w:rsidRPr="005A2D50">
        <w:rPr>
          <w:noProof/>
          <w:lang w:val="en-US"/>
        </w:rPr>
        <w:t xml:space="preserve">A2.4. </w:t>
      </w:r>
      <w:r w:rsidRPr="005A2D50">
        <w:rPr>
          <w:i/>
          <w:iCs/>
          <w:noProof/>
          <w:lang w:val="en-US"/>
        </w:rPr>
        <w:t xml:space="preserve">GRN </w:t>
      </w:r>
      <w:r w:rsidRPr="005A2D50">
        <w:rPr>
          <w:noProof/>
          <w:lang w:val="en-US"/>
        </w:rPr>
        <w:t>formāta piedāvājums</w:t>
      </w:r>
      <w:bookmarkEnd w:id="207"/>
    </w:p>
    <w:p w14:paraId="4716A45F"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4AACB4C4" w14:textId="77777777" w:rsidR="005A2D50" w:rsidRPr="005A2D50" w:rsidRDefault="005A2D50" w:rsidP="005A2D50">
      <w:pPr>
        <w:pStyle w:val="BodyText"/>
        <w:rPr>
          <w:lang w:val="en-US"/>
        </w:rPr>
      </w:pPr>
      <w:r w:rsidRPr="005A2D50">
        <w:rPr>
          <w:i/>
          <w:iCs/>
          <w:lang w:val="en-US"/>
        </w:rPr>
        <w:t xml:space="preserve">GRN </w:t>
      </w:r>
      <w:r w:rsidRPr="005A2D50">
        <w:rPr>
          <w:lang w:val="en-US"/>
        </w:rPr>
        <w:t xml:space="preserve">formāts varētu būt tāds pats, par kādu ir panākta vienošanās attiecībā uz tranzītu. Dalībvalstis jau izmanto šo formātu, jo </w:t>
      </w:r>
      <w:r w:rsidRPr="005A2D50">
        <w:rPr>
          <w:i/>
          <w:iCs/>
          <w:lang w:val="en-US"/>
        </w:rPr>
        <w:t xml:space="preserve">GRN </w:t>
      </w:r>
      <w:r w:rsidRPr="005A2D50">
        <w:rPr>
          <w:lang w:val="en-US"/>
        </w:rPr>
        <w:t>izmanto tranzītam. Tajā ir viegli identificēt dalībvalsti, kurā galvojums ir iesniegts un reģistrēts. Katram galvojumam ir unikāls galvojuma atsauces numurs (</w:t>
      </w:r>
      <w:r w:rsidRPr="005A2D50">
        <w:rPr>
          <w:i/>
          <w:iCs/>
          <w:lang w:val="en-US"/>
        </w:rPr>
        <w:t>GRN</w:t>
      </w:r>
      <w:r w:rsidRPr="005A2D50">
        <w:rPr>
          <w:lang w:val="en-US"/>
        </w:rPr>
        <w:t>), ko izmanto apstiprināšanai galvojumu pārvaldības apakšsistēmā. Galvojuma muitas iestāde piešķir “galvojuma atsauces numuru” (</w:t>
      </w:r>
      <w:r w:rsidRPr="005A2D50">
        <w:rPr>
          <w:i/>
          <w:iCs/>
          <w:lang w:val="en-US"/>
        </w:rPr>
        <w:t>GRN</w:t>
      </w:r>
      <w:r w:rsidRPr="005A2D50">
        <w:rPr>
          <w:lang w:val="en-US"/>
        </w:rPr>
        <w:t xml:space="preserve">), lai identificētu katru atsevišķu galvojumu. </w:t>
      </w:r>
      <w:r w:rsidRPr="005A2D50">
        <w:rPr>
          <w:i/>
          <w:iCs/>
          <w:lang w:val="en-US"/>
        </w:rPr>
        <w:t xml:space="preserve">GRN </w:t>
      </w:r>
      <w:r w:rsidRPr="005A2D50">
        <w:rPr>
          <w:lang w:val="en-US"/>
        </w:rPr>
        <w:t>satur 17–24 rakstzīmes (alfabēta burti jānorāda ar drukātiem burtiem), un to veido tā, kā parādīts turpmāk.</w:t>
      </w:r>
    </w:p>
    <w:p w14:paraId="5E9F9E64" w14:textId="77777777" w:rsidR="005A2D50" w:rsidRPr="005A2D50" w:rsidRDefault="005A2D50" w:rsidP="005A2D50">
      <w:pPr>
        <w:jc w:val="both"/>
        <w:rPr>
          <w:rFonts w:ascii="Times New Roman" w:eastAsia="Times New Roman" w:hAnsi="Times New Roman" w:cs="Times New Roman"/>
          <w:noProof/>
          <w:sz w:val="24"/>
          <w:szCs w:val="24"/>
          <w:lang w:val="en-US"/>
        </w:rPr>
      </w:pPr>
    </w:p>
    <w:tbl>
      <w:tblPr>
        <w:tblW w:w="5000" w:type="pct"/>
        <w:tblCellMar>
          <w:top w:w="28" w:type="dxa"/>
          <w:left w:w="28" w:type="dxa"/>
          <w:bottom w:w="28" w:type="dxa"/>
          <w:right w:w="28" w:type="dxa"/>
        </w:tblCellMar>
        <w:tblLook w:val="01E0" w:firstRow="1" w:lastRow="1" w:firstColumn="1" w:lastColumn="1" w:noHBand="0" w:noVBand="0"/>
      </w:tblPr>
      <w:tblGrid>
        <w:gridCol w:w="697"/>
        <w:gridCol w:w="5500"/>
        <w:gridCol w:w="1344"/>
        <w:gridCol w:w="1590"/>
      </w:tblGrid>
      <w:tr w:rsidR="005A2D50" w:rsidRPr="005A2D50" w14:paraId="4E1F2081" w14:textId="77777777" w:rsidTr="00F14166">
        <w:tc>
          <w:tcPr>
            <w:tcW w:w="382" w:type="pct"/>
            <w:tcBorders>
              <w:top w:val="single" w:sz="5" w:space="0" w:color="000000"/>
              <w:left w:val="single" w:sz="5" w:space="0" w:color="000000"/>
              <w:bottom w:val="single" w:sz="5" w:space="0" w:color="000000"/>
              <w:right w:val="single" w:sz="5" w:space="0" w:color="000000"/>
            </w:tcBorders>
          </w:tcPr>
          <w:p w14:paraId="2C8C3E57" w14:textId="77777777" w:rsidR="005A2D50" w:rsidRPr="005A2D50" w:rsidRDefault="005A2D50" w:rsidP="00F14166">
            <w:pPr>
              <w:pStyle w:val="TableParagraph"/>
              <w:jc w:val="both"/>
              <w:rPr>
                <w:rFonts w:ascii="Times New Roman" w:hAnsi="Times New Roman"/>
                <w:b/>
                <w:noProof/>
                <w:sz w:val="24"/>
                <w:lang w:val="en-US"/>
              </w:rPr>
            </w:pPr>
            <w:r w:rsidRPr="005A2D50">
              <w:rPr>
                <w:rFonts w:ascii="Times New Roman" w:hAnsi="Times New Roman"/>
                <w:b/>
                <w:noProof/>
                <w:sz w:val="24"/>
                <w:lang w:val="en-US"/>
              </w:rPr>
              <w:t>Lauks</w:t>
            </w:r>
          </w:p>
        </w:tc>
        <w:tc>
          <w:tcPr>
            <w:tcW w:w="3012" w:type="pct"/>
            <w:tcBorders>
              <w:top w:val="single" w:sz="5" w:space="0" w:color="000000"/>
              <w:left w:val="single" w:sz="5" w:space="0" w:color="000000"/>
              <w:bottom w:val="single" w:sz="5" w:space="0" w:color="000000"/>
              <w:right w:val="single" w:sz="5" w:space="0" w:color="000000"/>
            </w:tcBorders>
          </w:tcPr>
          <w:p w14:paraId="1B406B8C" w14:textId="77777777" w:rsidR="005A2D50" w:rsidRPr="005A2D50" w:rsidRDefault="005A2D50" w:rsidP="00F14166">
            <w:pPr>
              <w:pStyle w:val="TableParagraph"/>
              <w:jc w:val="both"/>
              <w:rPr>
                <w:rFonts w:ascii="Times New Roman" w:hAnsi="Times New Roman"/>
                <w:b/>
                <w:noProof/>
                <w:sz w:val="24"/>
                <w:lang w:val="en-US"/>
              </w:rPr>
            </w:pPr>
            <w:r w:rsidRPr="005A2D50">
              <w:rPr>
                <w:rFonts w:ascii="Times New Roman" w:hAnsi="Times New Roman"/>
                <w:b/>
                <w:noProof/>
                <w:sz w:val="24"/>
                <w:lang w:val="en-US"/>
              </w:rPr>
              <w:t>Saturs</w:t>
            </w:r>
          </w:p>
        </w:tc>
        <w:tc>
          <w:tcPr>
            <w:tcW w:w="736" w:type="pct"/>
            <w:tcBorders>
              <w:top w:val="single" w:sz="5" w:space="0" w:color="000000"/>
              <w:left w:val="single" w:sz="5" w:space="0" w:color="000000"/>
              <w:bottom w:val="single" w:sz="5" w:space="0" w:color="000000"/>
              <w:right w:val="single" w:sz="5" w:space="0" w:color="000000"/>
            </w:tcBorders>
          </w:tcPr>
          <w:p w14:paraId="116A8878" w14:textId="77777777" w:rsidR="005A2D50" w:rsidRPr="005A2D50" w:rsidRDefault="005A2D50" w:rsidP="00F14166">
            <w:pPr>
              <w:pStyle w:val="TableParagraph"/>
              <w:jc w:val="both"/>
              <w:rPr>
                <w:rFonts w:ascii="Times New Roman" w:hAnsi="Times New Roman"/>
                <w:b/>
                <w:noProof/>
                <w:sz w:val="24"/>
                <w:lang w:val="en-US"/>
              </w:rPr>
            </w:pPr>
            <w:r w:rsidRPr="005A2D50">
              <w:rPr>
                <w:rFonts w:ascii="Times New Roman" w:hAnsi="Times New Roman"/>
                <w:b/>
                <w:noProof/>
                <w:sz w:val="24"/>
                <w:lang w:val="en-US"/>
              </w:rPr>
              <w:t>Lauka veids</w:t>
            </w:r>
          </w:p>
        </w:tc>
        <w:tc>
          <w:tcPr>
            <w:tcW w:w="871" w:type="pct"/>
            <w:tcBorders>
              <w:top w:val="single" w:sz="5" w:space="0" w:color="000000"/>
              <w:left w:val="single" w:sz="5" w:space="0" w:color="000000"/>
              <w:bottom w:val="single" w:sz="5" w:space="0" w:color="000000"/>
              <w:right w:val="single" w:sz="5" w:space="0" w:color="000000"/>
            </w:tcBorders>
          </w:tcPr>
          <w:p w14:paraId="3F021652" w14:textId="77777777" w:rsidR="005A2D50" w:rsidRPr="005A2D50" w:rsidRDefault="005A2D50" w:rsidP="00F14166">
            <w:pPr>
              <w:pStyle w:val="TableParagraph"/>
              <w:jc w:val="both"/>
              <w:rPr>
                <w:rFonts w:ascii="Times New Roman" w:hAnsi="Times New Roman"/>
                <w:b/>
                <w:noProof/>
                <w:sz w:val="24"/>
                <w:lang w:val="en-US"/>
              </w:rPr>
            </w:pPr>
            <w:r w:rsidRPr="005A2D50">
              <w:rPr>
                <w:rFonts w:ascii="Times New Roman" w:hAnsi="Times New Roman"/>
                <w:b/>
                <w:noProof/>
                <w:sz w:val="24"/>
                <w:lang w:val="en-US"/>
              </w:rPr>
              <w:t>Piemēri</w:t>
            </w:r>
          </w:p>
        </w:tc>
      </w:tr>
      <w:tr w:rsidR="005A2D50" w:rsidRPr="005A2D50" w14:paraId="0B534755" w14:textId="77777777" w:rsidTr="00F14166">
        <w:tc>
          <w:tcPr>
            <w:tcW w:w="382" w:type="pct"/>
            <w:tcBorders>
              <w:top w:val="single" w:sz="5" w:space="0" w:color="000000"/>
              <w:left w:val="single" w:sz="5" w:space="0" w:color="000000"/>
              <w:bottom w:val="single" w:sz="5" w:space="0" w:color="000000"/>
              <w:right w:val="single" w:sz="5" w:space="0" w:color="000000"/>
            </w:tcBorders>
          </w:tcPr>
          <w:p w14:paraId="1B2ED11A"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1.</w:t>
            </w:r>
          </w:p>
        </w:tc>
        <w:tc>
          <w:tcPr>
            <w:tcW w:w="3012" w:type="pct"/>
            <w:tcBorders>
              <w:top w:val="single" w:sz="5" w:space="0" w:color="000000"/>
              <w:left w:val="single" w:sz="5" w:space="0" w:color="000000"/>
              <w:bottom w:val="single" w:sz="5" w:space="0" w:color="000000"/>
              <w:right w:val="single" w:sz="5" w:space="0" w:color="000000"/>
            </w:tcBorders>
          </w:tcPr>
          <w:p w14:paraId="6E189CEC"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Pēdējie divi tā gada cipari, kurā galvojums tika pieņemts (GG)</w:t>
            </w:r>
          </w:p>
        </w:tc>
        <w:tc>
          <w:tcPr>
            <w:tcW w:w="736" w:type="pct"/>
            <w:tcBorders>
              <w:top w:val="single" w:sz="5" w:space="0" w:color="000000"/>
              <w:left w:val="single" w:sz="5" w:space="0" w:color="000000"/>
              <w:bottom w:val="single" w:sz="5" w:space="0" w:color="000000"/>
              <w:right w:val="single" w:sz="5" w:space="0" w:color="000000"/>
            </w:tcBorders>
          </w:tcPr>
          <w:p w14:paraId="4148F8B4"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2 cipari</w:t>
            </w:r>
          </w:p>
        </w:tc>
        <w:tc>
          <w:tcPr>
            <w:tcW w:w="871" w:type="pct"/>
            <w:tcBorders>
              <w:top w:val="single" w:sz="5" w:space="0" w:color="000000"/>
              <w:left w:val="single" w:sz="5" w:space="0" w:color="000000"/>
              <w:bottom w:val="single" w:sz="5" w:space="0" w:color="000000"/>
              <w:right w:val="single" w:sz="5" w:space="0" w:color="000000"/>
            </w:tcBorders>
          </w:tcPr>
          <w:p w14:paraId="2779EBAE"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18</w:t>
            </w:r>
          </w:p>
        </w:tc>
      </w:tr>
      <w:tr w:rsidR="005A2D50" w:rsidRPr="005A2D50" w14:paraId="31FE71EF" w14:textId="77777777" w:rsidTr="00F14166">
        <w:tc>
          <w:tcPr>
            <w:tcW w:w="382" w:type="pct"/>
            <w:tcBorders>
              <w:top w:val="single" w:sz="5" w:space="0" w:color="000000"/>
              <w:left w:val="single" w:sz="5" w:space="0" w:color="000000"/>
              <w:bottom w:val="single" w:sz="5" w:space="0" w:color="000000"/>
              <w:right w:val="single" w:sz="5" w:space="0" w:color="000000"/>
            </w:tcBorders>
          </w:tcPr>
          <w:p w14:paraId="14E4488C"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2.</w:t>
            </w:r>
          </w:p>
        </w:tc>
        <w:tc>
          <w:tcPr>
            <w:tcW w:w="3012" w:type="pct"/>
            <w:tcBorders>
              <w:top w:val="single" w:sz="5" w:space="0" w:color="000000"/>
              <w:left w:val="single" w:sz="5" w:space="0" w:color="000000"/>
              <w:bottom w:val="single" w:sz="5" w:space="0" w:color="000000"/>
              <w:right w:val="single" w:sz="5" w:space="0" w:color="000000"/>
            </w:tcBorders>
          </w:tcPr>
          <w:p w14:paraId="14BFCCF9"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Tās valsts identifikators, kurā galvojums tika iesniegts (ISO valsts kods (Alpha 2 sistēmā))</w:t>
            </w:r>
          </w:p>
        </w:tc>
        <w:tc>
          <w:tcPr>
            <w:tcW w:w="736" w:type="pct"/>
            <w:tcBorders>
              <w:top w:val="single" w:sz="5" w:space="0" w:color="000000"/>
              <w:left w:val="single" w:sz="5" w:space="0" w:color="000000"/>
              <w:bottom w:val="single" w:sz="5" w:space="0" w:color="000000"/>
              <w:right w:val="single" w:sz="5" w:space="0" w:color="000000"/>
            </w:tcBorders>
          </w:tcPr>
          <w:p w14:paraId="1D272315"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2 burti</w:t>
            </w:r>
          </w:p>
        </w:tc>
        <w:tc>
          <w:tcPr>
            <w:tcW w:w="871" w:type="pct"/>
            <w:tcBorders>
              <w:top w:val="single" w:sz="5" w:space="0" w:color="000000"/>
              <w:left w:val="single" w:sz="5" w:space="0" w:color="000000"/>
              <w:bottom w:val="single" w:sz="5" w:space="0" w:color="000000"/>
              <w:right w:val="single" w:sz="5" w:space="0" w:color="000000"/>
            </w:tcBorders>
          </w:tcPr>
          <w:p w14:paraId="0179A012"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SI</w:t>
            </w:r>
          </w:p>
        </w:tc>
      </w:tr>
      <w:tr w:rsidR="005A2D50" w:rsidRPr="005A2D50" w14:paraId="1A5502F2" w14:textId="77777777" w:rsidTr="00F14166">
        <w:tc>
          <w:tcPr>
            <w:tcW w:w="382" w:type="pct"/>
            <w:tcBorders>
              <w:top w:val="single" w:sz="5" w:space="0" w:color="000000"/>
              <w:left w:val="single" w:sz="5" w:space="0" w:color="000000"/>
              <w:bottom w:val="single" w:sz="5" w:space="0" w:color="000000"/>
              <w:right w:val="single" w:sz="5" w:space="0" w:color="000000"/>
            </w:tcBorders>
          </w:tcPr>
          <w:p w14:paraId="0965BBCA"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3.</w:t>
            </w:r>
          </w:p>
        </w:tc>
        <w:tc>
          <w:tcPr>
            <w:tcW w:w="3012" w:type="pct"/>
            <w:tcBorders>
              <w:top w:val="single" w:sz="5" w:space="0" w:color="000000"/>
              <w:left w:val="single" w:sz="5" w:space="0" w:color="000000"/>
              <w:bottom w:val="single" w:sz="5" w:space="0" w:color="000000"/>
              <w:right w:val="single" w:sz="5" w:space="0" w:color="000000"/>
            </w:tcBorders>
          </w:tcPr>
          <w:p w14:paraId="1EE1EAD2"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Unikālais identifikators garantijas muitas iestādes dotajai pieņemšanai pēc gada un valsts</w:t>
            </w:r>
          </w:p>
        </w:tc>
        <w:tc>
          <w:tcPr>
            <w:tcW w:w="736" w:type="pct"/>
            <w:tcBorders>
              <w:top w:val="single" w:sz="5" w:space="0" w:color="000000"/>
              <w:left w:val="single" w:sz="5" w:space="0" w:color="000000"/>
              <w:bottom w:val="single" w:sz="5" w:space="0" w:color="000000"/>
              <w:right w:val="single" w:sz="5" w:space="0" w:color="000000"/>
            </w:tcBorders>
          </w:tcPr>
          <w:p w14:paraId="5BFA3F7C"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12 burti vai cipari</w:t>
            </w:r>
          </w:p>
        </w:tc>
        <w:tc>
          <w:tcPr>
            <w:tcW w:w="871" w:type="pct"/>
            <w:tcBorders>
              <w:top w:val="single" w:sz="5" w:space="0" w:color="000000"/>
              <w:left w:val="single" w:sz="5" w:space="0" w:color="000000"/>
              <w:bottom w:val="single" w:sz="5" w:space="0" w:color="000000"/>
              <w:right w:val="single" w:sz="5" w:space="0" w:color="000000"/>
            </w:tcBorders>
          </w:tcPr>
          <w:p w14:paraId="2A625B4B"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1234AB788966</w:t>
            </w:r>
          </w:p>
        </w:tc>
      </w:tr>
      <w:tr w:rsidR="005A2D50" w:rsidRPr="005A2D50" w14:paraId="1BC3CC41" w14:textId="77777777" w:rsidTr="00F14166">
        <w:tc>
          <w:tcPr>
            <w:tcW w:w="382" w:type="pct"/>
            <w:tcBorders>
              <w:top w:val="single" w:sz="5" w:space="0" w:color="000000"/>
              <w:left w:val="single" w:sz="5" w:space="0" w:color="000000"/>
              <w:bottom w:val="single" w:sz="5" w:space="0" w:color="000000"/>
              <w:right w:val="single" w:sz="5" w:space="0" w:color="000000"/>
            </w:tcBorders>
          </w:tcPr>
          <w:p w14:paraId="4A5EC851"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4.</w:t>
            </w:r>
          </w:p>
        </w:tc>
        <w:tc>
          <w:tcPr>
            <w:tcW w:w="3012" w:type="pct"/>
            <w:tcBorders>
              <w:top w:val="single" w:sz="5" w:space="0" w:color="000000"/>
              <w:left w:val="single" w:sz="5" w:space="0" w:color="000000"/>
              <w:bottom w:val="single" w:sz="5" w:space="0" w:color="000000"/>
              <w:right w:val="single" w:sz="5" w:space="0" w:color="000000"/>
            </w:tcBorders>
          </w:tcPr>
          <w:p w14:paraId="3137B36D"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Kontrolcipars</w:t>
            </w:r>
          </w:p>
        </w:tc>
        <w:tc>
          <w:tcPr>
            <w:tcW w:w="736" w:type="pct"/>
            <w:tcBorders>
              <w:top w:val="single" w:sz="5" w:space="0" w:color="000000"/>
              <w:left w:val="single" w:sz="5" w:space="0" w:color="000000"/>
              <w:bottom w:val="single" w:sz="5" w:space="0" w:color="000000"/>
              <w:right w:val="single" w:sz="5" w:space="0" w:color="000000"/>
            </w:tcBorders>
          </w:tcPr>
          <w:p w14:paraId="40EB3AEF"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1 burts vai cipars</w:t>
            </w:r>
          </w:p>
        </w:tc>
        <w:tc>
          <w:tcPr>
            <w:tcW w:w="871" w:type="pct"/>
            <w:tcBorders>
              <w:top w:val="single" w:sz="5" w:space="0" w:color="000000"/>
              <w:left w:val="single" w:sz="5" w:space="0" w:color="000000"/>
              <w:bottom w:val="single" w:sz="5" w:space="0" w:color="000000"/>
              <w:right w:val="single" w:sz="5" w:space="0" w:color="000000"/>
            </w:tcBorders>
          </w:tcPr>
          <w:p w14:paraId="1B40B09A"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8</w:t>
            </w:r>
          </w:p>
        </w:tc>
      </w:tr>
      <w:tr w:rsidR="005A2D50" w:rsidRPr="005A2D50" w14:paraId="02B4BBFC" w14:textId="77777777" w:rsidTr="00F14166">
        <w:tc>
          <w:tcPr>
            <w:tcW w:w="382" w:type="pct"/>
            <w:tcBorders>
              <w:top w:val="single" w:sz="5" w:space="0" w:color="000000"/>
              <w:left w:val="single" w:sz="5" w:space="0" w:color="000000"/>
              <w:bottom w:val="single" w:sz="5" w:space="0" w:color="000000"/>
              <w:right w:val="single" w:sz="5" w:space="0" w:color="000000"/>
            </w:tcBorders>
          </w:tcPr>
          <w:p w14:paraId="417F97F4"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5.</w:t>
            </w:r>
          </w:p>
        </w:tc>
        <w:tc>
          <w:tcPr>
            <w:tcW w:w="3012" w:type="pct"/>
            <w:tcBorders>
              <w:top w:val="single" w:sz="5" w:space="0" w:color="000000"/>
              <w:left w:val="single" w:sz="5" w:space="0" w:color="000000"/>
              <w:bottom w:val="single" w:sz="5" w:space="0" w:color="000000"/>
              <w:right w:val="single" w:sz="5" w:space="0" w:color="000000"/>
            </w:tcBorders>
          </w:tcPr>
          <w:p w14:paraId="56F54A46"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Galvojuma veida identifikators (SMK 92. pants / DA 83. pants)</w:t>
            </w:r>
          </w:p>
        </w:tc>
        <w:tc>
          <w:tcPr>
            <w:tcW w:w="736" w:type="pct"/>
            <w:tcBorders>
              <w:top w:val="single" w:sz="5" w:space="0" w:color="000000"/>
              <w:left w:val="single" w:sz="5" w:space="0" w:color="000000"/>
              <w:bottom w:val="single" w:sz="5" w:space="0" w:color="000000"/>
              <w:right w:val="single" w:sz="5" w:space="0" w:color="000000"/>
            </w:tcBorders>
          </w:tcPr>
          <w:p w14:paraId="1B2F4915"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7 burti vai cipari</w:t>
            </w:r>
          </w:p>
        </w:tc>
        <w:tc>
          <w:tcPr>
            <w:tcW w:w="871" w:type="pct"/>
            <w:tcBorders>
              <w:top w:val="single" w:sz="5" w:space="0" w:color="000000"/>
              <w:left w:val="single" w:sz="5" w:space="0" w:color="000000"/>
              <w:bottom w:val="single" w:sz="5" w:space="0" w:color="000000"/>
              <w:right w:val="single" w:sz="5" w:space="0" w:color="000000"/>
            </w:tcBorders>
          </w:tcPr>
          <w:p w14:paraId="00136274" w14:textId="77777777" w:rsidR="005A2D50" w:rsidRPr="005A2D50" w:rsidRDefault="005A2D50" w:rsidP="00F14166">
            <w:pPr>
              <w:pStyle w:val="TableParagraph"/>
              <w:jc w:val="both"/>
              <w:rPr>
                <w:rFonts w:ascii="Times New Roman" w:hAnsi="Times New Roman"/>
                <w:noProof/>
                <w:sz w:val="24"/>
                <w:lang w:val="en-US"/>
              </w:rPr>
            </w:pPr>
            <w:r w:rsidRPr="005A2D50">
              <w:rPr>
                <w:rFonts w:ascii="Times New Roman" w:hAnsi="Times New Roman"/>
                <w:noProof/>
                <w:sz w:val="24"/>
                <w:lang w:val="en-US"/>
              </w:rPr>
              <w:t>Annnnnn</w:t>
            </w:r>
          </w:p>
        </w:tc>
      </w:tr>
    </w:tbl>
    <w:p w14:paraId="6A9C5CBB" w14:textId="77777777" w:rsidR="005A2D50" w:rsidRPr="005A2D50" w:rsidRDefault="005A2D50" w:rsidP="005A2D50">
      <w:pPr>
        <w:pStyle w:val="BodyText"/>
        <w:rPr>
          <w:u w:val="single" w:color="000000"/>
          <w:lang w:val="en-US"/>
        </w:rPr>
      </w:pPr>
    </w:p>
    <w:p w14:paraId="0B9E638C" w14:textId="77777777" w:rsidR="005A2D50" w:rsidRPr="005A2D50" w:rsidRDefault="005A2D50" w:rsidP="005A2D50">
      <w:pPr>
        <w:pStyle w:val="BodyText"/>
        <w:rPr>
          <w:lang w:val="en-US"/>
        </w:rPr>
      </w:pPr>
      <w:r w:rsidRPr="005A2D50">
        <w:rPr>
          <w:u w:val="single" w:color="000000"/>
          <w:lang w:val="en-US"/>
        </w:rPr>
        <w:t xml:space="preserve">1. un 2. lauks, </w:t>
      </w:r>
      <w:r w:rsidRPr="005A2D50">
        <w:rPr>
          <w:lang w:val="en-US"/>
        </w:rPr>
        <w:t>kā skaidrots iepriekš tekstā.</w:t>
      </w:r>
    </w:p>
    <w:p w14:paraId="565DAB8E" w14:textId="77777777" w:rsidR="005A2D50" w:rsidRPr="005A2D50" w:rsidRDefault="005A2D50" w:rsidP="005A2D50">
      <w:pPr>
        <w:pStyle w:val="BodyText"/>
        <w:rPr>
          <w:lang w:val="en-US"/>
        </w:rPr>
      </w:pPr>
      <w:r w:rsidRPr="005A2D50">
        <w:rPr>
          <w:u w:val="single"/>
          <w:lang w:val="en-US"/>
        </w:rPr>
        <w:t xml:space="preserve">3. laukā </w:t>
      </w:r>
      <w:r w:rsidRPr="005A2D50">
        <w:rPr>
          <w:lang w:val="en-US"/>
        </w:rPr>
        <w:t>jānorāda unikāls identifikators atbilstoši gadam un valstij, kurā sniegtais (piešķirtais) galvojums pieņemts galvojuma muitas iestādē. Pirmās sešas zīmes tiktu izmantotas, lai identificētu galvojuma muitas iestādes valsts numuru.</w:t>
      </w:r>
    </w:p>
    <w:p w14:paraId="628B3B2E" w14:textId="77777777" w:rsidR="005A2D50" w:rsidRPr="005A2D50" w:rsidRDefault="005A2D50" w:rsidP="005A2D50">
      <w:pPr>
        <w:pStyle w:val="BodyText"/>
        <w:rPr>
          <w:lang w:val="en-US"/>
        </w:rPr>
      </w:pPr>
      <w:r w:rsidRPr="005A2D50">
        <w:rPr>
          <w:u w:val="single"/>
          <w:lang w:val="en-US"/>
        </w:rPr>
        <w:t xml:space="preserve">4. laukā </w:t>
      </w:r>
      <w:r w:rsidRPr="005A2D50">
        <w:rPr>
          <w:lang w:val="en-US"/>
        </w:rPr>
        <w:t xml:space="preserve">jānorāda vērtība, kas ir </w:t>
      </w:r>
      <w:r w:rsidRPr="005A2D50">
        <w:rPr>
          <w:i/>
          <w:iCs/>
          <w:lang w:val="en-US"/>
        </w:rPr>
        <w:t xml:space="preserve">GRN </w:t>
      </w:r>
      <w:r w:rsidRPr="005A2D50">
        <w:rPr>
          <w:lang w:val="en-US"/>
        </w:rPr>
        <w:t xml:space="preserve">1.–3. lauka kontrolcipars. Šis lauks ļauj noteikt kļūdu, uztverot pirmos četrus </w:t>
      </w:r>
      <w:r w:rsidRPr="005A2D50">
        <w:rPr>
          <w:i/>
          <w:iCs/>
          <w:lang w:val="en-US"/>
        </w:rPr>
        <w:t xml:space="preserve">GRN </w:t>
      </w:r>
      <w:r w:rsidRPr="005A2D50">
        <w:rPr>
          <w:lang w:val="en-US"/>
        </w:rPr>
        <w:t>laukus.</w:t>
      </w:r>
    </w:p>
    <w:p w14:paraId="126A3053" w14:textId="77777777" w:rsidR="005A2D50" w:rsidRPr="005A2D50" w:rsidRDefault="005A2D50" w:rsidP="005A2D50">
      <w:pPr>
        <w:pStyle w:val="BodyText"/>
        <w:rPr>
          <w:lang w:val="en-US"/>
        </w:rPr>
      </w:pPr>
      <w:r w:rsidRPr="005A2D50">
        <w:rPr>
          <w:u w:val="single"/>
          <w:lang w:val="en-US"/>
        </w:rPr>
        <w:t xml:space="preserve">5. lauks – PĒC IZVĒLES (dalībvalstīm nav obligāts); jāizmanto, </w:t>
      </w:r>
      <w:r w:rsidRPr="005A2D50">
        <w:rPr>
          <w:lang w:val="en-US"/>
        </w:rPr>
        <w:t>lai identificētu izmantotā galvojuma veidu saskaņā ar SMK 92. pantu / DA 83. pantu.</w:t>
      </w:r>
    </w:p>
    <w:p w14:paraId="0ECCA71D" w14:textId="77777777" w:rsidR="005A2D50" w:rsidRPr="005A2D50" w:rsidRDefault="005A2D50" w:rsidP="005A2D50">
      <w:pPr>
        <w:pStyle w:val="BodyText"/>
        <w:rPr>
          <w:lang w:val="en-US"/>
        </w:rPr>
      </w:pPr>
      <w:bookmarkStart w:id="208" w:name="A2.5_Examples_concerning_the_consultatio"/>
      <w:bookmarkStart w:id="209" w:name="_bookmark58"/>
      <w:bookmarkEnd w:id="208"/>
      <w:bookmarkEnd w:id="209"/>
    </w:p>
    <w:p w14:paraId="5C33B789" w14:textId="77777777" w:rsidR="005A2D50" w:rsidRPr="005A2D50" w:rsidRDefault="005A2D50" w:rsidP="005A2D50">
      <w:pPr>
        <w:pStyle w:val="Heading2"/>
        <w:rPr>
          <w:noProof/>
          <w:lang w:val="en-US"/>
        </w:rPr>
      </w:pPr>
      <w:bookmarkStart w:id="210" w:name="_Toc104982816"/>
      <w:r w:rsidRPr="005A2D50">
        <w:rPr>
          <w:noProof/>
          <w:lang w:val="en-US"/>
        </w:rPr>
        <w:t>A2.5. Piemēri par apspriešanās procedūru</w:t>
      </w:r>
      <w:bookmarkEnd w:id="210"/>
    </w:p>
    <w:p w14:paraId="4714DEDB"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06B65A78" w14:textId="77777777" w:rsidR="005A2D50" w:rsidRPr="005A2D50" w:rsidRDefault="005A2D50" w:rsidP="005A2D50">
      <w:pPr>
        <w:pStyle w:val="BodyText"/>
        <w:rPr>
          <w:b/>
          <w:bCs/>
          <w:lang w:val="en-US"/>
        </w:rPr>
      </w:pPr>
      <w:bookmarkStart w:id="211" w:name="i)_Proposal_for_a_scheme_for_the_managem"/>
      <w:bookmarkEnd w:id="211"/>
      <w:r w:rsidRPr="005A2D50">
        <w:rPr>
          <w:b/>
          <w:bCs/>
          <w:lang w:val="en-US"/>
        </w:rPr>
        <w:t>i) Priekšlikums shēmai, ko izmantot, lai pārvaldītu atļaujas izmantot vispārējo galvojumu citā dalībvalstī</w:t>
      </w:r>
    </w:p>
    <w:p w14:paraId="1CB95815" w14:textId="77777777" w:rsidR="005A2D50" w:rsidRPr="005A2D50" w:rsidRDefault="005A2D50" w:rsidP="005A2D50">
      <w:pPr>
        <w:jc w:val="both"/>
        <w:rPr>
          <w:rFonts w:ascii="Times New Roman" w:eastAsia="Times New Roman" w:hAnsi="Times New Roman" w:cs="Times New Roman"/>
          <w:b/>
          <w:bCs/>
          <w:i/>
          <w:noProof/>
          <w:sz w:val="24"/>
          <w:szCs w:val="24"/>
          <w:lang w:val="en-US"/>
        </w:rPr>
      </w:pPr>
    </w:p>
    <w:p w14:paraId="0D74D0BC" w14:textId="77777777" w:rsidR="005A2D50" w:rsidRPr="005A2D50" w:rsidRDefault="005A2D50" w:rsidP="005A2D50">
      <w:pPr>
        <w:pStyle w:val="BodyText"/>
        <w:rPr>
          <w:lang w:val="en-US"/>
        </w:rPr>
      </w:pPr>
      <w:r w:rsidRPr="005A2D50">
        <w:rPr>
          <w:lang w:val="en-US"/>
        </w:rPr>
        <w:t>Nosacījumi</w:t>
      </w:r>
    </w:p>
    <w:p w14:paraId="55786B20" w14:textId="77777777" w:rsidR="005A2D50" w:rsidRPr="005A2D50" w:rsidRDefault="005A2D50" w:rsidP="005A2D50">
      <w:pPr>
        <w:jc w:val="both"/>
        <w:rPr>
          <w:rFonts w:ascii="Times New Roman" w:eastAsia="Times New Roman" w:hAnsi="Times New Roman" w:cs="Times New Roman"/>
          <w:noProof/>
          <w:sz w:val="24"/>
          <w:szCs w:val="24"/>
          <w:lang w:val="en-US"/>
        </w:rPr>
      </w:pPr>
    </w:p>
    <w:p w14:paraId="07B298A0" w14:textId="77777777" w:rsidR="005A2D50" w:rsidRPr="005A2D50" w:rsidRDefault="005A2D50" w:rsidP="005A2D50">
      <w:pPr>
        <w:pStyle w:val="BodyText"/>
        <w:numPr>
          <w:ilvl w:val="1"/>
          <w:numId w:val="7"/>
        </w:numPr>
        <w:tabs>
          <w:tab w:val="left" w:pos="851"/>
        </w:tabs>
        <w:ind w:left="284" w:firstLine="0"/>
        <w:rPr>
          <w:lang w:val="en-US"/>
        </w:rPr>
      </w:pPr>
      <w:r w:rsidRPr="005A2D50">
        <w:rPr>
          <w:lang w:val="en-US"/>
        </w:rPr>
        <w:t>Galvenā uzskaite muitas vajadzībām tiek veikta dalībvalstī Nr. 1.</w:t>
      </w:r>
    </w:p>
    <w:p w14:paraId="6995D81D" w14:textId="77777777" w:rsidR="005A2D50" w:rsidRPr="005A2D50" w:rsidRDefault="005A2D50" w:rsidP="005A2D50">
      <w:pPr>
        <w:pStyle w:val="BodyText"/>
        <w:numPr>
          <w:ilvl w:val="1"/>
          <w:numId w:val="7"/>
        </w:numPr>
        <w:tabs>
          <w:tab w:val="left" w:pos="851"/>
        </w:tabs>
        <w:ind w:left="284" w:firstLine="0"/>
        <w:rPr>
          <w:lang w:val="en-US"/>
        </w:rPr>
      </w:pPr>
      <w:r w:rsidRPr="005A2D50">
        <w:rPr>
          <w:lang w:val="en-US"/>
        </w:rPr>
        <w:t>Atļauja izmantot vispārējo galvojumu ir derīga dalībvalstī Nr. 2.</w:t>
      </w:r>
    </w:p>
    <w:p w14:paraId="3490ADE6" w14:textId="77777777" w:rsidR="005A2D50" w:rsidRPr="005A2D50" w:rsidRDefault="005A2D50" w:rsidP="005A2D50">
      <w:pPr>
        <w:jc w:val="both"/>
        <w:rPr>
          <w:rFonts w:ascii="Times New Roman" w:eastAsia="Times New Roman" w:hAnsi="Times New Roman" w:cs="Times New Roman"/>
          <w:noProof/>
          <w:sz w:val="24"/>
          <w:szCs w:val="24"/>
          <w:lang w:val="en-US"/>
        </w:rPr>
      </w:pPr>
    </w:p>
    <w:p w14:paraId="2D6C1078" w14:textId="77777777" w:rsidR="005A2D50" w:rsidRPr="005A2D50" w:rsidRDefault="005A2D50" w:rsidP="005A2D50">
      <w:pPr>
        <w:pStyle w:val="BodyText"/>
        <w:rPr>
          <w:lang w:val="en-US"/>
        </w:rPr>
      </w:pPr>
      <w:r w:rsidRPr="005A2D50">
        <w:rPr>
          <w:lang w:val="en-US"/>
        </w:rPr>
        <w:t>Pieteikuma iesniegšana un pārbaude</w:t>
      </w:r>
    </w:p>
    <w:p w14:paraId="25C0A31D" w14:textId="77777777" w:rsidR="005A2D50" w:rsidRPr="005A2D50" w:rsidRDefault="005A2D50" w:rsidP="005A2D50">
      <w:pPr>
        <w:jc w:val="both"/>
        <w:rPr>
          <w:rFonts w:ascii="Times New Roman" w:eastAsia="Times New Roman" w:hAnsi="Times New Roman" w:cs="Times New Roman"/>
          <w:noProof/>
          <w:sz w:val="24"/>
          <w:szCs w:val="24"/>
          <w:lang w:val="en-US"/>
        </w:rPr>
      </w:pPr>
    </w:p>
    <w:p w14:paraId="6A3E4901" w14:textId="77777777" w:rsidR="005A2D50" w:rsidRPr="005A2D50" w:rsidRDefault="005A2D50" w:rsidP="005A2D50">
      <w:pPr>
        <w:pStyle w:val="BodyText"/>
        <w:rPr>
          <w:lang w:val="en-US"/>
        </w:rPr>
      </w:pPr>
      <w:r w:rsidRPr="005A2D50">
        <w:rPr>
          <w:lang w:val="en-US"/>
        </w:rPr>
        <w:t>Pieteikumu iesniedz dalībvalstī Nr. 1.</w:t>
      </w:r>
    </w:p>
    <w:p w14:paraId="7283916A" w14:textId="77777777" w:rsidR="005A2D50" w:rsidRPr="005A2D50" w:rsidRDefault="005A2D50" w:rsidP="005A2D50">
      <w:pPr>
        <w:pStyle w:val="BodyText"/>
        <w:rPr>
          <w:lang w:val="en-US"/>
        </w:rPr>
      </w:pPr>
      <w:r w:rsidRPr="005A2D50">
        <w:rPr>
          <w:lang w:val="en-US"/>
        </w:rPr>
        <w:t>Pirms lēmuma pieņemšanas dalībvalsts Nr. 1 apspriežas ar dalībvalsti Nr. 2:</w:t>
      </w:r>
    </w:p>
    <w:p w14:paraId="3C6E787C" w14:textId="77777777" w:rsidR="005A2D50" w:rsidRPr="005A2D50" w:rsidRDefault="005A2D50" w:rsidP="005A2D50">
      <w:pPr>
        <w:pStyle w:val="BodyText"/>
        <w:rPr>
          <w:lang w:val="en-US"/>
        </w:rPr>
      </w:pPr>
    </w:p>
    <w:p w14:paraId="7510F2F4" w14:textId="77777777" w:rsidR="005A2D50" w:rsidRPr="005A2D50" w:rsidRDefault="005A2D50" w:rsidP="005A2D50">
      <w:pPr>
        <w:pStyle w:val="BodyText"/>
        <w:numPr>
          <w:ilvl w:val="1"/>
          <w:numId w:val="7"/>
        </w:numPr>
        <w:tabs>
          <w:tab w:val="left" w:pos="851"/>
        </w:tabs>
        <w:ind w:left="284" w:firstLine="0"/>
        <w:rPr>
          <w:lang w:val="en-US"/>
        </w:rPr>
      </w:pPr>
      <w:r w:rsidRPr="005A2D50">
        <w:rPr>
          <w:lang w:val="en-US"/>
        </w:rPr>
        <w:t>informē par saņemto pieprasījumu,</w:t>
      </w:r>
    </w:p>
    <w:p w14:paraId="2645668A" w14:textId="77777777" w:rsidR="005A2D50" w:rsidRPr="005A2D50" w:rsidRDefault="005A2D50" w:rsidP="005A2D50">
      <w:pPr>
        <w:pStyle w:val="BodyText"/>
        <w:numPr>
          <w:ilvl w:val="1"/>
          <w:numId w:val="7"/>
        </w:numPr>
        <w:tabs>
          <w:tab w:val="left" w:pos="851"/>
        </w:tabs>
        <w:ind w:left="284" w:firstLine="0"/>
        <w:rPr>
          <w:lang w:val="en-US"/>
        </w:rPr>
      </w:pPr>
      <w:r w:rsidRPr="005A2D50">
        <w:rPr>
          <w:lang w:val="en-US"/>
        </w:rPr>
        <w:t>pieteikuma iesniedzēja piedāvātā atsauces summa,</w:t>
      </w:r>
    </w:p>
    <w:p w14:paraId="4F7B8530" w14:textId="77777777" w:rsidR="005A2D50" w:rsidRPr="005A2D50" w:rsidRDefault="005A2D50" w:rsidP="005A2D50">
      <w:pPr>
        <w:pStyle w:val="BodyText"/>
        <w:numPr>
          <w:ilvl w:val="1"/>
          <w:numId w:val="7"/>
        </w:numPr>
        <w:tabs>
          <w:tab w:val="left" w:pos="851"/>
        </w:tabs>
        <w:ind w:left="284" w:firstLine="0"/>
        <w:rPr>
          <w:lang w:val="en-US"/>
        </w:rPr>
      </w:pPr>
      <w:r w:rsidRPr="005A2D50">
        <w:rPr>
          <w:lang w:val="en-US"/>
        </w:rPr>
        <w:t>pieteikuma iesniedzēja norādītais darbību vidējais ilgums.</w:t>
      </w:r>
    </w:p>
    <w:p w14:paraId="50B16019" w14:textId="77777777" w:rsidR="005A2D50" w:rsidRPr="005A2D50" w:rsidRDefault="005A2D50" w:rsidP="005A2D50">
      <w:pPr>
        <w:jc w:val="both"/>
        <w:rPr>
          <w:rFonts w:ascii="Times New Roman" w:eastAsia="Times New Roman" w:hAnsi="Times New Roman" w:cs="Times New Roman"/>
          <w:noProof/>
          <w:sz w:val="24"/>
          <w:szCs w:val="24"/>
          <w:lang w:val="en-US"/>
        </w:rPr>
      </w:pPr>
    </w:p>
    <w:p w14:paraId="3FC07ADF" w14:textId="77777777" w:rsidR="005A2D50" w:rsidRPr="005A2D50" w:rsidRDefault="005A2D50" w:rsidP="005A2D50">
      <w:pPr>
        <w:pStyle w:val="BodyText"/>
        <w:rPr>
          <w:lang w:val="en-US"/>
        </w:rPr>
      </w:pPr>
      <w:r w:rsidRPr="005A2D50">
        <w:rPr>
          <w:lang w:val="en-US"/>
        </w:rPr>
        <w:t>Dalībvalsts Nr. 2:</w:t>
      </w:r>
    </w:p>
    <w:p w14:paraId="5636840B" w14:textId="77777777" w:rsidR="005A2D50" w:rsidRPr="005A2D50" w:rsidRDefault="005A2D50" w:rsidP="005A2D50">
      <w:pPr>
        <w:jc w:val="both"/>
        <w:rPr>
          <w:rFonts w:ascii="Times New Roman" w:eastAsia="Times New Roman" w:hAnsi="Times New Roman" w:cs="Times New Roman"/>
          <w:noProof/>
          <w:sz w:val="24"/>
          <w:szCs w:val="24"/>
          <w:lang w:val="en-US"/>
        </w:rPr>
      </w:pPr>
    </w:p>
    <w:p w14:paraId="04747B55" w14:textId="77777777" w:rsidR="005A2D50" w:rsidRPr="005A2D50" w:rsidRDefault="005A2D50" w:rsidP="005A2D50">
      <w:pPr>
        <w:pStyle w:val="BodyText"/>
        <w:numPr>
          <w:ilvl w:val="1"/>
          <w:numId w:val="7"/>
        </w:numPr>
        <w:tabs>
          <w:tab w:val="left" w:pos="851"/>
        </w:tabs>
        <w:ind w:left="284" w:firstLine="0"/>
        <w:rPr>
          <w:lang w:val="en-US"/>
        </w:rPr>
      </w:pPr>
      <w:r w:rsidRPr="005A2D50">
        <w:rPr>
          <w:lang w:val="en-US"/>
        </w:rPr>
        <w:t>aprēķina atsauces summu,</w:t>
      </w:r>
    </w:p>
    <w:p w14:paraId="03AC1D7C" w14:textId="77777777" w:rsidR="005A2D50" w:rsidRPr="005A2D50" w:rsidRDefault="005A2D50" w:rsidP="005A2D50">
      <w:pPr>
        <w:pStyle w:val="BodyText"/>
        <w:numPr>
          <w:ilvl w:val="1"/>
          <w:numId w:val="7"/>
        </w:numPr>
        <w:tabs>
          <w:tab w:val="left" w:pos="851"/>
        </w:tabs>
        <w:ind w:left="284" w:firstLine="0"/>
        <w:rPr>
          <w:lang w:val="en-US"/>
        </w:rPr>
      </w:pPr>
      <w:r w:rsidRPr="005A2D50">
        <w:rPr>
          <w:lang w:val="en-US"/>
        </w:rPr>
        <w:t>informē dalībvalsti Nr. 1:</w:t>
      </w:r>
    </w:p>
    <w:p w14:paraId="7CF3DAF6" w14:textId="77777777" w:rsidR="005A2D50" w:rsidRPr="005A2D50" w:rsidRDefault="005A2D50" w:rsidP="005A2D50">
      <w:pPr>
        <w:pStyle w:val="BodyText"/>
        <w:numPr>
          <w:ilvl w:val="2"/>
          <w:numId w:val="7"/>
        </w:numPr>
        <w:tabs>
          <w:tab w:val="left" w:pos="1134"/>
        </w:tabs>
        <w:ind w:left="567" w:firstLine="0"/>
        <w:rPr>
          <w:lang w:val="en-US"/>
        </w:rPr>
      </w:pPr>
      <w:r w:rsidRPr="005A2D50">
        <w:rPr>
          <w:lang w:val="en-US"/>
        </w:rPr>
        <w:t>par uzticamības nosacījumu izpildi un</w:t>
      </w:r>
    </w:p>
    <w:p w14:paraId="3224030F" w14:textId="77777777" w:rsidR="005A2D50" w:rsidRPr="005A2D50" w:rsidRDefault="005A2D50" w:rsidP="005A2D50">
      <w:pPr>
        <w:pStyle w:val="BodyText"/>
        <w:numPr>
          <w:ilvl w:val="2"/>
          <w:numId w:val="7"/>
        </w:numPr>
        <w:tabs>
          <w:tab w:val="left" w:pos="1134"/>
        </w:tabs>
        <w:ind w:left="567" w:firstLine="0"/>
        <w:rPr>
          <w:lang w:val="en-US"/>
        </w:rPr>
      </w:pPr>
      <w:r w:rsidRPr="005A2D50">
        <w:rPr>
          <w:lang w:val="en-US"/>
        </w:rPr>
        <w:t>par noteikto atsauces summu.</w:t>
      </w:r>
    </w:p>
    <w:p w14:paraId="2A961B4F" w14:textId="77777777" w:rsidR="005A2D50" w:rsidRPr="005A2D50" w:rsidRDefault="005A2D50" w:rsidP="005A2D50">
      <w:pPr>
        <w:jc w:val="both"/>
        <w:rPr>
          <w:rFonts w:ascii="Times New Roman" w:eastAsia="Times New Roman" w:hAnsi="Times New Roman" w:cs="Times New Roman"/>
          <w:noProof/>
          <w:sz w:val="24"/>
          <w:szCs w:val="24"/>
          <w:lang w:val="en-US"/>
        </w:rPr>
      </w:pPr>
    </w:p>
    <w:p w14:paraId="5BA27CC4" w14:textId="77777777" w:rsidR="005A2D50" w:rsidRPr="005A2D50" w:rsidRDefault="005A2D50" w:rsidP="005A2D50">
      <w:pPr>
        <w:pStyle w:val="BodyText"/>
        <w:rPr>
          <w:lang w:val="en-US"/>
        </w:rPr>
      </w:pPr>
      <w:r w:rsidRPr="005A2D50">
        <w:rPr>
          <w:lang w:val="en-US"/>
        </w:rPr>
        <w:t>Lēmuma pieņemšana un īstenošana</w:t>
      </w:r>
    </w:p>
    <w:p w14:paraId="03994798" w14:textId="77777777" w:rsidR="005A2D50" w:rsidRPr="005A2D50" w:rsidRDefault="005A2D50" w:rsidP="005A2D50">
      <w:pPr>
        <w:jc w:val="both"/>
        <w:rPr>
          <w:rFonts w:ascii="Times New Roman" w:eastAsia="Times New Roman" w:hAnsi="Times New Roman" w:cs="Times New Roman"/>
          <w:noProof/>
          <w:sz w:val="24"/>
          <w:szCs w:val="24"/>
          <w:lang w:val="en-US"/>
        </w:rPr>
      </w:pPr>
    </w:p>
    <w:p w14:paraId="2A5C4446" w14:textId="77777777" w:rsidR="005A2D50" w:rsidRPr="005A2D50" w:rsidRDefault="005A2D50" w:rsidP="005A2D50">
      <w:pPr>
        <w:pStyle w:val="BodyText"/>
        <w:rPr>
          <w:lang w:val="en-US"/>
        </w:rPr>
      </w:pPr>
      <w:r w:rsidRPr="005A2D50">
        <w:rPr>
          <w:lang w:val="en-US"/>
        </w:rPr>
        <w:t>Dalībvalsts Nr. 1:</w:t>
      </w:r>
    </w:p>
    <w:p w14:paraId="30B3F1CB" w14:textId="77777777" w:rsidR="005A2D50" w:rsidRPr="005A2D50" w:rsidRDefault="005A2D50" w:rsidP="005A2D50">
      <w:pPr>
        <w:jc w:val="both"/>
        <w:rPr>
          <w:rFonts w:ascii="Times New Roman" w:eastAsia="Times New Roman" w:hAnsi="Times New Roman" w:cs="Times New Roman"/>
          <w:noProof/>
          <w:sz w:val="24"/>
          <w:szCs w:val="24"/>
          <w:lang w:val="en-US"/>
        </w:rPr>
      </w:pPr>
    </w:p>
    <w:p w14:paraId="024FD3B7" w14:textId="77777777" w:rsidR="005A2D50" w:rsidRPr="005A2D50" w:rsidRDefault="005A2D50" w:rsidP="005A2D50">
      <w:pPr>
        <w:pStyle w:val="BodyText"/>
        <w:numPr>
          <w:ilvl w:val="1"/>
          <w:numId w:val="7"/>
        </w:numPr>
        <w:tabs>
          <w:tab w:val="left" w:pos="851"/>
        </w:tabs>
        <w:ind w:left="284" w:firstLine="0"/>
        <w:rPr>
          <w:lang w:val="en-US"/>
        </w:rPr>
      </w:pPr>
      <w:r w:rsidRPr="005A2D50">
        <w:rPr>
          <w:lang w:val="en-US"/>
        </w:rPr>
        <w:t>pieņem galvojumu un izsniedz atļauju,</w:t>
      </w:r>
    </w:p>
    <w:p w14:paraId="4B79B439" w14:textId="77777777" w:rsidR="005A2D50" w:rsidRPr="005A2D50" w:rsidRDefault="005A2D50" w:rsidP="005A2D50">
      <w:pPr>
        <w:pStyle w:val="BodyText"/>
        <w:numPr>
          <w:ilvl w:val="1"/>
          <w:numId w:val="7"/>
        </w:numPr>
        <w:tabs>
          <w:tab w:val="left" w:pos="851"/>
        </w:tabs>
        <w:ind w:left="284" w:firstLine="0"/>
        <w:rPr>
          <w:lang w:val="en-US"/>
        </w:rPr>
      </w:pPr>
      <w:r w:rsidRPr="005A2D50">
        <w:rPr>
          <w:lang w:val="en-US"/>
        </w:rPr>
        <w:t>informē dalībvalsti Nr. 2 par izsniegto atļauju.</w:t>
      </w:r>
    </w:p>
    <w:p w14:paraId="1703D703" w14:textId="77777777" w:rsidR="005A2D50" w:rsidRPr="005A2D50" w:rsidRDefault="005A2D50" w:rsidP="005A2D50">
      <w:pPr>
        <w:pStyle w:val="BodyText"/>
        <w:ind w:left="-133"/>
        <w:rPr>
          <w:lang w:val="en-US"/>
        </w:rPr>
      </w:pPr>
    </w:p>
    <w:p w14:paraId="095C5294" w14:textId="77777777" w:rsidR="005A2D50" w:rsidRPr="005A2D50" w:rsidRDefault="005A2D50" w:rsidP="005A2D50">
      <w:pPr>
        <w:pStyle w:val="BodyText"/>
        <w:rPr>
          <w:lang w:val="en-US"/>
        </w:rPr>
      </w:pPr>
      <w:r w:rsidRPr="005A2D50">
        <w:rPr>
          <w:lang w:val="en-US"/>
        </w:rPr>
        <w:t>Dalībvalsts Nr. 2:</w:t>
      </w:r>
    </w:p>
    <w:p w14:paraId="35D8ABFE" w14:textId="77777777" w:rsidR="005A2D50" w:rsidRPr="005A2D50" w:rsidRDefault="005A2D50" w:rsidP="005A2D50">
      <w:pPr>
        <w:pStyle w:val="BodyText"/>
        <w:ind w:left="-133"/>
        <w:rPr>
          <w:lang w:val="en-US"/>
        </w:rPr>
      </w:pPr>
    </w:p>
    <w:p w14:paraId="544AF9E7" w14:textId="77777777" w:rsidR="005A2D50" w:rsidRPr="005A2D50" w:rsidRDefault="005A2D50" w:rsidP="005A2D50">
      <w:pPr>
        <w:pStyle w:val="BodyText"/>
        <w:numPr>
          <w:ilvl w:val="1"/>
          <w:numId w:val="7"/>
        </w:numPr>
        <w:tabs>
          <w:tab w:val="left" w:pos="851"/>
        </w:tabs>
        <w:ind w:left="284" w:firstLine="0"/>
        <w:rPr>
          <w:lang w:val="en-US"/>
        </w:rPr>
      </w:pPr>
      <w:r w:rsidRPr="005A2D50">
        <w:rPr>
          <w:lang w:val="en-US"/>
        </w:rPr>
        <w:t>valsts galvojumu pārvaldības sistēmā ievada datus par atļauju.</w:t>
      </w:r>
    </w:p>
    <w:p w14:paraId="5B61E975" w14:textId="77777777" w:rsidR="005A2D50" w:rsidRPr="005A2D50" w:rsidRDefault="005A2D50" w:rsidP="005A2D50">
      <w:pPr>
        <w:pStyle w:val="BodyText"/>
        <w:tabs>
          <w:tab w:val="left" w:pos="851"/>
        </w:tabs>
        <w:rPr>
          <w:lang w:val="en-US"/>
        </w:rPr>
      </w:pPr>
    </w:p>
    <w:p w14:paraId="564625D6" w14:textId="77777777" w:rsidR="005A2D50" w:rsidRPr="005A2D50" w:rsidRDefault="005A2D50" w:rsidP="005A2D50">
      <w:pPr>
        <w:pStyle w:val="BodyText"/>
        <w:tabs>
          <w:tab w:val="left" w:pos="851"/>
        </w:tabs>
        <w:rPr>
          <w:lang w:val="en-US"/>
        </w:rPr>
      </w:pPr>
      <w:r w:rsidRPr="005A2D50">
        <w:rPr>
          <w:lang w:val="en-US"/>
        </w:rPr>
        <w:t>Dalībvalsts Nr. 1:</w:t>
      </w:r>
    </w:p>
    <w:p w14:paraId="5C267801" w14:textId="77777777" w:rsidR="005A2D50" w:rsidRPr="005A2D50" w:rsidRDefault="005A2D50" w:rsidP="005A2D50">
      <w:pPr>
        <w:pStyle w:val="BodyText"/>
        <w:tabs>
          <w:tab w:val="left" w:pos="851"/>
        </w:tabs>
        <w:rPr>
          <w:lang w:val="en-US"/>
        </w:rPr>
      </w:pPr>
    </w:p>
    <w:p w14:paraId="4AD6A278" w14:textId="77777777" w:rsidR="005A2D50" w:rsidRPr="005A2D50" w:rsidRDefault="005A2D50" w:rsidP="005A2D50">
      <w:pPr>
        <w:pStyle w:val="BodyText"/>
        <w:numPr>
          <w:ilvl w:val="1"/>
          <w:numId w:val="7"/>
        </w:numPr>
        <w:tabs>
          <w:tab w:val="left" w:pos="851"/>
        </w:tabs>
        <w:ind w:left="284" w:firstLine="0"/>
        <w:rPr>
          <w:lang w:val="en-US"/>
        </w:rPr>
      </w:pPr>
      <w:r w:rsidRPr="005A2D50">
        <w:rPr>
          <w:lang w:val="en-US"/>
        </w:rPr>
        <w:t>uzrauga nosacījumus atļaujas izsniegšanai,</w:t>
      </w:r>
    </w:p>
    <w:p w14:paraId="2723A2D9" w14:textId="77777777" w:rsidR="005A2D50" w:rsidRPr="005A2D50" w:rsidRDefault="005A2D50" w:rsidP="005A2D50">
      <w:pPr>
        <w:pStyle w:val="BodyText"/>
        <w:numPr>
          <w:ilvl w:val="1"/>
          <w:numId w:val="7"/>
        </w:numPr>
        <w:tabs>
          <w:tab w:val="left" w:pos="851"/>
        </w:tabs>
        <w:ind w:left="284" w:firstLine="0"/>
        <w:rPr>
          <w:lang w:val="en-US"/>
        </w:rPr>
      </w:pPr>
      <w:r w:rsidRPr="005A2D50">
        <w:rPr>
          <w:lang w:val="en-US"/>
        </w:rPr>
        <w:t>informē dalībvalsti Nr. 2 par lēmumiem saistībā ar galvojuma pārvaldību.</w:t>
      </w:r>
    </w:p>
    <w:p w14:paraId="1D2B1CBA" w14:textId="77777777" w:rsidR="005A2D50" w:rsidRPr="005A2D50" w:rsidRDefault="005A2D50" w:rsidP="005A2D50">
      <w:pPr>
        <w:pStyle w:val="BodyText"/>
        <w:tabs>
          <w:tab w:val="left" w:pos="851"/>
        </w:tabs>
        <w:rPr>
          <w:lang w:val="en-US"/>
        </w:rPr>
      </w:pPr>
    </w:p>
    <w:p w14:paraId="19F9C066" w14:textId="77777777" w:rsidR="005A2D50" w:rsidRPr="005A2D50" w:rsidRDefault="005A2D50" w:rsidP="005A2D50">
      <w:pPr>
        <w:pStyle w:val="BodyText"/>
        <w:tabs>
          <w:tab w:val="left" w:pos="851"/>
        </w:tabs>
        <w:rPr>
          <w:lang w:val="en-US"/>
        </w:rPr>
      </w:pPr>
      <w:r w:rsidRPr="005A2D50">
        <w:rPr>
          <w:lang w:val="en-US"/>
        </w:rPr>
        <w:t>Dalībvalsts Nr. 2:</w:t>
      </w:r>
    </w:p>
    <w:p w14:paraId="1D56BEB5" w14:textId="77777777" w:rsidR="005A2D50" w:rsidRPr="005A2D50" w:rsidRDefault="005A2D50" w:rsidP="005A2D50">
      <w:pPr>
        <w:pStyle w:val="BodyText"/>
        <w:tabs>
          <w:tab w:val="left" w:pos="851"/>
        </w:tabs>
        <w:rPr>
          <w:lang w:val="en-US"/>
        </w:rPr>
      </w:pPr>
    </w:p>
    <w:p w14:paraId="23DEDB54" w14:textId="77777777" w:rsidR="005A2D50" w:rsidRPr="005A2D50" w:rsidRDefault="005A2D50" w:rsidP="005A2D50">
      <w:pPr>
        <w:pStyle w:val="BodyText"/>
        <w:numPr>
          <w:ilvl w:val="1"/>
          <w:numId w:val="7"/>
        </w:numPr>
        <w:tabs>
          <w:tab w:val="left" w:pos="851"/>
        </w:tabs>
        <w:ind w:left="284" w:firstLine="0"/>
        <w:rPr>
          <w:lang w:val="en-US"/>
        </w:rPr>
      </w:pPr>
      <w:r w:rsidRPr="005A2D50">
        <w:rPr>
          <w:lang w:val="en-US"/>
        </w:rPr>
        <w:t>uzrauga nosacījumus atļaujas izsniegšanai,</w:t>
      </w:r>
    </w:p>
    <w:p w14:paraId="3790FA7C" w14:textId="77777777" w:rsidR="005A2D50" w:rsidRPr="005A2D50" w:rsidRDefault="005A2D50" w:rsidP="005A2D50">
      <w:pPr>
        <w:pStyle w:val="BodyText"/>
        <w:numPr>
          <w:ilvl w:val="1"/>
          <w:numId w:val="7"/>
        </w:numPr>
        <w:tabs>
          <w:tab w:val="left" w:pos="851"/>
        </w:tabs>
        <w:ind w:left="284" w:firstLine="0"/>
        <w:rPr>
          <w:lang w:val="en-US"/>
        </w:rPr>
      </w:pPr>
      <w:r w:rsidRPr="005A2D50">
        <w:rPr>
          <w:lang w:val="en-US"/>
        </w:rPr>
        <w:t>veic atsauces summas pārraudzību,</w:t>
      </w:r>
    </w:p>
    <w:p w14:paraId="4FE64023" w14:textId="77777777" w:rsidR="005A2D50" w:rsidRPr="005A2D50" w:rsidRDefault="005A2D50" w:rsidP="005A2D50">
      <w:pPr>
        <w:pStyle w:val="BodyText"/>
        <w:numPr>
          <w:ilvl w:val="1"/>
          <w:numId w:val="7"/>
        </w:numPr>
        <w:tabs>
          <w:tab w:val="left" w:pos="851"/>
        </w:tabs>
        <w:ind w:left="284" w:firstLine="0"/>
        <w:rPr>
          <w:lang w:val="en-US"/>
        </w:rPr>
      </w:pPr>
      <w:r w:rsidRPr="005A2D50">
        <w:rPr>
          <w:lang w:val="en-US"/>
        </w:rPr>
        <w:t>informē dalībvalsti Nr. 1 par faktoriem, kas ietekmē atļaujas derīgumu vai saturu (piemēram, atsauces summa).</w:t>
      </w:r>
    </w:p>
    <w:p w14:paraId="4F37576E" w14:textId="77777777" w:rsidR="005A2D50" w:rsidRPr="005A2D50" w:rsidRDefault="005A2D50" w:rsidP="005A2D50">
      <w:pPr>
        <w:pStyle w:val="BodyText"/>
        <w:ind w:left="-133"/>
        <w:rPr>
          <w:lang w:val="en-US"/>
        </w:rPr>
      </w:pPr>
    </w:p>
    <w:p w14:paraId="1921F333" w14:textId="77777777" w:rsidR="005A2D50" w:rsidRPr="005A2D50" w:rsidRDefault="005A2D50" w:rsidP="005A2D50">
      <w:pPr>
        <w:pStyle w:val="BodyText"/>
        <w:rPr>
          <w:b/>
          <w:bCs/>
          <w:lang w:val="en-US"/>
        </w:rPr>
      </w:pPr>
      <w:bookmarkStart w:id="212" w:name="ii)_Procedure_proposal_for_granting_a_CG"/>
      <w:bookmarkEnd w:id="212"/>
      <w:r w:rsidRPr="005A2D50">
        <w:rPr>
          <w:b/>
          <w:bCs/>
          <w:lang w:val="en-US"/>
        </w:rPr>
        <w:t>ii) Procedūras priekšlikums CGU atļaujas piešķiršanai, ja iesaistītas vairākas dalībvalstis</w:t>
      </w:r>
    </w:p>
    <w:p w14:paraId="467BB602" w14:textId="77777777" w:rsidR="005A2D50" w:rsidRPr="005A2D50" w:rsidRDefault="005A2D50" w:rsidP="005A2D50">
      <w:pPr>
        <w:jc w:val="both"/>
        <w:rPr>
          <w:rFonts w:ascii="Times New Roman" w:eastAsia="Times New Roman" w:hAnsi="Times New Roman" w:cs="Times New Roman"/>
          <w:b/>
          <w:bCs/>
          <w:i/>
          <w:noProof/>
          <w:sz w:val="24"/>
          <w:szCs w:val="24"/>
          <w:lang w:val="en-US"/>
        </w:rPr>
      </w:pPr>
    </w:p>
    <w:p w14:paraId="13023356" w14:textId="77777777" w:rsidR="005A2D50" w:rsidRPr="005A2D50" w:rsidRDefault="005A2D50" w:rsidP="005A2D50">
      <w:pPr>
        <w:pStyle w:val="BodyText"/>
        <w:rPr>
          <w:lang w:val="en-US"/>
        </w:rPr>
      </w:pPr>
      <w:r w:rsidRPr="005A2D50">
        <w:rPr>
          <w:lang w:val="en-US"/>
        </w:rPr>
        <w:t>Pieteikums izmantot vispārējo galvojumu ir saņemts A dalībvalstī. Pieteikums attiecas uz dalībvalstīm A, B un C.</w:t>
      </w:r>
    </w:p>
    <w:p w14:paraId="56781E17" w14:textId="77777777" w:rsidR="005A2D50" w:rsidRPr="005A2D50" w:rsidRDefault="005A2D50" w:rsidP="005A2D50">
      <w:pPr>
        <w:pStyle w:val="BodyText"/>
        <w:rPr>
          <w:lang w:val="en-US"/>
        </w:rPr>
      </w:pPr>
    </w:p>
    <w:p w14:paraId="59274CDE" w14:textId="77777777" w:rsidR="005A2D50" w:rsidRPr="005A2D50" w:rsidRDefault="005A2D50" w:rsidP="005A2D50">
      <w:pPr>
        <w:pStyle w:val="BodyText"/>
        <w:rPr>
          <w:b/>
          <w:bCs/>
          <w:lang w:val="en-US"/>
        </w:rPr>
      </w:pPr>
      <w:r w:rsidRPr="005A2D50">
        <w:rPr>
          <w:b/>
          <w:bCs/>
          <w:lang w:val="en-US"/>
        </w:rPr>
        <w:t>1. Apspriešanās procedūra pirms atļaujas piešķiršanas.</w:t>
      </w:r>
    </w:p>
    <w:p w14:paraId="53BCCBCC" w14:textId="77777777" w:rsidR="005A2D50" w:rsidRPr="005A2D50" w:rsidRDefault="005A2D50" w:rsidP="005A2D50">
      <w:pPr>
        <w:pStyle w:val="BodyText"/>
        <w:ind w:left="284"/>
        <w:rPr>
          <w:lang w:val="en-US"/>
        </w:rPr>
      </w:pPr>
    </w:p>
    <w:p w14:paraId="0CE32136" w14:textId="77777777" w:rsidR="005A2D50" w:rsidRPr="005A2D50" w:rsidRDefault="005A2D50" w:rsidP="005A2D50">
      <w:pPr>
        <w:pStyle w:val="BodyText"/>
        <w:ind w:left="284"/>
        <w:rPr>
          <w:lang w:val="en-US"/>
        </w:rPr>
      </w:pPr>
      <w:r w:rsidRPr="005A2D50">
        <w:rPr>
          <w:lang w:val="en-US"/>
        </w:rPr>
        <w:t>Pastāv divas iespējas, ko ietekmē pienākums sadalīt atsauces summu:</w:t>
      </w:r>
    </w:p>
    <w:p w14:paraId="007DCEC4" w14:textId="77777777" w:rsidR="005A2D50" w:rsidRPr="005A2D50" w:rsidRDefault="005A2D50" w:rsidP="005A2D50">
      <w:pPr>
        <w:pStyle w:val="BodyText"/>
        <w:ind w:left="284"/>
        <w:rPr>
          <w:lang w:val="en-US"/>
        </w:rPr>
      </w:pPr>
    </w:p>
    <w:p w14:paraId="7571E6E1" w14:textId="77777777" w:rsidR="005A2D50" w:rsidRPr="005A2D50" w:rsidRDefault="005A2D50" w:rsidP="005A2D50">
      <w:pPr>
        <w:pStyle w:val="BodyText"/>
        <w:numPr>
          <w:ilvl w:val="1"/>
          <w:numId w:val="6"/>
        </w:numPr>
        <w:tabs>
          <w:tab w:val="left" w:pos="1134"/>
        </w:tabs>
        <w:ind w:left="567" w:firstLine="0"/>
        <w:rPr>
          <w:lang w:val="en-US"/>
        </w:rPr>
      </w:pPr>
      <w:r w:rsidRPr="005A2D50">
        <w:rPr>
          <w:lang w:val="en-US"/>
        </w:rPr>
        <w:t xml:space="preserve">ja atsauces summa nav jādala starp dalībvalstīm A, B un C, apspriešanās procedūra var nebūt vajadzīga. Atļauja sniegt vispārējo galvojumu būs daļa no </w:t>
      </w:r>
      <w:r w:rsidRPr="005A2D50">
        <w:rPr>
          <w:i/>
          <w:iCs/>
          <w:lang w:val="en-US"/>
        </w:rPr>
        <w:t>CDS</w:t>
      </w:r>
      <w:r w:rsidRPr="005A2D50">
        <w:rPr>
          <w:lang w:val="en-US"/>
        </w:rPr>
        <w:t>, un tā ir redzama visām attiecīgajām dalībvalstīm (kurās galvojumam ir jābūt derīgam);</w:t>
      </w:r>
    </w:p>
    <w:p w14:paraId="2DB32FFD" w14:textId="77777777" w:rsidR="005A2D50" w:rsidRPr="005A2D50" w:rsidRDefault="005A2D50" w:rsidP="005A2D50">
      <w:pPr>
        <w:pStyle w:val="BodyText"/>
        <w:numPr>
          <w:ilvl w:val="1"/>
          <w:numId w:val="6"/>
        </w:numPr>
        <w:tabs>
          <w:tab w:val="left" w:pos="1134"/>
        </w:tabs>
        <w:ind w:left="567" w:firstLine="0"/>
        <w:rPr>
          <w:lang w:val="en-US"/>
        </w:rPr>
      </w:pPr>
      <w:r w:rsidRPr="005A2D50">
        <w:rPr>
          <w:lang w:val="en-US"/>
        </w:rPr>
        <w:t xml:space="preserve">ja atsauces summa ir jādala starp dalībvalstīm A, B un C, apspriešanās procedūra jāsāk, izmantojot </w:t>
      </w:r>
      <w:r w:rsidRPr="005A2D50">
        <w:rPr>
          <w:i/>
          <w:iCs/>
          <w:lang w:val="en-US"/>
        </w:rPr>
        <w:t>CDS</w:t>
      </w:r>
      <w:r w:rsidRPr="005A2D50">
        <w:rPr>
          <w:lang w:val="en-US"/>
        </w:rPr>
        <w:t>;</w:t>
      </w:r>
    </w:p>
    <w:p w14:paraId="4E44D1A7" w14:textId="77777777" w:rsidR="005A2D50" w:rsidRPr="005A2D50" w:rsidRDefault="005A2D50" w:rsidP="005A2D50">
      <w:pPr>
        <w:pStyle w:val="BodyText"/>
        <w:numPr>
          <w:ilvl w:val="1"/>
          <w:numId w:val="6"/>
        </w:numPr>
        <w:tabs>
          <w:tab w:val="left" w:pos="1134"/>
        </w:tabs>
        <w:ind w:left="567" w:firstLine="0"/>
        <w:rPr>
          <w:lang w:val="en-US"/>
        </w:rPr>
      </w:pPr>
      <w:r w:rsidRPr="005A2D50">
        <w:rPr>
          <w:lang w:val="en-US"/>
        </w:rPr>
        <w:t>piedāvājums apspriešanās ilgumam – 45 dienas (</w:t>
      </w:r>
      <w:r w:rsidRPr="005A2D50">
        <w:rPr>
          <w:i/>
          <w:iCs/>
          <w:lang w:val="en-US"/>
        </w:rPr>
        <w:t xml:space="preserve">PG </w:t>
      </w:r>
      <w:r w:rsidRPr="005A2D50">
        <w:rPr>
          <w:lang w:val="en-US"/>
        </w:rPr>
        <w:t xml:space="preserve">par </w:t>
      </w:r>
      <w:r w:rsidRPr="005A2D50">
        <w:rPr>
          <w:i/>
          <w:iCs/>
          <w:lang w:val="en-US"/>
        </w:rPr>
        <w:t>CDS</w:t>
      </w:r>
      <w:r w:rsidRPr="005A2D50">
        <w:rPr>
          <w:lang w:val="en-US"/>
        </w:rPr>
        <w:t>).</w:t>
      </w:r>
    </w:p>
    <w:p w14:paraId="412BDE37" w14:textId="77777777" w:rsidR="005A2D50" w:rsidRPr="005A2D50" w:rsidRDefault="005A2D50" w:rsidP="005A2D50">
      <w:pPr>
        <w:pStyle w:val="BodyText"/>
        <w:rPr>
          <w:b/>
          <w:bCs/>
          <w:lang w:val="en-US"/>
        </w:rPr>
      </w:pPr>
    </w:p>
    <w:p w14:paraId="4AF8C90F" w14:textId="77777777" w:rsidR="005A2D50" w:rsidRPr="005A2D50" w:rsidRDefault="005A2D50" w:rsidP="005A2D50">
      <w:pPr>
        <w:pStyle w:val="BodyText"/>
        <w:rPr>
          <w:b/>
          <w:bCs/>
          <w:lang w:val="en-US"/>
        </w:rPr>
      </w:pPr>
      <w:r w:rsidRPr="005A2D50">
        <w:rPr>
          <w:b/>
          <w:bCs/>
          <w:lang w:val="en-US"/>
        </w:rPr>
        <w:t>2. Kad atļauja ir piešķirta</w:t>
      </w:r>
    </w:p>
    <w:p w14:paraId="45461F90" w14:textId="77777777" w:rsidR="005A2D50" w:rsidRPr="005A2D50" w:rsidRDefault="005A2D50" w:rsidP="005A2D50">
      <w:pPr>
        <w:pStyle w:val="BodyText"/>
        <w:ind w:left="284"/>
        <w:rPr>
          <w:lang w:val="en-US"/>
        </w:rPr>
      </w:pPr>
    </w:p>
    <w:p w14:paraId="2E35AC5C" w14:textId="77777777" w:rsidR="005A2D50" w:rsidRPr="005A2D50" w:rsidRDefault="005A2D50" w:rsidP="005A2D50">
      <w:pPr>
        <w:pStyle w:val="BodyText"/>
        <w:ind w:left="284"/>
        <w:rPr>
          <w:lang w:val="en-US"/>
        </w:rPr>
      </w:pPr>
      <w:r w:rsidRPr="005A2D50">
        <w:rPr>
          <w:lang w:val="en-US"/>
        </w:rPr>
        <w:t>Dalībvalstij A ir jāpaziņo dalībvalstīm B un C par turpmāk minētajiem aspektiem:</w:t>
      </w:r>
    </w:p>
    <w:p w14:paraId="5C21FF1E" w14:textId="77777777" w:rsidR="005A2D50" w:rsidRPr="005A2D50" w:rsidRDefault="005A2D50" w:rsidP="005A2D50">
      <w:pPr>
        <w:pStyle w:val="BodyText"/>
        <w:ind w:left="284"/>
        <w:rPr>
          <w:lang w:val="en-US"/>
        </w:rPr>
      </w:pPr>
    </w:p>
    <w:p w14:paraId="1F44F67F" w14:textId="77777777" w:rsidR="005A2D50" w:rsidRPr="005A2D50" w:rsidRDefault="005A2D50" w:rsidP="005A2D50">
      <w:pPr>
        <w:pStyle w:val="BodyText"/>
        <w:numPr>
          <w:ilvl w:val="1"/>
          <w:numId w:val="6"/>
        </w:numPr>
        <w:tabs>
          <w:tab w:val="left" w:pos="1134"/>
        </w:tabs>
        <w:ind w:left="567" w:firstLine="0"/>
        <w:rPr>
          <w:lang w:val="en-US"/>
        </w:rPr>
      </w:pPr>
      <w:r w:rsidRPr="005A2D50">
        <w:rPr>
          <w:lang w:val="en-US"/>
        </w:rPr>
        <w:t>galvojuma atsauces numurs dalībvalstij B (</w:t>
      </w:r>
      <w:r w:rsidRPr="005A2D50">
        <w:rPr>
          <w:i/>
          <w:iCs/>
          <w:lang w:val="en-US"/>
        </w:rPr>
        <w:t>GRN </w:t>
      </w:r>
      <w:r w:rsidRPr="005A2D50">
        <w:rPr>
          <w:lang w:val="en-US"/>
        </w:rPr>
        <w:t>1) un galvojuma atsauces numurs dalībvalstij C (</w:t>
      </w:r>
      <w:r w:rsidRPr="005A2D50">
        <w:rPr>
          <w:i/>
          <w:iCs/>
          <w:lang w:val="en-US"/>
        </w:rPr>
        <w:t xml:space="preserve">GRN </w:t>
      </w:r>
      <w:r w:rsidRPr="005A2D50">
        <w:rPr>
          <w:lang w:val="en-US"/>
        </w:rPr>
        <w:t>2).</w:t>
      </w:r>
    </w:p>
    <w:p w14:paraId="33B11C63" w14:textId="77777777" w:rsidR="005A2D50" w:rsidRPr="005A2D50" w:rsidRDefault="005A2D50" w:rsidP="005A2D50">
      <w:pPr>
        <w:pStyle w:val="BodyText"/>
        <w:tabs>
          <w:tab w:val="left" w:pos="1134"/>
        </w:tabs>
        <w:ind w:left="567"/>
        <w:rPr>
          <w:lang w:val="en-US"/>
        </w:rPr>
      </w:pPr>
      <w:r w:rsidRPr="005A2D50">
        <w:rPr>
          <w:lang w:val="en-US"/>
        </w:rPr>
        <w:t xml:space="preserve">Dalībvalstij B un dalībvalstij C šie </w:t>
      </w:r>
      <w:r w:rsidRPr="005A2D50">
        <w:rPr>
          <w:i/>
          <w:iCs/>
          <w:lang w:val="en-US"/>
        </w:rPr>
        <w:t xml:space="preserve">GRN </w:t>
      </w:r>
      <w:r w:rsidRPr="005A2D50">
        <w:rPr>
          <w:lang w:val="en-US"/>
        </w:rPr>
        <w:t xml:space="preserve">ir jāiekļauj savās IT sistēmās, lai varētu pārbaudīt galvojuma esību. Kad muitas deklarācija ir iesniegta, importa sistēmai jāpārbauda, vai muitas deklarācijā iekļautais </w:t>
      </w:r>
      <w:r w:rsidRPr="005A2D50">
        <w:rPr>
          <w:i/>
          <w:iCs/>
          <w:lang w:val="en-US"/>
        </w:rPr>
        <w:t xml:space="preserve">GRN </w:t>
      </w:r>
      <w:r w:rsidRPr="005A2D50">
        <w:rPr>
          <w:lang w:val="en-US"/>
        </w:rPr>
        <w:t>ir derīgs;</w:t>
      </w:r>
    </w:p>
    <w:p w14:paraId="2C9AC8EC" w14:textId="77777777" w:rsidR="005A2D50" w:rsidRPr="005A2D50" w:rsidRDefault="005A2D50" w:rsidP="005A2D50">
      <w:pPr>
        <w:pStyle w:val="BodyText"/>
        <w:numPr>
          <w:ilvl w:val="1"/>
          <w:numId w:val="6"/>
        </w:numPr>
        <w:tabs>
          <w:tab w:val="left" w:pos="1134"/>
        </w:tabs>
        <w:ind w:left="567" w:firstLine="0"/>
        <w:rPr>
          <w:lang w:val="en-US"/>
        </w:rPr>
      </w:pPr>
      <w:r w:rsidRPr="005A2D50">
        <w:rPr>
          <w:lang w:val="en-US"/>
        </w:rPr>
        <w:t>atsauces summas daļa dalībvalstij B (t. i., 20 000 EUR) un dalībvalsts C atsauces summas daļa (t. i., 30 000 EUR). Dalībvalstij B un dalībvalstij C ir jākontrolē sava atsauces summas daļa;</w:t>
      </w:r>
    </w:p>
    <w:p w14:paraId="491AE019" w14:textId="77777777" w:rsidR="005A2D50" w:rsidRPr="005A2D50" w:rsidRDefault="005A2D50" w:rsidP="005A2D50">
      <w:pPr>
        <w:pStyle w:val="BodyText"/>
        <w:numPr>
          <w:ilvl w:val="1"/>
          <w:numId w:val="6"/>
        </w:numPr>
        <w:tabs>
          <w:tab w:val="left" w:pos="1134"/>
        </w:tabs>
        <w:ind w:left="567" w:firstLine="0"/>
        <w:rPr>
          <w:lang w:val="en-US"/>
        </w:rPr>
      </w:pPr>
      <w:r w:rsidRPr="005A2D50">
        <w:rPr>
          <w:lang w:val="en-US"/>
        </w:rPr>
        <w:t>piekļuves kods, kas jāizmanto dalībvalstī B, un piekļuves kods, kas jāizmanto dalībvalstī C.</w:t>
      </w:r>
    </w:p>
    <w:p w14:paraId="2713FB2C" w14:textId="77777777" w:rsidR="005A2D50" w:rsidRPr="005A2D50" w:rsidRDefault="005A2D50" w:rsidP="005A2D50">
      <w:pPr>
        <w:pStyle w:val="BodyText"/>
        <w:rPr>
          <w:b/>
          <w:bCs/>
          <w:lang w:val="en-US"/>
        </w:rPr>
      </w:pPr>
    </w:p>
    <w:p w14:paraId="44978387" w14:textId="77777777" w:rsidR="005A2D50" w:rsidRPr="005A2D50" w:rsidRDefault="005A2D50" w:rsidP="005A2D50">
      <w:pPr>
        <w:pStyle w:val="BodyText"/>
        <w:rPr>
          <w:b/>
          <w:bCs/>
          <w:lang w:val="en-US"/>
        </w:rPr>
      </w:pPr>
      <w:r w:rsidRPr="005A2D50">
        <w:rPr>
          <w:b/>
          <w:bCs/>
          <w:lang w:val="en-US"/>
        </w:rPr>
        <w:t>3. Par pieteikumu grozījumiem atļaujā sniegt vispārējo galvojumu ir jāapspriežas, ja tas var ietekmēt sadalīto atsauces summu.</w:t>
      </w:r>
    </w:p>
    <w:p w14:paraId="039DA2E5" w14:textId="77777777" w:rsidR="005A2D50" w:rsidRPr="005A2D50" w:rsidRDefault="005A2D50" w:rsidP="005A2D50">
      <w:pPr>
        <w:tabs>
          <w:tab w:val="left" w:pos="826"/>
        </w:tabs>
        <w:ind w:left="284"/>
        <w:jc w:val="both"/>
        <w:rPr>
          <w:rFonts w:ascii="Times New Roman" w:hAnsi="Times New Roman" w:cs="Times New Roman"/>
          <w:b/>
          <w:noProof/>
          <w:sz w:val="24"/>
          <w:szCs w:val="24"/>
          <w:lang w:val="en-US"/>
        </w:rPr>
      </w:pPr>
    </w:p>
    <w:p w14:paraId="517EDE4B" w14:textId="77777777" w:rsidR="005A2D50" w:rsidRPr="005A2D50" w:rsidRDefault="005A2D50" w:rsidP="005A2D50">
      <w:pPr>
        <w:tabs>
          <w:tab w:val="left" w:pos="826"/>
        </w:tabs>
        <w:ind w:left="284"/>
        <w:jc w:val="both"/>
        <w:rPr>
          <w:rFonts w:ascii="Times New Roman" w:hAnsi="Times New Roman"/>
          <w:noProof/>
          <w:sz w:val="24"/>
          <w:lang w:val="en-US"/>
        </w:rPr>
      </w:pPr>
      <w:r w:rsidRPr="005A2D50">
        <w:rPr>
          <w:rFonts w:ascii="Times New Roman" w:hAnsi="Times New Roman"/>
          <w:b/>
          <w:noProof/>
          <w:sz w:val="24"/>
          <w:lang w:val="en-US"/>
        </w:rPr>
        <w:t xml:space="preserve">4. Pirms galvojuma atdošanas atļaujas turētājam vai galviniekam dalībvalstij A ir jāapspriežas ar dalībvalsti B un dalībvalsti C, lai pārbaudītu, vai saistībā ar </w:t>
      </w:r>
      <w:r w:rsidRPr="005A2D50">
        <w:rPr>
          <w:rFonts w:ascii="Times New Roman" w:hAnsi="Times New Roman"/>
          <w:b/>
          <w:i/>
          <w:iCs/>
          <w:noProof/>
          <w:sz w:val="24"/>
          <w:lang w:val="en-US"/>
        </w:rPr>
        <w:t>GRN </w:t>
      </w:r>
      <w:r w:rsidRPr="005A2D50">
        <w:rPr>
          <w:rFonts w:ascii="Times New Roman" w:hAnsi="Times New Roman"/>
          <w:b/>
          <w:noProof/>
          <w:sz w:val="24"/>
          <w:lang w:val="en-US"/>
        </w:rPr>
        <w:t xml:space="preserve">1 vai </w:t>
      </w:r>
      <w:r w:rsidRPr="005A2D50">
        <w:rPr>
          <w:rFonts w:ascii="Times New Roman" w:hAnsi="Times New Roman"/>
          <w:b/>
          <w:i/>
          <w:iCs/>
          <w:noProof/>
          <w:sz w:val="24"/>
          <w:lang w:val="en-US"/>
        </w:rPr>
        <w:t>GRN </w:t>
      </w:r>
      <w:r w:rsidRPr="005A2D50">
        <w:rPr>
          <w:rFonts w:ascii="Times New Roman" w:hAnsi="Times New Roman"/>
          <w:b/>
          <w:noProof/>
          <w:sz w:val="24"/>
          <w:lang w:val="en-US"/>
        </w:rPr>
        <w:t xml:space="preserve">2 nav kāda parāda. </w:t>
      </w:r>
      <w:r w:rsidRPr="005A2D50">
        <w:rPr>
          <w:rFonts w:ascii="Times New Roman" w:hAnsi="Times New Roman"/>
          <w:noProof/>
          <w:sz w:val="24"/>
          <w:lang w:val="en-US"/>
        </w:rPr>
        <w:t>Ja parāda nav, galvojumu var atdot atļaujas turētājam vai galviniekam.</w:t>
      </w:r>
    </w:p>
    <w:p w14:paraId="0B22B871" w14:textId="77777777" w:rsidR="005A2D50" w:rsidRPr="005A2D50" w:rsidRDefault="005A2D50" w:rsidP="005A2D50">
      <w:pPr>
        <w:tabs>
          <w:tab w:val="left" w:pos="826"/>
        </w:tabs>
        <w:jc w:val="both"/>
        <w:rPr>
          <w:rFonts w:ascii="Times New Roman" w:hAnsi="Times New Roman"/>
          <w:noProof/>
          <w:sz w:val="24"/>
          <w:lang w:val="en-US"/>
        </w:rPr>
      </w:pPr>
    </w:p>
    <w:p w14:paraId="4E0A8EAF" w14:textId="77777777" w:rsidR="005A2D50" w:rsidRPr="005A2D50" w:rsidRDefault="005A2D50" w:rsidP="005A2D50">
      <w:pPr>
        <w:pStyle w:val="BodyText"/>
        <w:rPr>
          <w:b/>
          <w:bCs/>
          <w:lang w:val="en-US"/>
        </w:rPr>
      </w:pPr>
      <w:bookmarkStart w:id="213" w:name="iii)_Comprehensive_guarantee_for_an_auth"/>
      <w:bookmarkEnd w:id="213"/>
      <w:r w:rsidRPr="005A2D50">
        <w:rPr>
          <w:b/>
          <w:bCs/>
          <w:lang w:val="en-US"/>
        </w:rPr>
        <w:t>iii) Vispārējais galvojums atļaujai, ko dalībvalsts piešķīrusi attiecībā uz ievešanu pārstrādei un preču sūtīšanai uz citu dalībvalsti</w:t>
      </w:r>
    </w:p>
    <w:p w14:paraId="06109BEE" w14:textId="77777777" w:rsidR="005A2D50" w:rsidRPr="005A2D50" w:rsidRDefault="005A2D50" w:rsidP="005A2D50">
      <w:pPr>
        <w:jc w:val="both"/>
        <w:rPr>
          <w:rFonts w:ascii="Times New Roman" w:eastAsia="Times New Roman" w:hAnsi="Times New Roman" w:cs="Times New Roman"/>
          <w:b/>
          <w:bCs/>
          <w:i/>
          <w:noProof/>
          <w:sz w:val="24"/>
          <w:szCs w:val="24"/>
          <w:lang w:val="en-US"/>
        </w:rPr>
      </w:pPr>
    </w:p>
    <w:p w14:paraId="463AB075" w14:textId="77777777" w:rsidR="005A2D50" w:rsidRPr="005A2D50" w:rsidRDefault="005A2D50" w:rsidP="005A2D50">
      <w:pPr>
        <w:pStyle w:val="BodyText"/>
        <w:rPr>
          <w:lang w:val="en-US"/>
        </w:rPr>
      </w:pPr>
      <w:r w:rsidRPr="005A2D50">
        <w:rPr>
          <w:lang w:val="en-US"/>
        </w:rPr>
        <w:t xml:space="preserve">Dalībvalsts Nr. 1 </w:t>
      </w:r>
      <w:r w:rsidRPr="005A2D50">
        <w:rPr>
          <w:i/>
          <w:iCs/>
          <w:lang w:val="en-US"/>
        </w:rPr>
        <w:t xml:space="preserve">CA </w:t>
      </w:r>
      <w:r w:rsidRPr="005A2D50">
        <w:rPr>
          <w:lang w:val="en-US"/>
        </w:rPr>
        <w:t>ir piešķīris atļauju veikt ievešanu pārstrādei, un galvojums tiek sniegts kā vispārējais galvojums. Atļauja veikt ievešanu pārstrādei ietver preču importu no trešās valsts uz dalībvalsti Nr. 1, nosūtot preces uz dalībvalsti Nr. 2 to pārstrādei tur esošā rūpnīcā. Pēc tam pārstrādātās preces tiek atgrieztas uzņēmuma noliktavā dalībvalstī Nr. 1, lai tās varētu atkārtoti izvest uz trešo valsti. Visas preces importē un atkārtoti eksportēt caur dalībvalsti Nr. 1, un preces netiek deklarētas dalībvalstī Nr. 2.</w:t>
      </w:r>
    </w:p>
    <w:p w14:paraId="54905EC8" w14:textId="77777777" w:rsidR="005A2D50" w:rsidRPr="005A2D50" w:rsidRDefault="005A2D50" w:rsidP="005A2D50">
      <w:pPr>
        <w:pStyle w:val="BodyText"/>
        <w:rPr>
          <w:lang w:val="en-US"/>
        </w:rPr>
      </w:pPr>
      <w:r w:rsidRPr="005A2D50">
        <w:rPr>
          <w:lang w:val="en-US"/>
        </w:rPr>
        <w:t xml:space="preserve">Šajā konkrētajā situācijā atsauces summa nav jāsadala starp dalībvalsti Nr. 1 un dalībvalsti Nr. 2, jo atļauju veikt ievešanu pārstrādei piešķir </w:t>
      </w:r>
      <w:r w:rsidRPr="005A2D50">
        <w:rPr>
          <w:i/>
          <w:iCs/>
          <w:lang w:val="en-US"/>
        </w:rPr>
        <w:t xml:space="preserve">CA </w:t>
      </w:r>
      <w:r w:rsidRPr="005A2D50">
        <w:rPr>
          <w:lang w:val="en-US"/>
        </w:rPr>
        <w:t>no dalībvalsts Nr. 1 un arī preču izlaišanu ievešanai pārstrādei un procedūras noslēgšanu veic dalībvalstī Nr. 1.</w:t>
      </w:r>
    </w:p>
    <w:p w14:paraId="4190F62C" w14:textId="77777777" w:rsidR="005A2D50" w:rsidRPr="005A2D50" w:rsidRDefault="005A2D50" w:rsidP="005A2D50">
      <w:pPr>
        <w:pStyle w:val="BodyText"/>
        <w:rPr>
          <w:lang w:val="en-US"/>
        </w:rPr>
      </w:pPr>
      <w:r w:rsidRPr="005A2D50">
        <w:rPr>
          <w:lang w:val="en-US"/>
        </w:rPr>
        <w:t xml:space="preserve">Tāpēc netiks veikta apspriešanās par atsauces summas sadalījumu starp dalībvalsts Nr. 1 un dalībvalsts Nr. 2 iestādēm, lai piešķirtu atļauju sniegt vispārējo galvojumu. Tātad par atsauces summas pārraudzību atbild </w:t>
      </w:r>
      <w:r w:rsidRPr="005A2D50">
        <w:rPr>
          <w:i/>
          <w:iCs/>
          <w:lang w:val="en-US"/>
        </w:rPr>
        <w:t xml:space="preserve">CA </w:t>
      </w:r>
      <w:r w:rsidRPr="005A2D50">
        <w:rPr>
          <w:lang w:val="en-US"/>
        </w:rPr>
        <w:t>no dalībvalsts Nr. 1. Tomēr ar dalībvalsti Nr. 2 jāapspriežas par projektu atļaujai veikt ievešanu pārstrādei saskaņā ar SMK ĪA 260. pantu. Sīkāka informācija par plānotajiem pasākumiem, tostarp dalībvalstī Nr. 2 paredzētajiem, jānorāda atļaujas projektā (datu elements 7/5, A pielikums – Informācija par plānotajiem pasākumiem). Jāsniedz arī informācija par citiem iesaistītajiem uzņēmējiem.</w:t>
      </w:r>
    </w:p>
    <w:p w14:paraId="7140D5D1" w14:textId="77777777" w:rsidR="005A2D50" w:rsidRPr="005A2D50" w:rsidRDefault="005A2D50" w:rsidP="005A2D50">
      <w:pPr>
        <w:pStyle w:val="BodyText"/>
        <w:rPr>
          <w:lang w:val="en-US"/>
        </w:rPr>
      </w:pPr>
      <w:r w:rsidRPr="005A2D50">
        <w:rPr>
          <w:lang w:val="en-US"/>
        </w:rPr>
        <w:t>Saskaņā ar norādījumiem par īpašām procedūrām atļauja veikt ievešanu pārstrādei jāizmanto preču pārvietošanai uz dalībvalsti Nr. 2; šajā gadījumā nav jāsniedz atsevišķs galvojums šai darbībai. Brīdī, kad preces tiek ievestas pārstrādes uzņēmumā, un brīdī, kad pārstrādātie produkti tiek izvesti uz muitas noliktavu dalībvalstī Nr. 1, procedūras noslēgšanas mērķiem varētu būt ieteicams veikt informācijas apmaiņu starp abu dalībvalstu muitas dienestiem, izņemot tad, kad pietiek, ja muitā pārbauda izpildes dokumentu (SMK ĪA 265. pants).</w:t>
      </w:r>
    </w:p>
    <w:p w14:paraId="5F5798FA" w14:textId="77777777" w:rsidR="005A2D50" w:rsidRPr="005A2D50" w:rsidRDefault="005A2D50" w:rsidP="005A2D50">
      <w:pPr>
        <w:pStyle w:val="BodyText"/>
        <w:rPr>
          <w:lang w:val="en-US"/>
        </w:rPr>
      </w:pPr>
    </w:p>
    <w:p w14:paraId="3E9497F2" w14:textId="77777777" w:rsidR="005A2D50" w:rsidRPr="005A2D50" w:rsidRDefault="005A2D50" w:rsidP="005A2D50">
      <w:pPr>
        <w:pStyle w:val="Heading2"/>
        <w:rPr>
          <w:noProof/>
          <w:lang w:val="en-US"/>
        </w:rPr>
      </w:pPr>
      <w:bookmarkStart w:id="214" w:name="A2.6_Guarantors_and_their_undertakings"/>
      <w:bookmarkStart w:id="215" w:name="_bookmark59"/>
      <w:bookmarkStart w:id="216" w:name="_Toc104982817"/>
      <w:bookmarkEnd w:id="214"/>
      <w:bookmarkEnd w:id="215"/>
      <w:r w:rsidRPr="005A2D50">
        <w:rPr>
          <w:noProof/>
          <w:lang w:val="en-US"/>
        </w:rPr>
        <w:t>A2.6. Galvinieki un to saistības</w:t>
      </w:r>
      <w:bookmarkEnd w:id="216"/>
    </w:p>
    <w:p w14:paraId="6595F2AF"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448C0043" w14:textId="77777777" w:rsidR="005A2D50" w:rsidRPr="005A2D50" w:rsidRDefault="005A2D50" w:rsidP="005A2D50">
      <w:pPr>
        <w:pStyle w:val="BodyText"/>
        <w:rPr>
          <w:lang w:val="en-US"/>
        </w:rPr>
      </w:pPr>
      <w:r w:rsidRPr="005A2D50">
        <w:rPr>
          <w:lang w:val="en-US"/>
        </w:rPr>
        <w:t xml:space="preserve">1) SMK 89. panta 3. punktā minētā persona dalībvalsts Nr. 2 </w:t>
      </w:r>
      <w:r w:rsidRPr="005A2D50">
        <w:rPr>
          <w:i/>
          <w:iCs/>
          <w:lang w:val="en-US"/>
        </w:rPr>
        <w:t xml:space="preserve">COG </w:t>
      </w:r>
      <w:r w:rsidRPr="005A2D50">
        <w:rPr>
          <w:lang w:val="en-US"/>
        </w:rPr>
        <w:t xml:space="preserve">sniedz dalībvalstī Nr. 2 izmantojamu galvojumu kā galvinieka saistības, proti, to sniedz dalībvalstī Nr. 1 reģistrēta banka. Ņemot vērā SMK DA 82. panta 1. punktu, dalībvalsts Nr. 1 banka ieceļ pārstāvi vai norāda piegādes adresi dalībvalstī Nr. 2, lai veiktu turpmāku saziņu ar dalībvalsts Nr. 2 </w:t>
      </w:r>
      <w:r w:rsidRPr="005A2D50">
        <w:rPr>
          <w:i/>
          <w:iCs/>
          <w:lang w:val="en-US"/>
        </w:rPr>
        <w:t xml:space="preserve">CA </w:t>
      </w:r>
      <w:r w:rsidRPr="005A2D50">
        <w:rPr>
          <w:lang w:val="en-US"/>
        </w:rPr>
        <w:t xml:space="preserve">saistībā ar darbībām, kas attiecas uz šo galvojumu. Ja šī banka ir akreditēta Savienībā saskaņā ar spēkā esošajiem Savienības noteikumiem, dalībvalsts Nr. 2 </w:t>
      </w:r>
      <w:r w:rsidRPr="005A2D50">
        <w:rPr>
          <w:i/>
          <w:iCs/>
          <w:lang w:val="en-US"/>
        </w:rPr>
        <w:t xml:space="preserve">CA </w:t>
      </w:r>
      <w:r w:rsidRPr="005A2D50">
        <w:rPr>
          <w:lang w:val="en-US"/>
        </w:rPr>
        <w:t xml:space="preserve">nav jāapstiprina galvinieks. Tomēr tie vēlēsies pārliecināties, vai šī banka patiešām ir akreditēta Savienībā saskaņā ar spēkā esošajiem Savienības noteikumiem. Tāpēc dalībvalsts Nr. 2 </w:t>
      </w:r>
      <w:r w:rsidRPr="005A2D50">
        <w:rPr>
          <w:i/>
          <w:iCs/>
          <w:lang w:val="en-US"/>
        </w:rPr>
        <w:t xml:space="preserve">CA </w:t>
      </w:r>
      <w:r w:rsidRPr="005A2D50">
        <w:rPr>
          <w:lang w:val="en-US"/>
        </w:rPr>
        <w:t>sazināsies ar valsts kompetento iestādi, kas atbild par banku akreditāciju dalībvalstī Nr. 2, lai saņemtu apstiprinājumu tam, vai attiecīgā banka ir akreditēta saskaņā ar spēkā esošajiem Savienības noteikumiem konkrētu finanšu pakalpojumu (galvojumu) sniegšanai dalībvalsts Nr. 2 teritorijā.</w:t>
      </w:r>
    </w:p>
    <w:p w14:paraId="49F2D844" w14:textId="77777777" w:rsidR="005A2D50" w:rsidRPr="005A2D50" w:rsidRDefault="005A2D50" w:rsidP="005A2D50">
      <w:pPr>
        <w:pStyle w:val="BodyText"/>
        <w:rPr>
          <w:lang w:val="en-US"/>
        </w:rPr>
      </w:pPr>
      <w:r w:rsidRPr="005A2D50">
        <w:rPr>
          <w:lang w:val="en-US"/>
        </w:rPr>
        <w:t xml:space="preserve">2) Akreditēts galvinieks, banka, sniedz dalībvalsts Nr. 1 </w:t>
      </w:r>
      <w:r w:rsidRPr="005A2D50">
        <w:rPr>
          <w:i/>
          <w:iCs/>
          <w:lang w:val="en-US"/>
        </w:rPr>
        <w:t xml:space="preserve">COG </w:t>
      </w:r>
      <w:r w:rsidRPr="005A2D50">
        <w:rPr>
          <w:lang w:val="en-US"/>
        </w:rPr>
        <w:t xml:space="preserve">galvojumu, kas ir derīgs arī dalībvalstī Nr. 2. Banka neieceļ pārstāvi dalībvalstī Nr. 2. Šajā gadījumā dalībvalsts Nr. 1 </w:t>
      </w:r>
      <w:r w:rsidRPr="005A2D50">
        <w:rPr>
          <w:i/>
          <w:iCs/>
          <w:lang w:val="en-US"/>
        </w:rPr>
        <w:t xml:space="preserve">COG </w:t>
      </w:r>
      <w:r w:rsidRPr="005A2D50">
        <w:rPr>
          <w:lang w:val="en-US"/>
        </w:rPr>
        <w:t>var noraidīt saistības, atsaucoties uz SMK DA 82. panta 1. punktu un SMK 94. panta 3. punktu.</w:t>
      </w:r>
    </w:p>
    <w:p w14:paraId="045F7EF3" w14:textId="77777777" w:rsidR="005A2D50" w:rsidRPr="005A2D50" w:rsidRDefault="005A2D50" w:rsidP="005A2D50">
      <w:pPr>
        <w:pStyle w:val="BodyText"/>
        <w:rPr>
          <w:lang w:val="en-US"/>
        </w:rPr>
      </w:pPr>
      <w:r w:rsidRPr="005A2D50">
        <w:rPr>
          <w:lang w:val="en-US"/>
        </w:rPr>
        <w:t>3) Uzņēmējs A sniedz vienu vispārējo galvojumu ievešanai pārstrādei (IP). Tas 2017. gada 1. janvārī saņēma atļauju sniegt vispārējo galvojumu. Ar šo atļauju ir saistītas bankas B emitētas saistības.</w:t>
      </w:r>
    </w:p>
    <w:p w14:paraId="5E95E660" w14:textId="77777777" w:rsidR="005A2D50" w:rsidRPr="005A2D50" w:rsidRDefault="005A2D50" w:rsidP="005A2D50">
      <w:pPr>
        <w:pStyle w:val="BodyText"/>
        <w:rPr>
          <w:lang w:val="en-US"/>
        </w:rPr>
      </w:pPr>
      <w:r w:rsidRPr="005A2D50">
        <w:rPr>
          <w:lang w:val="en-US"/>
        </w:rPr>
        <w:t>Persona A, izmantojot minēto galvojumu, 2017. gada 1. aprīlī piemēro precēm IP procedūru, sniedzot deklarāciju X.</w:t>
      </w:r>
    </w:p>
    <w:p w14:paraId="37B3D042" w14:textId="77777777" w:rsidR="005A2D50" w:rsidRPr="005A2D50" w:rsidRDefault="005A2D50" w:rsidP="005A2D50">
      <w:pPr>
        <w:pStyle w:val="BodyText"/>
        <w:rPr>
          <w:lang w:val="en-US"/>
        </w:rPr>
      </w:pPr>
      <w:r w:rsidRPr="005A2D50">
        <w:rPr>
          <w:lang w:val="en-US"/>
        </w:rPr>
        <w:t>Banka B atceļ savas saistības, un minētā atcelšana stājas spēkā 2018. gada 1. janvārī (pēdējais derīguma datums ir 2017. gada 31. decembris).</w:t>
      </w:r>
    </w:p>
    <w:p w14:paraId="08495696" w14:textId="77777777" w:rsidR="005A2D50" w:rsidRPr="005A2D50" w:rsidRDefault="005A2D50" w:rsidP="005A2D50">
      <w:pPr>
        <w:pStyle w:val="BodyText"/>
        <w:rPr>
          <w:lang w:val="en-US"/>
        </w:rPr>
      </w:pPr>
      <w:r w:rsidRPr="005A2D50">
        <w:rPr>
          <w:lang w:val="en-US"/>
        </w:rPr>
        <w:t xml:space="preserve">Persona A sniedz jaunas saistības, ko emitējusi banka C saistībā ar jau piešķirto </w:t>
      </w:r>
      <w:r w:rsidRPr="005A2D50">
        <w:rPr>
          <w:i/>
          <w:iCs/>
          <w:lang w:val="en-US"/>
        </w:rPr>
        <w:t xml:space="preserve">CGU </w:t>
      </w:r>
      <w:r w:rsidRPr="005A2D50">
        <w:rPr>
          <w:lang w:val="en-US"/>
        </w:rPr>
        <w:t>atļauju. Ja atbilstīgi, muita apstiprina šādas saistības un galvinieku, pirms stājas spēkā citu saistību atcelšana.</w:t>
      </w:r>
    </w:p>
    <w:p w14:paraId="008B6D78" w14:textId="77777777" w:rsidR="005A2D50" w:rsidRPr="005A2D50" w:rsidRDefault="005A2D50" w:rsidP="005A2D50">
      <w:pPr>
        <w:pStyle w:val="BodyText"/>
        <w:rPr>
          <w:lang w:val="en-US"/>
        </w:rPr>
      </w:pPr>
      <w:r w:rsidRPr="005A2D50">
        <w:rPr>
          <w:lang w:val="en-US"/>
        </w:rPr>
        <w:t>2018. gada 1. maijā ir radies muitas parāds par precēm, kurām 2017. gada 1. aprīlī piemēroja IP procedūru, un muitas operācija netika pabeigta, pirms stājās spēkā saistību atcelšana. Parādnieks šo parādu nemaksā, un muitai jāvēršas pie galvinieka, lai saņemtu maksājumu. Muitai jāvēršas bankā B, jo tā bija galvinieks, kad minētajām precēm piemēroja īpašo procedūru (minētajām precēm piemēroja procedūru, uz kuru attiecās vispārējais galvojums, ar ko bija saistītas bankas B emitētās saistības, un operācija netika pabeigta, pirms stājās spēkā saistību atcelšana).</w:t>
      </w:r>
    </w:p>
    <w:p w14:paraId="7FF3582D" w14:textId="77777777" w:rsidR="005A2D50" w:rsidRPr="005A2D50" w:rsidRDefault="005A2D50" w:rsidP="005A2D50">
      <w:pPr>
        <w:pStyle w:val="BodyText"/>
        <w:rPr>
          <w:lang w:val="en-US"/>
        </w:rPr>
      </w:pPr>
      <w:r w:rsidRPr="005A2D50">
        <w:rPr>
          <w:lang w:val="en-US"/>
        </w:rPr>
        <w:t>Šajā sakarā SMK ĪA 32-03. pielikuma 3. punktā ir noteikts:</w:t>
      </w:r>
    </w:p>
    <w:p w14:paraId="358AB068" w14:textId="77777777" w:rsidR="005A2D50" w:rsidRPr="005A2D50" w:rsidRDefault="005A2D50" w:rsidP="005A2D50">
      <w:pPr>
        <w:pStyle w:val="BodyText"/>
        <w:rPr>
          <w:lang w:val="en-US"/>
        </w:rPr>
      </w:pPr>
    </w:p>
    <w:p w14:paraId="249E671D" w14:textId="77777777" w:rsidR="005A2D50" w:rsidRPr="005A2D50" w:rsidRDefault="005A2D50" w:rsidP="005A2D50">
      <w:pPr>
        <w:pStyle w:val="BodyText"/>
        <w:ind w:left="284"/>
        <w:rPr>
          <w:lang w:val="en-US"/>
        </w:rPr>
      </w:pPr>
      <w:r w:rsidRPr="005A2D50">
        <w:rPr>
          <w:lang w:val="en-US"/>
        </w:rPr>
        <w:t>“Šīs saistības ir spēkā no dienas, kad tās apstiprinājusi galvojuma muitas iestāde. Parakstītājs joprojām ir atbildīgs par visu to parādu samaksu, kuri rodas tajā muitas operācijā, uz ko attiecas šīs saistības un kas ir uzsākta, pirms stājās spēkā galvojuma atsaukšana vai atcelšana, pat ja maksājums ir pieprasīts pēc minētās dienas.”</w:t>
      </w:r>
    </w:p>
    <w:p w14:paraId="6BE69B80" w14:textId="77777777" w:rsidR="005A2D50" w:rsidRPr="005A2D50" w:rsidRDefault="005A2D50" w:rsidP="005A2D50">
      <w:pPr>
        <w:pStyle w:val="BodyText"/>
        <w:rPr>
          <w:lang w:val="en-US"/>
        </w:rPr>
      </w:pPr>
    </w:p>
    <w:p w14:paraId="08E860C9" w14:textId="77777777" w:rsidR="005A2D50" w:rsidRPr="005A2D50" w:rsidRDefault="005A2D50" w:rsidP="005A2D50">
      <w:pPr>
        <w:pStyle w:val="BodyText"/>
        <w:rPr>
          <w:lang w:val="en-US"/>
        </w:rPr>
      </w:pPr>
      <w:r w:rsidRPr="005A2D50">
        <w:rPr>
          <w:lang w:val="en-US"/>
        </w:rPr>
        <w:t>Citiem vārdiem sakot, muitas parādi, kas var rasties attiecībā uz precēm, kurām piemērota procedūra pirms dienas, kad stājās spēkā galvinieka veikta atcelšana, ir jānodrošina ar saistībām, ko emitējusi banka B.</w:t>
      </w:r>
    </w:p>
    <w:p w14:paraId="55D5A60E" w14:textId="77777777" w:rsidR="005A2D50" w:rsidRPr="005A2D50" w:rsidRDefault="005A2D50" w:rsidP="005A2D50">
      <w:pPr>
        <w:pStyle w:val="BodyText"/>
        <w:rPr>
          <w:lang w:val="en-US"/>
        </w:rPr>
      </w:pPr>
      <w:r w:rsidRPr="005A2D50">
        <w:rPr>
          <w:lang w:val="en-US"/>
        </w:rPr>
        <w:t>Tas būtu piemērojams arī gadījumā, ja persona A nesaņemtu jaunu atļauju sniegt vispārējo galvojumu pēc 2018. gada 1. janvāra, tostarp atļauju sniegt jaunas saistības. Šajā gadījumā personai A acīmredzami nebūtu bijis iespējams deklarēt “jaunas” preces, kurām piemērotu īpašo procedūru, bet tas, ka personai A vairs nebūtu derīga vispārējā galvojuma, neskartu preces, kurām jau iepriekš bija piemērota minētā procedūra.</w:t>
      </w:r>
    </w:p>
    <w:p w14:paraId="00505948" w14:textId="77777777" w:rsidR="005A2D50" w:rsidRPr="005A2D50" w:rsidRDefault="005A2D50" w:rsidP="005A2D50">
      <w:pPr>
        <w:pStyle w:val="BodyText"/>
        <w:rPr>
          <w:lang w:val="en-US"/>
        </w:rPr>
      </w:pPr>
      <w:r w:rsidRPr="005A2D50">
        <w:rPr>
          <w:lang w:val="en-US"/>
        </w:rPr>
        <w:t>4) Galvinieks dod saistības 100 000 EUR apmērā visām īpašajām procedūrām. Galvinieks 2018. gada 28. aprīlī saņem pieprasījumu samaksāt 60 000 EUR.</w:t>
      </w:r>
    </w:p>
    <w:p w14:paraId="257DCBBE" w14:textId="77777777" w:rsidR="005A2D50" w:rsidRPr="005A2D50" w:rsidRDefault="005A2D50" w:rsidP="005A2D50">
      <w:pPr>
        <w:pStyle w:val="BodyText"/>
        <w:rPr>
          <w:lang w:val="en-US"/>
        </w:rPr>
      </w:pPr>
      <w:r w:rsidRPr="005A2D50">
        <w:rPr>
          <w:lang w:val="en-US"/>
        </w:rPr>
        <w:t>Galviniekam ir divas turpmāk minētās iespējas.</w:t>
      </w:r>
    </w:p>
    <w:p w14:paraId="65FDEE6C" w14:textId="77777777" w:rsidR="005A2D50" w:rsidRPr="005A2D50" w:rsidRDefault="005A2D50" w:rsidP="005A2D50">
      <w:pPr>
        <w:pStyle w:val="BodyText"/>
        <w:rPr>
          <w:u w:color="000000"/>
          <w:lang w:val="en-US"/>
        </w:rPr>
      </w:pPr>
    </w:p>
    <w:p w14:paraId="59B08883" w14:textId="77777777" w:rsidR="005A2D50" w:rsidRPr="005A2D50" w:rsidRDefault="005A2D50" w:rsidP="005A2D50">
      <w:pPr>
        <w:pStyle w:val="BodyText"/>
        <w:ind w:left="284"/>
        <w:rPr>
          <w:u w:val="single" w:color="000000"/>
          <w:lang w:val="en-US"/>
        </w:rPr>
      </w:pPr>
      <w:r w:rsidRPr="005A2D50">
        <w:rPr>
          <w:lang w:val="en-US"/>
        </w:rPr>
        <w:t>a) </w:t>
      </w:r>
      <w:r w:rsidRPr="005A2D50">
        <w:rPr>
          <w:u w:val="single"/>
          <w:lang w:val="en-US"/>
        </w:rPr>
        <w:t>Galvinieks var nekavējoties atcelt savas saistības</w:t>
      </w:r>
      <w:r w:rsidRPr="005A2D50">
        <w:rPr>
          <w:lang w:val="en-US"/>
        </w:rPr>
        <w:t>.</w:t>
      </w:r>
    </w:p>
    <w:p w14:paraId="6471FD47" w14:textId="77777777" w:rsidR="005A2D50" w:rsidRPr="005A2D50" w:rsidRDefault="005A2D50" w:rsidP="005A2D50">
      <w:pPr>
        <w:pStyle w:val="BodyText"/>
        <w:ind w:left="284"/>
        <w:rPr>
          <w:lang w:val="en-US"/>
        </w:rPr>
      </w:pPr>
    </w:p>
    <w:p w14:paraId="040E7805" w14:textId="77777777" w:rsidR="005A2D50" w:rsidRPr="005A2D50" w:rsidRDefault="005A2D50" w:rsidP="005A2D50">
      <w:pPr>
        <w:pStyle w:val="BodyText"/>
        <w:ind w:left="284"/>
        <w:rPr>
          <w:lang w:val="en-US"/>
        </w:rPr>
      </w:pPr>
      <w:r w:rsidRPr="005A2D50">
        <w:rPr>
          <w:lang w:val="en-US"/>
        </w:rPr>
        <w:t>Atcelšana stāsies spēkā sešpadsmitajā dienā pēc dienas, kurā galvinieks ir paziņojis par atcelšanu muitas iestādei, kurā tika sniegts galvojums. Šajā gadījumā galvinieks zina, ka viņam nekad KOPĀ nebūs jāmaksā vairāk par 100 000 EUR, jo viņš var atsaukties uz saistību 2. punkta pēdējo daļu.</w:t>
      </w:r>
    </w:p>
    <w:p w14:paraId="3A1F0885" w14:textId="77777777" w:rsidR="005A2D50" w:rsidRPr="005A2D50" w:rsidRDefault="005A2D50" w:rsidP="005A2D50">
      <w:pPr>
        <w:pStyle w:val="BodyText"/>
        <w:ind w:left="284"/>
        <w:rPr>
          <w:lang w:val="en-US"/>
        </w:rPr>
      </w:pPr>
      <w:r w:rsidRPr="005A2D50">
        <w:rPr>
          <w:lang w:val="en-US"/>
        </w:rPr>
        <w:t xml:space="preserve">Piemērs. Galvinieks 2018. gada 28. aprīlī saņem pieprasījumu samaksāt 60 000 EUR. Viņš samaksā 60 000 EUR (30 dienu laikā) un nekavējoties nosūta </w:t>
      </w:r>
      <w:r w:rsidRPr="005A2D50">
        <w:rPr>
          <w:i/>
          <w:iCs/>
          <w:lang w:val="en-US"/>
        </w:rPr>
        <w:t xml:space="preserve">COG </w:t>
      </w:r>
      <w:r w:rsidRPr="005A2D50">
        <w:rPr>
          <w:lang w:val="en-US"/>
        </w:rPr>
        <w:t>vēstuli par saistību atcelšanu. Vēstule par atcelšanu tiek saņemta 2018. gada 1. maijā, tāpēc atcelšana stājas spēkā 2018. gada 17. maijā.</w:t>
      </w:r>
    </w:p>
    <w:p w14:paraId="5396B2B4" w14:textId="77777777" w:rsidR="005A2D50" w:rsidRPr="005A2D50" w:rsidRDefault="005A2D50" w:rsidP="005A2D50">
      <w:pPr>
        <w:pStyle w:val="BodyText"/>
        <w:ind w:left="284"/>
        <w:rPr>
          <w:lang w:val="en-US"/>
        </w:rPr>
      </w:pPr>
      <w:r w:rsidRPr="005A2D50">
        <w:rPr>
          <w:lang w:val="en-US"/>
        </w:rPr>
        <w:t>Pastāv iespēja, ka uzņēmējs 2018. gada 16. maijā turpina piemērot procedūru precēm, izmantojot minēto galvojumu, bet, pat ja vēlāk tiktu konstatēts, ka saistībā ar pēdējo deklarāciju ir radies parāds, piemēram, 80 000 EUR, galviniekam var likt samaksāt tikai 40 000 EUR (maksimālais apmērs ir 100 000 EUR, no kura atskaita jau samaksātos 60 000 EUR).</w:t>
      </w:r>
    </w:p>
    <w:p w14:paraId="57527BCE" w14:textId="77777777" w:rsidR="005A2D50" w:rsidRPr="005A2D50" w:rsidRDefault="005A2D50" w:rsidP="005A2D50">
      <w:pPr>
        <w:pStyle w:val="BodyText"/>
        <w:ind w:left="284"/>
        <w:rPr>
          <w:lang w:val="en-US"/>
        </w:rPr>
      </w:pPr>
      <w:r w:rsidRPr="005A2D50">
        <w:rPr>
          <w:lang w:val="en-US"/>
        </w:rPr>
        <w:t>Ja galvinieks neatceļ saistības uzreiz pēc tam, kad ir saņemts pieprasījums samaksāt 60 000 EUR, viņš zina, ka, pamatojoties uz savām saistībām, viņam var nākties maksāt vairāk nekā 100 000 EUR.</w:t>
      </w:r>
    </w:p>
    <w:p w14:paraId="12647491" w14:textId="77777777" w:rsidR="005A2D50" w:rsidRPr="005A2D50" w:rsidRDefault="005A2D50" w:rsidP="005A2D50">
      <w:pPr>
        <w:pStyle w:val="BodyText"/>
        <w:ind w:left="284"/>
        <w:rPr>
          <w:lang w:val="en-US"/>
        </w:rPr>
      </w:pPr>
    </w:p>
    <w:p w14:paraId="32D89347" w14:textId="77777777" w:rsidR="005A2D50" w:rsidRPr="005A2D50" w:rsidRDefault="005A2D50" w:rsidP="005A2D50">
      <w:pPr>
        <w:pStyle w:val="BodyText"/>
        <w:ind w:left="284"/>
        <w:rPr>
          <w:u w:val="single"/>
          <w:lang w:val="en-US"/>
        </w:rPr>
      </w:pPr>
      <w:r w:rsidRPr="005A2D50">
        <w:rPr>
          <w:lang w:val="en-US"/>
        </w:rPr>
        <w:t>b) </w:t>
      </w:r>
      <w:r w:rsidRPr="005A2D50">
        <w:rPr>
          <w:u w:val="single"/>
          <w:lang w:val="en-US"/>
        </w:rPr>
        <w:t>Galvinieks izvēlas neatcelt savas saistības</w:t>
      </w:r>
      <w:r w:rsidRPr="005A2D50">
        <w:rPr>
          <w:lang w:val="en-US"/>
        </w:rPr>
        <w:t>.</w:t>
      </w:r>
    </w:p>
    <w:p w14:paraId="3996D1E7" w14:textId="77777777" w:rsidR="005A2D50" w:rsidRPr="005A2D50" w:rsidRDefault="005A2D50" w:rsidP="005A2D50">
      <w:pPr>
        <w:pStyle w:val="BodyText"/>
        <w:ind w:left="284"/>
        <w:rPr>
          <w:lang w:val="en-US"/>
        </w:rPr>
      </w:pPr>
    </w:p>
    <w:p w14:paraId="69FF4CDA" w14:textId="77777777" w:rsidR="005A2D50" w:rsidRPr="005A2D50" w:rsidRDefault="005A2D50" w:rsidP="005A2D50">
      <w:pPr>
        <w:pStyle w:val="BodyText"/>
        <w:ind w:left="284"/>
        <w:rPr>
          <w:lang w:val="en-US"/>
        </w:rPr>
      </w:pPr>
      <w:r w:rsidRPr="005A2D50">
        <w:rPr>
          <w:lang w:val="en-US"/>
        </w:rPr>
        <w:t>Piemērs. Pieprasījums maksāt 60 000 EUR tiek saņemts 2018. gada 28. aprīlī, galvinieks neatceļ savas saistības, 30 dienu laikā viņš samaksā minētos 60 000 EUR. Ja pēc tam saskaņā ar tām pašām saistībām 2018. gada 1. jūnijā tiek sākta jauna procedūra, galviniekam ir pienākums samaksāt “visu maksimālo apmēru – 100 000 EUR” saistībā ar šo jauno procedūru, tātad šajā piemērā galarezultātā galviniekam varētu būt jāsamaksā 160 000 EUR, pamatojoties uz tā saistībām, kas ir spēkā tikai par nominālo maksimālo apmēru – 100 000 EUR.</w:t>
      </w:r>
    </w:p>
    <w:p w14:paraId="02344168" w14:textId="77777777" w:rsidR="005A2D50" w:rsidRPr="005A2D50" w:rsidRDefault="005A2D50" w:rsidP="005A2D50">
      <w:pPr>
        <w:pStyle w:val="BodyText"/>
        <w:ind w:left="284"/>
        <w:rPr>
          <w:lang w:val="en-US"/>
        </w:rPr>
      </w:pPr>
      <w:r w:rsidRPr="005A2D50">
        <w:rPr>
          <w:lang w:val="en-US"/>
        </w:rPr>
        <w:t>Citiem vārdiem sakot, ja galvinieks pēc maksājuma pieprasījuma saņemšanas nepieņem lēmumu atcelt saistības, tas netieši piekrīt uzņemties atbildību par visu maksimālo apmēru turpmākajām procedūrām, kas uzsāktas saskaņā ar galvojumu (= procedūras sāktas vairāk nekā 30 dienas pēc pirmā maksājuma pieprasījuma, ko muita adresējusi galviniekam).</w:t>
      </w:r>
    </w:p>
    <w:p w14:paraId="29BDF013" w14:textId="77777777" w:rsidR="005A2D50" w:rsidRPr="005A2D50" w:rsidRDefault="005A2D50" w:rsidP="005A2D50">
      <w:pPr>
        <w:jc w:val="both"/>
        <w:rPr>
          <w:rFonts w:ascii="Times New Roman" w:hAnsi="Times New Roman" w:cs="Times New Roman"/>
          <w:noProof/>
          <w:sz w:val="24"/>
          <w:szCs w:val="24"/>
          <w:lang w:val="en-US"/>
        </w:rPr>
      </w:pPr>
    </w:p>
    <w:p w14:paraId="76AFD2B5" w14:textId="77777777" w:rsidR="005A2D50" w:rsidRPr="005A2D50" w:rsidRDefault="005A2D50" w:rsidP="005A2D50">
      <w:pPr>
        <w:pStyle w:val="Heading2"/>
        <w:rPr>
          <w:noProof/>
          <w:lang w:val="en-US"/>
        </w:rPr>
      </w:pPr>
      <w:bookmarkStart w:id="217" w:name="A2.7_Practice_for_audit_monitoring_of_th"/>
      <w:bookmarkStart w:id="218" w:name="_bookmark60"/>
      <w:bookmarkStart w:id="219" w:name="_Toc104982818"/>
      <w:bookmarkEnd w:id="217"/>
      <w:bookmarkEnd w:id="218"/>
      <w:r w:rsidRPr="005A2D50">
        <w:rPr>
          <w:noProof/>
          <w:lang w:val="en-US"/>
        </w:rPr>
        <w:t>A2.7. Revīzijas prakse atsauces summas pārraudzībai saskaņā ar SMK ĪA 157. panta 3. punktu</w:t>
      </w:r>
      <w:bookmarkEnd w:id="219"/>
    </w:p>
    <w:p w14:paraId="52335760"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16ABCDD4" w14:textId="77777777" w:rsidR="005A2D50" w:rsidRPr="005A2D50" w:rsidRDefault="005A2D50" w:rsidP="005A2D50">
      <w:pPr>
        <w:pStyle w:val="BodyText"/>
        <w:rPr>
          <w:lang w:val="en-US"/>
        </w:rPr>
      </w:pPr>
      <w:r w:rsidRPr="005A2D50">
        <w:rPr>
          <w:lang w:val="en-US"/>
        </w:rPr>
        <w:t>Tiek piešķirta atļauja izmantot vispārējo galvojumu iespējamajiem parādiem, ir noteikta atsauces summa un ir sniegts galvojums par pilnu atsauces summu vai samazināto summu.</w:t>
      </w:r>
    </w:p>
    <w:p w14:paraId="5803EA39" w14:textId="77777777" w:rsidR="005A2D50" w:rsidRPr="005A2D50" w:rsidRDefault="005A2D50" w:rsidP="005A2D50">
      <w:pPr>
        <w:pStyle w:val="BodyText"/>
        <w:rPr>
          <w:lang w:val="en-US"/>
        </w:rPr>
      </w:pPr>
    </w:p>
    <w:p w14:paraId="293D6CFE" w14:textId="77777777" w:rsidR="005A2D50" w:rsidRPr="005A2D50" w:rsidRDefault="005A2D50" w:rsidP="005A2D50">
      <w:pPr>
        <w:pStyle w:val="BodyText"/>
        <w:numPr>
          <w:ilvl w:val="0"/>
          <w:numId w:val="4"/>
        </w:numPr>
        <w:tabs>
          <w:tab w:val="left" w:pos="851"/>
        </w:tabs>
        <w:ind w:left="284" w:firstLine="0"/>
        <w:rPr>
          <w:lang w:val="en-US"/>
        </w:rPr>
      </w:pPr>
      <w:r w:rsidRPr="005A2D50">
        <w:rPr>
          <w:lang w:val="en-US"/>
        </w:rPr>
        <w:t>Regulāri (vismaz reizi gadā) atļaujas turētājam ir prasīts sniegt turpmāk minēto informāciju (jānovērtē dati par divpadsmit mēnešiem):</w:t>
      </w:r>
    </w:p>
    <w:p w14:paraId="348B0F69" w14:textId="77777777" w:rsidR="005A2D50" w:rsidRPr="005A2D50" w:rsidRDefault="005A2D50" w:rsidP="005A2D50">
      <w:pPr>
        <w:pStyle w:val="BodyText"/>
        <w:numPr>
          <w:ilvl w:val="1"/>
          <w:numId w:val="4"/>
        </w:numPr>
        <w:tabs>
          <w:tab w:val="left" w:pos="1134"/>
        </w:tabs>
        <w:ind w:left="567" w:firstLine="0"/>
        <w:rPr>
          <w:lang w:val="en-US"/>
        </w:rPr>
      </w:pPr>
      <w:r w:rsidRPr="005A2D50">
        <w:rPr>
          <w:lang w:val="en-US"/>
        </w:rPr>
        <w:t>preču apraksts un KN kods;</w:t>
      </w:r>
    </w:p>
    <w:p w14:paraId="55DAFF64" w14:textId="77777777" w:rsidR="005A2D50" w:rsidRPr="005A2D50" w:rsidRDefault="005A2D50" w:rsidP="005A2D50">
      <w:pPr>
        <w:pStyle w:val="BodyText"/>
        <w:numPr>
          <w:ilvl w:val="1"/>
          <w:numId w:val="4"/>
        </w:numPr>
        <w:tabs>
          <w:tab w:val="left" w:pos="1134"/>
        </w:tabs>
        <w:ind w:left="567" w:firstLine="0"/>
        <w:rPr>
          <w:lang w:val="en-US"/>
        </w:rPr>
      </w:pPr>
      <w:r w:rsidRPr="005A2D50">
        <w:rPr>
          <w:lang w:val="en-US"/>
        </w:rPr>
        <w:t>preču vērtība noteiktā laikposmā (12 mēneši); jānošķir iespējamie muitas parādi (piemēram, muitas procedūra ievešanai noliktavā, izņemot tranzītu), tranzīta un muitas parādi, kas radīsies (laišana brīvā apgrozībā);</w:t>
      </w:r>
    </w:p>
    <w:p w14:paraId="4D848DC6" w14:textId="77777777" w:rsidR="005A2D50" w:rsidRPr="005A2D50" w:rsidRDefault="005A2D50" w:rsidP="005A2D50">
      <w:pPr>
        <w:pStyle w:val="BodyText"/>
        <w:numPr>
          <w:ilvl w:val="1"/>
          <w:numId w:val="4"/>
        </w:numPr>
        <w:tabs>
          <w:tab w:val="left" w:pos="1134"/>
        </w:tabs>
        <w:ind w:left="567" w:firstLine="0"/>
        <w:rPr>
          <w:lang w:val="en-US"/>
        </w:rPr>
      </w:pPr>
      <w:r w:rsidRPr="005A2D50">
        <w:rPr>
          <w:lang w:val="en-US"/>
        </w:rPr>
        <w:t>vidējais laiks muitas procedūras piemērošanai iespējamo muitas parādu gadījumā.</w:t>
      </w:r>
    </w:p>
    <w:p w14:paraId="713FB4BA" w14:textId="77777777" w:rsidR="005A2D50" w:rsidRPr="005A2D50" w:rsidRDefault="005A2D50" w:rsidP="005A2D50">
      <w:pPr>
        <w:pStyle w:val="BodyText"/>
        <w:rPr>
          <w:lang w:val="en-US"/>
        </w:rPr>
      </w:pPr>
    </w:p>
    <w:p w14:paraId="34052E92" w14:textId="77777777" w:rsidR="005A2D50" w:rsidRPr="005A2D50" w:rsidRDefault="005A2D50" w:rsidP="005A2D50">
      <w:pPr>
        <w:pStyle w:val="BodyText"/>
        <w:rPr>
          <w:lang w:val="en-US"/>
        </w:rPr>
      </w:pPr>
      <w:r w:rsidRPr="005A2D50">
        <w:rPr>
          <w:lang w:val="en-US"/>
        </w:rPr>
        <w:t>Attiecībā uz “jauniem” uzņēmējiem (nav informācijas par muitas operācijām) pirmo revīziju ieteicams veikt pēc laikposma, kas ir īsāks par 12 mēnešiem.</w:t>
      </w:r>
    </w:p>
    <w:p w14:paraId="45D85933" w14:textId="77777777" w:rsidR="005A2D50" w:rsidRPr="005A2D50" w:rsidRDefault="005A2D50" w:rsidP="005A2D50">
      <w:pPr>
        <w:pStyle w:val="BodyText"/>
        <w:rPr>
          <w:lang w:val="en-US"/>
        </w:rPr>
      </w:pPr>
    </w:p>
    <w:p w14:paraId="17E2E248" w14:textId="77777777" w:rsidR="005A2D50" w:rsidRPr="005A2D50" w:rsidRDefault="005A2D50" w:rsidP="005A2D50">
      <w:pPr>
        <w:pStyle w:val="BodyText"/>
        <w:numPr>
          <w:ilvl w:val="0"/>
          <w:numId w:val="4"/>
        </w:numPr>
        <w:tabs>
          <w:tab w:val="left" w:pos="851"/>
        </w:tabs>
        <w:ind w:left="284" w:firstLine="0"/>
        <w:rPr>
          <w:lang w:val="en-US"/>
        </w:rPr>
      </w:pPr>
      <w:r w:rsidRPr="005A2D50">
        <w:rPr>
          <w:lang w:val="en-US"/>
        </w:rPr>
        <w:t>Izmantojot šo informāciju, atsauces summu aprēķina un pārbauda salīdzinājumā ar pašreizējo atsauces summu un/vai atsauces summu, ko pieprasa atļaujas turētājs.</w:t>
      </w:r>
    </w:p>
    <w:p w14:paraId="760F9515" w14:textId="77777777" w:rsidR="005A2D50" w:rsidRPr="005A2D50" w:rsidRDefault="005A2D50" w:rsidP="005A2D50">
      <w:pPr>
        <w:pStyle w:val="BodyText"/>
        <w:numPr>
          <w:ilvl w:val="0"/>
          <w:numId w:val="4"/>
        </w:numPr>
        <w:tabs>
          <w:tab w:val="left" w:pos="851"/>
        </w:tabs>
        <w:ind w:left="284" w:firstLine="0"/>
        <w:rPr>
          <w:lang w:val="en-US"/>
        </w:rPr>
      </w:pPr>
      <w:r w:rsidRPr="005A2D50">
        <w:rPr>
          <w:lang w:val="en-US"/>
        </w:rPr>
        <w:t>Ja nepieciešams, atļaujas turētājs maina sniegto galvojumu.</w:t>
      </w:r>
    </w:p>
    <w:p w14:paraId="4ED737EB" w14:textId="77777777" w:rsidR="005A2D50" w:rsidRPr="005A2D50" w:rsidRDefault="005A2D50" w:rsidP="005A2D50">
      <w:pPr>
        <w:pStyle w:val="BodyText"/>
        <w:numPr>
          <w:ilvl w:val="0"/>
          <w:numId w:val="4"/>
        </w:numPr>
        <w:tabs>
          <w:tab w:val="left" w:pos="851"/>
        </w:tabs>
        <w:ind w:left="284" w:firstLine="0"/>
        <w:rPr>
          <w:lang w:val="en-US"/>
        </w:rPr>
      </w:pPr>
      <w:r w:rsidRPr="005A2D50">
        <w:rPr>
          <w:lang w:val="en-US"/>
        </w:rPr>
        <w:t>Iespējamo muitas parādu atsauces summa tiek pārbaudīta arī sniegtās atļaujas administratīvo pārbaužu laikā.</w:t>
      </w:r>
    </w:p>
    <w:p w14:paraId="318924CA" w14:textId="77777777" w:rsidR="005A2D50" w:rsidRPr="005A2D50" w:rsidRDefault="005A2D50" w:rsidP="005A2D50">
      <w:pPr>
        <w:pStyle w:val="BodyText"/>
        <w:numPr>
          <w:ilvl w:val="0"/>
          <w:numId w:val="4"/>
        </w:numPr>
        <w:tabs>
          <w:tab w:val="left" w:pos="851"/>
        </w:tabs>
        <w:ind w:left="284" w:firstLine="0"/>
        <w:rPr>
          <w:lang w:val="en-US"/>
        </w:rPr>
      </w:pPr>
      <w:r w:rsidRPr="005A2D50">
        <w:rPr>
          <w:lang w:val="en-US"/>
        </w:rPr>
        <w:t>Pieejamo atsauces summu muitas parādiem, kas radīsies, un tranzīta gadījumā pārbauda arī katrā darījumā atsevišķi deklarēšanas procesa laikā, kad deklarācija tiek iesniegta standarta procedūrā.</w:t>
      </w:r>
    </w:p>
    <w:p w14:paraId="75551ADE" w14:textId="77777777" w:rsidR="005A2D50" w:rsidRPr="005A2D50" w:rsidRDefault="005A2D50" w:rsidP="005A2D50">
      <w:pPr>
        <w:pStyle w:val="BodyText"/>
        <w:tabs>
          <w:tab w:val="left" w:pos="851"/>
        </w:tabs>
        <w:rPr>
          <w:lang w:val="en-US"/>
        </w:rPr>
      </w:pPr>
    </w:p>
    <w:p w14:paraId="5CF4AD69" w14:textId="77777777" w:rsidR="005A2D50" w:rsidRPr="005A2D50" w:rsidRDefault="005A2D50" w:rsidP="005A2D50">
      <w:pPr>
        <w:pStyle w:val="Heading2"/>
        <w:rPr>
          <w:noProof/>
          <w:lang w:val="en-US"/>
        </w:rPr>
      </w:pPr>
      <w:bookmarkStart w:id="220" w:name="A2.8_Examples_of_Optional_guarantee"/>
      <w:bookmarkStart w:id="221" w:name="_bookmark61"/>
      <w:bookmarkStart w:id="222" w:name="_Toc104982819"/>
      <w:bookmarkEnd w:id="220"/>
      <w:bookmarkEnd w:id="221"/>
      <w:r w:rsidRPr="005A2D50">
        <w:rPr>
          <w:noProof/>
          <w:lang w:val="en-US"/>
        </w:rPr>
        <w:t>A2.8. Neobligāta galvojuma piemēri</w:t>
      </w:r>
      <w:bookmarkEnd w:id="222"/>
    </w:p>
    <w:p w14:paraId="31AD6B3D"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64F7D1AF" w14:textId="77777777" w:rsidR="005A2D50" w:rsidRPr="005A2D50" w:rsidRDefault="005A2D50" w:rsidP="005A2D50">
      <w:pPr>
        <w:pStyle w:val="BodyText"/>
        <w:ind w:left="284"/>
        <w:rPr>
          <w:lang w:val="en-US"/>
        </w:rPr>
      </w:pPr>
      <w:r w:rsidRPr="005A2D50">
        <w:rPr>
          <w:lang w:val="en-US"/>
        </w:rPr>
        <w:t xml:space="preserve">1. </w:t>
      </w:r>
      <w:r w:rsidRPr="005A2D50">
        <w:rPr>
          <w:i/>
          <w:iCs/>
          <w:lang w:val="en-US"/>
        </w:rPr>
        <w:t xml:space="preserve">CA </w:t>
      </w:r>
      <w:r w:rsidRPr="005A2D50">
        <w:rPr>
          <w:lang w:val="en-US"/>
        </w:rPr>
        <w:t>var piešķirt atbrīvojumu no prasības sniegt galvojumu gadījumā, kas paredzēts SMK 89. panta 9. punktā. Muitas nodoklim statistiskās vērtības slieksnis ir 1000 EUR katrai muitas deklarācijai.</w:t>
      </w:r>
    </w:p>
    <w:p w14:paraId="12340E34" w14:textId="77777777" w:rsidR="005A2D50" w:rsidRPr="005A2D50" w:rsidRDefault="005A2D50" w:rsidP="005A2D50">
      <w:pPr>
        <w:pStyle w:val="BodyText"/>
        <w:ind w:left="284"/>
        <w:rPr>
          <w:lang w:val="en-US"/>
        </w:rPr>
      </w:pPr>
      <w:r w:rsidRPr="005A2D50">
        <w:rPr>
          <w:lang w:val="en-US"/>
        </w:rPr>
        <w:t>Praksē muitas deklarācijā ietver šādu informāciju:</w:t>
      </w:r>
    </w:p>
    <w:p w14:paraId="72119C62" w14:textId="77777777" w:rsidR="005A2D50" w:rsidRPr="005A2D50" w:rsidRDefault="005A2D50" w:rsidP="005A2D50">
      <w:pPr>
        <w:pStyle w:val="BodyText"/>
        <w:ind w:left="284"/>
        <w:rPr>
          <w:lang w:val="en-US"/>
        </w:rPr>
      </w:pPr>
    </w:p>
    <w:p w14:paraId="28A93DFC" w14:textId="77777777" w:rsidR="005A2D50" w:rsidRPr="005A2D50" w:rsidRDefault="005A2D50" w:rsidP="005A2D50">
      <w:pPr>
        <w:pStyle w:val="BodyText"/>
        <w:numPr>
          <w:ilvl w:val="1"/>
          <w:numId w:val="3"/>
        </w:numPr>
        <w:tabs>
          <w:tab w:val="left" w:pos="1134"/>
        </w:tabs>
        <w:ind w:left="567" w:firstLine="0"/>
        <w:rPr>
          <w:lang w:val="en-US"/>
        </w:rPr>
      </w:pPr>
      <w:r w:rsidRPr="005A2D50">
        <w:rPr>
          <w:lang w:val="en-US"/>
        </w:rPr>
        <w:t>muitas nodokļi 900 EUR apmērā;</w:t>
      </w:r>
    </w:p>
    <w:p w14:paraId="7FBBB30D" w14:textId="77777777" w:rsidR="005A2D50" w:rsidRPr="005A2D50" w:rsidRDefault="005A2D50" w:rsidP="005A2D50">
      <w:pPr>
        <w:pStyle w:val="BodyText"/>
        <w:numPr>
          <w:ilvl w:val="1"/>
          <w:numId w:val="3"/>
        </w:numPr>
        <w:tabs>
          <w:tab w:val="left" w:pos="1134"/>
        </w:tabs>
        <w:ind w:left="567" w:firstLine="0"/>
        <w:rPr>
          <w:lang w:val="en-US"/>
        </w:rPr>
      </w:pPr>
      <w:r w:rsidRPr="005A2D50">
        <w:rPr>
          <w:lang w:val="en-US"/>
        </w:rPr>
        <w:t>citi maksājumi 1500 EUR apmērā.</w:t>
      </w:r>
    </w:p>
    <w:p w14:paraId="5ED0F700" w14:textId="77777777" w:rsidR="005A2D50" w:rsidRPr="005A2D50" w:rsidRDefault="005A2D50" w:rsidP="005A2D50">
      <w:pPr>
        <w:pStyle w:val="BodyText"/>
        <w:tabs>
          <w:tab w:val="left" w:pos="1134"/>
        </w:tabs>
        <w:ind w:left="567"/>
        <w:rPr>
          <w:lang w:val="en-US"/>
        </w:rPr>
      </w:pPr>
    </w:p>
    <w:p w14:paraId="11A0AFD1" w14:textId="77777777" w:rsidR="005A2D50" w:rsidRPr="005A2D50" w:rsidRDefault="005A2D50" w:rsidP="005A2D50">
      <w:pPr>
        <w:pStyle w:val="BodyText"/>
        <w:tabs>
          <w:tab w:val="left" w:pos="1134"/>
        </w:tabs>
        <w:ind w:left="567"/>
        <w:rPr>
          <w:lang w:val="en-US"/>
        </w:rPr>
      </w:pPr>
      <w:r w:rsidRPr="005A2D50">
        <w:rPr>
          <w:lang w:val="en-US"/>
        </w:rPr>
        <w:t>Dalībvalstis var piešķirt atbrīvojumu no prasības sniegt galvojumu (pēc izvēles), jo muitas nodokļa vērtība nepārsniedz 1000 EUR, vai tās var lūgt nodrošināt, ka galvojums sedz summu 2400 EUR apmērā.</w:t>
      </w:r>
    </w:p>
    <w:p w14:paraId="5C859F38" w14:textId="77777777" w:rsidR="005A2D50" w:rsidRPr="005A2D50" w:rsidRDefault="005A2D50" w:rsidP="005A2D50">
      <w:pPr>
        <w:pStyle w:val="BodyText"/>
        <w:ind w:left="284"/>
        <w:rPr>
          <w:lang w:val="en-US"/>
        </w:rPr>
      </w:pPr>
    </w:p>
    <w:p w14:paraId="0D3A0D53" w14:textId="77777777" w:rsidR="005A2D50" w:rsidRPr="005A2D50" w:rsidRDefault="005A2D50" w:rsidP="005A2D50">
      <w:pPr>
        <w:pStyle w:val="BodyText"/>
        <w:ind w:left="284"/>
        <w:rPr>
          <w:lang w:val="en-US"/>
        </w:rPr>
      </w:pPr>
      <w:r w:rsidRPr="005A2D50">
        <w:rPr>
          <w:lang w:val="en-US"/>
        </w:rPr>
        <w:t>2. SMK 91. pantā minētās tiesību normas attiecībā uz neobligātu galvojumu ir piemērojamos gadījumā, ko reglamentē ar Padomes Regulas (EK) Nr. 1186/2009 10. panta 3. punktu (atbrīvojumi no muitas nodokļiem):</w:t>
      </w:r>
    </w:p>
    <w:p w14:paraId="071DE4CD" w14:textId="77777777" w:rsidR="005A2D50" w:rsidRPr="005A2D50" w:rsidRDefault="005A2D50" w:rsidP="005A2D50">
      <w:pPr>
        <w:ind w:left="284"/>
        <w:jc w:val="both"/>
        <w:rPr>
          <w:rFonts w:ascii="Times New Roman" w:eastAsia="Times New Roman" w:hAnsi="Times New Roman" w:cs="Times New Roman"/>
          <w:noProof/>
          <w:sz w:val="24"/>
          <w:szCs w:val="24"/>
          <w:lang w:val="en-US"/>
        </w:rPr>
      </w:pPr>
    </w:p>
    <w:p w14:paraId="20DF3011" w14:textId="77777777" w:rsidR="005A2D50" w:rsidRPr="005A2D50" w:rsidRDefault="005A2D50" w:rsidP="005A2D50">
      <w:pPr>
        <w:pStyle w:val="BodyText"/>
        <w:ind w:left="567"/>
        <w:rPr>
          <w:lang w:val="en-US"/>
        </w:rPr>
      </w:pPr>
      <w:r w:rsidRPr="005A2D50">
        <w:rPr>
          <w:lang w:val="en-US"/>
        </w:rPr>
        <w:t>“Atļaujas par atbrīvojumu no muitas nodokļiem piešķiršana turklāt ir pakļauta nosacījumam, ka attiecīgā persona apņemas faktiski iedibināt pastāvīgu dzīvesvietu Kopienas muitas teritorijā termiņā, ko nosaka kompetentās iestādes atbilstoši apstākļiem. Kompetentās iestādes var pieprasīt, lai šo apņemšanos papildina ar galvojumu, kura formu un summu tās nosaka.”</w:t>
      </w:r>
    </w:p>
    <w:p w14:paraId="2D43BA5E" w14:textId="77777777" w:rsidR="005A2D50" w:rsidRPr="005A2D50" w:rsidRDefault="005A2D50" w:rsidP="005A2D50">
      <w:pPr>
        <w:pStyle w:val="BodyText"/>
        <w:ind w:left="284"/>
        <w:rPr>
          <w:lang w:val="en-US"/>
        </w:rPr>
      </w:pPr>
    </w:p>
    <w:p w14:paraId="1A5178D9" w14:textId="77777777" w:rsidR="005A2D50" w:rsidRPr="005A2D50" w:rsidRDefault="005A2D50" w:rsidP="005A2D50">
      <w:pPr>
        <w:pStyle w:val="BodyText"/>
        <w:ind w:left="284"/>
        <w:rPr>
          <w:lang w:val="en-US"/>
        </w:rPr>
      </w:pPr>
      <w:r w:rsidRPr="005A2D50">
        <w:rPr>
          <w:lang w:val="en-US"/>
        </w:rPr>
        <w:t>3. Galvojumu var pieprasīt arī vietu darbībai brīvajās zonās, ja to paredz attiecīgās dalībvalsts tiesību akti.</w:t>
      </w:r>
    </w:p>
    <w:p w14:paraId="4295E85C" w14:textId="77777777" w:rsidR="005A2D50" w:rsidRPr="005A2D50" w:rsidRDefault="005A2D50" w:rsidP="005A2D50">
      <w:pPr>
        <w:jc w:val="both"/>
        <w:rPr>
          <w:rFonts w:ascii="Times New Roman" w:hAnsi="Times New Roman" w:cs="Times New Roman"/>
          <w:noProof/>
          <w:sz w:val="24"/>
          <w:szCs w:val="24"/>
          <w:lang w:val="en-US"/>
        </w:rPr>
      </w:pPr>
    </w:p>
    <w:p w14:paraId="0BFFEEDC" w14:textId="77777777" w:rsidR="005A2D50" w:rsidRPr="005A2D50" w:rsidRDefault="005A2D50" w:rsidP="005A2D50">
      <w:pPr>
        <w:pStyle w:val="Heading2"/>
        <w:rPr>
          <w:noProof/>
          <w:lang w:val="en-US"/>
        </w:rPr>
      </w:pPr>
      <w:bookmarkStart w:id="223" w:name="A2.9_Guarantee_for_TORO"/>
      <w:bookmarkStart w:id="224" w:name="_bookmark62"/>
      <w:bookmarkStart w:id="225" w:name="_Toc104982820"/>
      <w:bookmarkEnd w:id="223"/>
      <w:bookmarkEnd w:id="224"/>
      <w:r w:rsidRPr="005A2D50">
        <w:rPr>
          <w:noProof/>
          <w:lang w:val="en-US"/>
        </w:rPr>
        <w:t>A2.9. Galvojums tiesību un pienākumu nodošanai</w:t>
      </w:r>
      <w:bookmarkEnd w:id="225"/>
    </w:p>
    <w:p w14:paraId="747B34CD"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35A5963B" w14:textId="77777777" w:rsidR="005A2D50" w:rsidRPr="005A2D50" w:rsidRDefault="005A2D50" w:rsidP="005A2D50">
      <w:pPr>
        <w:pStyle w:val="BodyText"/>
        <w:rPr>
          <w:lang w:val="en-US"/>
        </w:rPr>
      </w:pPr>
      <w:r w:rsidRPr="005A2D50">
        <w:rPr>
          <w:lang w:val="en-US"/>
        </w:rPr>
        <w:t xml:space="preserve">Kādā brīdī Nr. 1 (PiT1) precēm piemēro īpašu procedūru ar muitas deklarāciju X, ko veic uzņēmējs A, kurš ir šīs procedūras izmantotājs un </w:t>
      </w:r>
      <w:r w:rsidRPr="005A2D50">
        <w:rPr>
          <w:i/>
          <w:iCs/>
          <w:lang w:val="en-US"/>
        </w:rPr>
        <w:t xml:space="preserve">SPE </w:t>
      </w:r>
      <w:r w:rsidRPr="005A2D50">
        <w:rPr>
          <w:lang w:val="en-US"/>
        </w:rPr>
        <w:t>atļaujas turētājs.</w:t>
      </w:r>
    </w:p>
    <w:p w14:paraId="2C8135B8" w14:textId="77777777" w:rsidR="005A2D50" w:rsidRPr="005A2D50" w:rsidRDefault="005A2D50" w:rsidP="005A2D50">
      <w:pPr>
        <w:pStyle w:val="BodyText"/>
        <w:rPr>
          <w:lang w:val="en-US"/>
        </w:rPr>
      </w:pPr>
      <w:r w:rsidRPr="005A2D50">
        <w:rPr>
          <w:lang w:val="en-US"/>
        </w:rPr>
        <w:t>Šajā PiT1 iespējamo parādu, kas varētu rasties saistībā ar minētajām precēm, sedz galvinieka saistības, ar ko galvinieks (banka Y) garantē uzņēmēja A tādu parādu nomaksu, kas var rasties attiecībā uz precēm, kurām piemēro minēto īpašo procedūru.</w:t>
      </w:r>
    </w:p>
    <w:p w14:paraId="73F696FA" w14:textId="77777777" w:rsidR="005A2D50" w:rsidRPr="005A2D50" w:rsidRDefault="005A2D50" w:rsidP="005A2D50">
      <w:pPr>
        <w:pStyle w:val="BodyText"/>
        <w:rPr>
          <w:lang w:val="en-US"/>
        </w:rPr>
      </w:pPr>
      <w:r w:rsidRPr="005A2D50">
        <w:rPr>
          <w:lang w:val="en-US"/>
        </w:rPr>
        <w:t xml:space="preserve">Vēlākā brīdī Nr. 2 (PiT2) notiek </w:t>
      </w:r>
      <w:r w:rsidRPr="005A2D50">
        <w:rPr>
          <w:i/>
          <w:iCs/>
          <w:lang w:val="en-US"/>
        </w:rPr>
        <w:t>TORO</w:t>
      </w:r>
      <w:r w:rsidRPr="005A2D50">
        <w:rPr>
          <w:lang w:val="en-US"/>
        </w:rPr>
        <w:t xml:space="preserve">, ar ko uzņēmējs A visas savas tiesības un pienākumus attiecībā uz precēm, kurām tika piemērota procedūra ar deklarāciju X, nodod citam uzņēmējam (uzņēmējam B), kuram ir </w:t>
      </w:r>
      <w:r w:rsidRPr="005A2D50">
        <w:rPr>
          <w:i/>
          <w:iCs/>
          <w:lang w:val="en-US"/>
        </w:rPr>
        <w:t xml:space="preserve">TORO </w:t>
      </w:r>
      <w:r w:rsidRPr="005A2D50">
        <w:rPr>
          <w:lang w:val="en-US"/>
        </w:rPr>
        <w:t>atļauja.</w:t>
      </w:r>
    </w:p>
    <w:p w14:paraId="560AEB6E" w14:textId="77777777" w:rsidR="005A2D50" w:rsidRPr="005A2D50" w:rsidRDefault="005A2D50" w:rsidP="005A2D50">
      <w:pPr>
        <w:pStyle w:val="BodyText"/>
        <w:rPr>
          <w:lang w:val="en-US"/>
        </w:rPr>
      </w:pPr>
      <w:r w:rsidRPr="005A2D50">
        <w:rPr>
          <w:lang w:val="en-US"/>
        </w:rPr>
        <w:t xml:space="preserve">Pirms PiT2, </w:t>
      </w:r>
      <w:r w:rsidRPr="005A2D50">
        <w:rPr>
          <w:i/>
          <w:iCs/>
          <w:lang w:val="en-US"/>
        </w:rPr>
        <w:t xml:space="preserve">TORO </w:t>
      </w:r>
      <w:r w:rsidRPr="005A2D50">
        <w:rPr>
          <w:lang w:val="en-US"/>
        </w:rPr>
        <w:t xml:space="preserve">brīdī, tika nodrošināta ideāla atbilstība visiem minētās īpašās procedūras pienākumiem (norādīti </w:t>
      </w:r>
      <w:r w:rsidRPr="005A2D50">
        <w:rPr>
          <w:i/>
          <w:iCs/>
          <w:lang w:val="en-US"/>
        </w:rPr>
        <w:t xml:space="preserve">SPE </w:t>
      </w:r>
      <w:r w:rsidRPr="005A2D50">
        <w:rPr>
          <w:lang w:val="en-US"/>
        </w:rPr>
        <w:t>atļaujā, kas piešķirta uzņēmējam A).</w:t>
      </w:r>
    </w:p>
    <w:p w14:paraId="7BF6C97A" w14:textId="77777777" w:rsidR="005A2D50" w:rsidRPr="005A2D50" w:rsidRDefault="005A2D50" w:rsidP="005A2D50">
      <w:pPr>
        <w:pStyle w:val="BodyText"/>
        <w:rPr>
          <w:lang w:val="en-US"/>
        </w:rPr>
      </w:pPr>
      <w:r w:rsidRPr="005A2D50">
        <w:rPr>
          <w:lang w:val="en-US"/>
        </w:rPr>
        <w:t>Tomēr PiT3, kas ir pēc PiT2, tiek konstatēta neatbilstība, kas rada muitas parādu attiecībā uz precēm, kurām tika piemērota procedūra ar deklarāciju X.</w:t>
      </w:r>
    </w:p>
    <w:p w14:paraId="459C4A73" w14:textId="77777777" w:rsidR="005A2D50" w:rsidRPr="005A2D50" w:rsidRDefault="005A2D50" w:rsidP="005A2D50">
      <w:pPr>
        <w:pStyle w:val="BodyText"/>
        <w:rPr>
          <w:lang w:val="en-US"/>
        </w:rPr>
      </w:pPr>
      <w:r w:rsidRPr="005A2D50">
        <w:rPr>
          <w:lang w:val="en-US"/>
        </w:rPr>
        <w:t xml:space="preserve">Tas nozīmē, ka uzņēmējs B, kurš no </w:t>
      </w:r>
      <w:r w:rsidRPr="005A2D50">
        <w:rPr>
          <w:i/>
          <w:iCs/>
          <w:lang w:val="en-US"/>
        </w:rPr>
        <w:t xml:space="preserve">TORO </w:t>
      </w:r>
      <w:r w:rsidRPr="005A2D50">
        <w:rPr>
          <w:lang w:val="en-US"/>
        </w:rPr>
        <w:t xml:space="preserve">brīža (PiT2) ir persona, kurai bija jāpilda visas saistības, kas izriet no minētās īpašās procedūras, būs attiecīgā parāda parādnieks (kopš </w:t>
      </w:r>
      <w:r w:rsidRPr="005A2D50">
        <w:rPr>
          <w:i/>
          <w:iCs/>
          <w:lang w:val="en-US"/>
        </w:rPr>
        <w:t xml:space="preserve">TORO </w:t>
      </w:r>
      <w:r w:rsidRPr="005A2D50">
        <w:rPr>
          <w:lang w:val="en-US"/>
        </w:rPr>
        <w:t>uzņēmējs A ir atbrīvots no saviem pienākumiem).</w:t>
      </w:r>
    </w:p>
    <w:p w14:paraId="17E104CE" w14:textId="77777777" w:rsidR="005A2D50" w:rsidRPr="005A2D50" w:rsidRDefault="005A2D50" w:rsidP="005A2D50">
      <w:pPr>
        <w:pStyle w:val="BodyText"/>
        <w:rPr>
          <w:lang w:val="en-US"/>
        </w:rPr>
      </w:pPr>
      <w:r w:rsidRPr="005A2D50">
        <w:rPr>
          <w:lang w:val="en-US"/>
        </w:rPr>
        <w:t xml:space="preserve">Pirms tiek uzsākta </w:t>
      </w:r>
      <w:r w:rsidRPr="005A2D50">
        <w:rPr>
          <w:i/>
          <w:iCs/>
          <w:lang w:val="en-US"/>
        </w:rPr>
        <w:t>TORO</w:t>
      </w:r>
      <w:r w:rsidRPr="005A2D50">
        <w:rPr>
          <w:lang w:val="en-US"/>
        </w:rPr>
        <w:t xml:space="preserve">, muitas uzraudzības iestādei jāpieprasa, lai pārņēmējs (uzņēmējs B) sniedz jaunas galvinieka saistības, kas paredz, ka galvinieks, kurš uzņemas jaunās saistības, nodrošina visu to uzņēmēja B parādu nomaksu, kas var rasties attiecībā uz precēm, kurām tika piemērota procedūra ar deklarācijām A, B un C neatbilstības gadījumu dēļ, kas notika brīdī pēc </w:t>
      </w:r>
      <w:r w:rsidRPr="005A2D50">
        <w:rPr>
          <w:i/>
          <w:iCs/>
          <w:lang w:val="en-US"/>
        </w:rPr>
        <w:t xml:space="preserve">TORO </w:t>
      </w:r>
      <w:r w:rsidRPr="005A2D50">
        <w:rPr>
          <w:lang w:val="en-US"/>
        </w:rPr>
        <w:t>spēkā stāšanās.</w:t>
      </w:r>
    </w:p>
    <w:p w14:paraId="2E82234F" w14:textId="77777777" w:rsidR="005A2D50" w:rsidRPr="005A2D50" w:rsidRDefault="005A2D50" w:rsidP="005A2D50">
      <w:pPr>
        <w:jc w:val="both"/>
        <w:rPr>
          <w:rFonts w:ascii="Times New Roman" w:hAnsi="Times New Roman" w:cs="Times New Roman"/>
          <w:noProof/>
          <w:sz w:val="24"/>
          <w:szCs w:val="24"/>
          <w:lang w:val="en-US"/>
        </w:rPr>
      </w:pPr>
    </w:p>
    <w:p w14:paraId="51916AAF" w14:textId="77777777" w:rsidR="005A2D50" w:rsidRPr="005A2D50" w:rsidRDefault="005A2D50" w:rsidP="005A2D50">
      <w:pPr>
        <w:pStyle w:val="Heading2"/>
        <w:rPr>
          <w:noProof/>
          <w:lang w:val="en-US"/>
        </w:rPr>
      </w:pPr>
      <w:bookmarkStart w:id="226" w:name="A2.10_Article_89(3)_second_paragraph_UCC"/>
      <w:bookmarkStart w:id="227" w:name="_bookmark63"/>
      <w:bookmarkStart w:id="228" w:name="_Toc104982821"/>
      <w:bookmarkEnd w:id="226"/>
      <w:bookmarkEnd w:id="227"/>
      <w:r w:rsidRPr="005A2D50">
        <w:rPr>
          <w:noProof/>
          <w:lang w:val="en-US"/>
        </w:rPr>
        <w:t>A2.10. SMK 89. panta 3. punkta otrā daļa – persona, kura nav parādnieks/iespējamais parādnieks un kurai var atļaut sniegt galvojumu muitas vajadzībām</w:t>
      </w:r>
      <w:bookmarkEnd w:id="228"/>
    </w:p>
    <w:p w14:paraId="52B6A55F"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43F319A2" w14:textId="77777777" w:rsidR="005A2D50" w:rsidRPr="005A2D50" w:rsidRDefault="005A2D50" w:rsidP="005A2D50">
      <w:pPr>
        <w:pStyle w:val="BodyText"/>
        <w:rPr>
          <w:lang w:val="en-US"/>
        </w:rPr>
      </w:pPr>
      <w:r w:rsidRPr="005A2D50">
        <w:rPr>
          <w:lang w:val="en-US"/>
        </w:rPr>
        <w:t>Turpmāk aprakstītā situācija nav izsmeļošs saraksts ar tādu citu personu piemēriem, kurām var atļaut sniegt galvojumu parādnieka vietā, bet diskusijās par šo jautājumu uz to ir norādījušas dalībvalstu muitas administrācijas.</w:t>
      </w:r>
    </w:p>
    <w:p w14:paraId="602B39CF" w14:textId="77777777" w:rsidR="005A2D50" w:rsidRPr="005A2D50" w:rsidRDefault="005A2D50" w:rsidP="005A2D50">
      <w:pPr>
        <w:pStyle w:val="BodyText"/>
        <w:rPr>
          <w:lang w:val="en-US"/>
        </w:rPr>
      </w:pPr>
    </w:p>
    <w:p w14:paraId="7555B1DB" w14:textId="77777777" w:rsidR="005A2D50" w:rsidRPr="005A2D50" w:rsidRDefault="005A2D50" w:rsidP="005A2D50">
      <w:pPr>
        <w:pStyle w:val="BodyText"/>
        <w:rPr>
          <w:lang w:val="en-US"/>
        </w:rPr>
      </w:pPr>
      <w:bookmarkStart w:id="229" w:name="Parent_companies"/>
      <w:bookmarkEnd w:id="229"/>
      <w:r w:rsidRPr="005A2D50">
        <w:rPr>
          <w:lang w:val="en-US"/>
        </w:rPr>
        <w:t>Mātesuzņēmumi</w:t>
      </w:r>
    </w:p>
    <w:p w14:paraId="739521D5"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3B3FCB36" w14:textId="77777777" w:rsidR="005A2D50" w:rsidRPr="005A2D50" w:rsidRDefault="005A2D50" w:rsidP="005A2D50">
      <w:pPr>
        <w:pStyle w:val="BodyText"/>
        <w:rPr>
          <w:lang w:val="en-US"/>
        </w:rPr>
      </w:pPr>
      <w:r w:rsidRPr="005A2D50">
        <w:rPr>
          <w:lang w:val="en-US"/>
        </w:rPr>
        <w:t xml:space="preserve">Starptautiskos vai lielos uzņēmumos parasti ietilpst mātesuzņēmums un meitasuzņēmumi vai filiāles, kas var veikt uzņēmējdarbību vienā vai vairākās dalībvalstīs. Dažādas filiāles dažādās dalībvalstīs var būt tā paša mātesuzņēmuma pastāvīgas darījumdarbības vietas (turpmāk </w:t>
      </w:r>
      <w:r w:rsidRPr="005A2D50">
        <w:rPr>
          <w:i/>
          <w:iCs/>
          <w:lang w:val="en-US"/>
        </w:rPr>
        <w:t>PBE</w:t>
      </w:r>
      <w:r w:rsidRPr="005A2D50">
        <w:rPr>
          <w:lang w:val="en-US"/>
        </w:rPr>
        <w:t xml:space="preserve">). Filiālei dažādās dalībvalstīs var būt atšķirīgs juridiskais statuss, jo filiāles darbības juridiskā forma dalībvalstīs ir atkarīga no tā, kā tā izvēlējusies darboties, un galvenokārt no attiecīgās dalībvalsts nacionālajiem tiesību aktiem. Līdz ar to mātesuzņēmumam var būt dažas filiāles, kas dažās dalībvalstīs tiek uzskatītas par atsevišķām juridiskām personām saskaņā ar SMK 5. panta 4. punktu (t. i., par atsevišķu juridisku personu, kas reģistrēta vietējā uzņēmumu reģistrā saskaņā ar attiecīgās dalībvalsts uzņēmējdarbības tiesībām), bet citās dalībvalstīs – par </w:t>
      </w:r>
      <w:r w:rsidRPr="005A2D50">
        <w:rPr>
          <w:i/>
          <w:iCs/>
          <w:lang w:val="en-US"/>
        </w:rPr>
        <w:t xml:space="preserve">PBE </w:t>
      </w:r>
      <w:r w:rsidRPr="005A2D50">
        <w:rPr>
          <w:lang w:val="en-US"/>
        </w:rPr>
        <w:t>saskaņā ar SMK 5. panta 32. punktu, ko neuzskata par atsevišķām juridiskām personām. Meitasuzņēmumi ir atsevišķas juridiskās personas.</w:t>
      </w:r>
    </w:p>
    <w:p w14:paraId="1963A093" w14:textId="77777777" w:rsidR="005A2D50" w:rsidRPr="005A2D50" w:rsidRDefault="005A2D50" w:rsidP="005A2D50">
      <w:pPr>
        <w:pStyle w:val="BodyText"/>
        <w:rPr>
          <w:lang w:val="en-US"/>
        </w:rPr>
      </w:pPr>
      <w:r w:rsidRPr="005A2D50">
        <w:rPr>
          <w:lang w:val="en-US"/>
        </w:rPr>
        <w:t xml:space="preserve">Uzņēmējam, kas vēlas iesniegt pieteikumu atļaujai sniegt vispārējo galvojumu attiecībā uz visām tā filiālēm, ir jānovērtē, kurai grupai tās atbilst. Ja tās ir juridiskas personas saskaņā ar SMK 5. panta 4. punktā sniegto personu definīciju, tām atsevišķi jāiesniedz pieteikums </w:t>
      </w:r>
      <w:r w:rsidRPr="005A2D50">
        <w:rPr>
          <w:i/>
          <w:iCs/>
          <w:lang w:val="en-US"/>
        </w:rPr>
        <w:t xml:space="preserve">CGU </w:t>
      </w:r>
      <w:r w:rsidRPr="005A2D50">
        <w:rPr>
          <w:lang w:val="en-US"/>
        </w:rPr>
        <w:t xml:space="preserve">atļaujas saņemšanai attiecīgajā dalībvalstī. Pārējos gadījumos tās nevar atsevišķi iesniegt pieteikumu </w:t>
      </w:r>
      <w:r w:rsidRPr="005A2D50">
        <w:rPr>
          <w:i/>
          <w:iCs/>
          <w:lang w:val="en-US"/>
        </w:rPr>
        <w:t xml:space="preserve">CGU </w:t>
      </w:r>
      <w:r w:rsidRPr="005A2D50">
        <w:rPr>
          <w:lang w:val="en-US"/>
        </w:rPr>
        <w:t xml:space="preserve">atļaujas saņemšanai; tā vietā mātesuzņēmumam, kas saskaņā ar ES tiesību aktiem tiek uzskatīts par personu, ir jāiesniedz vienots pieteikums attiecībā uz visām šādām filiālēm. Muitas dienestiem jāņem vērā arī tas, ka uz visu veidu atļaujām/lēmumiem, kuriem uzņēmējs piesakās, attiecas vieni un tie paši vispārīgie nosacījumi. Piemēram, piemērojot vienus un tos pašus tiesību aktus, muita nevar uzskatīt, ka uzņēmējs ir juridiska persona, kad tas iesniedz pieteikumu, piemēram, </w:t>
      </w:r>
      <w:r w:rsidRPr="005A2D50">
        <w:rPr>
          <w:i/>
          <w:iCs/>
          <w:lang w:val="en-US"/>
        </w:rPr>
        <w:t xml:space="preserve">EORI </w:t>
      </w:r>
      <w:r w:rsidRPr="005A2D50">
        <w:rPr>
          <w:lang w:val="en-US"/>
        </w:rPr>
        <w:t xml:space="preserve">numura saņemšanai, un ka uzņēmējs ir </w:t>
      </w:r>
      <w:r w:rsidRPr="005A2D50">
        <w:rPr>
          <w:i/>
          <w:iCs/>
          <w:lang w:val="en-US"/>
        </w:rPr>
        <w:t>PBE</w:t>
      </w:r>
      <w:r w:rsidRPr="005A2D50">
        <w:rPr>
          <w:lang w:val="en-US"/>
        </w:rPr>
        <w:t xml:space="preserve">, kad tas iesniedz pieteikumu </w:t>
      </w:r>
      <w:r w:rsidRPr="005A2D50">
        <w:rPr>
          <w:i/>
          <w:iCs/>
          <w:lang w:val="en-US"/>
        </w:rPr>
        <w:t xml:space="preserve">AEO </w:t>
      </w:r>
      <w:r w:rsidRPr="005A2D50">
        <w:rPr>
          <w:lang w:val="en-US"/>
        </w:rPr>
        <w:t>statusa saņemšanai vai atļaujai sniegt vispārējo galvojumu.</w:t>
      </w:r>
    </w:p>
    <w:p w14:paraId="1E13E598" w14:textId="77777777" w:rsidR="005A2D50" w:rsidRPr="005A2D50" w:rsidRDefault="005A2D50" w:rsidP="005A2D50">
      <w:pPr>
        <w:pStyle w:val="BodyText"/>
        <w:rPr>
          <w:lang w:val="en-US"/>
        </w:rPr>
      </w:pPr>
      <w:r w:rsidRPr="005A2D50">
        <w:rPr>
          <w:lang w:val="en-US"/>
        </w:rPr>
        <w:t xml:space="preserve">Tomēr muitas dienesti var pieņemt, ka mātesuzņēmums sniedz galvojumu saskaņā ar SMK 89. panta 3. punktu par labu citai personai – meitasuzņēmumam vai filiālei – tikai tad, ja tas atbilst spēkā esošajām tiesību normām, kā paskaidrots šā dokumenta II.3.4.2. iedaļā. </w:t>
      </w:r>
      <w:r w:rsidRPr="005A2D50">
        <w:rPr>
          <w:i/>
          <w:iCs/>
          <w:lang w:val="en-US"/>
        </w:rPr>
        <w:t xml:space="preserve">PBE </w:t>
      </w:r>
      <w:r w:rsidRPr="005A2D50">
        <w:rPr>
          <w:lang w:val="en-US"/>
        </w:rPr>
        <w:t>ir sava mātesuzņēmuma juridiskā daļa, un to var iekļaut tikai mātesuzņēmuma atļaujās un galvojumos.</w:t>
      </w:r>
    </w:p>
    <w:p w14:paraId="7C5BC8EA" w14:textId="77777777" w:rsidR="005A2D50" w:rsidRPr="005A2D50" w:rsidRDefault="005A2D50" w:rsidP="005A2D50">
      <w:pPr>
        <w:pStyle w:val="BodyText"/>
        <w:rPr>
          <w:lang w:val="en-US"/>
        </w:rPr>
      </w:pPr>
      <w:r w:rsidRPr="005A2D50">
        <w:rPr>
          <w:lang w:val="en-US"/>
        </w:rPr>
        <w:t>Saskaņā ar SMK 94. pantu muitas dienesti var apstiprināt uzņēmumus/personas, kas nav saskaņā ar spēkā esošajiem Savienības noteikumiem Savienībā akreditētas kredītiestādes, finanšu iestādes vai apdrošināšanas sabiedrības, lai tās uzņemtos galvinieka lomu. Tas varētu attiekties uz gadījumu, kad mātesuzņēmumi emitē saistības savu meitasuzņēmumu vai filiāļu vārdā. Tas ir izskaidrots III.2.2. punktā.</w:t>
      </w:r>
    </w:p>
    <w:p w14:paraId="6837AAE6" w14:textId="77777777" w:rsidR="005A2D50" w:rsidRPr="005A2D50" w:rsidRDefault="005A2D50" w:rsidP="005A2D50">
      <w:pPr>
        <w:pStyle w:val="BodyText"/>
        <w:rPr>
          <w:lang w:val="en-US"/>
        </w:rPr>
      </w:pPr>
    </w:p>
    <w:p w14:paraId="3AA416FE" w14:textId="77777777" w:rsidR="005A2D50" w:rsidRPr="005A2D50" w:rsidRDefault="005A2D50" w:rsidP="005A2D50">
      <w:pPr>
        <w:pStyle w:val="Heading2"/>
        <w:rPr>
          <w:noProof/>
          <w:lang w:val="en-US"/>
        </w:rPr>
      </w:pPr>
      <w:bookmarkStart w:id="230" w:name="A2.11_Persons_not_established_in_the_EU_"/>
      <w:bookmarkStart w:id="231" w:name="_bookmark64"/>
      <w:bookmarkStart w:id="232" w:name="_Toc104982822"/>
      <w:bookmarkEnd w:id="230"/>
      <w:bookmarkEnd w:id="231"/>
      <w:r w:rsidRPr="005A2D50">
        <w:rPr>
          <w:noProof/>
          <w:lang w:val="en-US"/>
        </w:rPr>
        <w:t>A2.11. Personas, kas nav reģistrētas ES muitas teritorijā</w:t>
      </w:r>
      <w:bookmarkEnd w:id="232"/>
    </w:p>
    <w:p w14:paraId="4412D528"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218832EE" w14:textId="77777777" w:rsidR="005A2D50" w:rsidRPr="005A2D50" w:rsidRDefault="005A2D50" w:rsidP="005A2D50">
      <w:pPr>
        <w:jc w:val="both"/>
        <w:rPr>
          <w:rFonts w:ascii="Times New Roman" w:hAnsi="Times New Roman"/>
          <w:i/>
          <w:noProof/>
          <w:sz w:val="24"/>
          <w:lang w:val="en-US"/>
        </w:rPr>
      </w:pPr>
      <w:r w:rsidRPr="005A2D50">
        <w:rPr>
          <w:rFonts w:ascii="Times New Roman" w:hAnsi="Times New Roman"/>
          <w:i/>
          <w:noProof/>
          <w:sz w:val="24"/>
          <w:lang w:val="en-US"/>
        </w:rPr>
        <w:t>Juridiska persona, kas nav reģistrēta ES muitas teritorijā, sūdzējās par grūtībām, ar kurām tā saskārās pēc SMK stāšanās spēkā saistībā ar automašīnu ievešanu ES to modernizācijai. Galvojuma apmērs, kādu viņiem prasīts segt, ir pārāk liels, jo no personām, kas ir reģistrētas ārpus ES teritorijas, var pieņemt tikai vienreizējo galvojumu un šīm personām nevar piemērot galvojumu par samazinātu summu.</w:t>
      </w:r>
    </w:p>
    <w:p w14:paraId="01168E4F" w14:textId="77777777" w:rsidR="005A2D50" w:rsidRPr="005A2D50" w:rsidRDefault="005A2D50" w:rsidP="005A2D50">
      <w:pPr>
        <w:pStyle w:val="BodyText"/>
        <w:rPr>
          <w:lang w:val="en-US"/>
        </w:rPr>
      </w:pPr>
      <w:r w:rsidRPr="005A2D50">
        <w:rPr>
          <w:lang w:val="en-US"/>
        </w:rPr>
        <w:t>Kad šie pircēji ar saviem transportlīdzekļiem šķērso ES robežu, tie, ja vien ievēro konkrētus nosacījumus, var izmantot atbrīvojumu no ievedmuitas nodokļa, pamatojoties uz pagaidu ievešanas procedūru.</w:t>
      </w:r>
    </w:p>
    <w:p w14:paraId="595E28DE" w14:textId="77777777" w:rsidR="005A2D50" w:rsidRPr="005A2D50" w:rsidRDefault="005A2D50" w:rsidP="005A2D50">
      <w:pPr>
        <w:pStyle w:val="BodyText"/>
        <w:rPr>
          <w:lang w:val="en-US"/>
        </w:rPr>
      </w:pPr>
      <w:r w:rsidRPr="005A2D50">
        <w:rPr>
          <w:lang w:val="en-US"/>
        </w:rPr>
        <w:t>Ja tas tā nav, jāpiemēro cita muitas procedūra. Tā patiešām var būt ievešana pārstrādei. ES remontdarbnīcas var pieteikties saņemt atļauju veikt ievešanas pārstrādei operācijas. Šajā gadījumā SMK nosaka pienākumu sniegt galvojumu. Taču, ja tās regulāri veic šādas darbības, tās var iesniegt pieteikumu izmantot vispārējo galvojumu un, ja atbilstīgi, var pretendēt uz šāda galvojuma samazinājumu dažādos apmēros vai pat atbrīvojumu no tā.</w:t>
      </w:r>
    </w:p>
    <w:p w14:paraId="0C52A106" w14:textId="77777777" w:rsidR="005A2D50" w:rsidRPr="005A2D50" w:rsidRDefault="005A2D50" w:rsidP="005A2D50">
      <w:pPr>
        <w:pStyle w:val="BodyText"/>
        <w:rPr>
          <w:lang w:val="en-US"/>
        </w:rPr>
      </w:pPr>
      <w:r w:rsidRPr="005A2D50">
        <w:rPr>
          <w:lang w:val="en-US"/>
        </w:rPr>
        <w:t>Tomēr, ja remontdarbnīcas pieprasa klientiem, kuri nav no Eiropas Savienības, nokārtot muitas formalitātes, šā klienta vienīgā iespēja ir iesniegt deklarāciju, lai viņa transportlīdzeklim piemērotu ievešanas pārstrādei procedūru. Šādai deklarācijai ir jāpievieno vienreizējais galvojums, kam atkarībā no ģeogrāfiskā derīguma ir jāsedz vismaz ievedmuitas nodokļa summa (10 % no vērtības).</w:t>
      </w:r>
    </w:p>
    <w:p w14:paraId="58F80FFC" w14:textId="77777777" w:rsidR="005A2D50" w:rsidRPr="005A2D50" w:rsidRDefault="005A2D50" w:rsidP="005A2D50">
      <w:pPr>
        <w:pStyle w:val="BodyText"/>
        <w:rPr>
          <w:lang w:val="en-US"/>
        </w:rPr>
      </w:pPr>
      <w:r w:rsidRPr="005A2D50">
        <w:rPr>
          <w:lang w:val="en-US"/>
        </w:rPr>
        <w:t>ES remontdarbnīcu darījumdarbības modelis ir izvēlēties starp abām iespējām. Tomēr, iesniedzot pieteikumu saņemt atļauju ievešanai pārstrādei, šīs ES remontdarbnīcas var piedāvāt saviem klientiem, kuri nav no Eiropas Savienības, šo papildu pakalpojumu, proti, nesniegt vienreizējo galvojumu.</w:t>
      </w:r>
    </w:p>
    <w:p w14:paraId="3F8A2837" w14:textId="77777777" w:rsidR="005A2D50" w:rsidRPr="005A2D50" w:rsidRDefault="005A2D50" w:rsidP="005A2D50">
      <w:pPr>
        <w:pStyle w:val="BodyText"/>
        <w:rPr>
          <w:lang w:val="en-US"/>
        </w:rPr>
      </w:pPr>
    </w:p>
    <w:p w14:paraId="32358E83" w14:textId="77777777" w:rsidR="005A2D50" w:rsidRPr="005A2D50" w:rsidRDefault="005A2D50" w:rsidP="005A2D50">
      <w:pPr>
        <w:pStyle w:val="Heading2"/>
        <w:keepNext/>
        <w:keepLines/>
        <w:rPr>
          <w:noProof/>
          <w:lang w:val="en-US"/>
        </w:rPr>
      </w:pPr>
      <w:bookmarkStart w:id="233" w:name="A2.12_Assessment_of_sufficient_financial"/>
      <w:bookmarkStart w:id="234" w:name="_bookmark65"/>
      <w:bookmarkStart w:id="235" w:name="_Toc104982823"/>
      <w:bookmarkEnd w:id="233"/>
      <w:bookmarkEnd w:id="234"/>
      <w:r w:rsidRPr="005A2D50">
        <w:rPr>
          <w:noProof/>
          <w:lang w:val="en-US"/>
        </w:rPr>
        <w:t>A2.12. Pietiekami laba finansiālā stāvokļa novērtējums saskaņā ar SMK DA 84. panta 3.a un 3.b punktu</w:t>
      </w:r>
      <w:bookmarkEnd w:id="235"/>
    </w:p>
    <w:p w14:paraId="4BA90AD6" w14:textId="77777777" w:rsidR="005A2D50" w:rsidRPr="005A2D50" w:rsidRDefault="005A2D50" w:rsidP="005A2D50">
      <w:pPr>
        <w:keepNext/>
        <w:keepLines/>
        <w:jc w:val="both"/>
        <w:rPr>
          <w:rFonts w:ascii="Times New Roman" w:eastAsia="Times New Roman" w:hAnsi="Times New Roman" w:cs="Times New Roman"/>
          <w:b/>
          <w:bCs/>
          <w:noProof/>
          <w:sz w:val="24"/>
          <w:szCs w:val="24"/>
          <w:lang w:val="en-US"/>
        </w:rPr>
      </w:pPr>
    </w:p>
    <w:p w14:paraId="2F118604" w14:textId="77777777" w:rsidR="005A2D50" w:rsidRPr="005A2D50" w:rsidRDefault="005A2D50" w:rsidP="005A2D50">
      <w:pPr>
        <w:pStyle w:val="BodyText"/>
        <w:keepNext/>
        <w:keepLines/>
        <w:rPr>
          <w:lang w:val="en-US"/>
        </w:rPr>
      </w:pPr>
      <w:r w:rsidRPr="005A2D50">
        <w:rPr>
          <w:lang w:val="en-US"/>
        </w:rPr>
        <w:t>Lai saskaņā ar SMK DA 84. pantu novērtētu pietiekami labu finansiālo stāvokli, veic trīs galvenos pasākumus:</w:t>
      </w:r>
    </w:p>
    <w:p w14:paraId="4E4F0BDD" w14:textId="77777777" w:rsidR="005A2D50" w:rsidRPr="005A2D50" w:rsidRDefault="005A2D50" w:rsidP="005A2D50">
      <w:pPr>
        <w:pStyle w:val="BodyText"/>
        <w:rPr>
          <w:lang w:val="en-US"/>
        </w:rPr>
      </w:pPr>
    </w:p>
    <w:p w14:paraId="4986F0E8" w14:textId="77777777" w:rsidR="005A2D50" w:rsidRPr="005A2D50" w:rsidRDefault="005A2D50" w:rsidP="005A2D50">
      <w:pPr>
        <w:pStyle w:val="BodyText"/>
        <w:ind w:left="284"/>
        <w:rPr>
          <w:lang w:val="en-US"/>
        </w:rPr>
      </w:pPr>
      <w:r w:rsidRPr="005A2D50">
        <w:rPr>
          <w:lang w:val="en-US"/>
        </w:rPr>
        <w:t>1) nosaka atsauces summu;</w:t>
      </w:r>
    </w:p>
    <w:p w14:paraId="58D4C308" w14:textId="77777777" w:rsidR="005A2D50" w:rsidRPr="005A2D50" w:rsidRDefault="005A2D50" w:rsidP="005A2D50">
      <w:pPr>
        <w:pStyle w:val="BodyText"/>
        <w:ind w:left="284"/>
        <w:rPr>
          <w:lang w:val="en-US"/>
        </w:rPr>
      </w:pPr>
      <w:r w:rsidRPr="005A2D50">
        <w:rPr>
          <w:lang w:val="en-US"/>
        </w:rPr>
        <w:t>2) novērtē pietiekami laba finansiālā stāvokļa kritēriju attiecībā uz atsauces summas daļu, ko nesedz galvojums (saistības), t. i., 30 %, 50 %, atbrīvojums;</w:t>
      </w:r>
    </w:p>
    <w:p w14:paraId="754AE012" w14:textId="77777777" w:rsidR="005A2D50" w:rsidRPr="005A2D50" w:rsidRDefault="005A2D50" w:rsidP="005A2D50">
      <w:pPr>
        <w:pStyle w:val="BodyText"/>
        <w:ind w:left="284"/>
        <w:rPr>
          <w:lang w:val="en-US"/>
        </w:rPr>
      </w:pPr>
      <w:r w:rsidRPr="005A2D50">
        <w:rPr>
          <w:lang w:val="en-US"/>
        </w:rPr>
        <w:t>3) novērtēšanas laikā muita var uzskatīt, ka ir pamatoti ņemt vērā muitas parāda rašanās risku. (Piemēram, finansiālais stāvoklis nav tik labs, kādu muita vēlētos, piešķirot samazinājumu līdz 30 % (SMK DA 84. panta 2. punkts). Tomēr muitas parāda rašanās risks ir niecīgs, jo runa ir par kravas uzglabāšanu, piemēram, ogļu uzglabāšanu.)</w:t>
      </w:r>
    </w:p>
    <w:p w14:paraId="54830E65" w14:textId="77777777" w:rsidR="005A2D50" w:rsidRPr="005A2D50" w:rsidRDefault="005A2D50" w:rsidP="005A2D50">
      <w:pPr>
        <w:pStyle w:val="BodyText"/>
        <w:ind w:left="284"/>
        <w:rPr>
          <w:lang w:val="en-US"/>
        </w:rPr>
      </w:pPr>
    </w:p>
    <w:p w14:paraId="42CC1C45" w14:textId="77777777" w:rsidR="005A2D50" w:rsidRPr="005A2D50" w:rsidRDefault="005A2D50" w:rsidP="005A2D50">
      <w:pPr>
        <w:jc w:val="both"/>
        <w:rPr>
          <w:rFonts w:ascii="Times New Roman" w:hAnsi="Times New Roman"/>
          <w:i/>
          <w:noProof/>
          <w:sz w:val="24"/>
          <w:lang w:val="en-US"/>
        </w:rPr>
      </w:pPr>
      <w:r w:rsidRPr="005A2D50">
        <w:rPr>
          <w:rFonts w:ascii="Times New Roman" w:hAnsi="Times New Roman"/>
          <w:i/>
          <w:noProof/>
          <w:sz w:val="24"/>
          <w:lang w:val="en-US"/>
        </w:rPr>
        <w:t>A piemērs</w:t>
      </w:r>
    </w:p>
    <w:p w14:paraId="2B656C44" w14:textId="77777777" w:rsidR="005A2D50" w:rsidRPr="005A2D50" w:rsidRDefault="005A2D50" w:rsidP="005A2D50">
      <w:pPr>
        <w:jc w:val="both"/>
        <w:rPr>
          <w:rFonts w:ascii="Times New Roman" w:hAnsi="Times New Roman" w:cs="Times New Roman"/>
          <w:i/>
          <w:noProof/>
          <w:sz w:val="24"/>
          <w:szCs w:val="24"/>
          <w:lang w:val="en-US"/>
        </w:rPr>
      </w:pPr>
    </w:p>
    <w:p w14:paraId="6CF74770" w14:textId="77777777" w:rsidR="005A2D50" w:rsidRPr="005A2D50" w:rsidRDefault="005A2D50" w:rsidP="005A2D50">
      <w:pPr>
        <w:jc w:val="both"/>
        <w:rPr>
          <w:rFonts w:ascii="Times New Roman" w:hAnsi="Times New Roman"/>
          <w:i/>
          <w:noProof/>
          <w:sz w:val="24"/>
          <w:lang w:val="en-US"/>
        </w:rPr>
      </w:pPr>
      <w:r w:rsidRPr="005A2D50">
        <w:rPr>
          <w:rFonts w:ascii="Times New Roman" w:hAnsi="Times New Roman"/>
          <w:i/>
          <w:noProof/>
          <w:sz w:val="24"/>
          <w:lang w:val="en-US"/>
        </w:rPr>
        <w:t>Uzņēmējs iesniedz pieteikumu atļaujai veikt īpašu procedūru. Viņš vēlas, lai viņam atļauj šo procedūru piemērot precēm par atsauces summu 1 000 000 EUR apmērā.</w:t>
      </w:r>
    </w:p>
    <w:p w14:paraId="657C929D" w14:textId="77777777" w:rsidR="005A2D50" w:rsidRPr="005A2D50" w:rsidRDefault="005A2D50" w:rsidP="005A2D50">
      <w:pPr>
        <w:jc w:val="both"/>
        <w:rPr>
          <w:rFonts w:ascii="Times New Roman" w:hAnsi="Times New Roman"/>
          <w:i/>
          <w:noProof/>
          <w:sz w:val="24"/>
          <w:lang w:val="en-US"/>
        </w:rPr>
      </w:pPr>
      <w:r w:rsidRPr="005A2D50">
        <w:rPr>
          <w:rFonts w:ascii="Times New Roman" w:hAnsi="Times New Roman"/>
          <w:i/>
          <w:noProof/>
          <w:sz w:val="24"/>
          <w:lang w:val="en-US"/>
        </w:rPr>
        <w:t>Tāpēc viņam ir nepieciešams vispārējais galvojums ar atsauces summu 1 000 000 EUR.</w:t>
      </w:r>
    </w:p>
    <w:p w14:paraId="771185D8" w14:textId="77777777" w:rsidR="005A2D50" w:rsidRPr="005A2D50" w:rsidRDefault="005A2D50" w:rsidP="005A2D50">
      <w:pPr>
        <w:jc w:val="both"/>
        <w:rPr>
          <w:rFonts w:ascii="Times New Roman" w:hAnsi="Times New Roman"/>
          <w:i/>
          <w:noProof/>
          <w:sz w:val="24"/>
          <w:lang w:val="en-US"/>
        </w:rPr>
      </w:pPr>
      <w:r w:rsidRPr="005A2D50">
        <w:rPr>
          <w:rFonts w:ascii="Times New Roman" w:hAnsi="Times New Roman"/>
          <w:i/>
          <w:noProof/>
          <w:sz w:val="24"/>
          <w:lang w:val="en-US"/>
        </w:rPr>
        <w:t>Uzņēmējs pieprasa atļauju izmantot šādu vispārējo galvojumu un lūdz to samazināt līdz 30 % no atsauces summas.</w:t>
      </w:r>
    </w:p>
    <w:p w14:paraId="7648B67D" w14:textId="77777777" w:rsidR="005A2D50" w:rsidRPr="005A2D50" w:rsidRDefault="005A2D50" w:rsidP="005A2D50">
      <w:pPr>
        <w:jc w:val="both"/>
        <w:rPr>
          <w:rFonts w:ascii="Times New Roman" w:hAnsi="Times New Roman"/>
          <w:i/>
          <w:noProof/>
          <w:sz w:val="24"/>
          <w:lang w:val="en-US"/>
        </w:rPr>
      </w:pPr>
      <w:r w:rsidRPr="005A2D50">
        <w:rPr>
          <w:rFonts w:ascii="Times New Roman" w:hAnsi="Times New Roman"/>
          <w:i/>
          <w:noProof/>
          <w:sz w:val="24"/>
          <w:lang w:val="en-US"/>
        </w:rPr>
        <w:t>Ja samazinājumu piešķirtu, uzņēmējam būtu jāsniedz tikai faktiskā galvojuma summa 300 000 EUR apmērā.</w:t>
      </w:r>
    </w:p>
    <w:p w14:paraId="5E8DBF89" w14:textId="77777777" w:rsidR="005A2D50" w:rsidRPr="005A2D50" w:rsidRDefault="005A2D50" w:rsidP="005A2D50">
      <w:pPr>
        <w:jc w:val="both"/>
        <w:rPr>
          <w:rFonts w:ascii="Times New Roman" w:hAnsi="Times New Roman"/>
          <w:i/>
          <w:noProof/>
          <w:sz w:val="24"/>
          <w:lang w:val="en-US"/>
        </w:rPr>
      </w:pPr>
      <w:r w:rsidRPr="005A2D50">
        <w:rPr>
          <w:rFonts w:ascii="Times New Roman" w:hAnsi="Times New Roman"/>
          <w:i/>
          <w:noProof/>
          <w:sz w:val="24"/>
          <w:lang w:val="en-US"/>
        </w:rPr>
        <w:t>Hipotētiski, ja visi pārējie nosacījumi samazinājuma līdz 30 % saņemšanai ir izpildīti, ir jāpārbauda, vai uzņēmējam ir pietiekami labs finansiālais stāvoklis, lai tam piešķirtu tiesības uz šādu samazinājumu.</w:t>
      </w:r>
    </w:p>
    <w:p w14:paraId="7EF9DAC9" w14:textId="77777777" w:rsidR="005A2D50" w:rsidRPr="005A2D50" w:rsidRDefault="005A2D50" w:rsidP="005A2D50">
      <w:pPr>
        <w:jc w:val="both"/>
        <w:rPr>
          <w:rFonts w:ascii="Times New Roman" w:hAnsi="Times New Roman"/>
          <w:i/>
          <w:noProof/>
          <w:sz w:val="24"/>
          <w:lang w:val="en-US"/>
        </w:rPr>
      </w:pPr>
      <w:r w:rsidRPr="005A2D50">
        <w:rPr>
          <w:rFonts w:ascii="Times New Roman" w:hAnsi="Times New Roman"/>
          <w:i/>
          <w:noProof/>
          <w:sz w:val="24"/>
          <w:lang w:val="en-US"/>
        </w:rPr>
        <w:t>Parasti muitai būtu jāpārbauda, vai uzņēmējam ir pietiekami labs finansiālais stāvoklis, lai vajadzības gadījumā samaksātu starpību starp atsauces summu (1 000 000 EUR) un faktiskā galvojuma summu (300 000 EUR). Praksē viņam jāpierāda, ka viņš no saviem līdzekļiem var samaksāt 700 000 EUR.</w:t>
      </w:r>
    </w:p>
    <w:p w14:paraId="524B4010" w14:textId="77777777" w:rsidR="005A2D50" w:rsidRPr="005A2D50" w:rsidRDefault="005A2D50" w:rsidP="005A2D50">
      <w:pPr>
        <w:jc w:val="both"/>
        <w:rPr>
          <w:rFonts w:ascii="Times New Roman" w:hAnsi="Times New Roman"/>
          <w:i/>
          <w:noProof/>
          <w:sz w:val="24"/>
          <w:lang w:val="en-US"/>
        </w:rPr>
      </w:pPr>
      <w:r w:rsidRPr="005A2D50">
        <w:rPr>
          <w:rFonts w:ascii="Times New Roman" w:hAnsi="Times New Roman"/>
          <w:i/>
          <w:noProof/>
          <w:sz w:val="24"/>
          <w:lang w:val="en-US"/>
        </w:rPr>
        <w:t>Ja uzņēmējs nespēj pierādīt, ka viņam ir finanšu līdzekļi, lai samaksātu 700 000 EUR, tad jāpieņem nelabvēlīgs lēmums, bet varētu piešķirt mazāku samazinājuma apmēru (piemēram, līdz 50 %).</w:t>
      </w:r>
    </w:p>
    <w:p w14:paraId="2BE58725" w14:textId="77777777" w:rsidR="005A2D50" w:rsidRPr="005A2D50" w:rsidRDefault="005A2D50" w:rsidP="005A2D50">
      <w:pPr>
        <w:jc w:val="both"/>
        <w:rPr>
          <w:rFonts w:ascii="Times New Roman" w:hAnsi="Times New Roman"/>
          <w:i/>
          <w:noProof/>
          <w:sz w:val="24"/>
          <w:lang w:val="en-US"/>
        </w:rPr>
      </w:pPr>
      <w:r w:rsidRPr="005A2D50">
        <w:rPr>
          <w:rFonts w:ascii="Times New Roman" w:hAnsi="Times New Roman"/>
          <w:i/>
          <w:noProof/>
          <w:sz w:val="24"/>
          <w:lang w:val="en-US"/>
        </w:rPr>
        <w:t>Tomēr saskaņā ar pašreizējo SMK DA 84. panta formulējumu pamatotos gadījumos muitas dienesti var ņemt vērā faktisko parādu rašanās risku, ņemot vērā uzņēmēja ar muitu saistītās darījumdarbības veidu un apjomu, kā arī preču veidu, kam jāpiemēro īpašā procedūra, pamatojoties uz vispārējo galvojumu.</w:t>
      </w:r>
    </w:p>
    <w:p w14:paraId="1F7E6E69" w14:textId="77777777" w:rsidR="005A2D50" w:rsidRPr="005A2D50" w:rsidRDefault="005A2D50" w:rsidP="005A2D50">
      <w:pPr>
        <w:jc w:val="both"/>
        <w:rPr>
          <w:rFonts w:ascii="Times New Roman" w:hAnsi="Times New Roman" w:cs="Times New Roman"/>
          <w:i/>
          <w:noProof/>
          <w:sz w:val="24"/>
          <w:szCs w:val="24"/>
          <w:lang w:val="en-US"/>
        </w:rPr>
      </w:pPr>
    </w:p>
    <w:p w14:paraId="505E6F10" w14:textId="77777777" w:rsidR="005A2D50" w:rsidRPr="005A2D50" w:rsidRDefault="005A2D50" w:rsidP="005A2D50">
      <w:pPr>
        <w:jc w:val="both"/>
        <w:rPr>
          <w:rFonts w:ascii="Times New Roman" w:hAnsi="Times New Roman"/>
          <w:i/>
          <w:noProof/>
          <w:sz w:val="24"/>
          <w:lang w:val="en-US"/>
        </w:rPr>
      </w:pPr>
      <w:r w:rsidRPr="005A2D50">
        <w:rPr>
          <w:rFonts w:ascii="Times New Roman" w:hAnsi="Times New Roman"/>
          <w:i/>
          <w:noProof/>
          <w:sz w:val="24"/>
          <w:lang w:val="en-US"/>
        </w:rPr>
        <w:t>Turpmāk ir minēti piemēri.</w:t>
      </w:r>
    </w:p>
    <w:p w14:paraId="51D78623" w14:textId="77777777" w:rsidR="005A2D50" w:rsidRPr="005A2D50" w:rsidRDefault="005A2D50" w:rsidP="005A2D50">
      <w:pPr>
        <w:jc w:val="both"/>
        <w:rPr>
          <w:rFonts w:ascii="Times New Roman" w:hAnsi="Times New Roman"/>
          <w:i/>
          <w:noProof/>
          <w:sz w:val="24"/>
          <w:lang w:val="en-US"/>
        </w:rPr>
      </w:pPr>
      <w:r w:rsidRPr="005A2D50">
        <w:rPr>
          <w:rFonts w:ascii="Times New Roman" w:hAnsi="Times New Roman"/>
          <w:i/>
          <w:noProof/>
          <w:sz w:val="24"/>
          <w:lang w:val="en-US"/>
        </w:rPr>
        <w:t>Maksimālais parāds, kas teorētiski varētu rasties, ir 1 000 000 EUR (atsauces summa).</w:t>
      </w:r>
    </w:p>
    <w:p w14:paraId="5441D7F0" w14:textId="77777777" w:rsidR="005A2D50" w:rsidRPr="005A2D50" w:rsidRDefault="005A2D50" w:rsidP="005A2D50">
      <w:pPr>
        <w:jc w:val="both"/>
        <w:rPr>
          <w:rFonts w:ascii="Times New Roman" w:hAnsi="Times New Roman"/>
          <w:i/>
          <w:noProof/>
          <w:sz w:val="24"/>
          <w:lang w:val="en-US"/>
        </w:rPr>
      </w:pPr>
      <w:r w:rsidRPr="005A2D50">
        <w:rPr>
          <w:rFonts w:ascii="Times New Roman" w:hAnsi="Times New Roman"/>
          <w:i/>
          <w:noProof/>
          <w:sz w:val="24"/>
          <w:lang w:val="en-US"/>
        </w:rPr>
        <w:t>Muita varētu uzskatīt, ka parāda 1 000 000 EUR apmērā rašanās risks būs ļoti neliels.</w:t>
      </w:r>
    </w:p>
    <w:p w14:paraId="7D05E940" w14:textId="77777777" w:rsidR="005A2D50" w:rsidRPr="005A2D50" w:rsidRDefault="005A2D50" w:rsidP="005A2D50">
      <w:pPr>
        <w:jc w:val="both"/>
        <w:rPr>
          <w:rFonts w:ascii="Times New Roman" w:hAnsi="Times New Roman"/>
          <w:i/>
          <w:noProof/>
          <w:sz w:val="24"/>
          <w:lang w:val="en-US"/>
        </w:rPr>
      </w:pPr>
      <w:r w:rsidRPr="005A2D50">
        <w:rPr>
          <w:rFonts w:ascii="Times New Roman" w:hAnsi="Times New Roman"/>
          <w:i/>
          <w:noProof/>
          <w:sz w:val="24"/>
          <w:lang w:val="en-US"/>
        </w:rPr>
        <w:t>Lai novērtētu “reālo sliktākā gadījuma scenāriju”, muita analizē:</w:t>
      </w:r>
    </w:p>
    <w:p w14:paraId="66D23EFF" w14:textId="77777777" w:rsidR="005A2D50" w:rsidRPr="005A2D50" w:rsidRDefault="005A2D50" w:rsidP="005A2D50">
      <w:pPr>
        <w:tabs>
          <w:tab w:val="left" w:pos="1186"/>
        </w:tabs>
        <w:ind w:left="284"/>
        <w:jc w:val="both"/>
        <w:rPr>
          <w:rFonts w:ascii="Times New Roman" w:eastAsia="Times New Roman" w:hAnsi="Times New Roman" w:cs="Times New Roman"/>
          <w:i/>
          <w:noProof/>
          <w:sz w:val="24"/>
          <w:szCs w:val="24"/>
          <w:lang w:val="en-US"/>
        </w:rPr>
      </w:pPr>
    </w:p>
    <w:p w14:paraId="2AC7BB7E" w14:textId="77777777" w:rsidR="005A2D50" w:rsidRPr="005A2D50" w:rsidRDefault="005A2D50" w:rsidP="005A2D50">
      <w:pPr>
        <w:tabs>
          <w:tab w:val="left" w:pos="1186"/>
        </w:tabs>
        <w:ind w:left="284"/>
        <w:jc w:val="both"/>
        <w:rPr>
          <w:rFonts w:ascii="Times New Roman" w:hAnsi="Times New Roman"/>
          <w:i/>
          <w:noProof/>
          <w:sz w:val="24"/>
          <w:lang w:val="en-US"/>
        </w:rPr>
      </w:pPr>
      <w:r w:rsidRPr="005A2D50">
        <w:rPr>
          <w:rFonts w:ascii="Times New Roman" w:hAnsi="Times New Roman"/>
          <w:i/>
          <w:noProof/>
          <w:sz w:val="24"/>
          <w:lang w:val="en-US"/>
        </w:rPr>
        <w:t>1) vai pēdējo trīs gadu laikā pieteikuma iesniedzējam ir radušies zaudējumi un vai tie ir samaksāti. Piemēram, radās zaudējumi 50 000 EUR apmērā, bet pieteikuma iesniedzējs tos pilnībā sedza. Tādā gadījumā muita var veikt 84. panta 3.a punktā minēto riska elementu novērtējumu;</w:t>
      </w:r>
    </w:p>
    <w:p w14:paraId="4B70981B" w14:textId="77777777" w:rsidR="005A2D50" w:rsidRPr="005A2D50" w:rsidRDefault="005A2D50" w:rsidP="005A2D50">
      <w:pPr>
        <w:tabs>
          <w:tab w:val="left" w:pos="1186"/>
        </w:tabs>
        <w:ind w:left="284"/>
        <w:jc w:val="both"/>
        <w:rPr>
          <w:rFonts w:ascii="Times New Roman" w:hAnsi="Times New Roman"/>
          <w:i/>
          <w:noProof/>
          <w:sz w:val="24"/>
          <w:lang w:val="en-US"/>
        </w:rPr>
      </w:pPr>
      <w:r w:rsidRPr="005A2D50">
        <w:rPr>
          <w:rFonts w:ascii="Times New Roman" w:hAnsi="Times New Roman"/>
          <w:i/>
          <w:noProof/>
          <w:sz w:val="24"/>
          <w:lang w:val="en-US"/>
        </w:rPr>
        <w:t>2) vai kontroles darbības ir pietiekamas;</w:t>
      </w:r>
    </w:p>
    <w:p w14:paraId="39881AA7" w14:textId="77777777" w:rsidR="005A2D50" w:rsidRPr="005A2D50" w:rsidRDefault="005A2D50" w:rsidP="005A2D50">
      <w:pPr>
        <w:tabs>
          <w:tab w:val="left" w:pos="1186"/>
        </w:tabs>
        <w:ind w:left="284"/>
        <w:jc w:val="both"/>
        <w:rPr>
          <w:rFonts w:ascii="Times New Roman" w:hAnsi="Times New Roman"/>
          <w:i/>
          <w:noProof/>
          <w:sz w:val="24"/>
          <w:lang w:val="en-US"/>
        </w:rPr>
      </w:pPr>
      <w:r w:rsidRPr="005A2D50">
        <w:rPr>
          <w:rFonts w:ascii="Times New Roman" w:hAnsi="Times New Roman"/>
          <w:i/>
          <w:noProof/>
          <w:sz w:val="24"/>
          <w:lang w:val="en-US"/>
        </w:rPr>
        <w:t>3) vai veiktā darījumdarbība ir mainījusies vai nav;</w:t>
      </w:r>
    </w:p>
    <w:p w14:paraId="35734027" w14:textId="77777777" w:rsidR="005A2D50" w:rsidRPr="005A2D50" w:rsidRDefault="005A2D50" w:rsidP="005A2D50">
      <w:pPr>
        <w:tabs>
          <w:tab w:val="left" w:pos="1186"/>
        </w:tabs>
        <w:ind w:left="284"/>
        <w:jc w:val="both"/>
        <w:rPr>
          <w:rFonts w:ascii="Times New Roman" w:hAnsi="Times New Roman"/>
          <w:i/>
          <w:noProof/>
          <w:sz w:val="24"/>
          <w:lang w:val="en-US"/>
        </w:rPr>
      </w:pPr>
      <w:r w:rsidRPr="005A2D50">
        <w:rPr>
          <w:rFonts w:ascii="Times New Roman" w:hAnsi="Times New Roman"/>
          <w:i/>
          <w:noProof/>
          <w:sz w:val="24"/>
          <w:lang w:val="en-US"/>
        </w:rPr>
        <w:t>4) vai nav riskantu preču.</w:t>
      </w:r>
    </w:p>
    <w:p w14:paraId="2170D696" w14:textId="77777777" w:rsidR="005A2D50" w:rsidRPr="005A2D50" w:rsidRDefault="005A2D50" w:rsidP="005A2D50">
      <w:pPr>
        <w:jc w:val="both"/>
        <w:rPr>
          <w:rFonts w:ascii="Times New Roman" w:hAnsi="Times New Roman" w:cs="Times New Roman"/>
          <w:i/>
          <w:noProof/>
          <w:sz w:val="24"/>
          <w:szCs w:val="24"/>
          <w:lang w:val="en-US"/>
        </w:rPr>
      </w:pPr>
    </w:p>
    <w:p w14:paraId="00E4F7BC" w14:textId="77777777" w:rsidR="005A2D50" w:rsidRPr="005A2D50" w:rsidRDefault="005A2D50" w:rsidP="005A2D50">
      <w:pPr>
        <w:jc w:val="both"/>
        <w:rPr>
          <w:rFonts w:ascii="Times New Roman" w:hAnsi="Times New Roman"/>
          <w:i/>
          <w:noProof/>
          <w:sz w:val="24"/>
          <w:lang w:val="en-US"/>
        </w:rPr>
      </w:pPr>
      <w:r w:rsidRPr="005A2D50">
        <w:rPr>
          <w:rFonts w:ascii="Times New Roman" w:hAnsi="Times New Roman"/>
          <w:i/>
          <w:noProof/>
          <w:sz w:val="24"/>
          <w:lang w:val="en-US"/>
        </w:rPr>
        <w:t>Iepriekšējo trīs gadu muitas dati liecina, ka muitas parāda rašanās varbūtība ir aptuveni 5 %, kas ir 50 000 EUR gadā. Ja viņa darījumdarbība nemainās (piemēram, netiek veiktas jaunas muitas procedūras, kuras viņš nepārzina), ir ļoti iespējams, ka varbūtības risks saglabājas 5 % apmērā.</w:t>
      </w:r>
    </w:p>
    <w:p w14:paraId="6B00A676" w14:textId="77777777" w:rsidR="005A2D50" w:rsidRPr="005A2D50" w:rsidRDefault="005A2D50" w:rsidP="005A2D50">
      <w:pPr>
        <w:jc w:val="both"/>
        <w:rPr>
          <w:rFonts w:ascii="Times New Roman" w:hAnsi="Times New Roman"/>
          <w:i/>
          <w:noProof/>
          <w:sz w:val="24"/>
          <w:lang w:val="en-US"/>
        </w:rPr>
      </w:pPr>
      <w:r w:rsidRPr="005A2D50">
        <w:rPr>
          <w:rFonts w:ascii="Times New Roman" w:hAnsi="Times New Roman"/>
          <w:i/>
          <w:noProof/>
          <w:sz w:val="24"/>
          <w:lang w:val="en-US"/>
        </w:rPr>
        <w:t>Ņemot vērā visus iepriekšminētos faktorus, lai noteiktu risku, muita var nolemt piešķirt samazinājumu, jo uzņēmēja darījumdarbību var uzskatīt par tādu, kurai ir zems risks, un uzņēmēja finansiālais stāvoklis var nosegt iespējamo muitas parādu, kas varētu rasties 50 000 EUR apmērā.</w:t>
      </w:r>
    </w:p>
    <w:p w14:paraId="12FEDB6E" w14:textId="77777777" w:rsidR="005A2D50" w:rsidRPr="005A2D50" w:rsidRDefault="005A2D50" w:rsidP="005A2D50">
      <w:pPr>
        <w:jc w:val="both"/>
        <w:rPr>
          <w:rFonts w:ascii="Times New Roman" w:hAnsi="Times New Roman" w:cs="Times New Roman"/>
          <w:i/>
          <w:noProof/>
          <w:sz w:val="24"/>
          <w:szCs w:val="24"/>
          <w:lang w:val="en-US"/>
        </w:rPr>
      </w:pPr>
    </w:p>
    <w:p w14:paraId="5634D2D1" w14:textId="77777777" w:rsidR="005A2D50" w:rsidRPr="005A2D50" w:rsidRDefault="005A2D50" w:rsidP="005A2D50">
      <w:pPr>
        <w:jc w:val="both"/>
        <w:rPr>
          <w:rFonts w:ascii="Times New Roman" w:hAnsi="Times New Roman"/>
          <w:i/>
          <w:noProof/>
          <w:sz w:val="24"/>
          <w:lang w:val="en-US"/>
        </w:rPr>
      </w:pPr>
      <w:r w:rsidRPr="005A2D50">
        <w:rPr>
          <w:rFonts w:ascii="Times New Roman" w:hAnsi="Times New Roman"/>
          <w:i/>
          <w:noProof/>
          <w:sz w:val="24"/>
          <w:lang w:val="en-US"/>
        </w:rPr>
        <w:t>B piemērs</w:t>
      </w:r>
    </w:p>
    <w:p w14:paraId="43887D2F" w14:textId="77777777" w:rsidR="005A2D50" w:rsidRPr="005A2D50" w:rsidRDefault="005A2D50" w:rsidP="005A2D50">
      <w:pPr>
        <w:jc w:val="both"/>
        <w:rPr>
          <w:rFonts w:ascii="Times New Roman" w:hAnsi="Times New Roman" w:cs="Times New Roman"/>
          <w:i/>
          <w:noProof/>
          <w:sz w:val="24"/>
          <w:szCs w:val="24"/>
          <w:lang w:val="en-US"/>
        </w:rPr>
      </w:pPr>
    </w:p>
    <w:p w14:paraId="66374512" w14:textId="77777777" w:rsidR="005A2D50" w:rsidRPr="005A2D50" w:rsidRDefault="005A2D50" w:rsidP="005A2D50">
      <w:pPr>
        <w:jc w:val="both"/>
        <w:rPr>
          <w:rFonts w:ascii="Times New Roman" w:hAnsi="Times New Roman"/>
          <w:i/>
          <w:noProof/>
          <w:sz w:val="24"/>
          <w:lang w:val="en-US"/>
        </w:rPr>
      </w:pPr>
      <w:r w:rsidRPr="005A2D50">
        <w:rPr>
          <w:rFonts w:ascii="Times New Roman" w:hAnsi="Times New Roman"/>
          <w:i/>
          <w:noProof/>
          <w:sz w:val="24"/>
          <w:lang w:val="en-US"/>
        </w:rPr>
        <w:t>Vēl viens piemērs situācijai, kad lielākais parāds, kas var rasties reālā scenārijā, varētu būt krietni mazāks par parādu, kas teorētiski varētu rasties.</w:t>
      </w:r>
    </w:p>
    <w:p w14:paraId="7161AAF0" w14:textId="77777777" w:rsidR="005A2D50" w:rsidRPr="005A2D50" w:rsidRDefault="005A2D50" w:rsidP="005A2D50">
      <w:pPr>
        <w:jc w:val="both"/>
        <w:rPr>
          <w:rFonts w:ascii="Times New Roman" w:hAnsi="Times New Roman"/>
          <w:i/>
          <w:noProof/>
          <w:sz w:val="24"/>
          <w:lang w:val="en-US"/>
        </w:rPr>
      </w:pPr>
      <w:r w:rsidRPr="005A2D50">
        <w:rPr>
          <w:rFonts w:ascii="Times New Roman" w:hAnsi="Times New Roman"/>
          <w:i/>
          <w:noProof/>
          <w:sz w:val="24"/>
          <w:lang w:val="en-US"/>
        </w:rPr>
        <w:t>Tvertņu terminālī (pagaidu uzglabāšanas vietā) varētu būt tūkstošiem tvertņu, kas rada iespējamu muitas parādu simtiem miljonu euro apmērā. Tomēr nav tādas iespējas visas šīs tvertnes vienlaikus izņemt no “procedūras”. Ņemot vērā augstas drošības zonu pagaidu uzglabāšanas vietai, kuras pamatā ir atklātas muitas prasības, kā arī ISPS kodeksu, muita varētu secināt, ka lielākais parāds, kas varētu rasties reālā scenārijā, ir krietni mazāks par atsauces summu, ko tā varētu ņemt vērā, novērtējot pietiekami labu finansiālo stāvokli.</w:t>
      </w:r>
    </w:p>
    <w:p w14:paraId="4AE7AC80" w14:textId="77777777" w:rsidR="005A2D50" w:rsidRPr="005A2D50" w:rsidRDefault="005A2D50" w:rsidP="005A2D50">
      <w:pPr>
        <w:jc w:val="both"/>
        <w:rPr>
          <w:rFonts w:ascii="Times New Roman" w:eastAsia="Times New Roman" w:hAnsi="Times New Roman" w:cs="Times New Roman"/>
          <w:noProof/>
          <w:sz w:val="24"/>
          <w:szCs w:val="24"/>
          <w:lang w:val="en-US"/>
        </w:rPr>
      </w:pPr>
    </w:p>
    <w:p w14:paraId="34D19952" w14:textId="77777777" w:rsidR="005A2D50" w:rsidRPr="005A2D50" w:rsidRDefault="005A2D50" w:rsidP="005A2D50">
      <w:pPr>
        <w:pStyle w:val="Heading2"/>
        <w:rPr>
          <w:noProof/>
          <w:lang w:val="en-US"/>
        </w:rPr>
      </w:pPr>
      <w:bookmarkStart w:id="236" w:name="A2.13_Release_of_guarantee_provided_for_"/>
      <w:bookmarkStart w:id="237" w:name="_bookmark66"/>
      <w:bookmarkStart w:id="238" w:name="_Toc104982824"/>
      <w:bookmarkEnd w:id="236"/>
      <w:bookmarkEnd w:id="237"/>
      <w:r w:rsidRPr="005A2D50">
        <w:rPr>
          <w:noProof/>
          <w:lang w:val="en-US"/>
        </w:rPr>
        <w:t>A2.13. Tāda galvojuma atbrīvošana, kas sniegts atliktajiem maksājumiem saskaņā ar SMK 110. panta b) un c) punktu</w:t>
      </w:r>
      <w:bookmarkEnd w:id="238"/>
    </w:p>
    <w:p w14:paraId="67F3AB10"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09F68192" w14:textId="77777777" w:rsidR="005A2D50" w:rsidRPr="005A2D50" w:rsidRDefault="005A2D50" w:rsidP="005A2D50">
      <w:pPr>
        <w:pStyle w:val="BodyText"/>
        <w:rPr>
          <w:lang w:val="en-US"/>
        </w:rPr>
      </w:pPr>
      <w:r w:rsidRPr="005A2D50">
        <w:rPr>
          <w:lang w:val="en-US"/>
        </w:rPr>
        <w:t>Saskaņā ar SMK 110. panta b) un c) punktu muitas nodokļu summām var piemērot maksājuma atlikšanu attiecībā uz visām summām, kas ir atsevišķi iegrāmatotas noteiktā laikposmā saskaņā ar SMK 105. panta 1. punkta pirmo daļu vai iegrāmatotas vispārīgi tā laikposma beigās, ko muitas dienesti ir noteikuši saskaņā ar SMK 105. panta 1. punkta otro daļu.</w:t>
      </w:r>
    </w:p>
    <w:p w14:paraId="50D58213" w14:textId="77777777" w:rsidR="005A2D50" w:rsidRPr="005A2D50" w:rsidRDefault="005A2D50" w:rsidP="005A2D50">
      <w:pPr>
        <w:pStyle w:val="BodyText"/>
        <w:rPr>
          <w:lang w:val="en-US"/>
        </w:rPr>
      </w:pPr>
      <w:r w:rsidRPr="005A2D50">
        <w:rPr>
          <w:lang w:val="en-US"/>
        </w:rPr>
        <w:t>Kopumā lasot šos noteikumus un SMK 102. panta 2. punkta noteikumus, kā arī neskarot SMK ĪA 244. pantu, var uzskatīt, ka tvērums galvojumam, kurš sniegts saistībā ar preču laišanu brīvā apgrozībā, atliekot maksājumu, attiecas tikai uz pienākumiem saistībā ar muitas deklarācijas pieņemšanu preču izlaišanai.</w:t>
      </w:r>
    </w:p>
    <w:p w14:paraId="29EBEA0C" w14:textId="77777777" w:rsidR="005A2D50" w:rsidRPr="005A2D50" w:rsidRDefault="005A2D50" w:rsidP="005A2D50">
      <w:pPr>
        <w:pStyle w:val="BodyText"/>
        <w:rPr>
          <w:lang w:val="en-US"/>
        </w:rPr>
      </w:pPr>
      <w:r w:rsidRPr="005A2D50">
        <w:rPr>
          <w:lang w:val="en-US"/>
        </w:rPr>
        <w:t>Tomēr, ņemot vērā SMK 89. panta 4. punkta otro daļu, galvojumam jāsedz maksājamā nodokļu summa par visām precēm, kas izlaistas, pamatojoties uz muitas deklarāciju, neatkarīgi no tā, vai šī deklarācija ir pareiza vai nav. Citiem vārdiem sakot, saskaņā ar SMK 48. pantu dalībvalstīm ir tiesības izmantot galvojumu arī tādu muitas parādu un, ja atbilstīgi, citu maksājumu atgūšanai, kas maksājami pēc kontroles pēc izlaišanas (skat. šā dokumenta II.3.3. iedaļu).</w:t>
      </w:r>
    </w:p>
    <w:p w14:paraId="5A7E8B5A" w14:textId="77777777" w:rsidR="005A2D50" w:rsidRPr="005A2D50" w:rsidRDefault="005A2D50" w:rsidP="005A2D50">
      <w:pPr>
        <w:pStyle w:val="BodyText"/>
        <w:rPr>
          <w:lang w:val="en-US"/>
        </w:rPr>
      </w:pPr>
      <w:r w:rsidRPr="005A2D50">
        <w:rPr>
          <w:lang w:val="en-US"/>
        </w:rPr>
        <w:t>Šķiet, ka vispārējā galvojuma gadījumā, kas sniegts maksājuma atlikšanai, galvinieks uzņemas finansiālu atbildību par summām, kas radušās brīdī, kad tiek pieņemta deklarācija par laišanu brīvā apgrozībā, neatkarīgi no tā, vai sākotnēji noteiktā summa bijusi pareiza vai nav, nepārsniedzot pieejamo galvojuma summu. Muitas dienests var pieprasīt šo summu no galvojuma tam pieejamās summas robežās un tikai tad, ja parādnieks neveic maksājumu noteiktajā termiņā, ko muitas dienests nosaka saskaņā ar SMK 111. pantu.</w:t>
      </w:r>
    </w:p>
    <w:p w14:paraId="43B4CFFD" w14:textId="77777777" w:rsidR="005A2D50" w:rsidRPr="005A2D50" w:rsidRDefault="005A2D50" w:rsidP="005A2D50">
      <w:pPr>
        <w:pStyle w:val="BodyText"/>
        <w:rPr>
          <w:lang w:val="en-US"/>
        </w:rPr>
      </w:pPr>
      <w:r w:rsidRPr="005A2D50">
        <w:rPr>
          <w:lang w:val="en-US"/>
        </w:rPr>
        <w:t>Pēc muitas pienākumu dzēšanas saskaņā ar SMK 124. panta 1. punkta b) apakšpunktu (ievedmuitas vai izvedmuitas nodokļa pareizas summas samaksa pilnā apmērā) un tad, ja galvojums vairs nav nepieciešams citiem muitas darījumiem/deklarācijām/precēm, muitas dienestam būtu nekavējoties jāatbrīvo galvojums, bet tikai pēc tam, kad ir izvērtēts risks, ka varētu rasties jauni muitas pienākumi saskaņā ar SMK 48. pantu un 105. panta 4. punktu (skat. šā dokumenta II.3.6. iedaļu).</w:t>
      </w:r>
    </w:p>
    <w:p w14:paraId="0A9C0404" w14:textId="77777777" w:rsidR="005A2D50" w:rsidRPr="005A2D50" w:rsidRDefault="005A2D50" w:rsidP="005A2D50">
      <w:pPr>
        <w:pStyle w:val="BodyText"/>
        <w:rPr>
          <w:lang w:val="en-US"/>
        </w:rPr>
      </w:pPr>
    </w:p>
    <w:p w14:paraId="1E52BE89" w14:textId="77777777" w:rsidR="005A2D50" w:rsidRPr="005A2D50" w:rsidRDefault="005A2D50" w:rsidP="005A2D50">
      <w:pPr>
        <w:jc w:val="both"/>
        <w:rPr>
          <w:rFonts w:ascii="Times New Roman" w:hAnsi="Times New Roman"/>
          <w:i/>
          <w:noProof/>
          <w:sz w:val="24"/>
          <w:lang w:val="en-US"/>
        </w:rPr>
      </w:pPr>
      <w:r w:rsidRPr="005A2D50">
        <w:rPr>
          <w:rFonts w:ascii="Times New Roman" w:hAnsi="Times New Roman"/>
          <w:i/>
          <w:noProof/>
          <w:sz w:val="24"/>
          <w:lang w:val="en-US"/>
        </w:rPr>
        <w:t>Praktisks piemērs.</w:t>
      </w:r>
    </w:p>
    <w:p w14:paraId="67644045" w14:textId="77777777" w:rsidR="005A2D50" w:rsidRPr="005A2D50" w:rsidRDefault="005A2D50" w:rsidP="005A2D50">
      <w:pPr>
        <w:jc w:val="both"/>
        <w:rPr>
          <w:rFonts w:ascii="Times New Roman" w:hAnsi="Times New Roman" w:cs="Times New Roman"/>
          <w:i/>
          <w:noProof/>
          <w:sz w:val="24"/>
          <w:szCs w:val="24"/>
          <w:lang w:val="en-US"/>
        </w:rPr>
      </w:pPr>
    </w:p>
    <w:p w14:paraId="0C02813E" w14:textId="77777777" w:rsidR="005A2D50" w:rsidRPr="005A2D50" w:rsidRDefault="005A2D50" w:rsidP="005A2D50">
      <w:pPr>
        <w:jc w:val="both"/>
        <w:rPr>
          <w:rFonts w:ascii="Times New Roman" w:hAnsi="Times New Roman"/>
          <w:i/>
          <w:noProof/>
          <w:sz w:val="24"/>
          <w:lang w:val="en-US"/>
        </w:rPr>
      </w:pPr>
      <w:r w:rsidRPr="005A2D50">
        <w:rPr>
          <w:rFonts w:ascii="Times New Roman" w:hAnsi="Times New Roman"/>
          <w:i/>
          <w:noProof/>
          <w:sz w:val="24"/>
          <w:lang w:val="en-US"/>
        </w:rPr>
        <w:t>Uzņēmējam ir atļauts atlikt nodokļu maksājumu, kas iegrāmatots saskaņā ar SMK 105. panta 1. punkta pirmo daļu, uz termiņu, kāds paredzēts SMK 111. panta 3. punktā (“samaksa ir atlikta saskaņā ar 110. panta b) punktu, minētais termiņš sākas nākamajā dienā pēc dienas, kad beidzas apkopošanas laikposms. To samazina par tik dienām, cik atbilst pusei no apkopošanas laikposma dienu skaita.”), nepārsniedzot atsauces summas maksimālo robežu 120 000 EUR apmērā.</w:t>
      </w:r>
    </w:p>
    <w:p w14:paraId="5724E9C2" w14:textId="77777777" w:rsidR="005A2D50" w:rsidRPr="005A2D50" w:rsidRDefault="005A2D50" w:rsidP="005A2D50">
      <w:pPr>
        <w:jc w:val="both"/>
        <w:rPr>
          <w:rFonts w:ascii="Times New Roman" w:hAnsi="Times New Roman"/>
          <w:i/>
          <w:noProof/>
          <w:sz w:val="24"/>
          <w:lang w:val="en-US"/>
        </w:rPr>
      </w:pPr>
      <w:r w:rsidRPr="005A2D50">
        <w:rPr>
          <w:rFonts w:ascii="Times New Roman" w:hAnsi="Times New Roman"/>
          <w:i/>
          <w:noProof/>
          <w:sz w:val="24"/>
          <w:lang w:val="en-US"/>
        </w:rPr>
        <w:t>Persona, kas saņem atļauju atlikt maksājumu, veic iegrāmatoto summu apmaksu laikposmā pirms CA noteiktā termiņa beigām (120 000 EUR tikai attiecībā uz parādiem, kas radušies, ja attiecīgās deklarācijas ir pieņemtas un iegrāmatotas saskaņā ar SMK 105. panta 1. punkta pirmo daļu), un nesamaksātā galvojuma derīguma termiņa laikā nav veikta pārbaude pēc izlaišanas, kam pārbaude veicama saskaņā ar SMK 48. pantu. Saņēmējs lūdz atbrīvot galvojumu, kas sniegts par pienākošos summu 120 000 EUR apmērā. Saņemot šādu pieprasījumu, muitas dienests nodrošina, ka galvojums tiek nekavējoties atbrīvots, ja:</w:t>
      </w:r>
    </w:p>
    <w:p w14:paraId="3E28A732" w14:textId="77777777" w:rsidR="005A2D50" w:rsidRPr="005A2D50" w:rsidRDefault="005A2D50" w:rsidP="005A2D50">
      <w:pPr>
        <w:jc w:val="both"/>
        <w:rPr>
          <w:rFonts w:ascii="Times New Roman" w:hAnsi="Times New Roman" w:cs="Times New Roman"/>
          <w:i/>
          <w:noProof/>
          <w:sz w:val="24"/>
          <w:szCs w:val="24"/>
          <w:lang w:val="en-US"/>
        </w:rPr>
      </w:pPr>
    </w:p>
    <w:p w14:paraId="38A2FC56" w14:textId="77777777" w:rsidR="005A2D50" w:rsidRPr="005A2D50" w:rsidRDefault="005A2D50" w:rsidP="005A2D50">
      <w:pPr>
        <w:tabs>
          <w:tab w:val="left" w:pos="826"/>
        </w:tabs>
        <w:ind w:left="284"/>
        <w:jc w:val="both"/>
        <w:rPr>
          <w:rFonts w:ascii="Times New Roman" w:hAnsi="Times New Roman"/>
          <w:i/>
          <w:noProof/>
          <w:sz w:val="24"/>
          <w:lang w:val="en-US"/>
        </w:rPr>
      </w:pPr>
      <w:r w:rsidRPr="005A2D50">
        <w:rPr>
          <w:rFonts w:ascii="Times New Roman" w:hAnsi="Times New Roman"/>
          <w:i/>
          <w:noProof/>
          <w:sz w:val="24"/>
          <w:lang w:val="en-US"/>
        </w:rPr>
        <w:t>1) ir nomaksāti visi radušies parādi, kas noteikti pirms galvojuma derīguma termiņa beigām neatkarīgi no atlikšanas termiņa;</w:t>
      </w:r>
    </w:p>
    <w:p w14:paraId="5FB73A8B" w14:textId="77777777" w:rsidR="005A2D50" w:rsidRPr="005A2D50" w:rsidRDefault="005A2D50" w:rsidP="005A2D50">
      <w:pPr>
        <w:tabs>
          <w:tab w:val="left" w:pos="826"/>
        </w:tabs>
        <w:ind w:left="284"/>
        <w:jc w:val="both"/>
        <w:rPr>
          <w:rFonts w:ascii="Times New Roman" w:hAnsi="Times New Roman"/>
          <w:i/>
          <w:noProof/>
          <w:sz w:val="24"/>
          <w:lang w:val="en-US"/>
        </w:rPr>
      </w:pPr>
      <w:r w:rsidRPr="005A2D50">
        <w:rPr>
          <w:rFonts w:ascii="Times New Roman" w:hAnsi="Times New Roman"/>
          <w:i/>
          <w:noProof/>
          <w:sz w:val="24"/>
          <w:lang w:val="en-US"/>
        </w:rPr>
        <w:t>2) nākotnē nav paredzēti darījumi, uz kuriem attieksies minētais galvojums, un</w:t>
      </w:r>
    </w:p>
    <w:p w14:paraId="134DD565" w14:textId="77777777" w:rsidR="005A2D50" w:rsidRPr="005A2D50" w:rsidRDefault="005A2D50" w:rsidP="005A2D50">
      <w:pPr>
        <w:tabs>
          <w:tab w:val="left" w:pos="826"/>
        </w:tabs>
        <w:ind w:left="284"/>
        <w:jc w:val="both"/>
        <w:rPr>
          <w:rFonts w:ascii="Times New Roman" w:hAnsi="Times New Roman"/>
          <w:i/>
          <w:noProof/>
          <w:sz w:val="24"/>
          <w:lang w:val="en-US"/>
        </w:rPr>
      </w:pPr>
      <w:r w:rsidRPr="005A2D50">
        <w:rPr>
          <w:rFonts w:ascii="Times New Roman" w:hAnsi="Times New Roman"/>
          <w:i/>
          <w:noProof/>
          <w:sz w:val="24"/>
          <w:lang w:val="en-US"/>
        </w:rPr>
        <w:t>3) ņemot vērā galvojuma izsniegšanas brīdī pieejamo informāciju, nav aplēstas jaunas muitas saistības saskaņā ar SMK 48. pantu un 105. panta 3. punktu.</w:t>
      </w:r>
    </w:p>
    <w:p w14:paraId="2C003093" w14:textId="77777777" w:rsidR="005A2D50" w:rsidRPr="005A2D50" w:rsidRDefault="005A2D50" w:rsidP="005A2D50">
      <w:pPr>
        <w:jc w:val="both"/>
        <w:rPr>
          <w:rFonts w:ascii="Times New Roman" w:eastAsia="Times New Roman" w:hAnsi="Times New Roman" w:cs="Times New Roman"/>
          <w:noProof/>
          <w:sz w:val="24"/>
          <w:szCs w:val="24"/>
          <w:lang w:val="en-US"/>
        </w:rPr>
      </w:pPr>
    </w:p>
    <w:p w14:paraId="1E5449AD" w14:textId="77777777" w:rsidR="005A2D50" w:rsidRPr="005A2D50" w:rsidRDefault="005A2D50" w:rsidP="005A2D50">
      <w:pPr>
        <w:pStyle w:val="Heading2"/>
        <w:rPr>
          <w:noProof/>
          <w:lang w:val="en-US"/>
        </w:rPr>
      </w:pPr>
      <w:bookmarkStart w:id="239" w:name="A2.14_Release_of_the_guarantee_provided_"/>
      <w:bookmarkStart w:id="240" w:name="_bookmark67"/>
      <w:bookmarkStart w:id="241" w:name="_Toc104982825"/>
      <w:bookmarkEnd w:id="239"/>
      <w:bookmarkEnd w:id="240"/>
      <w:r w:rsidRPr="005A2D50">
        <w:rPr>
          <w:noProof/>
          <w:lang w:val="en-US"/>
        </w:rPr>
        <w:t xml:space="preserve">A2.14. </w:t>
      </w:r>
      <w:bookmarkEnd w:id="241"/>
      <w:r w:rsidRPr="005A2D50">
        <w:rPr>
          <w:noProof/>
          <w:lang w:val="en-US"/>
        </w:rPr>
        <w:t>Tāda galvojuma atbrīvošana, kas sniegts par precēm, kurām pieteiktā tarifu kvota ir kritiska</w:t>
      </w:r>
    </w:p>
    <w:p w14:paraId="229B3642" w14:textId="77777777" w:rsidR="005A2D50" w:rsidRPr="005A2D50" w:rsidRDefault="005A2D50" w:rsidP="005A2D50">
      <w:pPr>
        <w:jc w:val="both"/>
        <w:rPr>
          <w:rFonts w:ascii="Times New Roman" w:eastAsia="Times New Roman" w:hAnsi="Times New Roman" w:cs="Times New Roman"/>
          <w:b/>
          <w:bCs/>
          <w:noProof/>
          <w:sz w:val="24"/>
          <w:szCs w:val="24"/>
          <w:lang w:val="en-US"/>
        </w:rPr>
      </w:pPr>
    </w:p>
    <w:p w14:paraId="377D5599" w14:textId="77777777" w:rsidR="005A2D50" w:rsidRPr="005A2D50" w:rsidRDefault="005A2D50" w:rsidP="005A2D50">
      <w:pPr>
        <w:pStyle w:val="BodyText"/>
        <w:rPr>
          <w:lang w:val="en-US"/>
        </w:rPr>
      </w:pPr>
      <w:r w:rsidRPr="005A2D50">
        <w:rPr>
          <w:lang w:val="en-US"/>
        </w:rPr>
        <w:t>SMK DA 153. pantā ir noteikts:</w:t>
      </w:r>
    </w:p>
    <w:p w14:paraId="5E499D55" w14:textId="77777777" w:rsidR="005A2D50" w:rsidRPr="005A2D50" w:rsidRDefault="005A2D50" w:rsidP="005A2D50">
      <w:pPr>
        <w:pStyle w:val="BodyText"/>
        <w:rPr>
          <w:lang w:val="en-US"/>
        </w:rPr>
      </w:pPr>
    </w:p>
    <w:p w14:paraId="49259C0C" w14:textId="77777777" w:rsidR="005A2D50" w:rsidRPr="005A2D50" w:rsidRDefault="005A2D50" w:rsidP="005A2D50">
      <w:pPr>
        <w:pStyle w:val="BodyText"/>
        <w:rPr>
          <w:lang w:val="en-US"/>
        </w:rPr>
      </w:pPr>
      <w:r w:rsidRPr="005A2D50">
        <w:rPr>
          <w:lang w:val="en-US"/>
        </w:rPr>
        <w:t>“Ja pirms tādu preču izlaišanas, uz kurām attiecas pieprasījums piešķirt tarifu kvotu, attiecīgā tarifu kvota nav uzskatāma par kritisku, tad preču izlaišana nav atkarīga no galvojuma sniegšanas par minētajām precēm.”</w:t>
      </w:r>
    </w:p>
    <w:p w14:paraId="42E04DDA" w14:textId="77777777" w:rsidR="005A2D50" w:rsidRPr="005A2D50" w:rsidRDefault="005A2D50" w:rsidP="005A2D50">
      <w:pPr>
        <w:pStyle w:val="BodyText"/>
        <w:rPr>
          <w:lang w:val="en-US"/>
        </w:rPr>
      </w:pPr>
    </w:p>
    <w:p w14:paraId="321787B4" w14:textId="77777777" w:rsidR="005A2D50" w:rsidRPr="005A2D50" w:rsidRDefault="005A2D50" w:rsidP="005A2D50">
      <w:pPr>
        <w:pStyle w:val="BodyText"/>
        <w:rPr>
          <w:lang w:val="en-US"/>
        </w:rPr>
      </w:pPr>
      <w:r w:rsidRPr="005A2D50">
        <w:rPr>
          <w:lang w:val="en-US"/>
        </w:rPr>
        <w:t xml:space="preserve">Tātad, neskarot </w:t>
      </w:r>
      <w:r w:rsidRPr="005A2D50">
        <w:rPr>
          <w:i/>
          <w:iCs/>
          <w:lang w:val="en-US"/>
        </w:rPr>
        <w:t xml:space="preserve">CA </w:t>
      </w:r>
      <w:r w:rsidRPr="005A2D50">
        <w:rPr>
          <w:lang w:val="en-US"/>
        </w:rPr>
        <w:t>iespēju pieprasīt tā sniegšanu dažādu iemeslu dēļ, galvojums tarifu kvotu ietvaros vienmēr ir nepieciešams, ja kvota ir “kritiska” saskaņā ar SMK ĪA 53. pantu.</w:t>
      </w:r>
    </w:p>
    <w:p w14:paraId="4BBDC042" w14:textId="77777777" w:rsidR="005A2D50" w:rsidRPr="005A2D50" w:rsidRDefault="005A2D50" w:rsidP="005A2D50">
      <w:pPr>
        <w:pStyle w:val="BodyText"/>
        <w:rPr>
          <w:lang w:val="en-US"/>
        </w:rPr>
      </w:pPr>
      <w:r w:rsidRPr="005A2D50">
        <w:rPr>
          <w:lang w:val="en-US"/>
        </w:rPr>
        <w:t>Ja pēc attiecīgā uzņēmēja pieprasījuma tiek pilnībā iedalīts pieprasītais daudzums, sniegto galvojumu var atbrīvot, ja tas ir individuāls galvojums. “Nepārtraukta galvojuma” gadījumā šai muitas operācijai atbilstīgā bloķētā galvojuma summa var būt pieejama turpmākam darījumam.</w:t>
      </w:r>
    </w:p>
    <w:p w14:paraId="498582D6" w14:textId="77777777" w:rsidR="005A2D50" w:rsidRPr="005A2D50" w:rsidRDefault="005A2D50" w:rsidP="005A2D50">
      <w:pPr>
        <w:pStyle w:val="BodyText"/>
        <w:rPr>
          <w:lang w:val="en-US"/>
        </w:rPr>
      </w:pPr>
      <w:r w:rsidRPr="005A2D50">
        <w:rPr>
          <w:lang w:val="en-US"/>
        </w:rPr>
        <w:t>Savukārt gadījumā, ja kvota netiek iedalīta (daļēji vai pilnībā), jo uzņēmējs nesamaksā pienākošos summu</w:t>
      </w:r>
      <w:r w:rsidRPr="005A2D50">
        <w:rPr>
          <w:rStyle w:val="FootnoteReference"/>
          <w:lang w:val="en-US"/>
        </w:rPr>
        <w:footnoteReference w:id="32"/>
      </w:r>
      <w:r w:rsidRPr="005A2D50">
        <w:rPr>
          <w:lang w:val="en-US"/>
        </w:rPr>
        <w:t>, galvojums ir jāizpilda, izņemot daļu, kas pārsniedz pienākošos summu, ja tāda ir.</w:t>
      </w:r>
    </w:p>
    <w:p w14:paraId="21F923EF" w14:textId="77777777" w:rsidR="005A2D50" w:rsidRPr="005A2D50" w:rsidRDefault="005A2D50" w:rsidP="005A2D50">
      <w:pPr>
        <w:pStyle w:val="BodyText"/>
        <w:rPr>
          <w:lang w:val="en-US"/>
        </w:rPr>
      </w:pPr>
    </w:p>
    <w:p w14:paraId="6DE459A5" w14:textId="77777777" w:rsidR="005A2D50" w:rsidRPr="005A2D50" w:rsidRDefault="005A2D50" w:rsidP="005A2D50">
      <w:pPr>
        <w:jc w:val="both"/>
        <w:rPr>
          <w:rFonts w:ascii="Times New Roman" w:hAnsi="Times New Roman"/>
          <w:i/>
          <w:noProof/>
          <w:sz w:val="24"/>
          <w:lang w:val="en-US"/>
        </w:rPr>
      </w:pPr>
      <w:r w:rsidRPr="005A2D50">
        <w:rPr>
          <w:rFonts w:ascii="Times New Roman" w:hAnsi="Times New Roman"/>
          <w:i/>
          <w:noProof/>
          <w:sz w:val="24"/>
          <w:lang w:val="en-US"/>
        </w:rPr>
        <w:t>Praktisks piemērs.</w:t>
      </w:r>
    </w:p>
    <w:p w14:paraId="6C4FF644" w14:textId="77777777" w:rsidR="005A2D50" w:rsidRPr="005A2D50" w:rsidRDefault="005A2D50" w:rsidP="005A2D50">
      <w:pPr>
        <w:jc w:val="both"/>
        <w:rPr>
          <w:rFonts w:ascii="Times New Roman" w:hAnsi="Times New Roman" w:cs="Times New Roman"/>
          <w:i/>
          <w:noProof/>
          <w:sz w:val="24"/>
          <w:szCs w:val="24"/>
          <w:lang w:val="en-US"/>
        </w:rPr>
      </w:pPr>
    </w:p>
    <w:p w14:paraId="52A77B20" w14:textId="77777777" w:rsidR="005A2D50" w:rsidRPr="005A2D50" w:rsidRDefault="005A2D50" w:rsidP="005A2D50">
      <w:pPr>
        <w:jc w:val="both"/>
        <w:rPr>
          <w:rFonts w:ascii="Times New Roman" w:hAnsi="Times New Roman"/>
          <w:i/>
          <w:noProof/>
          <w:sz w:val="24"/>
          <w:lang w:val="en-US"/>
        </w:rPr>
      </w:pPr>
      <w:r w:rsidRPr="005A2D50">
        <w:rPr>
          <w:rFonts w:ascii="Times New Roman" w:hAnsi="Times New Roman"/>
          <w:i/>
          <w:noProof/>
          <w:sz w:val="24"/>
          <w:lang w:val="en-US"/>
        </w:rPr>
        <w:t>Uzņēmējs importē plakanus tērauda izstrādājumu velmējumus, kas ietilpst VD 7210 (TARIC virsraksts “Plakani dzelzs un neleģētā tērauda velmējumi ar platumu 600 mm vai vairāk, plaķēti, ar elektrolītisku vai citu pārklājumu”) nepreferenciālās tarifu kvotās, kuras paredzētas SMK ĪA, un iesniedz muitas dienestam īpašu pieteikumu.</w:t>
      </w:r>
    </w:p>
    <w:p w14:paraId="7E2B4E2B" w14:textId="77777777" w:rsidR="005A2D50" w:rsidRPr="005A2D50" w:rsidRDefault="005A2D50" w:rsidP="005A2D50">
      <w:pPr>
        <w:jc w:val="both"/>
        <w:rPr>
          <w:rFonts w:ascii="Times New Roman" w:hAnsi="Times New Roman"/>
          <w:i/>
          <w:noProof/>
          <w:sz w:val="24"/>
          <w:lang w:val="en-US"/>
        </w:rPr>
      </w:pPr>
      <w:r w:rsidRPr="005A2D50">
        <w:rPr>
          <w:rFonts w:ascii="Times New Roman" w:hAnsi="Times New Roman"/>
          <w:i/>
          <w:noProof/>
          <w:sz w:val="24"/>
          <w:lang w:val="en-US"/>
        </w:rPr>
        <w:t>Ņemot vērā tarifu kvotu kritisku statusu, kas novērtēts, izmantojot pieeju QUOTA sistēmai, muitas dienests pieprasa importētājam sniegt galvojumu, lai segtu muitas nodokļu summu attiecībā uz importu, kas pārsniedz kvotu.</w:t>
      </w:r>
    </w:p>
    <w:p w14:paraId="5E62B5C4" w14:textId="77777777" w:rsidR="005A2D50" w:rsidRPr="005A2D50" w:rsidRDefault="005A2D50" w:rsidP="005A2D50">
      <w:pPr>
        <w:jc w:val="both"/>
        <w:rPr>
          <w:rFonts w:ascii="Times New Roman" w:hAnsi="Times New Roman"/>
          <w:i/>
          <w:noProof/>
          <w:sz w:val="24"/>
          <w:lang w:val="en-US"/>
        </w:rPr>
      </w:pPr>
      <w:r w:rsidRPr="005A2D50">
        <w:rPr>
          <w:rFonts w:ascii="Times New Roman" w:hAnsi="Times New Roman"/>
          <w:i/>
          <w:noProof/>
          <w:sz w:val="24"/>
          <w:lang w:val="en-US"/>
        </w:rPr>
        <w:t>Šajā piemērā galvojums ir vienreizējais galvojums, un to sniedz skaidras naudas iemaksas veidā, gaidot attiecīgo kvotu piešķiršanu.</w:t>
      </w:r>
    </w:p>
    <w:p w14:paraId="0BE3FAA5" w14:textId="77777777" w:rsidR="005A2D50" w:rsidRPr="005A2D50" w:rsidRDefault="005A2D50" w:rsidP="005A2D50">
      <w:pPr>
        <w:jc w:val="both"/>
        <w:rPr>
          <w:rFonts w:ascii="Times New Roman" w:hAnsi="Times New Roman"/>
          <w:i/>
          <w:noProof/>
          <w:sz w:val="24"/>
          <w:lang w:val="en-US"/>
        </w:rPr>
      </w:pPr>
      <w:r w:rsidRPr="005A2D50">
        <w:rPr>
          <w:rFonts w:ascii="Times New Roman" w:hAnsi="Times New Roman"/>
          <w:i/>
          <w:noProof/>
          <w:sz w:val="24"/>
          <w:lang w:val="en-US"/>
        </w:rPr>
        <w:t>Tiklīdz pieteikuma daļējs piešķīrums ir noskaidrots, muitas dienestam ir jāpieprasa muitas nodokļu samaksa, ko aprēķina, pamatojoties uz preču daudzumu, kas pārsniedz kvotas. Importētājs veic pienākošos maksājumu un vienlaikus iesniedz pieteikumu par sniegtā galvojuma atbrīvošanu.</w:t>
      </w:r>
    </w:p>
    <w:p w14:paraId="441348A2" w14:textId="77777777" w:rsidR="005A2D50" w:rsidRPr="005A2D50" w:rsidRDefault="005A2D50" w:rsidP="005A2D50">
      <w:pPr>
        <w:jc w:val="both"/>
        <w:rPr>
          <w:rFonts w:ascii="Times New Roman" w:hAnsi="Times New Roman"/>
          <w:i/>
          <w:noProof/>
          <w:sz w:val="24"/>
          <w:lang w:val="en-US"/>
        </w:rPr>
      </w:pPr>
      <w:r w:rsidRPr="005A2D50">
        <w:rPr>
          <w:rFonts w:ascii="Times New Roman" w:hAnsi="Times New Roman"/>
          <w:i/>
          <w:noProof/>
          <w:sz w:val="24"/>
          <w:lang w:val="en-US"/>
        </w:rPr>
        <w:t>Tiklīdz maksājums ir veikts, muitas dienestam ir nekavējoties jāatbrīvo sniegtais galvojums, bet tikai tad, ja tiek izvērtēts risks rasties jauniem muitas pienākumiem saskaņā ar SMK 48. pantu un 105. panta 4. punktu attiecībā uz attiecīgo importa deklarāciju (skat. šā dokumenta II.3.6. iedaļu).</w:t>
      </w:r>
    </w:p>
    <w:p w14:paraId="32D64DA3" w14:textId="77777777" w:rsidR="005A2D50" w:rsidRPr="005A2D50" w:rsidRDefault="005A2D50" w:rsidP="005A2D50">
      <w:pPr>
        <w:jc w:val="both"/>
        <w:rPr>
          <w:rFonts w:ascii="Times New Roman" w:eastAsia="Times New Roman" w:hAnsi="Times New Roman" w:cs="Times New Roman"/>
          <w:i/>
          <w:noProof/>
          <w:sz w:val="24"/>
          <w:szCs w:val="24"/>
          <w:lang w:val="en-US"/>
        </w:rPr>
      </w:pPr>
    </w:p>
    <w:sectPr w:rsidR="005A2D50" w:rsidRPr="005A2D50" w:rsidSect="00F41D72">
      <w:headerReference w:type="even" r:id="rId19"/>
      <w:headerReference w:type="default" r:id="rId20"/>
      <w:footerReference w:type="even" r:id="rId21"/>
      <w:footerReference w:type="default" r:id="rId22"/>
      <w:headerReference w:type="first" r:id="rId23"/>
      <w:footerReference w:type="first" r:id="rId24"/>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3716E" w14:textId="77777777" w:rsidR="002F05D2" w:rsidRPr="005A2D50" w:rsidRDefault="002F05D2">
      <w:pPr>
        <w:rPr>
          <w:noProof/>
          <w:lang w:val="en-US"/>
        </w:rPr>
      </w:pPr>
      <w:r w:rsidRPr="005A2D50">
        <w:rPr>
          <w:noProof/>
          <w:lang w:val="en-US"/>
        </w:rPr>
        <w:separator/>
      </w:r>
    </w:p>
  </w:endnote>
  <w:endnote w:type="continuationSeparator" w:id="0">
    <w:p w14:paraId="2F24AEE6" w14:textId="77777777" w:rsidR="002F05D2" w:rsidRPr="005A2D50" w:rsidRDefault="002F05D2">
      <w:pPr>
        <w:rPr>
          <w:noProof/>
          <w:lang w:val="en-US"/>
        </w:rPr>
      </w:pPr>
      <w:r w:rsidRPr="005A2D50">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F2DB3" w14:textId="77777777" w:rsidR="005A2D50" w:rsidRDefault="005A2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FC63F" w14:textId="77777777" w:rsidR="00BF4224" w:rsidRPr="005A2D50" w:rsidRDefault="00BF4224" w:rsidP="00BF4224">
    <w:pPr>
      <w:pStyle w:val="Header"/>
      <w:tabs>
        <w:tab w:val="left" w:pos="9072"/>
      </w:tabs>
      <w:jc w:val="both"/>
      <w:rPr>
        <w:rStyle w:val="PageNumber"/>
        <w:rFonts w:ascii="Times New Roman" w:hAnsi="Times New Roman" w:cs="Times New Roman"/>
        <w:noProof/>
        <w:sz w:val="20"/>
        <w:szCs w:val="20"/>
        <w:lang w:val="en-US"/>
      </w:rPr>
    </w:pPr>
  </w:p>
  <w:p w14:paraId="23B53462" w14:textId="77777777" w:rsidR="00BF4224" w:rsidRPr="005A2D50" w:rsidRDefault="00BF4224" w:rsidP="00BF4224">
    <w:pPr>
      <w:pStyle w:val="Header"/>
      <w:tabs>
        <w:tab w:val="clear" w:pos="4513"/>
        <w:tab w:val="clear" w:pos="9026"/>
        <w:tab w:val="right" w:leader="underscore" w:pos="9072"/>
      </w:tabs>
      <w:jc w:val="both"/>
      <w:rPr>
        <w:rFonts w:ascii="Times New Roman" w:hAnsi="Times New Roman" w:cs="Times New Roman"/>
        <w:noProof/>
        <w:sz w:val="20"/>
        <w:szCs w:val="20"/>
        <w:lang w:val="en-US"/>
      </w:rPr>
    </w:pPr>
    <w:r w:rsidRPr="005A2D50">
      <w:rPr>
        <w:rFonts w:ascii="Times New Roman" w:hAnsi="Times New Roman" w:cs="Times New Roman"/>
        <w:noProof/>
        <w:sz w:val="20"/>
        <w:szCs w:val="20"/>
        <w:lang w:val="en-US"/>
      </w:rPr>
      <w:tab/>
    </w:r>
  </w:p>
  <w:p w14:paraId="79A750BD" w14:textId="77777777" w:rsidR="00BF4224" w:rsidRPr="005A2D50" w:rsidRDefault="00BF4224" w:rsidP="00BF4224">
    <w:pPr>
      <w:pStyle w:val="Header"/>
      <w:tabs>
        <w:tab w:val="right" w:pos="9072"/>
      </w:tabs>
      <w:jc w:val="both"/>
      <w:rPr>
        <w:rStyle w:val="PageNumber"/>
        <w:rFonts w:ascii="Times New Roman" w:hAnsi="Times New Roman" w:cs="Times New Roman"/>
        <w:noProof/>
        <w:sz w:val="20"/>
        <w:szCs w:val="20"/>
        <w:lang w:val="en-US"/>
      </w:rPr>
    </w:pPr>
  </w:p>
  <w:p w14:paraId="22D16B42" w14:textId="77777777" w:rsidR="00BF4224" w:rsidRPr="005A2D50" w:rsidRDefault="00BF4224" w:rsidP="00BF4224">
    <w:pPr>
      <w:pStyle w:val="Footer"/>
      <w:tabs>
        <w:tab w:val="clear" w:pos="4513"/>
        <w:tab w:val="clear" w:pos="9026"/>
        <w:tab w:val="center" w:pos="9072"/>
      </w:tabs>
      <w:jc w:val="both"/>
      <w:rPr>
        <w:rFonts w:ascii="Times New Roman" w:hAnsi="Times New Roman" w:cs="Times New Roman"/>
        <w:noProof/>
        <w:sz w:val="20"/>
        <w:szCs w:val="20"/>
        <w:lang w:val="en-US"/>
      </w:rPr>
    </w:pPr>
    <w:r w:rsidRPr="005A2D50">
      <w:rPr>
        <w:rFonts w:ascii="Times New Roman" w:hAnsi="Times New Roman" w:cs="Times New Roman"/>
        <w:noProof/>
        <w:sz w:val="20"/>
        <w:szCs w:val="20"/>
        <w:lang w:val="en-US"/>
      </w:rPr>
      <w:t xml:space="preserve">Tulkojums </w:t>
    </w:r>
    <w:r w:rsidRPr="005A2D50">
      <w:rPr>
        <w:rFonts w:ascii="Times New Roman" w:hAnsi="Times New Roman" w:cs="Times New Roman"/>
        <w:noProof/>
        <w:sz w:val="20"/>
        <w:szCs w:val="20"/>
        <w:lang w:val="en-US"/>
      </w:rPr>
      <w:fldChar w:fldCharType="begin"/>
    </w:r>
    <w:r w:rsidRPr="005A2D50">
      <w:rPr>
        <w:rFonts w:ascii="Times New Roman" w:hAnsi="Times New Roman" w:cs="Times New Roman"/>
        <w:noProof/>
        <w:sz w:val="20"/>
        <w:szCs w:val="20"/>
        <w:lang w:val="en-US"/>
      </w:rPr>
      <w:instrText>symbol 211 \f "Symbol" \s 9</w:instrText>
    </w:r>
    <w:r w:rsidRPr="005A2D50">
      <w:rPr>
        <w:rFonts w:ascii="Times New Roman" w:hAnsi="Times New Roman" w:cs="Times New Roman"/>
        <w:noProof/>
        <w:sz w:val="20"/>
        <w:szCs w:val="20"/>
        <w:lang w:val="en-US"/>
      </w:rPr>
      <w:fldChar w:fldCharType="separate"/>
    </w:r>
    <w:r w:rsidRPr="005A2D50">
      <w:rPr>
        <w:rFonts w:ascii="Times New Roman" w:hAnsi="Times New Roman" w:cs="Times New Roman"/>
        <w:noProof/>
        <w:sz w:val="20"/>
        <w:szCs w:val="20"/>
        <w:lang w:val="en-US"/>
      </w:rPr>
      <w:t>Ó</w:t>
    </w:r>
    <w:r w:rsidRPr="005A2D50">
      <w:rPr>
        <w:rFonts w:ascii="Times New Roman" w:hAnsi="Times New Roman" w:cs="Times New Roman"/>
        <w:noProof/>
        <w:sz w:val="20"/>
        <w:szCs w:val="20"/>
        <w:lang w:val="en-US"/>
      </w:rPr>
      <w:fldChar w:fldCharType="end"/>
    </w:r>
    <w:r w:rsidRPr="005A2D50">
      <w:rPr>
        <w:rFonts w:ascii="Times New Roman" w:hAnsi="Times New Roman" w:cs="Times New Roman"/>
        <w:noProof/>
        <w:sz w:val="20"/>
        <w:szCs w:val="20"/>
        <w:lang w:val="en-US"/>
      </w:rPr>
      <w:t xml:space="preserve"> Valsts valodas centrs, 2022</w:t>
    </w:r>
    <w:r w:rsidRPr="005A2D50">
      <w:rPr>
        <w:rFonts w:ascii="Times New Roman" w:hAnsi="Times New Roman" w:cs="Times New Roman"/>
        <w:noProof/>
        <w:sz w:val="20"/>
        <w:szCs w:val="20"/>
        <w:lang w:val="en-US"/>
      </w:rPr>
      <w:tab/>
    </w:r>
    <w:r w:rsidRPr="005A2D50">
      <w:rPr>
        <w:rStyle w:val="PageNumber"/>
        <w:rFonts w:ascii="Times New Roman" w:hAnsi="Times New Roman" w:cs="Times New Roman"/>
        <w:noProof/>
        <w:sz w:val="20"/>
        <w:szCs w:val="20"/>
        <w:lang w:val="en-US"/>
      </w:rPr>
      <w:fldChar w:fldCharType="begin"/>
    </w:r>
    <w:r w:rsidRPr="005A2D50">
      <w:rPr>
        <w:rStyle w:val="PageNumber"/>
        <w:rFonts w:ascii="Times New Roman" w:hAnsi="Times New Roman" w:cs="Times New Roman"/>
        <w:noProof/>
        <w:sz w:val="20"/>
        <w:szCs w:val="20"/>
        <w:lang w:val="en-US"/>
      </w:rPr>
      <w:instrText xml:space="preserve">page </w:instrText>
    </w:r>
    <w:r w:rsidRPr="005A2D50">
      <w:rPr>
        <w:rStyle w:val="PageNumber"/>
        <w:rFonts w:ascii="Times New Roman" w:hAnsi="Times New Roman" w:cs="Times New Roman"/>
        <w:noProof/>
        <w:sz w:val="20"/>
        <w:szCs w:val="20"/>
        <w:lang w:val="en-US"/>
      </w:rPr>
      <w:fldChar w:fldCharType="separate"/>
    </w:r>
    <w:r w:rsidRPr="005A2D50">
      <w:rPr>
        <w:rStyle w:val="PageNumber"/>
        <w:rFonts w:ascii="Times New Roman" w:hAnsi="Times New Roman" w:cs="Times New Roman"/>
        <w:noProof/>
        <w:sz w:val="20"/>
        <w:szCs w:val="20"/>
        <w:lang w:val="en-US"/>
      </w:rPr>
      <w:t>2</w:t>
    </w:r>
    <w:r w:rsidRPr="005A2D50">
      <w:rPr>
        <w:rStyle w:val="PageNumber"/>
        <w:rFonts w:ascii="Times New Roman" w:hAnsi="Times New Roman" w:cs="Times New Roman"/>
        <w:noProof/>
        <w:sz w:val="20"/>
        <w:szCs w:val="20"/>
        <w:lang w:val="en-US"/>
      </w:rPr>
      <w:fldChar w:fldCharType="end"/>
    </w:r>
  </w:p>
  <w:p w14:paraId="4BFD3B6A" w14:textId="5C82AFE8" w:rsidR="007E24CD" w:rsidRPr="005A2D50" w:rsidRDefault="007E24CD">
    <w:pPr>
      <w:spacing w:line="14" w:lineRule="auto"/>
      <w:rPr>
        <w:noProof/>
        <w:sz w:val="20"/>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BD064" w14:textId="77777777" w:rsidR="00C24CFD" w:rsidRPr="005A2D50" w:rsidRDefault="00C24CFD" w:rsidP="00C24CFD">
    <w:pPr>
      <w:pStyle w:val="Header"/>
      <w:tabs>
        <w:tab w:val="left" w:pos="9072"/>
      </w:tabs>
      <w:jc w:val="both"/>
      <w:rPr>
        <w:rStyle w:val="PageNumber"/>
        <w:rFonts w:ascii="Times New Roman" w:hAnsi="Times New Roman"/>
        <w:noProof/>
        <w:sz w:val="20"/>
        <w:szCs w:val="18"/>
        <w:lang w:val="en-US"/>
      </w:rPr>
    </w:pPr>
    <w:bookmarkStart w:id="256" w:name="_Hlk496261764"/>
    <w:bookmarkStart w:id="257" w:name="_Hlk496261765"/>
    <w:bookmarkStart w:id="258" w:name="_Hlk496261766"/>
    <w:bookmarkStart w:id="259" w:name="_Hlk30491075"/>
    <w:bookmarkStart w:id="260" w:name="_Hlk30491076"/>
  </w:p>
  <w:p w14:paraId="2F765011" w14:textId="77777777" w:rsidR="00C24CFD" w:rsidRPr="005A2D50" w:rsidRDefault="00C24CFD" w:rsidP="00C24CFD">
    <w:pPr>
      <w:pStyle w:val="Header"/>
      <w:tabs>
        <w:tab w:val="clear" w:pos="4513"/>
        <w:tab w:val="clear" w:pos="9026"/>
        <w:tab w:val="left" w:leader="underscore" w:pos="9072"/>
      </w:tabs>
      <w:jc w:val="both"/>
      <w:rPr>
        <w:rFonts w:ascii="Times New Roman" w:hAnsi="Times New Roman"/>
        <w:noProof/>
        <w:sz w:val="20"/>
        <w:szCs w:val="18"/>
        <w:lang w:val="en-US"/>
      </w:rPr>
    </w:pPr>
    <w:r w:rsidRPr="005A2D50">
      <w:rPr>
        <w:rFonts w:ascii="Times New Roman" w:hAnsi="Times New Roman"/>
        <w:noProof/>
        <w:sz w:val="20"/>
        <w:szCs w:val="18"/>
        <w:lang w:val="en-US"/>
      </w:rPr>
      <w:tab/>
    </w:r>
  </w:p>
  <w:p w14:paraId="68EA5771" w14:textId="77777777" w:rsidR="00C24CFD" w:rsidRPr="005A2D50" w:rsidRDefault="00C24CFD" w:rsidP="00C24CFD">
    <w:pPr>
      <w:pStyle w:val="Header"/>
      <w:tabs>
        <w:tab w:val="left" w:pos="9072"/>
      </w:tabs>
      <w:jc w:val="both"/>
      <w:rPr>
        <w:rStyle w:val="PageNumber"/>
        <w:rFonts w:ascii="Times New Roman" w:hAnsi="Times New Roman"/>
        <w:noProof/>
        <w:sz w:val="20"/>
        <w:szCs w:val="18"/>
        <w:lang w:val="en-US"/>
      </w:rPr>
    </w:pPr>
  </w:p>
  <w:p w14:paraId="64FD0606" w14:textId="438C14C7" w:rsidR="002830A9" w:rsidRPr="005A2D50" w:rsidRDefault="00C24CFD" w:rsidP="00C24CFD">
    <w:pPr>
      <w:pStyle w:val="Footer"/>
      <w:jc w:val="both"/>
      <w:rPr>
        <w:rFonts w:ascii="Times New Roman" w:hAnsi="Times New Roman"/>
        <w:noProof/>
        <w:sz w:val="20"/>
        <w:szCs w:val="18"/>
        <w:lang w:val="en-US"/>
      </w:rPr>
    </w:pPr>
    <w:r w:rsidRPr="005A2D50">
      <w:rPr>
        <w:rFonts w:ascii="Times New Roman" w:hAnsi="Times New Roman"/>
        <w:noProof/>
        <w:sz w:val="20"/>
        <w:szCs w:val="18"/>
        <w:lang w:val="en-US"/>
      </w:rPr>
      <w:t xml:space="preserve">Tulkojums </w:t>
    </w:r>
    <w:r w:rsidRPr="005A2D50">
      <w:rPr>
        <w:rFonts w:ascii="Times New Roman" w:hAnsi="Times New Roman"/>
        <w:noProof/>
        <w:sz w:val="20"/>
        <w:szCs w:val="18"/>
        <w:lang w:val="en-US"/>
      </w:rPr>
      <w:fldChar w:fldCharType="begin"/>
    </w:r>
    <w:r w:rsidRPr="005A2D50">
      <w:rPr>
        <w:rFonts w:ascii="Times New Roman" w:hAnsi="Times New Roman"/>
        <w:noProof/>
        <w:sz w:val="20"/>
        <w:szCs w:val="18"/>
        <w:lang w:val="en-US"/>
      </w:rPr>
      <w:instrText>symbol 211 \f "Symbol" \s 9</w:instrText>
    </w:r>
    <w:r w:rsidRPr="005A2D50">
      <w:rPr>
        <w:rFonts w:ascii="Times New Roman" w:hAnsi="Times New Roman"/>
        <w:noProof/>
        <w:sz w:val="20"/>
        <w:szCs w:val="18"/>
        <w:lang w:val="en-US"/>
      </w:rPr>
      <w:fldChar w:fldCharType="separate"/>
    </w:r>
    <w:r w:rsidRPr="005A2D50">
      <w:rPr>
        <w:rFonts w:ascii="Times New Roman" w:hAnsi="Times New Roman"/>
        <w:noProof/>
        <w:sz w:val="20"/>
        <w:szCs w:val="18"/>
        <w:lang w:val="en-US"/>
      </w:rPr>
      <w:t>Ó</w:t>
    </w:r>
    <w:r w:rsidRPr="005A2D50">
      <w:rPr>
        <w:rFonts w:ascii="Times New Roman" w:hAnsi="Times New Roman"/>
        <w:noProof/>
        <w:sz w:val="20"/>
        <w:szCs w:val="18"/>
        <w:lang w:val="en-US"/>
      </w:rPr>
      <w:fldChar w:fldCharType="end"/>
    </w:r>
    <w:r w:rsidRPr="005A2D50">
      <w:rPr>
        <w:rFonts w:ascii="Times New Roman" w:hAnsi="Times New Roman"/>
        <w:noProof/>
        <w:sz w:val="20"/>
        <w:szCs w:val="18"/>
        <w:lang w:val="en-US"/>
      </w:rPr>
      <w:t xml:space="preserve"> Valsts valodas centrs, 20</w:t>
    </w:r>
    <w:bookmarkEnd w:id="256"/>
    <w:bookmarkEnd w:id="257"/>
    <w:bookmarkEnd w:id="258"/>
    <w:r w:rsidRPr="005A2D50">
      <w:rPr>
        <w:rFonts w:ascii="Times New Roman" w:hAnsi="Times New Roman"/>
        <w:noProof/>
        <w:sz w:val="20"/>
        <w:szCs w:val="18"/>
        <w:lang w:val="en-US"/>
      </w:rPr>
      <w:t>2</w:t>
    </w:r>
    <w:bookmarkEnd w:id="259"/>
    <w:bookmarkEnd w:id="260"/>
    <w:r w:rsidRPr="005A2D50">
      <w:rPr>
        <w:rFonts w:ascii="Times New Roman" w:hAnsi="Times New Roman"/>
        <w:noProof/>
        <w:sz w:val="20"/>
        <w:szCs w:val="18"/>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86171" w14:textId="77777777" w:rsidR="002F05D2" w:rsidRPr="005A2D50" w:rsidRDefault="002F05D2">
      <w:pPr>
        <w:rPr>
          <w:noProof/>
          <w:lang w:val="en-US"/>
        </w:rPr>
      </w:pPr>
      <w:r w:rsidRPr="005A2D50">
        <w:rPr>
          <w:noProof/>
          <w:lang w:val="en-US"/>
        </w:rPr>
        <w:separator/>
      </w:r>
    </w:p>
  </w:footnote>
  <w:footnote w:type="continuationSeparator" w:id="0">
    <w:p w14:paraId="5B76A349" w14:textId="77777777" w:rsidR="002F05D2" w:rsidRPr="005A2D50" w:rsidRDefault="002F05D2">
      <w:pPr>
        <w:rPr>
          <w:noProof/>
          <w:lang w:val="en-US"/>
        </w:rPr>
      </w:pPr>
      <w:r w:rsidRPr="005A2D50">
        <w:rPr>
          <w:noProof/>
          <w:lang w:val="en-US"/>
        </w:rPr>
        <w:continuationSeparator/>
      </w:r>
    </w:p>
  </w:footnote>
  <w:footnote w:id="1">
    <w:p w14:paraId="6932F28B" w14:textId="77777777" w:rsidR="005A2D50" w:rsidRPr="005A2D50" w:rsidRDefault="005A2D50" w:rsidP="005A2D50">
      <w:pPr>
        <w:jc w:val="both"/>
        <w:rPr>
          <w:rFonts w:ascii="Times New Roman" w:eastAsia="Times New Roman" w:hAnsi="Times New Roman" w:cs="Times New Roman"/>
          <w:noProof/>
          <w:sz w:val="20"/>
          <w:szCs w:val="20"/>
          <w:lang w:val="en-US"/>
        </w:rPr>
      </w:pPr>
      <w:r w:rsidRPr="005A2D50">
        <w:rPr>
          <w:rStyle w:val="FootnoteReference"/>
          <w:noProof/>
          <w:lang w:val="en-US"/>
        </w:rPr>
        <w:footnoteRef/>
      </w:r>
      <w:r w:rsidRPr="005A2D50">
        <w:rPr>
          <w:noProof/>
          <w:lang w:val="en-US"/>
        </w:rPr>
        <w:t xml:space="preserve"> </w:t>
      </w:r>
      <w:r w:rsidRPr="005A2D50">
        <w:rPr>
          <w:rFonts w:ascii="Times New Roman" w:hAnsi="Times New Roman"/>
          <w:noProof/>
          <w:sz w:val="20"/>
          <w:lang w:val="en-US"/>
        </w:rPr>
        <w:t>Skat. piemēru A2.8. pielikumā “Neobligāta galvojuma piemēri”.</w:t>
      </w:r>
    </w:p>
  </w:footnote>
  <w:footnote w:id="2">
    <w:p w14:paraId="628FB269" w14:textId="77777777" w:rsidR="005A2D50" w:rsidRPr="005A2D50" w:rsidRDefault="005A2D50" w:rsidP="005A2D50">
      <w:pPr>
        <w:pStyle w:val="FootnoteText"/>
        <w:rPr>
          <w:noProof/>
          <w:lang w:val="en-US"/>
        </w:rPr>
      </w:pPr>
      <w:r w:rsidRPr="005A2D50">
        <w:rPr>
          <w:rStyle w:val="FootnoteReference"/>
          <w:noProof/>
          <w:lang w:val="en-US"/>
        </w:rPr>
        <w:footnoteRef/>
      </w:r>
      <w:r w:rsidRPr="005A2D50">
        <w:rPr>
          <w:noProof/>
          <w:lang w:val="en-US"/>
        </w:rPr>
        <w:t xml:space="preserve"> </w:t>
      </w:r>
      <w:r w:rsidRPr="005A2D50">
        <w:rPr>
          <w:rFonts w:ascii="Times New Roman" w:hAnsi="Times New Roman"/>
          <w:noProof/>
          <w:lang w:val="en-US"/>
        </w:rPr>
        <w:t>SMK 89. panta 2. punkts</w:t>
      </w:r>
    </w:p>
  </w:footnote>
  <w:footnote w:id="3">
    <w:p w14:paraId="3DBC3FE9" w14:textId="77777777" w:rsidR="005A2D50" w:rsidRPr="005A2D50" w:rsidRDefault="005A2D50" w:rsidP="005A2D50">
      <w:pPr>
        <w:jc w:val="both"/>
        <w:rPr>
          <w:rFonts w:ascii="Times New Roman" w:eastAsia="Times New Roman" w:hAnsi="Times New Roman" w:cs="Times New Roman"/>
          <w:noProof/>
          <w:sz w:val="20"/>
          <w:szCs w:val="20"/>
          <w:lang w:val="en-US"/>
        </w:rPr>
      </w:pPr>
      <w:r w:rsidRPr="005A2D50">
        <w:rPr>
          <w:rStyle w:val="FootnoteReference"/>
          <w:noProof/>
          <w:lang w:val="en-US"/>
        </w:rPr>
        <w:footnoteRef/>
      </w:r>
      <w:r w:rsidRPr="005A2D50">
        <w:rPr>
          <w:noProof/>
          <w:lang w:val="en-US"/>
        </w:rPr>
        <w:t xml:space="preserve"> </w:t>
      </w:r>
      <w:r w:rsidRPr="005A2D50">
        <w:rPr>
          <w:rFonts w:ascii="Times New Roman" w:hAnsi="Times New Roman"/>
          <w:noProof/>
          <w:sz w:val="20"/>
          <w:lang w:val="en-US"/>
        </w:rPr>
        <w:t>https://ec.europa.eu/taxation_customs/sites/taxation/files/guidance-customs-debt_en.pdf.</w:t>
      </w:r>
    </w:p>
  </w:footnote>
  <w:footnote w:id="4">
    <w:p w14:paraId="79EC9858" w14:textId="77777777" w:rsidR="005A2D50" w:rsidRPr="005A2D50" w:rsidRDefault="005A2D50" w:rsidP="005A2D50">
      <w:pPr>
        <w:pStyle w:val="FootnoteText"/>
        <w:rPr>
          <w:noProof/>
          <w:lang w:val="en-US"/>
        </w:rPr>
      </w:pPr>
      <w:r w:rsidRPr="005A2D50">
        <w:rPr>
          <w:rStyle w:val="FootnoteReference"/>
          <w:noProof/>
          <w:lang w:val="en-US"/>
        </w:rPr>
        <w:footnoteRef/>
      </w:r>
      <w:r w:rsidRPr="005A2D50">
        <w:rPr>
          <w:noProof/>
          <w:lang w:val="en-US"/>
        </w:rPr>
        <w:t xml:space="preserve"> </w:t>
      </w:r>
      <w:r w:rsidRPr="005A2D50">
        <w:rPr>
          <w:rFonts w:ascii="Times New Roman" w:hAnsi="Times New Roman"/>
          <w:noProof/>
          <w:lang w:val="en-US"/>
        </w:rPr>
        <w:t>Īpašus noteikumus attiecībā uz galvojumiem, kas sniegti saistībā ar Savienības tranzītu, lūgums skatīt Tranzīta rokasgrāmatā: https://ec.europa.eu/taxation_customs/sites/taxation/files/transit_manual_en.pdf.</w:t>
      </w:r>
    </w:p>
  </w:footnote>
  <w:footnote w:id="5">
    <w:p w14:paraId="049D6BD9" w14:textId="77777777" w:rsidR="005A2D50" w:rsidRPr="005A2D50" w:rsidRDefault="005A2D50" w:rsidP="005A2D50">
      <w:pPr>
        <w:pStyle w:val="FootnoteText"/>
        <w:rPr>
          <w:noProof/>
          <w:lang w:val="en-US"/>
        </w:rPr>
      </w:pPr>
      <w:r w:rsidRPr="005A2D50">
        <w:rPr>
          <w:rStyle w:val="FootnoteReference"/>
          <w:noProof/>
          <w:lang w:val="en-US"/>
        </w:rPr>
        <w:footnoteRef/>
      </w:r>
      <w:r w:rsidRPr="005A2D50">
        <w:rPr>
          <w:noProof/>
          <w:lang w:val="en-US"/>
        </w:rPr>
        <w:t xml:space="preserve"> </w:t>
      </w:r>
      <w:r w:rsidRPr="005A2D50">
        <w:rPr>
          <w:rFonts w:ascii="Times New Roman" w:hAnsi="Times New Roman"/>
          <w:noProof/>
          <w:u w:val="single" w:color="000000"/>
          <w:lang w:val="en-US"/>
        </w:rPr>
        <w:t>https://ec.europa.eu/taxation_customs/sites/taxation/files/docs/body/guidance_special_procedures_en.pdf.</w:t>
      </w:r>
    </w:p>
  </w:footnote>
  <w:footnote w:id="6">
    <w:p w14:paraId="263F0B52" w14:textId="77777777" w:rsidR="005A2D50" w:rsidRPr="005A2D50" w:rsidRDefault="005A2D50" w:rsidP="005A2D50">
      <w:pPr>
        <w:jc w:val="both"/>
        <w:rPr>
          <w:rFonts w:ascii="Times New Roman" w:eastAsia="Times New Roman" w:hAnsi="Times New Roman" w:cs="Times New Roman"/>
          <w:noProof/>
          <w:sz w:val="20"/>
          <w:szCs w:val="20"/>
          <w:lang w:val="en-US"/>
        </w:rPr>
      </w:pPr>
      <w:r w:rsidRPr="005A2D50">
        <w:rPr>
          <w:rStyle w:val="FootnoteReference"/>
          <w:noProof/>
          <w:lang w:val="en-US"/>
        </w:rPr>
        <w:footnoteRef/>
      </w:r>
      <w:r w:rsidRPr="005A2D50">
        <w:rPr>
          <w:noProof/>
          <w:lang w:val="en-US"/>
        </w:rPr>
        <w:t xml:space="preserve"> </w:t>
      </w:r>
      <w:r w:rsidRPr="005A2D50">
        <w:rPr>
          <w:rFonts w:ascii="Times New Roman" w:hAnsi="Times New Roman"/>
          <w:noProof/>
          <w:sz w:val="20"/>
          <w:lang w:val="en-US"/>
        </w:rPr>
        <w:t>SMK 218. pants Tiesību un pienākumu nodošana</w:t>
      </w:r>
    </w:p>
    <w:p w14:paraId="5BA21810" w14:textId="77777777" w:rsidR="005A2D50" w:rsidRPr="005A2D50" w:rsidRDefault="005A2D50" w:rsidP="005A2D50">
      <w:pPr>
        <w:jc w:val="both"/>
        <w:rPr>
          <w:rFonts w:ascii="Times New Roman" w:hAnsi="Times New Roman" w:cs="Times New Roman"/>
          <w:noProof/>
          <w:sz w:val="20"/>
          <w:szCs w:val="20"/>
          <w:lang w:val="en-US"/>
        </w:rPr>
      </w:pPr>
      <w:r w:rsidRPr="005A2D50">
        <w:rPr>
          <w:rFonts w:ascii="Times New Roman" w:hAnsi="Times New Roman"/>
          <w:noProof/>
          <w:sz w:val="20"/>
          <w:lang w:val="en-US"/>
        </w:rPr>
        <w:t>Procedūras izmantotāja tiesības un pienākumus attiecībā uz precēm, kam piemērota īpaša procedūra, kura nav tranzīts, var pilnībā vai daļēji nodot citai personai, kas atbilst nosacījumiem, kuri paredzēti attiecīgajai procedūrai.</w:t>
      </w:r>
    </w:p>
  </w:footnote>
  <w:footnote w:id="7">
    <w:p w14:paraId="7481FE64" w14:textId="77777777" w:rsidR="005A2D50" w:rsidRPr="005A2D50" w:rsidRDefault="005A2D50" w:rsidP="005A2D50">
      <w:pPr>
        <w:jc w:val="both"/>
        <w:rPr>
          <w:rFonts w:ascii="Times New Roman" w:eastAsia="Times New Roman" w:hAnsi="Times New Roman" w:cs="Times New Roman"/>
          <w:noProof/>
          <w:sz w:val="20"/>
          <w:szCs w:val="20"/>
          <w:lang w:val="en-US"/>
        </w:rPr>
      </w:pPr>
      <w:r w:rsidRPr="005A2D50">
        <w:rPr>
          <w:rStyle w:val="FootnoteReference"/>
          <w:noProof/>
          <w:lang w:val="en-US"/>
        </w:rPr>
        <w:footnoteRef/>
      </w:r>
      <w:r w:rsidRPr="005A2D50">
        <w:rPr>
          <w:noProof/>
          <w:lang w:val="en-US"/>
        </w:rPr>
        <w:t xml:space="preserve"> </w:t>
      </w:r>
      <w:r w:rsidRPr="005A2D50">
        <w:rPr>
          <w:rFonts w:ascii="Times New Roman" w:hAnsi="Times New Roman"/>
          <w:noProof/>
          <w:sz w:val="20"/>
          <w:lang w:val="en-US"/>
        </w:rPr>
        <w:t>SMK 211. pants Atļauja</w:t>
      </w:r>
    </w:p>
    <w:p w14:paraId="3A0947B3" w14:textId="77777777" w:rsidR="005A2D50" w:rsidRPr="005A2D50" w:rsidRDefault="005A2D50" w:rsidP="005A2D50">
      <w:pPr>
        <w:jc w:val="both"/>
        <w:rPr>
          <w:rFonts w:ascii="Times New Roman" w:hAnsi="Times New Roman" w:cs="Times New Roman"/>
          <w:noProof/>
          <w:sz w:val="20"/>
          <w:szCs w:val="20"/>
          <w:lang w:val="en-US"/>
        </w:rPr>
      </w:pPr>
      <w:r w:rsidRPr="005A2D50">
        <w:rPr>
          <w:rFonts w:ascii="Times New Roman" w:hAnsi="Times New Roman"/>
          <w:noProof/>
          <w:sz w:val="20"/>
          <w:lang w:val="en-US"/>
        </w:rPr>
        <w:t>Muitas dienesti var piešķirt atļauju ar atpakaļejošu spēku arī tad, ja preces, uz kurām attiecās muitas procedūra, vairs nav pieejamas laikā, kad tika pieņemts šādas atļaujas pieteikums.</w:t>
      </w:r>
    </w:p>
    <w:p w14:paraId="11108428" w14:textId="77777777" w:rsidR="005A2D50" w:rsidRPr="005A2D50" w:rsidRDefault="005A2D50" w:rsidP="005A2D50">
      <w:pPr>
        <w:jc w:val="both"/>
        <w:rPr>
          <w:rFonts w:ascii="Times New Roman" w:hAnsi="Times New Roman" w:cs="Times New Roman"/>
          <w:noProof/>
          <w:sz w:val="20"/>
          <w:szCs w:val="20"/>
          <w:lang w:val="en-US"/>
        </w:rPr>
      </w:pPr>
      <w:r w:rsidRPr="005A2D50">
        <w:rPr>
          <w:rFonts w:ascii="Times New Roman" w:hAnsi="Times New Roman"/>
          <w:noProof/>
          <w:sz w:val="20"/>
          <w:lang w:val="en-US"/>
        </w:rPr>
        <w:t>3. Ja nav paredzēts citādi, 1. punktā minēto atļauju piešķir tikai personām, kas atbilst visiem turpmāk norādītajiem nosacījumiem:</w:t>
      </w:r>
    </w:p>
    <w:p w14:paraId="41AABC1C" w14:textId="77777777" w:rsidR="005A2D50" w:rsidRPr="005A2D50" w:rsidRDefault="005A2D50" w:rsidP="005A2D50">
      <w:pPr>
        <w:jc w:val="both"/>
        <w:rPr>
          <w:rFonts w:ascii="Times New Roman" w:hAnsi="Times New Roman" w:cs="Times New Roman"/>
          <w:noProof/>
          <w:sz w:val="20"/>
          <w:szCs w:val="20"/>
          <w:lang w:val="en-US"/>
        </w:rPr>
      </w:pPr>
      <w:r w:rsidRPr="005A2D50">
        <w:rPr>
          <w:rFonts w:ascii="Times New Roman" w:hAnsi="Times New Roman"/>
          <w:noProof/>
          <w:sz w:val="20"/>
          <w:lang w:val="en-US"/>
        </w:rPr>
        <w:t>c) ja var rasties muitas parāds vai citi maksājumi par precēm, kurām piemēro īpašu procedūru, tās sniedz galvojumu saskaņā ar 89. pantu;</w:t>
      </w:r>
    </w:p>
  </w:footnote>
  <w:footnote w:id="8">
    <w:p w14:paraId="4DFF663F" w14:textId="77777777" w:rsidR="005A2D50" w:rsidRPr="005A2D50" w:rsidRDefault="005A2D50" w:rsidP="005A2D50">
      <w:pPr>
        <w:jc w:val="both"/>
        <w:rPr>
          <w:rFonts w:ascii="Times New Roman" w:eastAsia="Times New Roman" w:hAnsi="Times New Roman" w:cs="Times New Roman"/>
          <w:noProof/>
          <w:sz w:val="20"/>
          <w:szCs w:val="20"/>
          <w:lang w:val="en-US"/>
        </w:rPr>
      </w:pPr>
      <w:r w:rsidRPr="005A2D50">
        <w:rPr>
          <w:rStyle w:val="FootnoteReference"/>
          <w:noProof/>
          <w:lang w:val="en-US"/>
        </w:rPr>
        <w:footnoteRef/>
      </w:r>
      <w:r w:rsidRPr="005A2D50">
        <w:rPr>
          <w:noProof/>
          <w:lang w:val="en-US"/>
        </w:rPr>
        <w:t xml:space="preserve"> </w:t>
      </w:r>
      <w:r w:rsidRPr="005A2D50">
        <w:rPr>
          <w:rFonts w:ascii="Times New Roman" w:hAnsi="Times New Roman"/>
          <w:noProof/>
          <w:sz w:val="20"/>
          <w:lang w:val="en-US"/>
        </w:rPr>
        <w:t>SMK 79. pants Muitas parāds, kas radies pienākumu neizpildes dēļ (..)</w:t>
      </w:r>
    </w:p>
    <w:p w14:paraId="5A026430" w14:textId="77777777" w:rsidR="005A2D50" w:rsidRPr="005A2D50" w:rsidRDefault="005A2D50" w:rsidP="005A2D50">
      <w:pPr>
        <w:jc w:val="both"/>
        <w:rPr>
          <w:rFonts w:ascii="Times New Roman" w:hAnsi="Times New Roman" w:cs="Times New Roman"/>
          <w:noProof/>
          <w:sz w:val="20"/>
          <w:szCs w:val="20"/>
          <w:lang w:val="en-US"/>
        </w:rPr>
      </w:pPr>
      <w:r w:rsidRPr="005A2D50">
        <w:rPr>
          <w:rFonts w:ascii="Times New Roman" w:hAnsi="Times New Roman"/>
          <w:noProof/>
          <w:sz w:val="20"/>
          <w:lang w:val="en-US"/>
        </w:rPr>
        <w:t>3. Panta 1. punkta a) un b) apakšpunktā minētajos gadījumos parādnieks ir:</w:t>
      </w:r>
    </w:p>
    <w:p w14:paraId="28CA7575" w14:textId="77777777" w:rsidR="005A2D50" w:rsidRPr="005A2D50" w:rsidRDefault="005A2D50" w:rsidP="005A2D50">
      <w:pPr>
        <w:tabs>
          <w:tab w:val="left" w:pos="385"/>
        </w:tabs>
        <w:jc w:val="both"/>
        <w:rPr>
          <w:rFonts w:ascii="Times New Roman" w:hAnsi="Times New Roman" w:cs="Times New Roman"/>
          <w:noProof/>
          <w:sz w:val="20"/>
          <w:szCs w:val="20"/>
          <w:lang w:val="en-US"/>
        </w:rPr>
      </w:pPr>
      <w:r w:rsidRPr="005A2D50">
        <w:rPr>
          <w:rFonts w:ascii="Times New Roman" w:hAnsi="Times New Roman"/>
          <w:noProof/>
          <w:sz w:val="20"/>
          <w:lang w:val="en-US"/>
        </w:rPr>
        <w:t>a) ikviena persona, kam bija jāpilda attiecīgie pienākumi;</w:t>
      </w:r>
    </w:p>
    <w:p w14:paraId="7A08D22E" w14:textId="77777777" w:rsidR="005A2D50" w:rsidRPr="005A2D50" w:rsidRDefault="005A2D50" w:rsidP="005A2D50">
      <w:pPr>
        <w:tabs>
          <w:tab w:val="left" w:pos="394"/>
        </w:tabs>
        <w:jc w:val="both"/>
        <w:rPr>
          <w:rFonts w:ascii="Times New Roman" w:hAnsi="Times New Roman" w:cs="Times New Roman"/>
          <w:noProof/>
          <w:sz w:val="20"/>
          <w:szCs w:val="20"/>
          <w:lang w:val="en-US"/>
        </w:rPr>
      </w:pPr>
      <w:r w:rsidRPr="005A2D50">
        <w:rPr>
          <w:rFonts w:ascii="Times New Roman" w:hAnsi="Times New Roman"/>
          <w:noProof/>
          <w:sz w:val="20"/>
          <w:lang w:val="en-US"/>
        </w:rPr>
        <w:t>b) ikviena persona, kas apzinājās vai kam būtu bijis jāapzinās, ka kāds tiesību aktos muitas jomā paredzēts pienākums nav izpildīts, un kas darbojās tādas personas uzdevumā, kurai šis pienākums bija jāpilda, vai kas piedalījās darbībā, kuras rezultātā pienākums netika izpildīts;</w:t>
      </w:r>
    </w:p>
    <w:p w14:paraId="3F743642" w14:textId="77777777" w:rsidR="005A2D50" w:rsidRPr="005A2D50" w:rsidRDefault="005A2D50" w:rsidP="005A2D50">
      <w:pPr>
        <w:tabs>
          <w:tab w:val="left" w:pos="344"/>
        </w:tabs>
        <w:jc w:val="both"/>
        <w:rPr>
          <w:rFonts w:ascii="Times New Roman" w:hAnsi="Times New Roman" w:cs="Times New Roman"/>
          <w:noProof/>
          <w:sz w:val="20"/>
          <w:szCs w:val="20"/>
          <w:lang w:val="en-US"/>
        </w:rPr>
      </w:pPr>
      <w:r w:rsidRPr="005A2D50">
        <w:rPr>
          <w:rFonts w:ascii="Times New Roman" w:hAnsi="Times New Roman"/>
          <w:noProof/>
          <w:sz w:val="20"/>
          <w:lang w:val="en-US"/>
        </w:rPr>
        <w:t>c) ikviena persona, kas ieguvusi attiecīgās preces vai bijusi to turētāja un kas apzinājās vai kam preču iegūšanas vai saņemšanas brīdī būtu bijis jāapzinās, ka kāds tiesību aktos muitas jomā paredzēts pienākums nav izpildīts.</w:t>
      </w:r>
    </w:p>
    <w:p w14:paraId="68524C14" w14:textId="77777777" w:rsidR="005A2D50" w:rsidRPr="005A2D50" w:rsidRDefault="005A2D50" w:rsidP="005A2D50">
      <w:pPr>
        <w:pStyle w:val="FootnoteText"/>
        <w:rPr>
          <w:noProof/>
          <w:lang w:val="en-US"/>
        </w:rPr>
      </w:pPr>
    </w:p>
  </w:footnote>
  <w:footnote w:id="9">
    <w:p w14:paraId="383D8DC2" w14:textId="77777777" w:rsidR="005A2D50" w:rsidRPr="005A2D50" w:rsidRDefault="005A2D50" w:rsidP="005A2D50">
      <w:pPr>
        <w:jc w:val="both"/>
        <w:rPr>
          <w:rFonts w:ascii="Times New Roman" w:eastAsia="Times New Roman" w:hAnsi="Times New Roman" w:cs="Times New Roman"/>
          <w:noProof/>
          <w:sz w:val="20"/>
          <w:szCs w:val="20"/>
          <w:lang w:val="en-US"/>
        </w:rPr>
      </w:pPr>
      <w:r w:rsidRPr="005A2D50">
        <w:rPr>
          <w:rStyle w:val="FootnoteReference"/>
          <w:noProof/>
          <w:lang w:val="en-US"/>
        </w:rPr>
        <w:footnoteRef/>
      </w:r>
      <w:r w:rsidRPr="005A2D50">
        <w:rPr>
          <w:noProof/>
          <w:lang w:val="en-US"/>
        </w:rPr>
        <w:t xml:space="preserve"> </w:t>
      </w:r>
      <w:r w:rsidRPr="005A2D50">
        <w:rPr>
          <w:rFonts w:ascii="Times New Roman" w:hAnsi="Times New Roman"/>
          <w:noProof/>
          <w:sz w:val="20"/>
          <w:u w:val="single" w:color="000000"/>
          <w:lang w:val="en-US"/>
        </w:rPr>
        <w:t>https://ec.europa.eu/taxation_customs/sites/taxation/files/docs/body/guidance_special_procedures_en.pdf.</w:t>
      </w:r>
    </w:p>
  </w:footnote>
  <w:footnote w:id="10">
    <w:p w14:paraId="2C7413EF" w14:textId="77777777" w:rsidR="005A2D50" w:rsidRPr="005A2D50" w:rsidRDefault="005A2D50" w:rsidP="005A2D50">
      <w:pPr>
        <w:jc w:val="both"/>
        <w:rPr>
          <w:rFonts w:ascii="Times New Roman" w:hAnsi="Times New Roman" w:cs="Times New Roman"/>
          <w:noProof/>
          <w:sz w:val="20"/>
          <w:szCs w:val="20"/>
          <w:lang w:val="en-US"/>
        </w:rPr>
      </w:pPr>
      <w:r w:rsidRPr="005A2D50">
        <w:rPr>
          <w:rStyle w:val="FootnoteReference"/>
          <w:rFonts w:ascii="Times New Roman" w:hAnsi="Times New Roman" w:cs="Times New Roman"/>
          <w:noProof/>
          <w:sz w:val="20"/>
          <w:szCs w:val="20"/>
          <w:lang w:val="en-US"/>
        </w:rPr>
        <w:footnoteRef/>
      </w:r>
      <w:r w:rsidRPr="005A2D50">
        <w:rPr>
          <w:rFonts w:ascii="Times New Roman" w:hAnsi="Times New Roman"/>
          <w:noProof/>
          <w:sz w:val="20"/>
          <w:lang w:val="en-US"/>
        </w:rPr>
        <w:t xml:space="preserve"> https://ec.europa.eu/taxation_customs/sites/taxation/files/resources/documents/customs/policy_issues/customs_security/aeo_guidelines_en.pdf.</w:t>
      </w:r>
    </w:p>
  </w:footnote>
  <w:footnote w:id="11">
    <w:p w14:paraId="7C2D8419" w14:textId="77777777" w:rsidR="005A2D50" w:rsidRPr="005A2D50" w:rsidRDefault="005A2D50" w:rsidP="005A2D50">
      <w:pPr>
        <w:tabs>
          <w:tab w:val="left" w:pos="306"/>
        </w:tabs>
        <w:jc w:val="both"/>
        <w:rPr>
          <w:rFonts w:ascii="Times New Roman" w:hAnsi="Times New Roman" w:cs="Times New Roman"/>
          <w:noProof/>
          <w:sz w:val="20"/>
          <w:szCs w:val="20"/>
          <w:lang w:val="en-US"/>
        </w:rPr>
      </w:pPr>
      <w:r w:rsidRPr="005A2D50">
        <w:rPr>
          <w:rStyle w:val="FootnoteReference"/>
          <w:rFonts w:ascii="Times New Roman" w:hAnsi="Times New Roman" w:cs="Times New Roman"/>
          <w:noProof/>
          <w:lang w:val="en-US"/>
        </w:rPr>
        <w:footnoteRef/>
      </w:r>
      <w:r w:rsidRPr="005A2D50">
        <w:rPr>
          <w:rFonts w:ascii="Times New Roman" w:hAnsi="Times New Roman"/>
          <w:noProof/>
          <w:lang w:val="en-US"/>
        </w:rPr>
        <w:t xml:space="preserve"> </w:t>
      </w:r>
      <w:r w:rsidRPr="005A2D50">
        <w:rPr>
          <w:rFonts w:ascii="Times New Roman" w:hAnsi="Times New Roman"/>
          <w:noProof/>
          <w:sz w:val="20"/>
          <w:lang w:val="en-US"/>
        </w:rPr>
        <w:t>SMK 22. panta 2. punkts, SMK ĪA 12. pants un SMK DA 11. pants.</w:t>
      </w:r>
    </w:p>
  </w:footnote>
  <w:footnote w:id="12">
    <w:p w14:paraId="7931AFD6" w14:textId="77777777" w:rsidR="005A2D50" w:rsidRPr="005A2D50" w:rsidRDefault="005A2D50" w:rsidP="005A2D50">
      <w:pPr>
        <w:tabs>
          <w:tab w:val="left" w:pos="306"/>
        </w:tabs>
        <w:jc w:val="both"/>
        <w:rPr>
          <w:rFonts w:ascii="Times New Roman" w:hAnsi="Times New Roman" w:cs="Times New Roman"/>
          <w:noProof/>
          <w:sz w:val="20"/>
          <w:szCs w:val="20"/>
          <w:lang w:val="en-US"/>
        </w:rPr>
      </w:pPr>
      <w:r w:rsidRPr="005A2D50">
        <w:rPr>
          <w:rStyle w:val="FootnoteReference"/>
          <w:rFonts w:ascii="Times New Roman" w:hAnsi="Times New Roman" w:cs="Times New Roman"/>
          <w:noProof/>
          <w:lang w:val="en-US"/>
        </w:rPr>
        <w:footnoteRef/>
      </w:r>
      <w:r w:rsidRPr="005A2D50">
        <w:rPr>
          <w:rFonts w:ascii="Times New Roman" w:hAnsi="Times New Roman"/>
          <w:noProof/>
          <w:lang w:val="en-US"/>
        </w:rPr>
        <w:t xml:space="preserve"> </w:t>
      </w:r>
      <w:r w:rsidRPr="005A2D50">
        <w:rPr>
          <w:rFonts w:ascii="Times New Roman" w:hAnsi="Times New Roman"/>
          <w:noProof/>
          <w:sz w:val="20"/>
          <w:lang w:val="en-US"/>
        </w:rPr>
        <w:t>https://ec.europa.eu/taxation_customs/sites/taxation/files/resources/documents/customs/customs_code/guidance_general_cust_dec_en.pdf</w:t>
      </w:r>
      <w:r w:rsidRPr="005A2D50">
        <w:rPr>
          <w:rFonts w:ascii="Times New Roman" w:hAnsi="Times New Roman"/>
          <w:noProof/>
          <w:lang w:val="en-US"/>
        </w:rPr>
        <w:t>.</w:t>
      </w:r>
    </w:p>
  </w:footnote>
  <w:footnote w:id="13">
    <w:p w14:paraId="02338F38" w14:textId="77777777" w:rsidR="005A2D50" w:rsidRPr="005A2D50" w:rsidRDefault="005A2D50" w:rsidP="005A2D50">
      <w:pPr>
        <w:jc w:val="both"/>
        <w:rPr>
          <w:rFonts w:ascii="Times New Roman" w:eastAsia="Times New Roman" w:hAnsi="Times New Roman" w:cs="Times New Roman"/>
          <w:noProof/>
          <w:sz w:val="20"/>
          <w:szCs w:val="20"/>
          <w:lang w:val="en-US"/>
        </w:rPr>
      </w:pPr>
      <w:r w:rsidRPr="005A2D50">
        <w:rPr>
          <w:rStyle w:val="FootnoteReference"/>
          <w:noProof/>
          <w:lang w:val="en-US"/>
        </w:rPr>
        <w:footnoteRef/>
      </w:r>
      <w:r w:rsidRPr="005A2D50">
        <w:rPr>
          <w:noProof/>
          <w:lang w:val="en-US"/>
        </w:rPr>
        <w:t xml:space="preserve"> </w:t>
      </w:r>
      <w:r w:rsidRPr="005A2D50">
        <w:rPr>
          <w:rFonts w:ascii="Times New Roman" w:hAnsi="Times New Roman"/>
          <w:noProof/>
          <w:sz w:val="20"/>
          <w:lang w:val="en-US"/>
        </w:rPr>
        <w:t>Muitas iestāde, kur tiek sniegts galvojums.</w:t>
      </w:r>
    </w:p>
  </w:footnote>
  <w:footnote w:id="14">
    <w:p w14:paraId="0F0A0F2B" w14:textId="77777777" w:rsidR="005A2D50" w:rsidRPr="005A2D50" w:rsidRDefault="005A2D50" w:rsidP="005A2D50">
      <w:pPr>
        <w:jc w:val="both"/>
        <w:rPr>
          <w:rFonts w:ascii="Times New Roman" w:eastAsia="Times New Roman" w:hAnsi="Times New Roman" w:cs="Times New Roman"/>
          <w:noProof/>
          <w:sz w:val="20"/>
          <w:szCs w:val="20"/>
          <w:lang w:val="en-US"/>
        </w:rPr>
      </w:pPr>
      <w:r w:rsidRPr="005A2D50">
        <w:rPr>
          <w:rStyle w:val="FootnoteReference"/>
          <w:noProof/>
          <w:lang w:val="en-US"/>
        </w:rPr>
        <w:footnoteRef/>
      </w:r>
      <w:r w:rsidRPr="005A2D50">
        <w:rPr>
          <w:noProof/>
          <w:lang w:val="en-US"/>
        </w:rPr>
        <w:t xml:space="preserve"> </w:t>
      </w:r>
      <w:r w:rsidRPr="005A2D50">
        <w:rPr>
          <w:rFonts w:ascii="Times New Roman" w:hAnsi="Times New Roman"/>
          <w:noProof/>
          <w:sz w:val="20"/>
          <w:lang w:val="en-US"/>
        </w:rPr>
        <w:t>Dažos piemēros atsauces summa citiem maksājumiem tiek aprēķināta, bet dažos netiek.</w:t>
      </w:r>
    </w:p>
  </w:footnote>
  <w:footnote w:id="15">
    <w:p w14:paraId="0FF4A477" w14:textId="77777777" w:rsidR="005A2D50" w:rsidRPr="005A2D50" w:rsidRDefault="005A2D50" w:rsidP="005A2D50">
      <w:pPr>
        <w:jc w:val="both"/>
        <w:rPr>
          <w:rFonts w:ascii="Times New Roman" w:eastAsia="Times New Roman" w:hAnsi="Times New Roman" w:cs="Times New Roman"/>
          <w:noProof/>
          <w:sz w:val="20"/>
          <w:szCs w:val="20"/>
          <w:lang w:val="en-US"/>
        </w:rPr>
      </w:pPr>
      <w:r w:rsidRPr="005A2D50">
        <w:rPr>
          <w:rStyle w:val="FootnoteReference"/>
          <w:noProof/>
          <w:lang w:val="en-US"/>
        </w:rPr>
        <w:footnoteRef/>
      </w:r>
      <w:r w:rsidRPr="005A2D50">
        <w:rPr>
          <w:noProof/>
          <w:lang w:val="en-US"/>
        </w:rPr>
        <w:t xml:space="preserve"> </w:t>
      </w:r>
      <w:r w:rsidRPr="005A2D50">
        <w:rPr>
          <w:rFonts w:ascii="Times New Roman" w:hAnsi="Times New Roman"/>
          <w:noProof/>
          <w:sz w:val="20"/>
          <w:lang w:val="en-US"/>
        </w:rPr>
        <w:t>Maksimālā nodokļa likme, ja nav zināma klasifikācija.</w:t>
      </w:r>
    </w:p>
  </w:footnote>
  <w:footnote w:id="16">
    <w:p w14:paraId="37562A6B" w14:textId="77777777" w:rsidR="005A2D50" w:rsidRPr="005A2D50" w:rsidRDefault="005A2D50" w:rsidP="005A2D50">
      <w:pPr>
        <w:jc w:val="both"/>
        <w:rPr>
          <w:rFonts w:ascii="Times New Roman" w:eastAsia="Times New Roman" w:hAnsi="Times New Roman" w:cs="Times New Roman"/>
          <w:noProof/>
          <w:sz w:val="20"/>
          <w:szCs w:val="20"/>
          <w:lang w:val="en-US"/>
        </w:rPr>
      </w:pPr>
      <w:r w:rsidRPr="005A2D50">
        <w:rPr>
          <w:rStyle w:val="FootnoteReference"/>
          <w:noProof/>
          <w:lang w:val="en-US"/>
        </w:rPr>
        <w:footnoteRef/>
      </w:r>
      <w:r w:rsidRPr="005A2D50">
        <w:rPr>
          <w:noProof/>
          <w:lang w:val="en-US"/>
        </w:rPr>
        <w:t xml:space="preserve"> </w:t>
      </w:r>
      <w:r w:rsidRPr="005A2D50">
        <w:rPr>
          <w:rFonts w:ascii="Times New Roman" w:hAnsi="Times New Roman"/>
          <w:i/>
          <w:iCs/>
          <w:noProof/>
          <w:sz w:val="20"/>
          <w:lang w:val="en-US"/>
        </w:rPr>
        <w:t>COG</w:t>
      </w:r>
      <w:r w:rsidRPr="005A2D50">
        <w:rPr>
          <w:noProof/>
          <w:lang w:val="en-US"/>
        </w:rPr>
        <w:t xml:space="preserve"> </w:t>
      </w:r>
      <w:r w:rsidRPr="005A2D50">
        <w:rPr>
          <w:rFonts w:ascii="Times New Roman" w:hAnsi="Times New Roman"/>
          <w:noProof/>
          <w:sz w:val="20"/>
          <w:lang w:val="en-US"/>
        </w:rPr>
        <w:t>dalībvalsts augstākā PVN likme.</w:t>
      </w:r>
    </w:p>
  </w:footnote>
  <w:footnote w:id="17">
    <w:p w14:paraId="7FA625C1" w14:textId="77777777" w:rsidR="005A2D50" w:rsidRPr="005A2D50" w:rsidRDefault="005A2D50" w:rsidP="005A2D50">
      <w:pPr>
        <w:jc w:val="both"/>
        <w:rPr>
          <w:rFonts w:ascii="Times New Roman" w:eastAsia="Times New Roman" w:hAnsi="Times New Roman" w:cs="Times New Roman"/>
          <w:noProof/>
          <w:sz w:val="20"/>
          <w:szCs w:val="20"/>
          <w:lang w:val="en-US"/>
        </w:rPr>
      </w:pPr>
      <w:r w:rsidRPr="005A2D50">
        <w:rPr>
          <w:rStyle w:val="FootnoteReference"/>
          <w:noProof/>
          <w:lang w:val="en-US"/>
        </w:rPr>
        <w:footnoteRef/>
      </w:r>
      <w:r w:rsidRPr="005A2D50">
        <w:rPr>
          <w:noProof/>
          <w:lang w:val="en-US"/>
        </w:rPr>
        <w:t xml:space="preserve"> </w:t>
      </w:r>
      <w:r w:rsidRPr="005A2D50">
        <w:rPr>
          <w:rFonts w:ascii="Times New Roman" w:hAnsi="Times New Roman"/>
          <w:noProof/>
          <w:sz w:val="20"/>
          <w:lang w:val="en-US"/>
        </w:rPr>
        <w:t>Šajā gadījumā atsauces summa netiek aprēķināta, pamatojoties uz atļaujas derīguma termiņu vai uz noslēgšanas laikposmu.</w:t>
      </w:r>
    </w:p>
  </w:footnote>
  <w:footnote w:id="18">
    <w:p w14:paraId="240369FB" w14:textId="77777777" w:rsidR="005A2D50" w:rsidRPr="005A2D50" w:rsidRDefault="005A2D50" w:rsidP="005A2D50">
      <w:pPr>
        <w:jc w:val="both"/>
        <w:rPr>
          <w:rFonts w:ascii="Times New Roman" w:hAnsi="Times New Roman" w:cs="Times New Roman"/>
          <w:noProof/>
          <w:sz w:val="20"/>
          <w:szCs w:val="20"/>
          <w:lang w:val="en-US"/>
        </w:rPr>
      </w:pPr>
      <w:r w:rsidRPr="005A2D50">
        <w:rPr>
          <w:rStyle w:val="FootnoteReference"/>
          <w:noProof/>
          <w:lang w:val="en-US"/>
        </w:rPr>
        <w:footnoteRef/>
      </w:r>
      <w:r w:rsidRPr="005A2D50">
        <w:rPr>
          <w:noProof/>
          <w:lang w:val="en-US"/>
        </w:rPr>
        <w:t xml:space="preserve"> </w:t>
      </w:r>
      <w:r w:rsidRPr="005A2D50">
        <w:rPr>
          <w:rFonts w:ascii="Times New Roman" w:hAnsi="Times New Roman"/>
          <w:noProof/>
          <w:sz w:val="20"/>
          <w:lang w:val="en-US"/>
        </w:rPr>
        <w:t>Nr. TAXUD/B2/047/2011 Rev.6</w:t>
      </w:r>
    </w:p>
  </w:footnote>
  <w:footnote w:id="19">
    <w:p w14:paraId="3205883E" w14:textId="77777777" w:rsidR="005A2D50" w:rsidRPr="005A2D50" w:rsidRDefault="005A2D50" w:rsidP="005A2D50">
      <w:pPr>
        <w:tabs>
          <w:tab w:val="left" w:pos="306"/>
        </w:tabs>
        <w:jc w:val="both"/>
        <w:rPr>
          <w:rFonts w:ascii="Times New Roman" w:eastAsia="Times New Roman" w:hAnsi="Times New Roman" w:cs="Times New Roman"/>
          <w:noProof/>
          <w:sz w:val="20"/>
          <w:szCs w:val="20"/>
          <w:lang w:val="en-US"/>
        </w:rPr>
      </w:pPr>
      <w:r w:rsidRPr="005A2D50">
        <w:rPr>
          <w:rStyle w:val="FootnoteReference"/>
          <w:noProof/>
          <w:lang w:val="en-US"/>
        </w:rPr>
        <w:footnoteRef/>
      </w:r>
      <w:r w:rsidRPr="005A2D50">
        <w:rPr>
          <w:noProof/>
          <w:lang w:val="en-US"/>
        </w:rPr>
        <w:t xml:space="preserve"> </w:t>
      </w:r>
      <w:r w:rsidRPr="005A2D50">
        <w:rPr>
          <w:rFonts w:ascii="Times New Roman" w:hAnsi="Times New Roman"/>
          <w:noProof/>
          <w:sz w:val="20"/>
          <w:lang w:val="en-US"/>
        </w:rPr>
        <w:t xml:space="preserve">Šos elementus ņem vērā, arī novērtējot finansiālās maksātspējas kritēriju (SMK 39. panta c) punkts) attiecībā uz pieteikumiem, kas iesniegti </w:t>
      </w:r>
      <w:r w:rsidRPr="005A2D50">
        <w:rPr>
          <w:rFonts w:ascii="Times New Roman" w:hAnsi="Times New Roman"/>
          <w:i/>
          <w:iCs/>
          <w:noProof/>
          <w:sz w:val="20"/>
          <w:lang w:val="en-US"/>
        </w:rPr>
        <w:t>AEO</w:t>
      </w:r>
      <w:r w:rsidRPr="005A2D50">
        <w:rPr>
          <w:rFonts w:ascii="Times New Roman" w:hAnsi="Times New Roman"/>
          <w:noProof/>
          <w:sz w:val="20"/>
          <w:lang w:val="en-US"/>
        </w:rPr>
        <w:t xml:space="preserve"> statusa saņemšanai. Plašāka informācija sniegta Vadlīnijās </w:t>
      </w:r>
      <w:r w:rsidRPr="005A2D50">
        <w:rPr>
          <w:rFonts w:ascii="Times New Roman" w:hAnsi="Times New Roman"/>
          <w:i/>
          <w:iCs/>
          <w:noProof/>
          <w:sz w:val="20"/>
          <w:lang w:val="en-US"/>
        </w:rPr>
        <w:t>AEO</w:t>
      </w:r>
      <w:r w:rsidRPr="005A2D50">
        <w:rPr>
          <w:rFonts w:ascii="Times New Roman" w:hAnsi="Times New Roman"/>
          <w:noProof/>
          <w:sz w:val="20"/>
          <w:lang w:val="en-US"/>
        </w:rPr>
        <w:t xml:space="preserve"> – finansiālās maksātspējas kritērija novērtējums/III iedaļa. Pierādīta maksātspēja: https://ec.europa.eu/taxation_customs/sites/taxation/files/resources/documents/customs/policy_issues/customs_security/aeo_guidelines_en.pdf.</w:t>
      </w:r>
    </w:p>
  </w:footnote>
  <w:footnote w:id="20">
    <w:p w14:paraId="194885FF" w14:textId="77777777" w:rsidR="005A2D50" w:rsidRPr="005A2D50" w:rsidRDefault="005A2D50" w:rsidP="005A2D50">
      <w:pPr>
        <w:tabs>
          <w:tab w:val="left" w:pos="286"/>
        </w:tabs>
        <w:jc w:val="both"/>
        <w:rPr>
          <w:rFonts w:ascii="Times New Roman" w:eastAsia="Times New Roman" w:hAnsi="Times New Roman" w:cs="Times New Roman"/>
          <w:noProof/>
          <w:sz w:val="20"/>
          <w:szCs w:val="20"/>
          <w:lang w:val="en-US"/>
        </w:rPr>
      </w:pPr>
      <w:r w:rsidRPr="005A2D50">
        <w:rPr>
          <w:rStyle w:val="FootnoteReference"/>
          <w:noProof/>
          <w:lang w:val="en-US"/>
        </w:rPr>
        <w:footnoteRef/>
      </w:r>
      <w:r w:rsidRPr="005A2D50">
        <w:rPr>
          <w:noProof/>
          <w:lang w:val="en-US"/>
        </w:rPr>
        <w:t xml:space="preserve"> </w:t>
      </w:r>
      <w:r w:rsidRPr="005A2D50">
        <w:rPr>
          <w:rFonts w:ascii="Times New Roman" w:hAnsi="Times New Roman"/>
          <w:noProof/>
          <w:sz w:val="20"/>
          <w:lang w:val="en-US"/>
        </w:rPr>
        <w:t xml:space="preserve">Plašāka informācija sniegta Vadlīnijās </w:t>
      </w:r>
      <w:r w:rsidRPr="005A2D50">
        <w:rPr>
          <w:rFonts w:ascii="Times New Roman" w:hAnsi="Times New Roman"/>
          <w:i/>
          <w:iCs/>
          <w:noProof/>
          <w:sz w:val="20"/>
          <w:lang w:val="en-US"/>
        </w:rPr>
        <w:t>AEO</w:t>
      </w:r>
      <w:r w:rsidRPr="005A2D50">
        <w:rPr>
          <w:rFonts w:ascii="Times New Roman" w:hAnsi="Times New Roman"/>
          <w:noProof/>
          <w:sz w:val="20"/>
          <w:lang w:val="en-US"/>
        </w:rPr>
        <w:t xml:space="preserve"> – finansiālās maksātspējas kritērija novērtējums/III iedaļa. Pierādīta maksātspēja: https://ec.europa.eu/taxation_customs/sites/taxation/files/resources/documents/customs/policy_issues/customs_security/aeo_guidelines_en.pdf.</w:t>
      </w:r>
    </w:p>
  </w:footnote>
  <w:footnote w:id="21">
    <w:p w14:paraId="0E494874" w14:textId="77777777" w:rsidR="005A2D50" w:rsidRPr="005A2D50" w:rsidRDefault="005A2D50" w:rsidP="005A2D50">
      <w:pPr>
        <w:pStyle w:val="FootnoteText"/>
        <w:rPr>
          <w:rFonts w:ascii="Times New Roman" w:hAnsi="Times New Roman" w:cs="Times New Roman"/>
          <w:noProof/>
          <w:lang w:val="en-US"/>
        </w:rPr>
      </w:pPr>
      <w:r w:rsidRPr="005A2D50">
        <w:rPr>
          <w:rStyle w:val="FootnoteReference"/>
          <w:rFonts w:ascii="Times New Roman" w:hAnsi="Times New Roman" w:cs="Times New Roman"/>
          <w:noProof/>
          <w:lang w:val="en-US"/>
        </w:rPr>
        <w:footnoteRef/>
      </w:r>
      <w:r w:rsidRPr="005A2D50">
        <w:rPr>
          <w:rFonts w:ascii="Times New Roman" w:hAnsi="Times New Roman"/>
          <w:noProof/>
          <w:lang w:val="en-US"/>
        </w:rPr>
        <w:t xml:space="preserve"> https://ec.europa.eu/taxation_customs/sites/taxation/files/resources/documents/customs/policy_issues/customs_security/aeo_guidelines_en.pdf.</w:t>
      </w:r>
    </w:p>
  </w:footnote>
  <w:footnote w:id="22">
    <w:p w14:paraId="2C6D4230" w14:textId="77777777" w:rsidR="005A2D50" w:rsidRPr="005A2D50" w:rsidRDefault="005A2D50" w:rsidP="005A2D50">
      <w:pPr>
        <w:tabs>
          <w:tab w:val="left" w:pos="306"/>
        </w:tabs>
        <w:jc w:val="both"/>
        <w:rPr>
          <w:rFonts w:ascii="Times New Roman" w:hAnsi="Times New Roman" w:cs="Times New Roman"/>
          <w:noProof/>
          <w:sz w:val="20"/>
          <w:szCs w:val="20"/>
          <w:lang w:val="en-US"/>
        </w:rPr>
      </w:pPr>
      <w:r w:rsidRPr="005A2D50">
        <w:rPr>
          <w:rStyle w:val="FootnoteReference"/>
          <w:rFonts w:ascii="Times New Roman" w:hAnsi="Times New Roman" w:cs="Times New Roman"/>
          <w:noProof/>
          <w:sz w:val="20"/>
          <w:szCs w:val="20"/>
          <w:lang w:val="en-US"/>
        </w:rPr>
        <w:footnoteRef/>
      </w:r>
      <w:r w:rsidRPr="005A2D50">
        <w:rPr>
          <w:rFonts w:ascii="Times New Roman" w:hAnsi="Times New Roman"/>
          <w:noProof/>
          <w:sz w:val="20"/>
          <w:lang w:val="en-US"/>
        </w:rPr>
        <w:t xml:space="preserve"> Piemēram, ja attiecībā uz tvertņu termināli muita nevar ņemt vērā zemo muitas parāda rašanās iespējamību, galvojums varētu būt jāparedz par pilnu atsauces summu. Šāda veida uzņēmumiem būtu neiespējami saņemt galvojumu simtiem miljonu </w:t>
      </w:r>
      <w:r w:rsidRPr="005A2D50">
        <w:rPr>
          <w:rFonts w:ascii="Times New Roman" w:hAnsi="Times New Roman"/>
          <w:i/>
          <w:iCs/>
          <w:noProof/>
          <w:sz w:val="20"/>
          <w:lang w:val="en-US"/>
        </w:rPr>
        <w:t>euro</w:t>
      </w:r>
      <w:r w:rsidRPr="005A2D50">
        <w:rPr>
          <w:rFonts w:ascii="Times New Roman" w:hAnsi="Times New Roman"/>
          <w:noProof/>
          <w:sz w:val="20"/>
          <w:lang w:val="en-US"/>
        </w:rPr>
        <w:t xml:space="preserve"> apmērā. Pat ja uzņēmumam izdotos saņemt galvojumu par šādu augstu summu, tas ietekmētu tā darījumdarbību, jo uzņēmējs, visticamāk, nevarētu vairs aizņemties, lai veiktu, piemēram, ieguldījumus. Tomēr </w:t>
      </w:r>
      <w:r w:rsidRPr="005A2D50">
        <w:rPr>
          <w:rFonts w:ascii="Times New Roman" w:hAnsi="Times New Roman"/>
          <w:i/>
          <w:iCs/>
          <w:noProof/>
          <w:sz w:val="20"/>
          <w:lang w:val="en-US"/>
        </w:rPr>
        <w:t>CA</w:t>
      </w:r>
      <w:r w:rsidRPr="005A2D50">
        <w:rPr>
          <w:rFonts w:ascii="Times New Roman" w:hAnsi="Times New Roman"/>
          <w:noProof/>
          <w:sz w:val="20"/>
          <w:lang w:val="en-US"/>
        </w:rPr>
        <w:t xml:space="preserve"> var ņemt vērā muitas parāda rašanās risku un lemt par samazinājuma apmēra piešķiršanu, ja tam ir pamatojums.</w:t>
      </w:r>
    </w:p>
  </w:footnote>
  <w:footnote w:id="23">
    <w:p w14:paraId="7691002E" w14:textId="77777777" w:rsidR="005A2D50" w:rsidRPr="005A2D50" w:rsidRDefault="005A2D50" w:rsidP="005A2D50">
      <w:pPr>
        <w:tabs>
          <w:tab w:val="left" w:pos="306"/>
        </w:tabs>
        <w:jc w:val="both"/>
        <w:rPr>
          <w:rFonts w:ascii="Times New Roman" w:hAnsi="Times New Roman" w:cs="Times New Roman"/>
          <w:noProof/>
          <w:sz w:val="20"/>
          <w:szCs w:val="20"/>
          <w:lang w:val="en-US"/>
        </w:rPr>
      </w:pPr>
      <w:r w:rsidRPr="005A2D50">
        <w:rPr>
          <w:rStyle w:val="FootnoteReference"/>
          <w:rFonts w:ascii="Times New Roman" w:hAnsi="Times New Roman" w:cs="Times New Roman"/>
          <w:noProof/>
          <w:sz w:val="20"/>
          <w:szCs w:val="20"/>
          <w:lang w:val="en-US"/>
        </w:rPr>
        <w:footnoteRef/>
      </w:r>
      <w:r w:rsidRPr="005A2D50">
        <w:rPr>
          <w:rFonts w:ascii="Times New Roman" w:hAnsi="Times New Roman"/>
          <w:noProof/>
          <w:sz w:val="20"/>
          <w:lang w:val="en-US"/>
        </w:rPr>
        <w:t xml:space="preserve"> Attiecībā uz riska elementiem tika veikta atsauce uz Vadlīnijām </w:t>
      </w:r>
      <w:r w:rsidRPr="005A2D50">
        <w:rPr>
          <w:rFonts w:ascii="Times New Roman" w:hAnsi="Times New Roman"/>
          <w:i/>
          <w:iCs/>
          <w:noProof/>
          <w:sz w:val="20"/>
          <w:lang w:val="en-US"/>
        </w:rPr>
        <w:t>AEO</w:t>
      </w:r>
      <w:r w:rsidRPr="005A2D50">
        <w:rPr>
          <w:rFonts w:ascii="Times New Roman" w:hAnsi="Times New Roman"/>
          <w:noProof/>
          <w:sz w:val="20"/>
          <w:lang w:val="en-US"/>
        </w:rPr>
        <w:t xml:space="preserve"> (varbūtība un ietekme).</w:t>
      </w:r>
    </w:p>
  </w:footnote>
  <w:footnote w:id="24">
    <w:p w14:paraId="33C0CF43" w14:textId="77777777" w:rsidR="005A2D50" w:rsidRPr="005A2D50" w:rsidRDefault="005A2D50" w:rsidP="005A2D50">
      <w:pPr>
        <w:tabs>
          <w:tab w:val="left" w:pos="306"/>
        </w:tabs>
        <w:jc w:val="both"/>
        <w:rPr>
          <w:rFonts w:ascii="Times New Roman" w:eastAsia="Times New Roman" w:hAnsi="Times New Roman" w:cs="Times New Roman"/>
          <w:noProof/>
          <w:sz w:val="20"/>
          <w:szCs w:val="20"/>
          <w:lang w:val="en-US"/>
        </w:rPr>
      </w:pPr>
      <w:r w:rsidRPr="005A2D50">
        <w:rPr>
          <w:rStyle w:val="FootnoteReference"/>
          <w:noProof/>
          <w:lang w:val="en-US"/>
        </w:rPr>
        <w:footnoteRef/>
      </w:r>
      <w:r w:rsidRPr="005A2D50">
        <w:rPr>
          <w:noProof/>
          <w:lang w:val="en-US"/>
        </w:rPr>
        <w:t xml:space="preserve"> </w:t>
      </w:r>
      <w:r w:rsidRPr="005A2D50">
        <w:rPr>
          <w:rFonts w:ascii="Times New Roman" w:hAnsi="Times New Roman"/>
          <w:noProof/>
          <w:sz w:val="20"/>
          <w:lang w:val="en-US"/>
        </w:rPr>
        <w:t>Piemēram, apgrozāmais kapitāls, viegli konvertējami aktīvi, neto aktīvi un citi noderīgi rādītāji (vienmēr jāiesniedz jaunākā bilance / citi dokumenti).</w:t>
      </w:r>
    </w:p>
  </w:footnote>
  <w:footnote w:id="25">
    <w:p w14:paraId="06DBFC35" w14:textId="77777777" w:rsidR="005A2D50" w:rsidRPr="005A2D50" w:rsidRDefault="005A2D50" w:rsidP="005A2D50">
      <w:pPr>
        <w:tabs>
          <w:tab w:val="left" w:pos="306"/>
        </w:tabs>
        <w:jc w:val="both"/>
        <w:rPr>
          <w:rFonts w:ascii="Times New Roman" w:hAnsi="Times New Roman" w:cs="Times New Roman"/>
          <w:noProof/>
          <w:sz w:val="20"/>
          <w:szCs w:val="20"/>
          <w:lang w:val="en-US"/>
        </w:rPr>
      </w:pPr>
      <w:r w:rsidRPr="005A2D50">
        <w:rPr>
          <w:rStyle w:val="FootnoteReference"/>
          <w:noProof/>
          <w:lang w:val="en-US"/>
        </w:rPr>
        <w:footnoteRef/>
      </w:r>
      <w:r w:rsidRPr="005A2D50">
        <w:rPr>
          <w:noProof/>
          <w:lang w:val="en-US"/>
        </w:rPr>
        <w:t xml:space="preserve"> </w:t>
      </w:r>
      <w:r w:rsidRPr="005A2D50">
        <w:rPr>
          <w:rFonts w:ascii="Times New Roman" w:hAnsi="Times New Roman"/>
          <w:noProof/>
          <w:sz w:val="20"/>
          <w:lang w:val="en-US"/>
        </w:rPr>
        <w:t>Saraksts nav izsmeļošs.</w:t>
      </w:r>
    </w:p>
  </w:footnote>
  <w:footnote w:id="26">
    <w:p w14:paraId="40673FF1" w14:textId="77777777" w:rsidR="005A2D50" w:rsidRPr="005A2D50" w:rsidRDefault="005A2D50" w:rsidP="005A2D50">
      <w:pPr>
        <w:tabs>
          <w:tab w:val="left" w:pos="306"/>
        </w:tabs>
        <w:jc w:val="both"/>
        <w:rPr>
          <w:rFonts w:ascii="Times New Roman" w:hAnsi="Times New Roman" w:cs="Times New Roman"/>
          <w:noProof/>
          <w:sz w:val="20"/>
          <w:szCs w:val="20"/>
          <w:lang w:val="en-US"/>
        </w:rPr>
      </w:pPr>
      <w:r w:rsidRPr="005A2D50">
        <w:rPr>
          <w:rStyle w:val="FootnoteReference"/>
          <w:noProof/>
          <w:lang w:val="en-US"/>
        </w:rPr>
        <w:footnoteRef/>
      </w:r>
      <w:r w:rsidRPr="005A2D50">
        <w:rPr>
          <w:noProof/>
          <w:lang w:val="en-US"/>
        </w:rPr>
        <w:t xml:space="preserve"> </w:t>
      </w:r>
      <w:r w:rsidRPr="005A2D50">
        <w:rPr>
          <w:rFonts w:ascii="Times New Roman" w:hAnsi="Times New Roman"/>
          <w:noProof/>
          <w:sz w:val="20"/>
          <w:lang w:val="en-US"/>
        </w:rPr>
        <w:t>Tas ir nepieciešams, lai pareizi novērtētu nosacījumus, kas jāizpilda attiecībā uz vispārējo galvojumu ar iespējamu samazinājumu/atbrīvojumu (SMK DA 84. pants).</w:t>
      </w:r>
    </w:p>
  </w:footnote>
  <w:footnote w:id="27">
    <w:p w14:paraId="540CCD5A" w14:textId="77777777" w:rsidR="005A2D50" w:rsidRPr="005A2D50" w:rsidRDefault="005A2D50" w:rsidP="005A2D50">
      <w:pPr>
        <w:tabs>
          <w:tab w:val="left" w:pos="306"/>
        </w:tabs>
        <w:jc w:val="both"/>
        <w:rPr>
          <w:rFonts w:ascii="Times New Roman" w:eastAsia="Times New Roman" w:hAnsi="Times New Roman" w:cs="Times New Roman"/>
          <w:noProof/>
          <w:sz w:val="20"/>
          <w:szCs w:val="20"/>
          <w:lang w:val="en-US"/>
        </w:rPr>
      </w:pPr>
      <w:r w:rsidRPr="005A2D50">
        <w:rPr>
          <w:rStyle w:val="FootnoteReference"/>
          <w:noProof/>
          <w:lang w:val="en-US"/>
        </w:rPr>
        <w:footnoteRef/>
      </w:r>
      <w:r w:rsidRPr="005A2D50">
        <w:rPr>
          <w:noProof/>
          <w:lang w:val="en-US"/>
        </w:rPr>
        <w:t xml:space="preserve"> </w:t>
      </w:r>
      <w:r w:rsidRPr="005A2D50">
        <w:rPr>
          <w:rFonts w:ascii="Times New Roman" w:hAnsi="Times New Roman"/>
          <w:noProof/>
          <w:sz w:val="20"/>
          <w:lang w:val="en-US"/>
        </w:rPr>
        <w:t>Norāde uz galvojuma tipa kodu “0”.</w:t>
      </w:r>
    </w:p>
  </w:footnote>
  <w:footnote w:id="28">
    <w:p w14:paraId="0A2ED682" w14:textId="77777777" w:rsidR="005A2D50" w:rsidRPr="005A2D50" w:rsidRDefault="005A2D50" w:rsidP="005A2D50">
      <w:pPr>
        <w:tabs>
          <w:tab w:val="left" w:pos="306"/>
        </w:tabs>
        <w:jc w:val="both"/>
        <w:rPr>
          <w:rFonts w:ascii="Times New Roman" w:hAnsi="Times New Roman" w:cs="Times New Roman"/>
          <w:noProof/>
          <w:sz w:val="20"/>
          <w:szCs w:val="20"/>
          <w:lang w:val="en-US"/>
        </w:rPr>
      </w:pPr>
      <w:r w:rsidRPr="005A2D50">
        <w:rPr>
          <w:rStyle w:val="FootnoteReference"/>
          <w:noProof/>
          <w:lang w:val="en-US"/>
        </w:rPr>
        <w:footnoteRef/>
      </w:r>
      <w:r w:rsidRPr="005A2D50">
        <w:rPr>
          <w:noProof/>
          <w:lang w:val="en-US"/>
        </w:rPr>
        <w:t xml:space="preserve"> </w:t>
      </w:r>
      <w:r w:rsidRPr="005A2D50">
        <w:rPr>
          <w:rFonts w:ascii="Times New Roman" w:hAnsi="Times New Roman"/>
          <w:noProof/>
          <w:sz w:val="20"/>
          <w:lang w:val="en-US"/>
        </w:rPr>
        <w:t>Attiecībā uz atbrīvojumu no galvojuma, ja nodrošināmā ievedmuitas vai izvedmuitas nodokļa summa nepārsniedz statistikas vērtības slieksni deklarācijām, kas noteikts saskaņā ar Eiropas Parlamenta un Padomes Regulas (EK) Nr. 471/2009 (*) 3. panta 4. punktu (Kodeksa 89. panta 9. punkts).</w:t>
      </w:r>
    </w:p>
  </w:footnote>
  <w:footnote w:id="29">
    <w:p w14:paraId="41E7E06A" w14:textId="77777777" w:rsidR="005A2D50" w:rsidRPr="005A2D50" w:rsidRDefault="005A2D50" w:rsidP="005A2D50">
      <w:pPr>
        <w:pStyle w:val="FootnoteText"/>
        <w:rPr>
          <w:rFonts w:ascii="Times New Roman" w:hAnsi="Times New Roman" w:cs="Times New Roman"/>
          <w:noProof/>
          <w:lang w:val="en-US"/>
        </w:rPr>
      </w:pPr>
      <w:r w:rsidRPr="005A2D50">
        <w:rPr>
          <w:rStyle w:val="FootnoteReference"/>
          <w:rFonts w:ascii="Times New Roman" w:hAnsi="Times New Roman" w:cs="Times New Roman"/>
          <w:noProof/>
          <w:lang w:val="en-US"/>
        </w:rPr>
        <w:footnoteRef/>
      </w:r>
      <w:r w:rsidRPr="005A2D50">
        <w:rPr>
          <w:rFonts w:ascii="Times New Roman" w:hAnsi="Times New Roman"/>
          <w:noProof/>
          <w:lang w:val="en-US"/>
        </w:rPr>
        <w:t xml:space="preserve"> https://ec.europa.eu/taxation_customs/sites/taxation/files/ms_contact_points_article_3_tda_update_27_03_18_en.pdf.</w:t>
      </w:r>
    </w:p>
  </w:footnote>
  <w:footnote w:id="30">
    <w:p w14:paraId="77991C45" w14:textId="77777777" w:rsidR="005A2D50" w:rsidRPr="005A2D50" w:rsidRDefault="005A2D50" w:rsidP="005A2D50">
      <w:pPr>
        <w:tabs>
          <w:tab w:val="left" w:pos="306"/>
        </w:tabs>
        <w:jc w:val="both"/>
        <w:rPr>
          <w:rFonts w:ascii="Times New Roman" w:eastAsia="Times New Roman" w:hAnsi="Times New Roman" w:cs="Times New Roman"/>
          <w:noProof/>
          <w:sz w:val="20"/>
          <w:szCs w:val="20"/>
          <w:lang w:val="en-US"/>
        </w:rPr>
      </w:pPr>
      <w:r w:rsidRPr="005A2D50">
        <w:rPr>
          <w:rStyle w:val="FootnoteReference"/>
          <w:noProof/>
          <w:lang w:val="en-US"/>
        </w:rPr>
        <w:footnoteRef/>
      </w:r>
      <w:r w:rsidRPr="005A2D50">
        <w:rPr>
          <w:noProof/>
          <w:lang w:val="en-US"/>
        </w:rPr>
        <w:t xml:space="preserve"> </w:t>
      </w:r>
      <w:r w:rsidRPr="005A2D50">
        <w:rPr>
          <w:rFonts w:ascii="Times New Roman" w:hAnsi="Times New Roman"/>
          <w:noProof/>
          <w:sz w:val="20"/>
          <w:lang w:val="en-US"/>
        </w:rPr>
        <w:t xml:space="preserve">Plašāku informāciju skatīt dokumentā “Guidance document on Customs Decision Management” [Norādījumi par muitas lēmumu pārvaldību] – ne vairāk kā 45 dienas attiecībā uz </w:t>
      </w:r>
      <w:r w:rsidRPr="005A2D50">
        <w:rPr>
          <w:rFonts w:ascii="Times New Roman" w:hAnsi="Times New Roman"/>
          <w:i/>
          <w:iCs/>
          <w:noProof/>
          <w:sz w:val="20"/>
          <w:lang w:val="en-US"/>
        </w:rPr>
        <w:t>CGU</w:t>
      </w:r>
      <w:r w:rsidRPr="005A2D50">
        <w:rPr>
          <w:rFonts w:ascii="Times New Roman" w:hAnsi="Times New Roman"/>
          <w:noProof/>
          <w:sz w:val="20"/>
          <w:lang w:val="en-US"/>
        </w:rPr>
        <w:t xml:space="preserve"> atļauju.</w:t>
      </w:r>
    </w:p>
  </w:footnote>
  <w:footnote w:id="31">
    <w:p w14:paraId="47DE7422" w14:textId="77777777" w:rsidR="005A2D50" w:rsidRPr="005A2D50" w:rsidRDefault="005A2D50" w:rsidP="005A2D50">
      <w:pPr>
        <w:jc w:val="both"/>
        <w:rPr>
          <w:rFonts w:ascii="Times New Roman" w:eastAsia="Times New Roman" w:hAnsi="Times New Roman" w:cs="Times New Roman"/>
          <w:noProof/>
          <w:sz w:val="20"/>
          <w:szCs w:val="20"/>
          <w:lang w:val="en-US"/>
        </w:rPr>
      </w:pPr>
      <w:r w:rsidRPr="005A2D50">
        <w:rPr>
          <w:rStyle w:val="FootnoteReference"/>
          <w:noProof/>
          <w:lang w:val="en-US"/>
        </w:rPr>
        <w:footnoteRef/>
      </w:r>
      <w:r w:rsidRPr="005A2D50">
        <w:rPr>
          <w:noProof/>
          <w:lang w:val="en-US"/>
        </w:rPr>
        <w:t xml:space="preserve"> </w:t>
      </w:r>
      <w:r w:rsidRPr="005A2D50">
        <w:rPr>
          <w:rFonts w:ascii="Times New Roman" w:hAnsi="Times New Roman"/>
          <w:noProof/>
          <w:sz w:val="20"/>
          <w:lang w:val="en-US"/>
        </w:rPr>
        <w:t>Attiecībā uz citiem datu elementiem, kas ir prasīti pieteikumā/atļaujā sniegt vispārējo galvojumu, skatīt DA A pielikuma 1. sadaļas 1. nodaļu.</w:t>
      </w:r>
    </w:p>
  </w:footnote>
  <w:footnote w:id="32">
    <w:p w14:paraId="3C1A19F0" w14:textId="77777777" w:rsidR="005A2D50" w:rsidRPr="005A2D50" w:rsidRDefault="005A2D50" w:rsidP="005A2D50">
      <w:pPr>
        <w:jc w:val="both"/>
        <w:rPr>
          <w:rFonts w:ascii="Times New Roman" w:eastAsia="Arial" w:hAnsi="Times New Roman" w:cs="Times New Roman"/>
          <w:noProof/>
          <w:sz w:val="20"/>
          <w:szCs w:val="20"/>
          <w:lang w:val="en-US"/>
        </w:rPr>
      </w:pPr>
      <w:r w:rsidRPr="005A2D50">
        <w:rPr>
          <w:rStyle w:val="FootnoteReference"/>
          <w:noProof/>
          <w:lang w:val="en-US"/>
        </w:rPr>
        <w:footnoteRef/>
      </w:r>
      <w:r w:rsidRPr="005A2D50">
        <w:rPr>
          <w:noProof/>
          <w:lang w:val="en-US"/>
        </w:rPr>
        <w:t xml:space="preserve"> </w:t>
      </w:r>
      <w:r w:rsidRPr="005A2D50">
        <w:rPr>
          <w:rFonts w:ascii="Times New Roman" w:hAnsi="Times New Roman"/>
          <w:noProof/>
          <w:sz w:val="20"/>
          <w:lang w:val="en-US"/>
        </w:rPr>
        <w:t>Iekasējamo muitas parādu summas tiek noteiktas atbilstoši preču daudzuma precīzai procentuālajai daļai, pārsniedzot piešķirtās kvotas (saistībā ar pieprasījumiem, ko saņēmusi Komisija (SMK ĪA 51. pants))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4BF81" w14:textId="77777777" w:rsidR="005A2D50" w:rsidRDefault="005A2D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B9D55" w14:textId="77777777" w:rsidR="005E3C98" w:rsidRPr="005A2D50" w:rsidRDefault="005E3C98" w:rsidP="005E3C98">
    <w:pPr>
      <w:pStyle w:val="Header"/>
      <w:rPr>
        <w:rStyle w:val="PageNumber"/>
        <w:rFonts w:ascii="Times New Roman" w:hAnsi="Times New Roman" w:cs="Times New Roman"/>
        <w:noProof/>
        <w:sz w:val="20"/>
        <w:szCs w:val="20"/>
        <w:lang w:val="en-US"/>
      </w:rPr>
    </w:pPr>
    <w:bookmarkStart w:id="242" w:name="_Hlk496261784"/>
    <w:bookmarkStart w:id="243" w:name="_Hlk496261785"/>
    <w:bookmarkStart w:id="244" w:name="_Hlk496261786"/>
    <w:bookmarkStart w:id="245" w:name="_Hlk502757728"/>
    <w:bookmarkStart w:id="246" w:name="_Hlk502757729"/>
    <w:bookmarkStart w:id="247" w:name="_Hlk502757738"/>
    <w:bookmarkStart w:id="248" w:name="_Hlk502757739"/>
    <w:bookmarkStart w:id="249" w:name="_Hlk30491084"/>
    <w:bookmarkStart w:id="250" w:name="_Hlk30491085"/>
  </w:p>
  <w:p w14:paraId="623F9C6B" w14:textId="77777777" w:rsidR="005E3C98" w:rsidRPr="005A2D50" w:rsidRDefault="005E3C98" w:rsidP="005E3C98">
    <w:pPr>
      <w:pStyle w:val="Header"/>
      <w:tabs>
        <w:tab w:val="clear" w:pos="4513"/>
        <w:tab w:val="clear" w:pos="9026"/>
        <w:tab w:val="right" w:leader="underscore" w:pos="9072"/>
      </w:tabs>
      <w:rPr>
        <w:rFonts w:ascii="Times New Roman" w:hAnsi="Times New Roman" w:cs="Times New Roman"/>
        <w:noProof/>
        <w:sz w:val="20"/>
        <w:szCs w:val="20"/>
        <w:lang w:val="en-US"/>
      </w:rPr>
    </w:pPr>
    <w:r w:rsidRPr="005A2D50">
      <w:rPr>
        <w:rFonts w:ascii="Times New Roman" w:hAnsi="Times New Roman" w:cs="Times New Roman"/>
        <w:noProof/>
        <w:sz w:val="20"/>
        <w:szCs w:val="20"/>
        <w:lang w:val="en-US"/>
      </w:rPr>
      <w:tab/>
    </w:r>
  </w:p>
  <w:bookmarkEnd w:id="242"/>
  <w:bookmarkEnd w:id="243"/>
  <w:bookmarkEnd w:id="244"/>
  <w:bookmarkEnd w:id="245"/>
  <w:bookmarkEnd w:id="246"/>
  <w:bookmarkEnd w:id="247"/>
  <w:bookmarkEnd w:id="248"/>
  <w:bookmarkEnd w:id="249"/>
  <w:bookmarkEnd w:id="250"/>
  <w:p w14:paraId="4A29F97B" w14:textId="77777777" w:rsidR="002830A9" w:rsidRPr="005A2D50" w:rsidRDefault="002830A9">
    <w:pPr>
      <w:pStyle w:val="Header"/>
      <w:rPr>
        <w:noProof/>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36134" w14:textId="77777777" w:rsidR="002830A9" w:rsidRPr="005A2D50" w:rsidRDefault="002830A9" w:rsidP="002830A9">
    <w:pPr>
      <w:pBdr>
        <w:bottom w:val="single" w:sz="12" w:space="5" w:color="auto"/>
      </w:pBdr>
      <w:rPr>
        <w:rFonts w:ascii="Times New Roman" w:hAnsi="Times New Roman" w:cs="Times New Roman"/>
        <w:noProof/>
        <w:sz w:val="20"/>
        <w:szCs w:val="20"/>
        <w:lang w:val="en-US"/>
      </w:rPr>
    </w:pPr>
    <w:bookmarkStart w:id="251" w:name="_Hlk496261745"/>
    <w:bookmarkStart w:id="252" w:name="_Hlk496261746"/>
    <w:bookmarkStart w:id="253" w:name="_Hlk496261747"/>
    <w:bookmarkStart w:id="254" w:name="_Hlk30491063"/>
    <w:bookmarkStart w:id="255" w:name="_Hlk30491064"/>
  </w:p>
  <w:bookmarkEnd w:id="251"/>
  <w:bookmarkEnd w:id="252"/>
  <w:bookmarkEnd w:id="253"/>
  <w:bookmarkEnd w:id="254"/>
  <w:bookmarkEnd w:id="255"/>
  <w:p w14:paraId="5B0E9DA2" w14:textId="77777777" w:rsidR="002830A9" w:rsidRPr="005A2D50" w:rsidRDefault="002830A9">
    <w:pPr>
      <w:pStyle w:val="Header"/>
      <w:rPr>
        <w:noProof/>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74EB"/>
    <w:multiLevelType w:val="hybridMultilevel"/>
    <w:tmpl w:val="661CB10E"/>
    <w:lvl w:ilvl="0" w:tplc="1D92DE8C">
      <w:start w:val="1"/>
      <w:numFmt w:val="decimal"/>
      <w:lvlText w:val="%1."/>
      <w:lvlJc w:val="left"/>
      <w:pPr>
        <w:ind w:left="825" w:hanging="360"/>
      </w:pPr>
      <w:rPr>
        <w:rFonts w:ascii="Times New Roman" w:eastAsia="Times New Roman" w:hAnsi="Times New Roman" w:hint="default"/>
        <w:sz w:val="24"/>
        <w:szCs w:val="24"/>
      </w:rPr>
    </w:lvl>
    <w:lvl w:ilvl="1" w:tplc="2D4E72D4">
      <w:start w:val="1"/>
      <w:numFmt w:val="decimal"/>
      <w:lvlText w:val="%2)"/>
      <w:lvlJc w:val="left"/>
      <w:pPr>
        <w:ind w:left="1185" w:hanging="360"/>
      </w:pPr>
      <w:rPr>
        <w:rFonts w:ascii="Times New Roman" w:eastAsia="Times New Roman" w:hAnsi="Times New Roman" w:hint="default"/>
        <w:i/>
        <w:sz w:val="24"/>
        <w:szCs w:val="24"/>
      </w:rPr>
    </w:lvl>
    <w:lvl w:ilvl="2" w:tplc="95903270">
      <w:start w:val="1"/>
      <w:numFmt w:val="bullet"/>
      <w:lvlText w:val="•"/>
      <w:lvlJc w:val="left"/>
      <w:pPr>
        <w:ind w:left="2134" w:hanging="360"/>
      </w:pPr>
      <w:rPr>
        <w:rFonts w:hint="default"/>
      </w:rPr>
    </w:lvl>
    <w:lvl w:ilvl="3" w:tplc="61CC564C">
      <w:start w:val="1"/>
      <w:numFmt w:val="bullet"/>
      <w:lvlText w:val="•"/>
      <w:lvlJc w:val="left"/>
      <w:pPr>
        <w:ind w:left="3083" w:hanging="360"/>
      </w:pPr>
      <w:rPr>
        <w:rFonts w:hint="default"/>
      </w:rPr>
    </w:lvl>
    <w:lvl w:ilvl="4" w:tplc="03E4C5AE">
      <w:start w:val="1"/>
      <w:numFmt w:val="bullet"/>
      <w:lvlText w:val="•"/>
      <w:lvlJc w:val="left"/>
      <w:pPr>
        <w:ind w:left="4032" w:hanging="360"/>
      </w:pPr>
      <w:rPr>
        <w:rFonts w:hint="default"/>
      </w:rPr>
    </w:lvl>
    <w:lvl w:ilvl="5" w:tplc="4C40C4F8">
      <w:start w:val="1"/>
      <w:numFmt w:val="bullet"/>
      <w:lvlText w:val="•"/>
      <w:lvlJc w:val="left"/>
      <w:pPr>
        <w:ind w:left="4981" w:hanging="360"/>
      </w:pPr>
      <w:rPr>
        <w:rFonts w:hint="default"/>
      </w:rPr>
    </w:lvl>
    <w:lvl w:ilvl="6" w:tplc="0F047A64">
      <w:start w:val="1"/>
      <w:numFmt w:val="bullet"/>
      <w:lvlText w:val="•"/>
      <w:lvlJc w:val="left"/>
      <w:pPr>
        <w:ind w:left="5930" w:hanging="360"/>
      </w:pPr>
      <w:rPr>
        <w:rFonts w:hint="default"/>
      </w:rPr>
    </w:lvl>
    <w:lvl w:ilvl="7" w:tplc="BCC43078">
      <w:start w:val="1"/>
      <w:numFmt w:val="bullet"/>
      <w:lvlText w:val="•"/>
      <w:lvlJc w:val="left"/>
      <w:pPr>
        <w:ind w:left="6879" w:hanging="360"/>
      </w:pPr>
      <w:rPr>
        <w:rFonts w:hint="default"/>
      </w:rPr>
    </w:lvl>
    <w:lvl w:ilvl="8" w:tplc="FC329BAA">
      <w:start w:val="1"/>
      <w:numFmt w:val="bullet"/>
      <w:lvlText w:val="•"/>
      <w:lvlJc w:val="left"/>
      <w:pPr>
        <w:ind w:left="7828" w:hanging="360"/>
      </w:pPr>
      <w:rPr>
        <w:rFonts w:hint="default"/>
      </w:rPr>
    </w:lvl>
  </w:abstractNum>
  <w:abstractNum w:abstractNumId="1" w15:restartNumberingAfterBreak="0">
    <w:nsid w:val="0405570A"/>
    <w:multiLevelType w:val="multilevel"/>
    <w:tmpl w:val="A880DC3E"/>
    <w:lvl w:ilvl="0">
      <w:start w:val="1"/>
      <w:numFmt w:val="upperRoman"/>
      <w:lvlText w:val="%1."/>
      <w:lvlJc w:val="left"/>
      <w:pPr>
        <w:ind w:left="287" w:hanging="183"/>
      </w:pPr>
      <w:rPr>
        <w:rFonts w:ascii="Times New Roman" w:eastAsia="Times New Roman" w:hAnsi="Times New Roman" w:hint="default"/>
        <w:spacing w:val="-4"/>
        <w:sz w:val="22"/>
        <w:szCs w:val="22"/>
      </w:rPr>
    </w:lvl>
    <w:lvl w:ilvl="1">
      <w:start w:val="1"/>
      <w:numFmt w:val="decimal"/>
      <w:lvlText w:val="%1.%2."/>
      <w:lvlJc w:val="left"/>
      <w:pPr>
        <w:ind w:left="450" w:hanging="346"/>
      </w:pPr>
      <w:rPr>
        <w:rFonts w:ascii="Times New Roman" w:eastAsia="Times New Roman" w:hAnsi="Times New Roman" w:hint="default"/>
        <w:spacing w:val="-4"/>
        <w:sz w:val="22"/>
        <w:szCs w:val="22"/>
      </w:rPr>
    </w:lvl>
    <w:lvl w:ilvl="2">
      <w:start w:val="1"/>
      <w:numFmt w:val="decimal"/>
      <w:lvlText w:val="%1.%2.%3."/>
      <w:lvlJc w:val="left"/>
      <w:pPr>
        <w:ind w:left="690" w:hanging="586"/>
        <w:jc w:val="right"/>
      </w:pPr>
      <w:rPr>
        <w:rFonts w:ascii="Times New Roman" w:eastAsia="Times New Roman" w:hAnsi="Times New Roman" w:hint="default"/>
        <w:spacing w:val="-2"/>
        <w:sz w:val="22"/>
        <w:szCs w:val="22"/>
      </w:rPr>
    </w:lvl>
    <w:lvl w:ilvl="3">
      <w:start w:val="1"/>
      <w:numFmt w:val="bullet"/>
      <w:lvlText w:val="•"/>
      <w:lvlJc w:val="left"/>
      <w:pPr>
        <w:ind w:left="525" w:hanging="586"/>
      </w:pPr>
      <w:rPr>
        <w:rFonts w:hint="default"/>
      </w:rPr>
    </w:lvl>
    <w:lvl w:ilvl="4">
      <w:start w:val="1"/>
      <w:numFmt w:val="bullet"/>
      <w:lvlText w:val="•"/>
      <w:lvlJc w:val="left"/>
      <w:pPr>
        <w:ind w:left="542" w:hanging="586"/>
      </w:pPr>
      <w:rPr>
        <w:rFonts w:hint="default"/>
      </w:rPr>
    </w:lvl>
    <w:lvl w:ilvl="5">
      <w:start w:val="1"/>
      <w:numFmt w:val="bullet"/>
      <w:lvlText w:val="•"/>
      <w:lvlJc w:val="left"/>
      <w:pPr>
        <w:ind w:left="599" w:hanging="586"/>
      </w:pPr>
      <w:rPr>
        <w:rFonts w:hint="default"/>
      </w:rPr>
    </w:lvl>
    <w:lvl w:ilvl="6">
      <w:start w:val="1"/>
      <w:numFmt w:val="bullet"/>
      <w:lvlText w:val="•"/>
      <w:lvlJc w:val="left"/>
      <w:pPr>
        <w:ind w:left="611" w:hanging="586"/>
      </w:pPr>
      <w:rPr>
        <w:rFonts w:hint="default"/>
      </w:rPr>
    </w:lvl>
    <w:lvl w:ilvl="7">
      <w:start w:val="1"/>
      <w:numFmt w:val="bullet"/>
      <w:lvlText w:val="•"/>
      <w:lvlJc w:val="left"/>
      <w:pPr>
        <w:ind w:left="690" w:hanging="586"/>
      </w:pPr>
      <w:rPr>
        <w:rFonts w:hint="default"/>
      </w:rPr>
    </w:lvl>
    <w:lvl w:ilvl="8">
      <w:start w:val="1"/>
      <w:numFmt w:val="bullet"/>
      <w:lvlText w:val="•"/>
      <w:lvlJc w:val="left"/>
      <w:pPr>
        <w:ind w:left="1048" w:hanging="586"/>
      </w:pPr>
      <w:rPr>
        <w:rFonts w:hint="default"/>
      </w:rPr>
    </w:lvl>
  </w:abstractNum>
  <w:abstractNum w:abstractNumId="2" w15:restartNumberingAfterBreak="0">
    <w:nsid w:val="043220A7"/>
    <w:multiLevelType w:val="multilevel"/>
    <w:tmpl w:val="D18A3ECC"/>
    <w:lvl w:ilvl="0">
      <w:start w:val="5"/>
      <w:numFmt w:val="upperRoman"/>
      <w:lvlText w:val="%1"/>
      <w:lvlJc w:val="left"/>
      <w:pPr>
        <w:ind w:left="105" w:hanging="833"/>
      </w:pPr>
      <w:rPr>
        <w:rFonts w:hint="default"/>
      </w:rPr>
    </w:lvl>
    <w:lvl w:ilvl="1">
      <w:start w:val="2"/>
      <w:numFmt w:val="decimal"/>
      <w:lvlText w:val="%1.%2"/>
      <w:lvlJc w:val="left"/>
      <w:pPr>
        <w:ind w:left="105" w:hanging="833"/>
      </w:pPr>
      <w:rPr>
        <w:rFonts w:hint="default"/>
      </w:rPr>
    </w:lvl>
    <w:lvl w:ilvl="2">
      <w:start w:val="1"/>
      <w:numFmt w:val="decimal"/>
      <w:lvlText w:val="%1.%2.%3"/>
      <w:lvlJc w:val="left"/>
      <w:pPr>
        <w:ind w:left="105" w:hanging="833"/>
      </w:pPr>
      <w:rPr>
        <w:rFonts w:hint="default"/>
      </w:rPr>
    </w:lvl>
    <w:lvl w:ilvl="3">
      <w:start w:val="1"/>
      <w:numFmt w:val="decimal"/>
      <w:lvlText w:val="%1.%2.%3.%4."/>
      <w:lvlJc w:val="left"/>
      <w:pPr>
        <w:ind w:left="105" w:hanging="833"/>
      </w:pPr>
      <w:rPr>
        <w:rFonts w:ascii="Times New Roman" w:eastAsia="Times New Roman" w:hAnsi="Times New Roman" w:hint="default"/>
        <w:b/>
        <w:bCs/>
        <w:sz w:val="24"/>
        <w:szCs w:val="24"/>
      </w:rPr>
    </w:lvl>
    <w:lvl w:ilvl="4">
      <w:start w:val="1"/>
      <w:numFmt w:val="bullet"/>
      <w:lvlText w:val="•"/>
      <w:lvlJc w:val="left"/>
      <w:pPr>
        <w:ind w:left="3953" w:hanging="833"/>
      </w:pPr>
      <w:rPr>
        <w:rFonts w:hint="default"/>
      </w:rPr>
    </w:lvl>
    <w:lvl w:ilvl="5">
      <w:start w:val="1"/>
      <w:numFmt w:val="bullet"/>
      <w:lvlText w:val="•"/>
      <w:lvlJc w:val="left"/>
      <w:pPr>
        <w:ind w:left="4915" w:hanging="833"/>
      </w:pPr>
      <w:rPr>
        <w:rFonts w:hint="default"/>
      </w:rPr>
    </w:lvl>
    <w:lvl w:ilvl="6">
      <w:start w:val="1"/>
      <w:numFmt w:val="bullet"/>
      <w:lvlText w:val="•"/>
      <w:lvlJc w:val="left"/>
      <w:pPr>
        <w:ind w:left="5877" w:hanging="833"/>
      </w:pPr>
      <w:rPr>
        <w:rFonts w:hint="default"/>
      </w:rPr>
    </w:lvl>
    <w:lvl w:ilvl="7">
      <w:start w:val="1"/>
      <w:numFmt w:val="bullet"/>
      <w:lvlText w:val="•"/>
      <w:lvlJc w:val="left"/>
      <w:pPr>
        <w:ind w:left="6840" w:hanging="833"/>
      </w:pPr>
      <w:rPr>
        <w:rFonts w:hint="default"/>
      </w:rPr>
    </w:lvl>
    <w:lvl w:ilvl="8">
      <w:start w:val="1"/>
      <w:numFmt w:val="bullet"/>
      <w:lvlText w:val="•"/>
      <w:lvlJc w:val="left"/>
      <w:pPr>
        <w:ind w:left="7802" w:hanging="833"/>
      </w:pPr>
      <w:rPr>
        <w:rFonts w:hint="default"/>
      </w:rPr>
    </w:lvl>
  </w:abstractNum>
  <w:abstractNum w:abstractNumId="3" w15:restartNumberingAfterBreak="0">
    <w:nsid w:val="07284844"/>
    <w:multiLevelType w:val="hybridMultilevel"/>
    <w:tmpl w:val="3320C798"/>
    <w:lvl w:ilvl="0" w:tplc="AB4619B0">
      <w:start w:val="1"/>
      <w:numFmt w:val="lowerLetter"/>
      <w:lvlText w:val="(%1)"/>
      <w:lvlJc w:val="left"/>
      <w:pPr>
        <w:ind w:left="125" w:hanging="219"/>
      </w:pPr>
      <w:rPr>
        <w:rFonts w:ascii="Times New Roman" w:eastAsia="Times New Roman" w:hAnsi="Times New Roman" w:hint="default"/>
        <w:spacing w:val="-1"/>
        <w:sz w:val="16"/>
        <w:szCs w:val="16"/>
      </w:rPr>
    </w:lvl>
    <w:lvl w:ilvl="1" w:tplc="C278FFB8">
      <w:start w:val="1"/>
      <w:numFmt w:val="bullet"/>
      <w:lvlText w:val="•"/>
      <w:lvlJc w:val="left"/>
      <w:pPr>
        <w:ind w:left="1087" w:hanging="219"/>
      </w:pPr>
      <w:rPr>
        <w:rFonts w:hint="default"/>
      </w:rPr>
    </w:lvl>
    <w:lvl w:ilvl="2" w:tplc="0284CCD8">
      <w:start w:val="1"/>
      <w:numFmt w:val="bullet"/>
      <w:lvlText w:val="•"/>
      <w:lvlJc w:val="left"/>
      <w:pPr>
        <w:ind w:left="2049" w:hanging="219"/>
      </w:pPr>
      <w:rPr>
        <w:rFonts w:hint="default"/>
      </w:rPr>
    </w:lvl>
    <w:lvl w:ilvl="3" w:tplc="135CFB00">
      <w:start w:val="1"/>
      <w:numFmt w:val="bullet"/>
      <w:lvlText w:val="•"/>
      <w:lvlJc w:val="left"/>
      <w:pPr>
        <w:ind w:left="3011" w:hanging="219"/>
      </w:pPr>
      <w:rPr>
        <w:rFonts w:hint="default"/>
      </w:rPr>
    </w:lvl>
    <w:lvl w:ilvl="4" w:tplc="CD86018C">
      <w:start w:val="1"/>
      <w:numFmt w:val="bullet"/>
      <w:lvlText w:val="•"/>
      <w:lvlJc w:val="left"/>
      <w:pPr>
        <w:ind w:left="3973" w:hanging="219"/>
      </w:pPr>
      <w:rPr>
        <w:rFonts w:hint="default"/>
      </w:rPr>
    </w:lvl>
    <w:lvl w:ilvl="5" w:tplc="935A5510">
      <w:start w:val="1"/>
      <w:numFmt w:val="bullet"/>
      <w:lvlText w:val="•"/>
      <w:lvlJc w:val="left"/>
      <w:pPr>
        <w:ind w:left="4935" w:hanging="219"/>
      </w:pPr>
      <w:rPr>
        <w:rFonts w:hint="default"/>
      </w:rPr>
    </w:lvl>
    <w:lvl w:ilvl="6" w:tplc="C728E632">
      <w:start w:val="1"/>
      <w:numFmt w:val="bullet"/>
      <w:lvlText w:val="•"/>
      <w:lvlJc w:val="left"/>
      <w:pPr>
        <w:ind w:left="5897" w:hanging="219"/>
      </w:pPr>
      <w:rPr>
        <w:rFonts w:hint="default"/>
      </w:rPr>
    </w:lvl>
    <w:lvl w:ilvl="7" w:tplc="AF5CEC0E">
      <w:start w:val="1"/>
      <w:numFmt w:val="bullet"/>
      <w:lvlText w:val="•"/>
      <w:lvlJc w:val="left"/>
      <w:pPr>
        <w:ind w:left="6860" w:hanging="219"/>
      </w:pPr>
      <w:rPr>
        <w:rFonts w:hint="default"/>
      </w:rPr>
    </w:lvl>
    <w:lvl w:ilvl="8" w:tplc="954E5BC8">
      <w:start w:val="1"/>
      <w:numFmt w:val="bullet"/>
      <w:lvlText w:val="•"/>
      <w:lvlJc w:val="left"/>
      <w:pPr>
        <w:ind w:left="7822" w:hanging="219"/>
      </w:pPr>
      <w:rPr>
        <w:rFonts w:hint="default"/>
      </w:rPr>
    </w:lvl>
  </w:abstractNum>
  <w:abstractNum w:abstractNumId="4" w15:restartNumberingAfterBreak="0">
    <w:nsid w:val="09E53992"/>
    <w:multiLevelType w:val="hybridMultilevel"/>
    <w:tmpl w:val="68C23BD2"/>
    <w:lvl w:ilvl="0" w:tplc="CAC699C2">
      <w:start w:val="1"/>
      <w:numFmt w:val="upperLetter"/>
      <w:lvlText w:val="%1)"/>
      <w:lvlJc w:val="left"/>
      <w:pPr>
        <w:ind w:left="825" w:hanging="720"/>
      </w:pPr>
      <w:rPr>
        <w:rFonts w:ascii="Times New Roman" w:eastAsia="Times New Roman" w:hAnsi="Times New Roman" w:hint="default"/>
        <w:b/>
        <w:bCs/>
        <w:spacing w:val="-1"/>
        <w:sz w:val="24"/>
        <w:szCs w:val="24"/>
      </w:rPr>
    </w:lvl>
    <w:lvl w:ilvl="1" w:tplc="4A0AE0B6">
      <w:start w:val="1"/>
      <w:numFmt w:val="lowerLetter"/>
      <w:lvlText w:val="%2)"/>
      <w:lvlJc w:val="left"/>
      <w:pPr>
        <w:ind w:left="105" w:hanging="720"/>
      </w:pPr>
      <w:rPr>
        <w:rFonts w:ascii="Times New Roman" w:eastAsia="Times New Roman" w:hAnsi="Times New Roman" w:hint="default"/>
        <w:spacing w:val="-1"/>
        <w:sz w:val="24"/>
        <w:szCs w:val="24"/>
      </w:rPr>
    </w:lvl>
    <w:lvl w:ilvl="2" w:tplc="4CB2BB56">
      <w:start w:val="1"/>
      <w:numFmt w:val="lowerLetter"/>
      <w:lvlText w:val="(%3)"/>
      <w:lvlJc w:val="left"/>
      <w:pPr>
        <w:ind w:left="845" w:hanging="325"/>
      </w:pPr>
      <w:rPr>
        <w:rFonts w:ascii="Times New Roman" w:eastAsia="Arial" w:hAnsi="Times New Roman" w:cs="Times New Roman"/>
        <w:sz w:val="24"/>
        <w:szCs w:val="24"/>
      </w:rPr>
    </w:lvl>
    <w:lvl w:ilvl="3" w:tplc="8196FAC0">
      <w:start w:val="1"/>
      <w:numFmt w:val="bullet"/>
      <w:lvlText w:val="•"/>
      <w:lvlJc w:val="left"/>
      <w:pPr>
        <w:ind w:left="1955" w:hanging="325"/>
      </w:pPr>
      <w:rPr>
        <w:rFonts w:hint="default"/>
      </w:rPr>
    </w:lvl>
    <w:lvl w:ilvl="4" w:tplc="4960429C">
      <w:start w:val="1"/>
      <w:numFmt w:val="bullet"/>
      <w:lvlText w:val="•"/>
      <w:lvlJc w:val="left"/>
      <w:pPr>
        <w:ind w:left="3065" w:hanging="325"/>
      </w:pPr>
      <w:rPr>
        <w:rFonts w:hint="default"/>
      </w:rPr>
    </w:lvl>
    <w:lvl w:ilvl="5" w:tplc="D9C88C30">
      <w:start w:val="1"/>
      <w:numFmt w:val="bullet"/>
      <w:lvlText w:val="•"/>
      <w:lvlJc w:val="left"/>
      <w:pPr>
        <w:ind w:left="4175" w:hanging="325"/>
      </w:pPr>
      <w:rPr>
        <w:rFonts w:hint="default"/>
      </w:rPr>
    </w:lvl>
    <w:lvl w:ilvl="6" w:tplc="7C80BF46">
      <w:start w:val="1"/>
      <w:numFmt w:val="bullet"/>
      <w:lvlText w:val="•"/>
      <w:lvlJc w:val="left"/>
      <w:pPr>
        <w:ind w:left="5285" w:hanging="325"/>
      </w:pPr>
      <w:rPr>
        <w:rFonts w:hint="default"/>
      </w:rPr>
    </w:lvl>
    <w:lvl w:ilvl="7" w:tplc="58985398">
      <w:start w:val="1"/>
      <w:numFmt w:val="bullet"/>
      <w:lvlText w:val="•"/>
      <w:lvlJc w:val="left"/>
      <w:pPr>
        <w:ind w:left="6396" w:hanging="325"/>
      </w:pPr>
      <w:rPr>
        <w:rFonts w:hint="default"/>
      </w:rPr>
    </w:lvl>
    <w:lvl w:ilvl="8" w:tplc="48D0C972">
      <w:start w:val="1"/>
      <w:numFmt w:val="bullet"/>
      <w:lvlText w:val="•"/>
      <w:lvlJc w:val="left"/>
      <w:pPr>
        <w:ind w:left="7506" w:hanging="325"/>
      </w:pPr>
      <w:rPr>
        <w:rFonts w:hint="default"/>
      </w:rPr>
    </w:lvl>
  </w:abstractNum>
  <w:abstractNum w:abstractNumId="5" w15:restartNumberingAfterBreak="0">
    <w:nsid w:val="0AA03FBC"/>
    <w:multiLevelType w:val="hybridMultilevel"/>
    <w:tmpl w:val="7C684176"/>
    <w:lvl w:ilvl="0" w:tplc="B6F8ED08">
      <w:start w:val="1"/>
      <w:numFmt w:val="bullet"/>
      <w:lvlText w:val="-"/>
      <w:lvlJc w:val="left"/>
      <w:pPr>
        <w:ind w:left="964" w:hanging="140"/>
      </w:pPr>
      <w:rPr>
        <w:rFonts w:ascii="Times New Roman" w:eastAsia="Times New Roman" w:hAnsi="Times New Roman" w:hint="default"/>
        <w:sz w:val="24"/>
        <w:szCs w:val="24"/>
      </w:rPr>
    </w:lvl>
    <w:lvl w:ilvl="1" w:tplc="DF626A7C">
      <w:start w:val="1"/>
      <w:numFmt w:val="bullet"/>
      <w:lvlText w:val="•"/>
      <w:lvlJc w:val="left"/>
      <w:pPr>
        <w:ind w:left="1840" w:hanging="140"/>
      </w:pPr>
      <w:rPr>
        <w:rFonts w:hint="default"/>
      </w:rPr>
    </w:lvl>
    <w:lvl w:ilvl="2" w:tplc="7AFED966">
      <w:start w:val="1"/>
      <w:numFmt w:val="bullet"/>
      <w:lvlText w:val="•"/>
      <w:lvlJc w:val="left"/>
      <w:pPr>
        <w:ind w:left="2716" w:hanging="140"/>
      </w:pPr>
      <w:rPr>
        <w:rFonts w:hint="default"/>
      </w:rPr>
    </w:lvl>
    <w:lvl w:ilvl="3" w:tplc="A19A1692">
      <w:start w:val="1"/>
      <w:numFmt w:val="bullet"/>
      <w:lvlText w:val="•"/>
      <w:lvlJc w:val="left"/>
      <w:pPr>
        <w:ind w:left="3593" w:hanging="140"/>
      </w:pPr>
      <w:rPr>
        <w:rFonts w:hint="default"/>
      </w:rPr>
    </w:lvl>
    <w:lvl w:ilvl="4" w:tplc="512EB64A">
      <w:start w:val="1"/>
      <w:numFmt w:val="bullet"/>
      <w:lvlText w:val="•"/>
      <w:lvlJc w:val="left"/>
      <w:pPr>
        <w:ind w:left="4469" w:hanging="140"/>
      </w:pPr>
      <w:rPr>
        <w:rFonts w:hint="default"/>
      </w:rPr>
    </w:lvl>
    <w:lvl w:ilvl="5" w:tplc="C49AFCAC">
      <w:start w:val="1"/>
      <w:numFmt w:val="bullet"/>
      <w:lvlText w:val="•"/>
      <w:lvlJc w:val="left"/>
      <w:pPr>
        <w:ind w:left="5345" w:hanging="140"/>
      </w:pPr>
      <w:rPr>
        <w:rFonts w:hint="default"/>
      </w:rPr>
    </w:lvl>
    <w:lvl w:ilvl="6" w:tplc="FB6C2210">
      <w:start w:val="1"/>
      <w:numFmt w:val="bullet"/>
      <w:lvlText w:val="•"/>
      <w:lvlJc w:val="left"/>
      <w:pPr>
        <w:ind w:left="6221" w:hanging="140"/>
      </w:pPr>
      <w:rPr>
        <w:rFonts w:hint="default"/>
      </w:rPr>
    </w:lvl>
    <w:lvl w:ilvl="7" w:tplc="142E6A6A">
      <w:start w:val="1"/>
      <w:numFmt w:val="bullet"/>
      <w:lvlText w:val="•"/>
      <w:lvlJc w:val="left"/>
      <w:pPr>
        <w:ind w:left="7097" w:hanging="140"/>
      </w:pPr>
      <w:rPr>
        <w:rFonts w:hint="default"/>
      </w:rPr>
    </w:lvl>
    <w:lvl w:ilvl="8" w:tplc="DB807418">
      <w:start w:val="1"/>
      <w:numFmt w:val="bullet"/>
      <w:lvlText w:val="•"/>
      <w:lvlJc w:val="left"/>
      <w:pPr>
        <w:ind w:left="7974" w:hanging="140"/>
      </w:pPr>
      <w:rPr>
        <w:rFonts w:hint="default"/>
      </w:rPr>
    </w:lvl>
  </w:abstractNum>
  <w:abstractNum w:abstractNumId="6" w15:restartNumberingAfterBreak="0">
    <w:nsid w:val="0B4764DE"/>
    <w:multiLevelType w:val="hybridMultilevel"/>
    <w:tmpl w:val="D1C61DCA"/>
    <w:lvl w:ilvl="0" w:tplc="42ECC37E">
      <w:start w:val="1"/>
      <w:numFmt w:val="lowerRoman"/>
      <w:lvlText w:val="%1)"/>
      <w:lvlJc w:val="left"/>
      <w:pPr>
        <w:ind w:left="105" w:hanging="207"/>
      </w:pPr>
      <w:rPr>
        <w:rFonts w:ascii="Times New Roman" w:eastAsia="Times New Roman" w:hAnsi="Times New Roman" w:hint="default"/>
        <w:b/>
        <w:bCs/>
        <w:i/>
        <w:sz w:val="24"/>
        <w:szCs w:val="24"/>
      </w:rPr>
    </w:lvl>
    <w:lvl w:ilvl="1" w:tplc="4546ED72">
      <w:start w:val="1"/>
      <w:numFmt w:val="bullet"/>
      <w:lvlText w:val="–"/>
      <w:lvlJc w:val="left"/>
      <w:pPr>
        <w:ind w:left="225" w:hanging="358"/>
      </w:pPr>
      <w:rPr>
        <w:rFonts w:ascii="Times New Roman" w:eastAsia="Times New Roman" w:hAnsi="Times New Roman" w:hint="default"/>
        <w:sz w:val="24"/>
        <w:szCs w:val="24"/>
      </w:rPr>
    </w:lvl>
    <w:lvl w:ilvl="2" w:tplc="DA48B2D6">
      <w:start w:val="1"/>
      <w:numFmt w:val="bullet"/>
      <w:lvlText w:val="-"/>
      <w:lvlJc w:val="left"/>
      <w:pPr>
        <w:ind w:left="1098" w:hanging="286"/>
      </w:pPr>
      <w:rPr>
        <w:rFonts w:ascii="Times New Roman" w:eastAsia="Times New Roman" w:hAnsi="Times New Roman" w:hint="default"/>
        <w:sz w:val="24"/>
        <w:szCs w:val="24"/>
      </w:rPr>
    </w:lvl>
    <w:lvl w:ilvl="3" w:tplc="6076208E">
      <w:start w:val="1"/>
      <w:numFmt w:val="bullet"/>
      <w:lvlText w:val="•"/>
      <w:lvlJc w:val="left"/>
      <w:pPr>
        <w:ind w:left="2167" w:hanging="286"/>
      </w:pPr>
      <w:rPr>
        <w:rFonts w:hint="default"/>
      </w:rPr>
    </w:lvl>
    <w:lvl w:ilvl="4" w:tplc="2BDE6C46">
      <w:start w:val="1"/>
      <w:numFmt w:val="bullet"/>
      <w:lvlText w:val="•"/>
      <w:lvlJc w:val="left"/>
      <w:pPr>
        <w:ind w:left="3235" w:hanging="286"/>
      </w:pPr>
      <w:rPr>
        <w:rFonts w:hint="default"/>
      </w:rPr>
    </w:lvl>
    <w:lvl w:ilvl="5" w:tplc="2ED05AD8">
      <w:start w:val="1"/>
      <w:numFmt w:val="bullet"/>
      <w:lvlText w:val="•"/>
      <w:lvlJc w:val="left"/>
      <w:pPr>
        <w:ind w:left="4304" w:hanging="286"/>
      </w:pPr>
      <w:rPr>
        <w:rFonts w:hint="default"/>
      </w:rPr>
    </w:lvl>
    <w:lvl w:ilvl="6" w:tplc="96500656">
      <w:start w:val="1"/>
      <w:numFmt w:val="bullet"/>
      <w:lvlText w:val="•"/>
      <w:lvlJc w:val="left"/>
      <w:pPr>
        <w:ind w:left="5372" w:hanging="286"/>
      </w:pPr>
      <w:rPr>
        <w:rFonts w:hint="default"/>
      </w:rPr>
    </w:lvl>
    <w:lvl w:ilvl="7" w:tplc="7E02B89C">
      <w:start w:val="1"/>
      <w:numFmt w:val="bullet"/>
      <w:lvlText w:val="•"/>
      <w:lvlJc w:val="left"/>
      <w:pPr>
        <w:ind w:left="6441" w:hanging="286"/>
      </w:pPr>
      <w:rPr>
        <w:rFonts w:hint="default"/>
      </w:rPr>
    </w:lvl>
    <w:lvl w:ilvl="8" w:tplc="D33083BE">
      <w:start w:val="1"/>
      <w:numFmt w:val="bullet"/>
      <w:lvlText w:val="•"/>
      <w:lvlJc w:val="left"/>
      <w:pPr>
        <w:ind w:left="7509" w:hanging="286"/>
      </w:pPr>
      <w:rPr>
        <w:rFonts w:hint="default"/>
      </w:rPr>
    </w:lvl>
  </w:abstractNum>
  <w:abstractNum w:abstractNumId="7" w15:restartNumberingAfterBreak="0">
    <w:nsid w:val="0C8C7E1B"/>
    <w:multiLevelType w:val="multilevel"/>
    <w:tmpl w:val="5888F55C"/>
    <w:lvl w:ilvl="0">
      <w:start w:val="6"/>
      <w:numFmt w:val="upperRoman"/>
      <w:lvlText w:val="%1"/>
      <w:lvlJc w:val="left"/>
      <w:pPr>
        <w:ind w:left="611" w:hanging="507"/>
      </w:pPr>
      <w:rPr>
        <w:rFonts w:hint="default"/>
      </w:rPr>
    </w:lvl>
    <w:lvl w:ilvl="1">
      <w:start w:val="3"/>
      <w:numFmt w:val="decimal"/>
      <w:lvlText w:val="%1.%2."/>
      <w:lvlJc w:val="left"/>
      <w:pPr>
        <w:ind w:left="611" w:hanging="507"/>
      </w:pPr>
      <w:rPr>
        <w:rFonts w:ascii="Times New Roman" w:eastAsia="Times New Roman" w:hAnsi="Times New Roman" w:hint="default"/>
        <w:spacing w:val="1"/>
        <w:sz w:val="22"/>
        <w:szCs w:val="22"/>
      </w:rPr>
    </w:lvl>
    <w:lvl w:ilvl="2">
      <w:start w:val="1"/>
      <w:numFmt w:val="decimal"/>
      <w:lvlText w:val="%1.%2.%3."/>
      <w:lvlJc w:val="left"/>
      <w:pPr>
        <w:ind w:left="1060" w:hanging="672"/>
      </w:pPr>
      <w:rPr>
        <w:rFonts w:ascii="Times New Roman" w:eastAsia="Times New Roman" w:hAnsi="Times New Roman" w:hint="default"/>
        <w:spacing w:val="1"/>
        <w:sz w:val="22"/>
        <w:szCs w:val="22"/>
      </w:rPr>
    </w:lvl>
    <w:lvl w:ilvl="3">
      <w:start w:val="1"/>
      <w:numFmt w:val="bullet"/>
      <w:lvlText w:val="•"/>
      <w:lvlJc w:val="left"/>
      <w:pPr>
        <w:ind w:left="3003" w:hanging="672"/>
      </w:pPr>
      <w:rPr>
        <w:rFonts w:hint="default"/>
      </w:rPr>
    </w:lvl>
    <w:lvl w:ilvl="4">
      <w:start w:val="1"/>
      <w:numFmt w:val="bullet"/>
      <w:lvlText w:val="•"/>
      <w:lvlJc w:val="left"/>
      <w:pPr>
        <w:ind w:left="3975" w:hanging="672"/>
      </w:pPr>
      <w:rPr>
        <w:rFonts w:hint="default"/>
      </w:rPr>
    </w:lvl>
    <w:lvl w:ilvl="5">
      <w:start w:val="1"/>
      <w:numFmt w:val="bullet"/>
      <w:lvlText w:val="•"/>
      <w:lvlJc w:val="left"/>
      <w:pPr>
        <w:ind w:left="4947" w:hanging="672"/>
      </w:pPr>
      <w:rPr>
        <w:rFonts w:hint="default"/>
      </w:rPr>
    </w:lvl>
    <w:lvl w:ilvl="6">
      <w:start w:val="1"/>
      <w:numFmt w:val="bullet"/>
      <w:lvlText w:val="•"/>
      <w:lvlJc w:val="left"/>
      <w:pPr>
        <w:ind w:left="5919" w:hanging="672"/>
      </w:pPr>
      <w:rPr>
        <w:rFonts w:hint="default"/>
      </w:rPr>
    </w:lvl>
    <w:lvl w:ilvl="7">
      <w:start w:val="1"/>
      <w:numFmt w:val="bullet"/>
      <w:lvlText w:val="•"/>
      <w:lvlJc w:val="left"/>
      <w:pPr>
        <w:ind w:left="6891" w:hanging="672"/>
      </w:pPr>
      <w:rPr>
        <w:rFonts w:hint="default"/>
      </w:rPr>
    </w:lvl>
    <w:lvl w:ilvl="8">
      <w:start w:val="1"/>
      <w:numFmt w:val="bullet"/>
      <w:lvlText w:val="•"/>
      <w:lvlJc w:val="left"/>
      <w:pPr>
        <w:ind w:left="7862" w:hanging="672"/>
      </w:pPr>
      <w:rPr>
        <w:rFonts w:hint="default"/>
      </w:rPr>
    </w:lvl>
  </w:abstractNum>
  <w:abstractNum w:abstractNumId="8" w15:restartNumberingAfterBreak="0">
    <w:nsid w:val="0E296AB3"/>
    <w:multiLevelType w:val="hybridMultilevel"/>
    <w:tmpl w:val="36BE9FBC"/>
    <w:lvl w:ilvl="0" w:tplc="89004D66">
      <w:start w:val="1"/>
      <w:numFmt w:val="bullet"/>
      <w:lvlText w:val="-"/>
      <w:lvlJc w:val="left"/>
      <w:pPr>
        <w:ind w:left="825" w:hanging="360"/>
      </w:pPr>
      <w:rPr>
        <w:rFonts w:ascii="Times New Roman" w:eastAsia="Times New Roman" w:hAnsi="Times New Roman" w:hint="default"/>
        <w:sz w:val="24"/>
        <w:szCs w:val="24"/>
      </w:rPr>
    </w:lvl>
    <w:lvl w:ilvl="1" w:tplc="A222815A">
      <w:start w:val="1"/>
      <w:numFmt w:val="bullet"/>
      <w:lvlText w:val="•"/>
      <w:lvlJc w:val="left"/>
      <w:pPr>
        <w:ind w:left="1715" w:hanging="360"/>
      </w:pPr>
      <w:rPr>
        <w:rFonts w:hint="default"/>
      </w:rPr>
    </w:lvl>
    <w:lvl w:ilvl="2" w:tplc="E36C4FDC">
      <w:start w:val="1"/>
      <w:numFmt w:val="bullet"/>
      <w:lvlText w:val="•"/>
      <w:lvlJc w:val="left"/>
      <w:pPr>
        <w:ind w:left="2605" w:hanging="360"/>
      </w:pPr>
      <w:rPr>
        <w:rFonts w:hint="default"/>
      </w:rPr>
    </w:lvl>
    <w:lvl w:ilvl="3" w:tplc="2AB0EE2C">
      <w:start w:val="1"/>
      <w:numFmt w:val="bullet"/>
      <w:lvlText w:val="•"/>
      <w:lvlJc w:val="left"/>
      <w:pPr>
        <w:ind w:left="3495" w:hanging="360"/>
      </w:pPr>
      <w:rPr>
        <w:rFonts w:hint="default"/>
      </w:rPr>
    </w:lvl>
    <w:lvl w:ilvl="4" w:tplc="A088FD94">
      <w:start w:val="1"/>
      <w:numFmt w:val="bullet"/>
      <w:lvlText w:val="•"/>
      <w:lvlJc w:val="left"/>
      <w:pPr>
        <w:ind w:left="4385" w:hanging="360"/>
      </w:pPr>
      <w:rPr>
        <w:rFonts w:hint="default"/>
      </w:rPr>
    </w:lvl>
    <w:lvl w:ilvl="5" w:tplc="C666C770">
      <w:start w:val="1"/>
      <w:numFmt w:val="bullet"/>
      <w:lvlText w:val="•"/>
      <w:lvlJc w:val="left"/>
      <w:pPr>
        <w:ind w:left="5275" w:hanging="360"/>
      </w:pPr>
      <w:rPr>
        <w:rFonts w:hint="default"/>
      </w:rPr>
    </w:lvl>
    <w:lvl w:ilvl="6" w:tplc="B32C2C90">
      <w:start w:val="1"/>
      <w:numFmt w:val="bullet"/>
      <w:lvlText w:val="•"/>
      <w:lvlJc w:val="left"/>
      <w:pPr>
        <w:ind w:left="6165" w:hanging="360"/>
      </w:pPr>
      <w:rPr>
        <w:rFonts w:hint="default"/>
      </w:rPr>
    </w:lvl>
    <w:lvl w:ilvl="7" w:tplc="05420FDE">
      <w:start w:val="1"/>
      <w:numFmt w:val="bullet"/>
      <w:lvlText w:val="•"/>
      <w:lvlJc w:val="left"/>
      <w:pPr>
        <w:ind w:left="7056" w:hanging="360"/>
      </w:pPr>
      <w:rPr>
        <w:rFonts w:hint="default"/>
      </w:rPr>
    </w:lvl>
    <w:lvl w:ilvl="8" w:tplc="2796099C">
      <w:start w:val="1"/>
      <w:numFmt w:val="bullet"/>
      <w:lvlText w:val="•"/>
      <w:lvlJc w:val="left"/>
      <w:pPr>
        <w:ind w:left="7946" w:hanging="360"/>
      </w:pPr>
      <w:rPr>
        <w:rFonts w:hint="default"/>
      </w:rPr>
    </w:lvl>
  </w:abstractNum>
  <w:abstractNum w:abstractNumId="9" w15:restartNumberingAfterBreak="0">
    <w:nsid w:val="0F450CB3"/>
    <w:multiLevelType w:val="hybridMultilevel"/>
    <w:tmpl w:val="DBA27E98"/>
    <w:lvl w:ilvl="0" w:tplc="EBCECFC4">
      <w:start w:val="1"/>
      <w:numFmt w:val="bullet"/>
      <w:lvlText w:val="—"/>
      <w:lvlJc w:val="left"/>
      <w:pPr>
        <w:ind w:left="405" w:hanging="300"/>
      </w:pPr>
      <w:rPr>
        <w:rFonts w:ascii="Times New Roman" w:eastAsia="Times New Roman" w:hAnsi="Times New Roman" w:hint="default"/>
        <w:b/>
        <w:bCs/>
        <w:sz w:val="24"/>
        <w:szCs w:val="24"/>
      </w:rPr>
    </w:lvl>
    <w:lvl w:ilvl="1" w:tplc="49E69086">
      <w:start w:val="1"/>
      <w:numFmt w:val="bullet"/>
      <w:lvlText w:val="•"/>
      <w:lvlJc w:val="left"/>
      <w:pPr>
        <w:ind w:left="1337" w:hanging="300"/>
      </w:pPr>
      <w:rPr>
        <w:rFonts w:hint="default"/>
      </w:rPr>
    </w:lvl>
    <w:lvl w:ilvl="2" w:tplc="CFC8BEB8">
      <w:start w:val="1"/>
      <w:numFmt w:val="bullet"/>
      <w:lvlText w:val="•"/>
      <w:lvlJc w:val="left"/>
      <w:pPr>
        <w:ind w:left="2269" w:hanging="300"/>
      </w:pPr>
      <w:rPr>
        <w:rFonts w:hint="default"/>
      </w:rPr>
    </w:lvl>
    <w:lvl w:ilvl="3" w:tplc="24D2E3F8">
      <w:start w:val="1"/>
      <w:numFmt w:val="bullet"/>
      <w:lvlText w:val="•"/>
      <w:lvlJc w:val="left"/>
      <w:pPr>
        <w:ind w:left="3201" w:hanging="300"/>
      </w:pPr>
      <w:rPr>
        <w:rFonts w:hint="default"/>
      </w:rPr>
    </w:lvl>
    <w:lvl w:ilvl="4" w:tplc="348E7974">
      <w:start w:val="1"/>
      <w:numFmt w:val="bullet"/>
      <w:lvlText w:val="•"/>
      <w:lvlJc w:val="left"/>
      <w:pPr>
        <w:ind w:left="4133" w:hanging="300"/>
      </w:pPr>
      <w:rPr>
        <w:rFonts w:hint="default"/>
      </w:rPr>
    </w:lvl>
    <w:lvl w:ilvl="5" w:tplc="C1BE4EDA">
      <w:start w:val="1"/>
      <w:numFmt w:val="bullet"/>
      <w:lvlText w:val="•"/>
      <w:lvlJc w:val="left"/>
      <w:pPr>
        <w:ind w:left="5065" w:hanging="300"/>
      </w:pPr>
      <w:rPr>
        <w:rFonts w:hint="default"/>
      </w:rPr>
    </w:lvl>
    <w:lvl w:ilvl="6" w:tplc="52CEFEB8">
      <w:start w:val="1"/>
      <w:numFmt w:val="bullet"/>
      <w:lvlText w:val="•"/>
      <w:lvlJc w:val="left"/>
      <w:pPr>
        <w:ind w:left="5997" w:hanging="300"/>
      </w:pPr>
      <w:rPr>
        <w:rFonts w:hint="default"/>
      </w:rPr>
    </w:lvl>
    <w:lvl w:ilvl="7" w:tplc="9884A2EC">
      <w:start w:val="1"/>
      <w:numFmt w:val="bullet"/>
      <w:lvlText w:val="•"/>
      <w:lvlJc w:val="left"/>
      <w:pPr>
        <w:ind w:left="6930" w:hanging="300"/>
      </w:pPr>
      <w:rPr>
        <w:rFonts w:hint="default"/>
      </w:rPr>
    </w:lvl>
    <w:lvl w:ilvl="8" w:tplc="B992A576">
      <w:start w:val="1"/>
      <w:numFmt w:val="bullet"/>
      <w:lvlText w:val="•"/>
      <w:lvlJc w:val="left"/>
      <w:pPr>
        <w:ind w:left="7862" w:hanging="300"/>
      </w:pPr>
      <w:rPr>
        <w:rFonts w:hint="default"/>
      </w:rPr>
    </w:lvl>
  </w:abstractNum>
  <w:abstractNum w:abstractNumId="10" w15:restartNumberingAfterBreak="0">
    <w:nsid w:val="0FE97F54"/>
    <w:multiLevelType w:val="hybridMultilevel"/>
    <w:tmpl w:val="2A14CB86"/>
    <w:lvl w:ilvl="0" w:tplc="7682B554">
      <w:start w:val="1"/>
      <w:numFmt w:val="decimal"/>
      <w:lvlText w:val="(%1)"/>
      <w:lvlJc w:val="left"/>
      <w:pPr>
        <w:ind w:left="105" w:hanging="382"/>
      </w:pPr>
      <w:rPr>
        <w:rFonts w:ascii="Times New Roman" w:eastAsia="Times New Roman" w:hAnsi="Times New Roman" w:hint="default"/>
        <w:sz w:val="24"/>
        <w:szCs w:val="24"/>
      </w:rPr>
    </w:lvl>
    <w:lvl w:ilvl="1" w:tplc="FD52D120">
      <w:start w:val="1"/>
      <w:numFmt w:val="bullet"/>
      <w:lvlText w:val="•"/>
      <w:lvlJc w:val="left"/>
      <w:pPr>
        <w:ind w:left="1067" w:hanging="382"/>
      </w:pPr>
      <w:rPr>
        <w:rFonts w:hint="default"/>
      </w:rPr>
    </w:lvl>
    <w:lvl w:ilvl="2" w:tplc="440853D4">
      <w:start w:val="1"/>
      <w:numFmt w:val="bullet"/>
      <w:lvlText w:val="•"/>
      <w:lvlJc w:val="left"/>
      <w:pPr>
        <w:ind w:left="2029" w:hanging="382"/>
      </w:pPr>
      <w:rPr>
        <w:rFonts w:hint="default"/>
      </w:rPr>
    </w:lvl>
    <w:lvl w:ilvl="3" w:tplc="6DD04586">
      <w:start w:val="1"/>
      <w:numFmt w:val="bullet"/>
      <w:lvlText w:val="•"/>
      <w:lvlJc w:val="left"/>
      <w:pPr>
        <w:ind w:left="2991" w:hanging="382"/>
      </w:pPr>
      <w:rPr>
        <w:rFonts w:hint="default"/>
      </w:rPr>
    </w:lvl>
    <w:lvl w:ilvl="4" w:tplc="BC7436CA">
      <w:start w:val="1"/>
      <w:numFmt w:val="bullet"/>
      <w:lvlText w:val="•"/>
      <w:lvlJc w:val="left"/>
      <w:pPr>
        <w:ind w:left="3953" w:hanging="382"/>
      </w:pPr>
      <w:rPr>
        <w:rFonts w:hint="default"/>
      </w:rPr>
    </w:lvl>
    <w:lvl w:ilvl="5" w:tplc="42E6DC90">
      <w:start w:val="1"/>
      <w:numFmt w:val="bullet"/>
      <w:lvlText w:val="•"/>
      <w:lvlJc w:val="left"/>
      <w:pPr>
        <w:ind w:left="4915" w:hanging="382"/>
      </w:pPr>
      <w:rPr>
        <w:rFonts w:hint="default"/>
      </w:rPr>
    </w:lvl>
    <w:lvl w:ilvl="6" w:tplc="FD1A612C">
      <w:start w:val="1"/>
      <w:numFmt w:val="bullet"/>
      <w:lvlText w:val="•"/>
      <w:lvlJc w:val="left"/>
      <w:pPr>
        <w:ind w:left="5877" w:hanging="382"/>
      </w:pPr>
      <w:rPr>
        <w:rFonts w:hint="default"/>
      </w:rPr>
    </w:lvl>
    <w:lvl w:ilvl="7" w:tplc="2F704342">
      <w:start w:val="1"/>
      <w:numFmt w:val="bullet"/>
      <w:lvlText w:val="•"/>
      <w:lvlJc w:val="left"/>
      <w:pPr>
        <w:ind w:left="6840" w:hanging="382"/>
      </w:pPr>
      <w:rPr>
        <w:rFonts w:hint="default"/>
      </w:rPr>
    </w:lvl>
    <w:lvl w:ilvl="8" w:tplc="CCA8C61E">
      <w:start w:val="1"/>
      <w:numFmt w:val="bullet"/>
      <w:lvlText w:val="•"/>
      <w:lvlJc w:val="left"/>
      <w:pPr>
        <w:ind w:left="7802" w:hanging="382"/>
      </w:pPr>
      <w:rPr>
        <w:rFonts w:hint="default"/>
      </w:rPr>
    </w:lvl>
  </w:abstractNum>
  <w:abstractNum w:abstractNumId="11" w15:restartNumberingAfterBreak="0">
    <w:nsid w:val="1457092B"/>
    <w:multiLevelType w:val="hybridMultilevel"/>
    <w:tmpl w:val="E7822BD0"/>
    <w:lvl w:ilvl="0" w:tplc="499E82BC">
      <w:start w:val="1"/>
      <w:numFmt w:val="decimal"/>
      <w:lvlText w:val="%1."/>
      <w:lvlJc w:val="left"/>
      <w:pPr>
        <w:ind w:left="825" w:hanging="360"/>
      </w:pPr>
      <w:rPr>
        <w:rFonts w:ascii="Times New Roman" w:eastAsia="Times New Roman" w:hAnsi="Times New Roman" w:hint="default"/>
        <w:i/>
        <w:sz w:val="24"/>
        <w:szCs w:val="24"/>
      </w:rPr>
    </w:lvl>
    <w:lvl w:ilvl="1" w:tplc="F6CA6480">
      <w:start w:val="1"/>
      <w:numFmt w:val="bullet"/>
      <w:lvlText w:val="•"/>
      <w:lvlJc w:val="left"/>
      <w:pPr>
        <w:ind w:left="1715" w:hanging="360"/>
      </w:pPr>
      <w:rPr>
        <w:rFonts w:hint="default"/>
      </w:rPr>
    </w:lvl>
    <w:lvl w:ilvl="2" w:tplc="03006FE4">
      <w:start w:val="1"/>
      <w:numFmt w:val="bullet"/>
      <w:lvlText w:val="•"/>
      <w:lvlJc w:val="left"/>
      <w:pPr>
        <w:ind w:left="2605" w:hanging="360"/>
      </w:pPr>
      <w:rPr>
        <w:rFonts w:hint="default"/>
      </w:rPr>
    </w:lvl>
    <w:lvl w:ilvl="3" w:tplc="0E367E8C">
      <w:start w:val="1"/>
      <w:numFmt w:val="bullet"/>
      <w:lvlText w:val="•"/>
      <w:lvlJc w:val="left"/>
      <w:pPr>
        <w:ind w:left="3495" w:hanging="360"/>
      </w:pPr>
      <w:rPr>
        <w:rFonts w:hint="default"/>
      </w:rPr>
    </w:lvl>
    <w:lvl w:ilvl="4" w:tplc="5330C5CA">
      <w:start w:val="1"/>
      <w:numFmt w:val="bullet"/>
      <w:lvlText w:val="•"/>
      <w:lvlJc w:val="left"/>
      <w:pPr>
        <w:ind w:left="4385" w:hanging="360"/>
      </w:pPr>
      <w:rPr>
        <w:rFonts w:hint="default"/>
      </w:rPr>
    </w:lvl>
    <w:lvl w:ilvl="5" w:tplc="4F3E7688">
      <w:start w:val="1"/>
      <w:numFmt w:val="bullet"/>
      <w:lvlText w:val="•"/>
      <w:lvlJc w:val="left"/>
      <w:pPr>
        <w:ind w:left="5275" w:hanging="360"/>
      </w:pPr>
      <w:rPr>
        <w:rFonts w:hint="default"/>
      </w:rPr>
    </w:lvl>
    <w:lvl w:ilvl="6" w:tplc="CA1ACD04">
      <w:start w:val="1"/>
      <w:numFmt w:val="bullet"/>
      <w:lvlText w:val="•"/>
      <w:lvlJc w:val="left"/>
      <w:pPr>
        <w:ind w:left="6165" w:hanging="360"/>
      </w:pPr>
      <w:rPr>
        <w:rFonts w:hint="default"/>
      </w:rPr>
    </w:lvl>
    <w:lvl w:ilvl="7" w:tplc="9EB063AA">
      <w:start w:val="1"/>
      <w:numFmt w:val="bullet"/>
      <w:lvlText w:val="•"/>
      <w:lvlJc w:val="left"/>
      <w:pPr>
        <w:ind w:left="7056" w:hanging="360"/>
      </w:pPr>
      <w:rPr>
        <w:rFonts w:hint="default"/>
      </w:rPr>
    </w:lvl>
    <w:lvl w:ilvl="8" w:tplc="0B3A3320">
      <w:start w:val="1"/>
      <w:numFmt w:val="bullet"/>
      <w:lvlText w:val="•"/>
      <w:lvlJc w:val="left"/>
      <w:pPr>
        <w:ind w:left="7946" w:hanging="360"/>
      </w:pPr>
      <w:rPr>
        <w:rFonts w:hint="default"/>
      </w:rPr>
    </w:lvl>
  </w:abstractNum>
  <w:abstractNum w:abstractNumId="12" w15:restartNumberingAfterBreak="0">
    <w:nsid w:val="18F11DC6"/>
    <w:multiLevelType w:val="hybridMultilevel"/>
    <w:tmpl w:val="E3F4BE1E"/>
    <w:lvl w:ilvl="0" w:tplc="08B2CF62">
      <w:start w:val="1"/>
      <w:numFmt w:val="bullet"/>
      <w:lvlText w:val="-"/>
      <w:lvlJc w:val="left"/>
      <w:pPr>
        <w:ind w:left="845" w:hanging="360"/>
      </w:pPr>
      <w:rPr>
        <w:rFonts w:ascii="Calibri" w:eastAsia="Calibri" w:hAnsi="Calibri" w:hint="default"/>
        <w:sz w:val="24"/>
        <w:szCs w:val="24"/>
      </w:rPr>
    </w:lvl>
    <w:lvl w:ilvl="1" w:tplc="9DD6BE84">
      <w:start w:val="1"/>
      <w:numFmt w:val="bullet"/>
      <w:lvlText w:val="•"/>
      <w:lvlJc w:val="left"/>
      <w:pPr>
        <w:ind w:left="1735" w:hanging="360"/>
      </w:pPr>
      <w:rPr>
        <w:rFonts w:hint="default"/>
      </w:rPr>
    </w:lvl>
    <w:lvl w:ilvl="2" w:tplc="74044F60">
      <w:start w:val="1"/>
      <w:numFmt w:val="bullet"/>
      <w:lvlText w:val="•"/>
      <w:lvlJc w:val="left"/>
      <w:pPr>
        <w:ind w:left="2625" w:hanging="360"/>
      </w:pPr>
      <w:rPr>
        <w:rFonts w:hint="default"/>
      </w:rPr>
    </w:lvl>
    <w:lvl w:ilvl="3" w:tplc="9D2A0062">
      <w:start w:val="1"/>
      <w:numFmt w:val="bullet"/>
      <w:lvlText w:val="•"/>
      <w:lvlJc w:val="left"/>
      <w:pPr>
        <w:ind w:left="3515" w:hanging="360"/>
      </w:pPr>
      <w:rPr>
        <w:rFonts w:hint="default"/>
      </w:rPr>
    </w:lvl>
    <w:lvl w:ilvl="4" w:tplc="2BDCF716">
      <w:start w:val="1"/>
      <w:numFmt w:val="bullet"/>
      <w:lvlText w:val="•"/>
      <w:lvlJc w:val="left"/>
      <w:pPr>
        <w:ind w:left="4405" w:hanging="360"/>
      </w:pPr>
      <w:rPr>
        <w:rFonts w:hint="default"/>
      </w:rPr>
    </w:lvl>
    <w:lvl w:ilvl="5" w:tplc="AE86DF68">
      <w:start w:val="1"/>
      <w:numFmt w:val="bullet"/>
      <w:lvlText w:val="•"/>
      <w:lvlJc w:val="left"/>
      <w:pPr>
        <w:ind w:left="5295" w:hanging="360"/>
      </w:pPr>
      <w:rPr>
        <w:rFonts w:hint="default"/>
      </w:rPr>
    </w:lvl>
    <w:lvl w:ilvl="6" w:tplc="1EA067D4">
      <w:start w:val="1"/>
      <w:numFmt w:val="bullet"/>
      <w:lvlText w:val="•"/>
      <w:lvlJc w:val="left"/>
      <w:pPr>
        <w:ind w:left="6185" w:hanging="360"/>
      </w:pPr>
      <w:rPr>
        <w:rFonts w:hint="default"/>
      </w:rPr>
    </w:lvl>
    <w:lvl w:ilvl="7" w:tplc="9966827A">
      <w:start w:val="1"/>
      <w:numFmt w:val="bullet"/>
      <w:lvlText w:val="•"/>
      <w:lvlJc w:val="left"/>
      <w:pPr>
        <w:ind w:left="7076" w:hanging="360"/>
      </w:pPr>
      <w:rPr>
        <w:rFonts w:hint="default"/>
      </w:rPr>
    </w:lvl>
    <w:lvl w:ilvl="8" w:tplc="1DE89A66">
      <w:start w:val="1"/>
      <w:numFmt w:val="bullet"/>
      <w:lvlText w:val="•"/>
      <w:lvlJc w:val="left"/>
      <w:pPr>
        <w:ind w:left="7966" w:hanging="360"/>
      </w:pPr>
      <w:rPr>
        <w:rFonts w:hint="default"/>
      </w:rPr>
    </w:lvl>
  </w:abstractNum>
  <w:abstractNum w:abstractNumId="13" w15:restartNumberingAfterBreak="0">
    <w:nsid w:val="1B0D7FEB"/>
    <w:multiLevelType w:val="hybridMultilevel"/>
    <w:tmpl w:val="49BAD042"/>
    <w:lvl w:ilvl="0" w:tplc="E8F8FC48">
      <w:start w:val="1"/>
      <w:numFmt w:val="bullet"/>
      <w:lvlText w:val="-"/>
      <w:lvlJc w:val="left"/>
      <w:pPr>
        <w:ind w:left="462" w:hanging="360"/>
      </w:pPr>
      <w:rPr>
        <w:rFonts w:ascii="Times New Roman" w:eastAsia="Times New Roman" w:hAnsi="Times New Roman" w:hint="default"/>
        <w:sz w:val="24"/>
        <w:szCs w:val="24"/>
      </w:rPr>
    </w:lvl>
    <w:lvl w:ilvl="1" w:tplc="05C6C598">
      <w:start w:val="1"/>
      <w:numFmt w:val="bullet"/>
      <w:lvlText w:val="•"/>
      <w:lvlJc w:val="left"/>
      <w:pPr>
        <w:ind w:left="1183" w:hanging="360"/>
      </w:pPr>
      <w:rPr>
        <w:rFonts w:hint="default"/>
      </w:rPr>
    </w:lvl>
    <w:lvl w:ilvl="2" w:tplc="CCCA09FE">
      <w:start w:val="1"/>
      <w:numFmt w:val="bullet"/>
      <w:lvlText w:val="•"/>
      <w:lvlJc w:val="left"/>
      <w:pPr>
        <w:ind w:left="1904" w:hanging="360"/>
      </w:pPr>
      <w:rPr>
        <w:rFonts w:hint="default"/>
      </w:rPr>
    </w:lvl>
    <w:lvl w:ilvl="3" w:tplc="D3BA3ED8">
      <w:start w:val="1"/>
      <w:numFmt w:val="bullet"/>
      <w:lvlText w:val="•"/>
      <w:lvlJc w:val="left"/>
      <w:pPr>
        <w:ind w:left="2625" w:hanging="360"/>
      </w:pPr>
      <w:rPr>
        <w:rFonts w:hint="default"/>
      </w:rPr>
    </w:lvl>
    <w:lvl w:ilvl="4" w:tplc="66AAF6C8">
      <w:start w:val="1"/>
      <w:numFmt w:val="bullet"/>
      <w:lvlText w:val="•"/>
      <w:lvlJc w:val="left"/>
      <w:pPr>
        <w:ind w:left="3346" w:hanging="360"/>
      </w:pPr>
      <w:rPr>
        <w:rFonts w:hint="default"/>
      </w:rPr>
    </w:lvl>
    <w:lvl w:ilvl="5" w:tplc="0A6AD254">
      <w:start w:val="1"/>
      <w:numFmt w:val="bullet"/>
      <w:lvlText w:val="•"/>
      <w:lvlJc w:val="left"/>
      <w:pPr>
        <w:ind w:left="4067" w:hanging="360"/>
      </w:pPr>
      <w:rPr>
        <w:rFonts w:hint="default"/>
      </w:rPr>
    </w:lvl>
    <w:lvl w:ilvl="6" w:tplc="839EB706">
      <w:start w:val="1"/>
      <w:numFmt w:val="bullet"/>
      <w:lvlText w:val="•"/>
      <w:lvlJc w:val="left"/>
      <w:pPr>
        <w:ind w:left="4788" w:hanging="360"/>
      </w:pPr>
      <w:rPr>
        <w:rFonts w:hint="default"/>
      </w:rPr>
    </w:lvl>
    <w:lvl w:ilvl="7" w:tplc="0D664532">
      <w:start w:val="1"/>
      <w:numFmt w:val="bullet"/>
      <w:lvlText w:val="•"/>
      <w:lvlJc w:val="left"/>
      <w:pPr>
        <w:ind w:left="5509" w:hanging="360"/>
      </w:pPr>
      <w:rPr>
        <w:rFonts w:hint="default"/>
      </w:rPr>
    </w:lvl>
    <w:lvl w:ilvl="8" w:tplc="1B4A2E82">
      <w:start w:val="1"/>
      <w:numFmt w:val="bullet"/>
      <w:lvlText w:val="•"/>
      <w:lvlJc w:val="left"/>
      <w:pPr>
        <w:ind w:left="6230" w:hanging="360"/>
      </w:pPr>
      <w:rPr>
        <w:rFonts w:hint="default"/>
      </w:rPr>
    </w:lvl>
  </w:abstractNum>
  <w:abstractNum w:abstractNumId="14" w15:restartNumberingAfterBreak="0">
    <w:nsid w:val="1D340CF7"/>
    <w:multiLevelType w:val="multilevel"/>
    <w:tmpl w:val="331AB412"/>
    <w:lvl w:ilvl="0">
      <w:start w:val="2"/>
      <w:numFmt w:val="upperRoman"/>
      <w:lvlText w:val="%1"/>
      <w:lvlJc w:val="left"/>
      <w:pPr>
        <w:ind w:left="972" w:hanging="848"/>
      </w:pPr>
      <w:rPr>
        <w:rFonts w:hint="default"/>
      </w:rPr>
    </w:lvl>
    <w:lvl w:ilvl="1">
      <w:start w:val="3"/>
      <w:numFmt w:val="decimal"/>
      <w:lvlText w:val="%1.%2"/>
      <w:lvlJc w:val="left"/>
      <w:pPr>
        <w:ind w:left="972" w:hanging="848"/>
      </w:pPr>
      <w:rPr>
        <w:rFonts w:hint="default"/>
      </w:rPr>
    </w:lvl>
    <w:lvl w:ilvl="2">
      <w:start w:val="4"/>
      <w:numFmt w:val="decimal"/>
      <w:lvlText w:val="%1.%2.%3"/>
      <w:lvlJc w:val="left"/>
      <w:pPr>
        <w:ind w:left="972" w:hanging="848"/>
      </w:pPr>
      <w:rPr>
        <w:rFonts w:hint="default"/>
      </w:rPr>
    </w:lvl>
    <w:lvl w:ilvl="3">
      <w:start w:val="1"/>
      <w:numFmt w:val="decimal"/>
      <w:lvlText w:val="%1.%2.%3.%4."/>
      <w:lvlJc w:val="left"/>
      <w:pPr>
        <w:ind w:left="972" w:hanging="848"/>
      </w:pPr>
      <w:rPr>
        <w:rFonts w:ascii="Times New Roman" w:eastAsia="Times New Roman" w:hAnsi="Times New Roman" w:hint="default"/>
        <w:b/>
        <w:bCs/>
        <w:sz w:val="24"/>
        <w:szCs w:val="24"/>
      </w:rPr>
    </w:lvl>
    <w:lvl w:ilvl="4">
      <w:start w:val="1"/>
      <w:numFmt w:val="bullet"/>
      <w:lvlText w:val="•"/>
      <w:lvlJc w:val="left"/>
      <w:pPr>
        <w:ind w:left="4482" w:hanging="848"/>
      </w:pPr>
      <w:rPr>
        <w:rFonts w:hint="default"/>
      </w:rPr>
    </w:lvl>
    <w:lvl w:ilvl="5">
      <w:start w:val="1"/>
      <w:numFmt w:val="bullet"/>
      <w:lvlText w:val="•"/>
      <w:lvlJc w:val="left"/>
      <w:pPr>
        <w:ind w:left="5359" w:hanging="848"/>
      </w:pPr>
      <w:rPr>
        <w:rFonts w:hint="default"/>
      </w:rPr>
    </w:lvl>
    <w:lvl w:ilvl="6">
      <w:start w:val="1"/>
      <w:numFmt w:val="bullet"/>
      <w:lvlText w:val="•"/>
      <w:lvlJc w:val="left"/>
      <w:pPr>
        <w:ind w:left="6236" w:hanging="848"/>
      </w:pPr>
      <w:rPr>
        <w:rFonts w:hint="default"/>
      </w:rPr>
    </w:lvl>
    <w:lvl w:ilvl="7">
      <w:start w:val="1"/>
      <w:numFmt w:val="bullet"/>
      <w:lvlText w:val="•"/>
      <w:lvlJc w:val="left"/>
      <w:pPr>
        <w:ind w:left="7114" w:hanging="848"/>
      </w:pPr>
      <w:rPr>
        <w:rFonts w:hint="default"/>
      </w:rPr>
    </w:lvl>
    <w:lvl w:ilvl="8">
      <w:start w:val="1"/>
      <w:numFmt w:val="bullet"/>
      <w:lvlText w:val="•"/>
      <w:lvlJc w:val="left"/>
      <w:pPr>
        <w:ind w:left="7991" w:hanging="848"/>
      </w:pPr>
      <w:rPr>
        <w:rFonts w:hint="default"/>
      </w:rPr>
    </w:lvl>
  </w:abstractNum>
  <w:abstractNum w:abstractNumId="15" w15:restartNumberingAfterBreak="0">
    <w:nsid w:val="1EC363BC"/>
    <w:multiLevelType w:val="hybridMultilevel"/>
    <w:tmpl w:val="D7DA7EBC"/>
    <w:lvl w:ilvl="0" w:tplc="930CA2B4">
      <w:start w:val="11"/>
      <w:numFmt w:val="decimal"/>
      <w:lvlText w:val="%1"/>
      <w:lvlJc w:val="left"/>
      <w:pPr>
        <w:ind w:left="305" w:hanging="180"/>
      </w:pPr>
      <w:rPr>
        <w:rFonts w:ascii="Times New Roman" w:eastAsia="Times New Roman" w:hAnsi="Times New Roman" w:hint="default"/>
        <w:w w:val="99"/>
        <w:position w:val="7"/>
        <w:sz w:val="13"/>
        <w:szCs w:val="13"/>
      </w:rPr>
    </w:lvl>
    <w:lvl w:ilvl="1" w:tplc="5736053E">
      <w:start w:val="1"/>
      <w:numFmt w:val="bullet"/>
      <w:lvlText w:val="-"/>
      <w:lvlJc w:val="left"/>
      <w:pPr>
        <w:ind w:left="1185" w:hanging="360"/>
      </w:pPr>
      <w:rPr>
        <w:rFonts w:ascii="Calibri" w:eastAsia="Calibri" w:hAnsi="Calibri" w:hint="default"/>
        <w:sz w:val="24"/>
        <w:szCs w:val="24"/>
      </w:rPr>
    </w:lvl>
    <w:lvl w:ilvl="2" w:tplc="8CAC3C5C">
      <w:start w:val="1"/>
      <w:numFmt w:val="bullet"/>
      <w:lvlText w:val="•"/>
      <w:lvlJc w:val="left"/>
      <w:pPr>
        <w:ind w:left="2134" w:hanging="360"/>
      </w:pPr>
      <w:rPr>
        <w:rFonts w:hint="default"/>
      </w:rPr>
    </w:lvl>
    <w:lvl w:ilvl="3" w:tplc="1BC0F7DC">
      <w:start w:val="1"/>
      <w:numFmt w:val="bullet"/>
      <w:lvlText w:val="•"/>
      <w:lvlJc w:val="left"/>
      <w:pPr>
        <w:ind w:left="3083" w:hanging="360"/>
      </w:pPr>
      <w:rPr>
        <w:rFonts w:hint="default"/>
      </w:rPr>
    </w:lvl>
    <w:lvl w:ilvl="4" w:tplc="5A84F150">
      <w:start w:val="1"/>
      <w:numFmt w:val="bullet"/>
      <w:lvlText w:val="•"/>
      <w:lvlJc w:val="left"/>
      <w:pPr>
        <w:ind w:left="4032" w:hanging="360"/>
      </w:pPr>
      <w:rPr>
        <w:rFonts w:hint="default"/>
      </w:rPr>
    </w:lvl>
    <w:lvl w:ilvl="5" w:tplc="32265008">
      <w:start w:val="1"/>
      <w:numFmt w:val="bullet"/>
      <w:lvlText w:val="•"/>
      <w:lvlJc w:val="left"/>
      <w:pPr>
        <w:ind w:left="4981" w:hanging="360"/>
      </w:pPr>
      <w:rPr>
        <w:rFonts w:hint="default"/>
      </w:rPr>
    </w:lvl>
    <w:lvl w:ilvl="6" w:tplc="A4ACDE82">
      <w:start w:val="1"/>
      <w:numFmt w:val="bullet"/>
      <w:lvlText w:val="•"/>
      <w:lvlJc w:val="left"/>
      <w:pPr>
        <w:ind w:left="5930" w:hanging="360"/>
      </w:pPr>
      <w:rPr>
        <w:rFonts w:hint="default"/>
      </w:rPr>
    </w:lvl>
    <w:lvl w:ilvl="7" w:tplc="C280480E">
      <w:start w:val="1"/>
      <w:numFmt w:val="bullet"/>
      <w:lvlText w:val="•"/>
      <w:lvlJc w:val="left"/>
      <w:pPr>
        <w:ind w:left="6879" w:hanging="360"/>
      </w:pPr>
      <w:rPr>
        <w:rFonts w:hint="default"/>
      </w:rPr>
    </w:lvl>
    <w:lvl w:ilvl="8" w:tplc="BD226EB6">
      <w:start w:val="1"/>
      <w:numFmt w:val="bullet"/>
      <w:lvlText w:val="•"/>
      <w:lvlJc w:val="left"/>
      <w:pPr>
        <w:ind w:left="7828" w:hanging="360"/>
      </w:pPr>
      <w:rPr>
        <w:rFonts w:hint="default"/>
      </w:rPr>
    </w:lvl>
  </w:abstractNum>
  <w:abstractNum w:abstractNumId="16" w15:restartNumberingAfterBreak="0">
    <w:nsid w:val="1F897A88"/>
    <w:multiLevelType w:val="hybridMultilevel"/>
    <w:tmpl w:val="2E22172A"/>
    <w:lvl w:ilvl="0" w:tplc="0D8E5CD8">
      <w:start w:val="1"/>
      <w:numFmt w:val="bullet"/>
      <w:lvlText w:val="-"/>
      <w:lvlJc w:val="left"/>
      <w:pPr>
        <w:ind w:left="825" w:hanging="360"/>
      </w:pPr>
      <w:rPr>
        <w:rFonts w:ascii="Times New Roman" w:eastAsia="Times New Roman" w:hAnsi="Times New Roman" w:hint="default"/>
        <w:sz w:val="24"/>
        <w:szCs w:val="24"/>
      </w:rPr>
    </w:lvl>
    <w:lvl w:ilvl="1" w:tplc="29C49AE8">
      <w:start w:val="1"/>
      <w:numFmt w:val="bullet"/>
      <w:lvlText w:val="•"/>
      <w:lvlJc w:val="left"/>
      <w:pPr>
        <w:ind w:left="1715" w:hanging="360"/>
      </w:pPr>
      <w:rPr>
        <w:rFonts w:hint="default"/>
      </w:rPr>
    </w:lvl>
    <w:lvl w:ilvl="2" w:tplc="2C24D864">
      <w:start w:val="1"/>
      <w:numFmt w:val="bullet"/>
      <w:lvlText w:val="•"/>
      <w:lvlJc w:val="left"/>
      <w:pPr>
        <w:ind w:left="2605" w:hanging="360"/>
      </w:pPr>
      <w:rPr>
        <w:rFonts w:hint="default"/>
      </w:rPr>
    </w:lvl>
    <w:lvl w:ilvl="3" w:tplc="046C0F76">
      <w:start w:val="1"/>
      <w:numFmt w:val="bullet"/>
      <w:lvlText w:val="•"/>
      <w:lvlJc w:val="left"/>
      <w:pPr>
        <w:ind w:left="3495" w:hanging="360"/>
      </w:pPr>
      <w:rPr>
        <w:rFonts w:hint="default"/>
      </w:rPr>
    </w:lvl>
    <w:lvl w:ilvl="4" w:tplc="6D8291E2">
      <w:start w:val="1"/>
      <w:numFmt w:val="bullet"/>
      <w:lvlText w:val="•"/>
      <w:lvlJc w:val="left"/>
      <w:pPr>
        <w:ind w:left="4385" w:hanging="360"/>
      </w:pPr>
      <w:rPr>
        <w:rFonts w:hint="default"/>
      </w:rPr>
    </w:lvl>
    <w:lvl w:ilvl="5" w:tplc="F2FA1302">
      <w:start w:val="1"/>
      <w:numFmt w:val="bullet"/>
      <w:lvlText w:val="•"/>
      <w:lvlJc w:val="left"/>
      <w:pPr>
        <w:ind w:left="5275" w:hanging="360"/>
      </w:pPr>
      <w:rPr>
        <w:rFonts w:hint="default"/>
      </w:rPr>
    </w:lvl>
    <w:lvl w:ilvl="6" w:tplc="B6F2E642">
      <w:start w:val="1"/>
      <w:numFmt w:val="bullet"/>
      <w:lvlText w:val="•"/>
      <w:lvlJc w:val="left"/>
      <w:pPr>
        <w:ind w:left="6165" w:hanging="360"/>
      </w:pPr>
      <w:rPr>
        <w:rFonts w:hint="default"/>
      </w:rPr>
    </w:lvl>
    <w:lvl w:ilvl="7" w:tplc="1F36C78C">
      <w:start w:val="1"/>
      <w:numFmt w:val="bullet"/>
      <w:lvlText w:val="•"/>
      <w:lvlJc w:val="left"/>
      <w:pPr>
        <w:ind w:left="7056" w:hanging="360"/>
      </w:pPr>
      <w:rPr>
        <w:rFonts w:hint="default"/>
      </w:rPr>
    </w:lvl>
    <w:lvl w:ilvl="8" w:tplc="E9700C80">
      <w:start w:val="1"/>
      <w:numFmt w:val="bullet"/>
      <w:lvlText w:val="•"/>
      <w:lvlJc w:val="left"/>
      <w:pPr>
        <w:ind w:left="7946" w:hanging="360"/>
      </w:pPr>
      <w:rPr>
        <w:rFonts w:hint="default"/>
      </w:rPr>
    </w:lvl>
  </w:abstractNum>
  <w:abstractNum w:abstractNumId="17" w15:restartNumberingAfterBreak="0">
    <w:nsid w:val="1FBB7946"/>
    <w:multiLevelType w:val="hybridMultilevel"/>
    <w:tmpl w:val="76CCF2BA"/>
    <w:lvl w:ilvl="0" w:tplc="5184C13E">
      <w:start w:val="19"/>
      <w:numFmt w:val="decimal"/>
      <w:lvlText w:val="%1"/>
      <w:lvlJc w:val="left"/>
      <w:pPr>
        <w:ind w:left="125" w:hanging="180"/>
      </w:pPr>
      <w:rPr>
        <w:rFonts w:ascii="Times New Roman" w:eastAsia="Times New Roman" w:hAnsi="Times New Roman" w:hint="default"/>
        <w:w w:val="99"/>
        <w:position w:val="7"/>
        <w:sz w:val="13"/>
        <w:szCs w:val="13"/>
      </w:rPr>
    </w:lvl>
    <w:lvl w:ilvl="1" w:tplc="1264D3E2">
      <w:start w:val="1"/>
      <w:numFmt w:val="bullet"/>
      <w:lvlText w:val="•"/>
      <w:lvlJc w:val="left"/>
      <w:pPr>
        <w:ind w:left="1087" w:hanging="180"/>
      </w:pPr>
      <w:rPr>
        <w:rFonts w:hint="default"/>
      </w:rPr>
    </w:lvl>
    <w:lvl w:ilvl="2" w:tplc="2D10372A">
      <w:start w:val="1"/>
      <w:numFmt w:val="bullet"/>
      <w:lvlText w:val="•"/>
      <w:lvlJc w:val="left"/>
      <w:pPr>
        <w:ind w:left="2049" w:hanging="180"/>
      </w:pPr>
      <w:rPr>
        <w:rFonts w:hint="default"/>
      </w:rPr>
    </w:lvl>
    <w:lvl w:ilvl="3" w:tplc="96920E92">
      <w:start w:val="1"/>
      <w:numFmt w:val="bullet"/>
      <w:lvlText w:val="•"/>
      <w:lvlJc w:val="left"/>
      <w:pPr>
        <w:ind w:left="3011" w:hanging="180"/>
      </w:pPr>
      <w:rPr>
        <w:rFonts w:hint="default"/>
      </w:rPr>
    </w:lvl>
    <w:lvl w:ilvl="4" w:tplc="69E4C736">
      <w:start w:val="1"/>
      <w:numFmt w:val="bullet"/>
      <w:lvlText w:val="•"/>
      <w:lvlJc w:val="left"/>
      <w:pPr>
        <w:ind w:left="3973" w:hanging="180"/>
      </w:pPr>
      <w:rPr>
        <w:rFonts w:hint="default"/>
      </w:rPr>
    </w:lvl>
    <w:lvl w:ilvl="5" w:tplc="F3361416">
      <w:start w:val="1"/>
      <w:numFmt w:val="bullet"/>
      <w:lvlText w:val="•"/>
      <w:lvlJc w:val="left"/>
      <w:pPr>
        <w:ind w:left="4935" w:hanging="180"/>
      </w:pPr>
      <w:rPr>
        <w:rFonts w:hint="default"/>
      </w:rPr>
    </w:lvl>
    <w:lvl w:ilvl="6" w:tplc="F9667ECE">
      <w:start w:val="1"/>
      <w:numFmt w:val="bullet"/>
      <w:lvlText w:val="•"/>
      <w:lvlJc w:val="left"/>
      <w:pPr>
        <w:ind w:left="5897" w:hanging="180"/>
      </w:pPr>
      <w:rPr>
        <w:rFonts w:hint="default"/>
      </w:rPr>
    </w:lvl>
    <w:lvl w:ilvl="7" w:tplc="0B78631C">
      <w:start w:val="1"/>
      <w:numFmt w:val="bullet"/>
      <w:lvlText w:val="•"/>
      <w:lvlJc w:val="left"/>
      <w:pPr>
        <w:ind w:left="6860" w:hanging="180"/>
      </w:pPr>
      <w:rPr>
        <w:rFonts w:hint="default"/>
      </w:rPr>
    </w:lvl>
    <w:lvl w:ilvl="8" w:tplc="B3566CFC">
      <w:start w:val="1"/>
      <w:numFmt w:val="bullet"/>
      <w:lvlText w:val="•"/>
      <w:lvlJc w:val="left"/>
      <w:pPr>
        <w:ind w:left="7822" w:hanging="180"/>
      </w:pPr>
      <w:rPr>
        <w:rFonts w:hint="default"/>
      </w:rPr>
    </w:lvl>
  </w:abstractNum>
  <w:abstractNum w:abstractNumId="18" w15:restartNumberingAfterBreak="0">
    <w:nsid w:val="21125FE1"/>
    <w:multiLevelType w:val="hybridMultilevel"/>
    <w:tmpl w:val="15B4DDFE"/>
    <w:lvl w:ilvl="0" w:tplc="E6BA16F8">
      <w:start w:val="1"/>
      <w:numFmt w:val="decimal"/>
      <w:lvlText w:val="%1."/>
      <w:lvlJc w:val="left"/>
      <w:pPr>
        <w:ind w:left="818" w:hanging="356"/>
      </w:pPr>
      <w:rPr>
        <w:rFonts w:ascii="Times New Roman" w:eastAsia="Times New Roman" w:hAnsi="Times New Roman" w:hint="default"/>
        <w:sz w:val="24"/>
        <w:szCs w:val="24"/>
      </w:rPr>
    </w:lvl>
    <w:lvl w:ilvl="1" w:tplc="6AEA1C96">
      <w:start w:val="1"/>
      <w:numFmt w:val="bullet"/>
      <w:lvlText w:val="-"/>
      <w:lvlJc w:val="left"/>
      <w:pPr>
        <w:ind w:left="1545" w:hanging="360"/>
      </w:pPr>
      <w:rPr>
        <w:rFonts w:ascii="Times New Roman" w:eastAsia="Times New Roman" w:hAnsi="Times New Roman" w:hint="default"/>
        <w:sz w:val="24"/>
        <w:szCs w:val="24"/>
      </w:rPr>
    </w:lvl>
    <w:lvl w:ilvl="2" w:tplc="F4B80166">
      <w:start w:val="1"/>
      <w:numFmt w:val="bullet"/>
      <w:lvlText w:val="•"/>
      <w:lvlJc w:val="left"/>
      <w:pPr>
        <w:ind w:left="2454" w:hanging="360"/>
      </w:pPr>
      <w:rPr>
        <w:rFonts w:hint="default"/>
      </w:rPr>
    </w:lvl>
    <w:lvl w:ilvl="3" w:tplc="0E009916">
      <w:start w:val="1"/>
      <w:numFmt w:val="bullet"/>
      <w:lvlText w:val="•"/>
      <w:lvlJc w:val="left"/>
      <w:pPr>
        <w:ind w:left="3363" w:hanging="360"/>
      </w:pPr>
      <w:rPr>
        <w:rFonts w:hint="default"/>
      </w:rPr>
    </w:lvl>
    <w:lvl w:ilvl="4" w:tplc="662E52B0">
      <w:start w:val="1"/>
      <w:numFmt w:val="bullet"/>
      <w:lvlText w:val="•"/>
      <w:lvlJc w:val="left"/>
      <w:pPr>
        <w:ind w:left="4272" w:hanging="360"/>
      </w:pPr>
      <w:rPr>
        <w:rFonts w:hint="default"/>
      </w:rPr>
    </w:lvl>
    <w:lvl w:ilvl="5" w:tplc="8514EB9A">
      <w:start w:val="1"/>
      <w:numFmt w:val="bullet"/>
      <w:lvlText w:val="•"/>
      <w:lvlJc w:val="left"/>
      <w:pPr>
        <w:ind w:left="5181" w:hanging="360"/>
      </w:pPr>
      <w:rPr>
        <w:rFonts w:hint="default"/>
      </w:rPr>
    </w:lvl>
    <w:lvl w:ilvl="6" w:tplc="13D0667C">
      <w:start w:val="1"/>
      <w:numFmt w:val="bullet"/>
      <w:lvlText w:val="•"/>
      <w:lvlJc w:val="left"/>
      <w:pPr>
        <w:ind w:left="6090" w:hanging="360"/>
      </w:pPr>
      <w:rPr>
        <w:rFonts w:hint="default"/>
      </w:rPr>
    </w:lvl>
    <w:lvl w:ilvl="7" w:tplc="384C1F9C">
      <w:start w:val="1"/>
      <w:numFmt w:val="bullet"/>
      <w:lvlText w:val="•"/>
      <w:lvlJc w:val="left"/>
      <w:pPr>
        <w:ind w:left="6999" w:hanging="360"/>
      </w:pPr>
      <w:rPr>
        <w:rFonts w:hint="default"/>
      </w:rPr>
    </w:lvl>
    <w:lvl w:ilvl="8" w:tplc="049C2B82">
      <w:start w:val="1"/>
      <w:numFmt w:val="bullet"/>
      <w:lvlText w:val="•"/>
      <w:lvlJc w:val="left"/>
      <w:pPr>
        <w:ind w:left="7908" w:hanging="360"/>
      </w:pPr>
      <w:rPr>
        <w:rFonts w:hint="default"/>
      </w:rPr>
    </w:lvl>
  </w:abstractNum>
  <w:abstractNum w:abstractNumId="19" w15:restartNumberingAfterBreak="0">
    <w:nsid w:val="214351BC"/>
    <w:multiLevelType w:val="hybridMultilevel"/>
    <w:tmpl w:val="E0361622"/>
    <w:lvl w:ilvl="0" w:tplc="5518E8B0">
      <w:start w:val="1"/>
      <w:numFmt w:val="lowerRoman"/>
      <w:lvlText w:val="%1)"/>
      <w:lvlJc w:val="left"/>
      <w:pPr>
        <w:ind w:left="272" w:hanging="148"/>
      </w:pPr>
      <w:rPr>
        <w:rFonts w:hint="default"/>
        <w:u w:val="thick" w:color="000000"/>
      </w:rPr>
    </w:lvl>
    <w:lvl w:ilvl="1" w:tplc="34F038A6">
      <w:start w:val="1"/>
      <w:numFmt w:val="bullet"/>
      <w:lvlText w:val="•"/>
      <w:lvlJc w:val="left"/>
      <w:pPr>
        <w:ind w:left="1219" w:hanging="148"/>
      </w:pPr>
      <w:rPr>
        <w:rFonts w:hint="default"/>
      </w:rPr>
    </w:lvl>
    <w:lvl w:ilvl="2" w:tplc="B9B865D4">
      <w:start w:val="1"/>
      <w:numFmt w:val="bullet"/>
      <w:lvlText w:val="•"/>
      <w:lvlJc w:val="left"/>
      <w:pPr>
        <w:ind w:left="2167" w:hanging="148"/>
      </w:pPr>
      <w:rPr>
        <w:rFonts w:hint="default"/>
      </w:rPr>
    </w:lvl>
    <w:lvl w:ilvl="3" w:tplc="10502D4A">
      <w:start w:val="1"/>
      <w:numFmt w:val="bullet"/>
      <w:lvlText w:val="•"/>
      <w:lvlJc w:val="left"/>
      <w:pPr>
        <w:ind w:left="3114" w:hanging="148"/>
      </w:pPr>
      <w:rPr>
        <w:rFonts w:hint="default"/>
      </w:rPr>
    </w:lvl>
    <w:lvl w:ilvl="4" w:tplc="FE385836">
      <w:start w:val="1"/>
      <w:numFmt w:val="bullet"/>
      <w:lvlText w:val="•"/>
      <w:lvlJc w:val="left"/>
      <w:pPr>
        <w:ind w:left="4062" w:hanging="148"/>
      </w:pPr>
      <w:rPr>
        <w:rFonts w:hint="default"/>
      </w:rPr>
    </w:lvl>
    <w:lvl w:ilvl="5" w:tplc="77C67B4E">
      <w:start w:val="1"/>
      <w:numFmt w:val="bullet"/>
      <w:lvlText w:val="•"/>
      <w:lvlJc w:val="left"/>
      <w:pPr>
        <w:ind w:left="5009" w:hanging="148"/>
      </w:pPr>
      <w:rPr>
        <w:rFonts w:hint="default"/>
      </w:rPr>
    </w:lvl>
    <w:lvl w:ilvl="6" w:tplc="D20C9C28">
      <w:start w:val="1"/>
      <w:numFmt w:val="bullet"/>
      <w:lvlText w:val="•"/>
      <w:lvlJc w:val="left"/>
      <w:pPr>
        <w:ind w:left="5956" w:hanging="148"/>
      </w:pPr>
      <w:rPr>
        <w:rFonts w:hint="default"/>
      </w:rPr>
    </w:lvl>
    <w:lvl w:ilvl="7" w:tplc="310E6CC6">
      <w:start w:val="1"/>
      <w:numFmt w:val="bullet"/>
      <w:lvlText w:val="•"/>
      <w:lvlJc w:val="left"/>
      <w:pPr>
        <w:ind w:left="6904" w:hanging="148"/>
      </w:pPr>
      <w:rPr>
        <w:rFonts w:hint="default"/>
      </w:rPr>
    </w:lvl>
    <w:lvl w:ilvl="8" w:tplc="5038E174">
      <w:start w:val="1"/>
      <w:numFmt w:val="bullet"/>
      <w:lvlText w:val="•"/>
      <w:lvlJc w:val="left"/>
      <w:pPr>
        <w:ind w:left="7851" w:hanging="148"/>
      </w:pPr>
      <w:rPr>
        <w:rFonts w:hint="default"/>
      </w:rPr>
    </w:lvl>
  </w:abstractNum>
  <w:abstractNum w:abstractNumId="20" w15:restartNumberingAfterBreak="0">
    <w:nsid w:val="21D51A17"/>
    <w:multiLevelType w:val="multilevel"/>
    <w:tmpl w:val="1362D84E"/>
    <w:lvl w:ilvl="0">
      <w:start w:val="3"/>
      <w:numFmt w:val="upperRoman"/>
      <w:lvlText w:val="%1"/>
      <w:lvlJc w:val="left"/>
      <w:pPr>
        <w:ind w:left="1046" w:hanging="941"/>
      </w:pPr>
      <w:rPr>
        <w:rFonts w:hint="default"/>
      </w:rPr>
    </w:lvl>
    <w:lvl w:ilvl="1">
      <w:start w:val="2"/>
      <w:numFmt w:val="decimal"/>
      <w:lvlText w:val="%1.%2"/>
      <w:lvlJc w:val="left"/>
      <w:pPr>
        <w:ind w:left="1046" w:hanging="941"/>
      </w:pPr>
      <w:rPr>
        <w:rFonts w:hint="default"/>
      </w:rPr>
    </w:lvl>
    <w:lvl w:ilvl="2">
      <w:start w:val="2"/>
      <w:numFmt w:val="decimal"/>
      <w:lvlText w:val="%1.%2.%3"/>
      <w:lvlJc w:val="left"/>
      <w:pPr>
        <w:ind w:left="1046" w:hanging="941"/>
      </w:pPr>
      <w:rPr>
        <w:rFonts w:hint="default"/>
      </w:rPr>
    </w:lvl>
    <w:lvl w:ilvl="3">
      <w:start w:val="1"/>
      <w:numFmt w:val="decimal"/>
      <w:lvlText w:val="%1.%2.%3.%4."/>
      <w:lvlJc w:val="left"/>
      <w:pPr>
        <w:ind w:left="1046" w:hanging="941"/>
      </w:pPr>
      <w:rPr>
        <w:rFonts w:ascii="Times New Roman" w:eastAsia="Times New Roman" w:hAnsi="Times New Roman" w:hint="default"/>
        <w:b/>
        <w:bCs/>
        <w:sz w:val="24"/>
        <w:szCs w:val="24"/>
      </w:rPr>
    </w:lvl>
    <w:lvl w:ilvl="4">
      <w:start w:val="1"/>
      <w:numFmt w:val="decimal"/>
      <w:lvlText w:val="%1.%2.%3.%4.%5."/>
      <w:lvlJc w:val="left"/>
      <w:pPr>
        <w:ind w:left="1226" w:hanging="1121"/>
      </w:pPr>
      <w:rPr>
        <w:rFonts w:ascii="Times New Roman" w:eastAsia="Times New Roman" w:hAnsi="Times New Roman" w:hint="default"/>
        <w:b/>
        <w:bCs/>
        <w:sz w:val="24"/>
        <w:szCs w:val="24"/>
      </w:rPr>
    </w:lvl>
    <w:lvl w:ilvl="5">
      <w:start w:val="1"/>
      <w:numFmt w:val="bullet"/>
      <w:lvlText w:val=""/>
      <w:lvlJc w:val="left"/>
      <w:pPr>
        <w:ind w:left="825" w:hanging="360"/>
      </w:pPr>
      <w:rPr>
        <w:rFonts w:ascii="Symbol" w:eastAsia="Symbol" w:hAnsi="Symbol" w:hint="default"/>
        <w:sz w:val="24"/>
        <w:szCs w:val="24"/>
      </w:rPr>
    </w:lvl>
    <w:lvl w:ilvl="6">
      <w:start w:val="1"/>
      <w:numFmt w:val="bullet"/>
      <w:lvlText w:val="•"/>
      <w:lvlJc w:val="left"/>
      <w:pPr>
        <w:ind w:left="5476" w:hanging="360"/>
      </w:pPr>
      <w:rPr>
        <w:rFonts w:hint="default"/>
      </w:rPr>
    </w:lvl>
    <w:lvl w:ilvl="7">
      <w:start w:val="1"/>
      <w:numFmt w:val="bullet"/>
      <w:lvlText w:val="•"/>
      <w:lvlJc w:val="left"/>
      <w:pPr>
        <w:ind w:left="6538" w:hanging="360"/>
      </w:pPr>
      <w:rPr>
        <w:rFonts w:hint="default"/>
      </w:rPr>
    </w:lvl>
    <w:lvl w:ilvl="8">
      <w:start w:val="1"/>
      <w:numFmt w:val="bullet"/>
      <w:lvlText w:val="•"/>
      <w:lvlJc w:val="left"/>
      <w:pPr>
        <w:ind w:left="7601" w:hanging="360"/>
      </w:pPr>
      <w:rPr>
        <w:rFonts w:hint="default"/>
      </w:rPr>
    </w:lvl>
  </w:abstractNum>
  <w:abstractNum w:abstractNumId="21" w15:restartNumberingAfterBreak="0">
    <w:nsid w:val="24B857B1"/>
    <w:multiLevelType w:val="hybridMultilevel"/>
    <w:tmpl w:val="DF3A40AE"/>
    <w:lvl w:ilvl="0" w:tplc="AA506C10">
      <w:start w:val="1"/>
      <w:numFmt w:val="bullet"/>
      <w:lvlText w:val="-"/>
      <w:lvlJc w:val="left"/>
      <w:pPr>
        <w:ind w:left="825" w:hanging="156"/>
      </w:pPr>
      <w:rPr>
        <w:rFonts w:ascii="Times New Roman" w:eastAsia="Times New Roman" w:hAnsi="Times New Roman" w:hint="default"/>
        <w:sz w:val="24"/>
        <w:szCs w:val="24"/>
      </w:rPr>
    </w:lvl>
    <w:lvl w:ilvl="1" w:tplc="17E4D8C4">
      <w:start w:val="1"/>
      <w:numFmt w:val="bullet"/>
      <w:lvlText w:val="•"/>
      <w:lvlJc w:val="left"/>
      <w:pPr>
        <w:ind w:left="1715" w:hanging="156"/>
      </w:pPr>
      <w:rPr>
        <w:rFonts w:hint="default"/>
      </w:rPr>
    </w:lvl>
    <w:lvl w:ilvl="2" w:tplc="5CF81C84">
      <w:start w:val="1"/>
      <w:numFmt w:val="bullet"/>
      <w:lvlText w:val="•"/>
      <w:lvlJc w:val="left"/>
      <w:pPr>
        <w:ind w:left="2605" w:hanging="156"/>
      </w:pPr>
      <w:rPr>
        <w:rFonts w:hint="default"/>
      </w:rPr>
    </w:lvl>
    <w:lvl w:ilvl="3" w:tplc="69E2705E">
      <w:start w:val="1"/>
      <w:numFmt w:val="bullet"/>
      <w:lvlText w:val="•"/>
      <w:lvlJc w:val="left"/>
      <w:pPr>
        <w:ind w:left="3495" w:hanging="156"/>
      </w:pPr>
      <w:rPr>
        <w:rFonts w:hint="default"/>
      </w:rPr>
    </w:lvl>
    <w:lvl w:ilvl="4" w:tplc="51CC69CC">
      <w:start w:val="1"/>
      <w:numFmt w:val="bullet"/>
      <w:lvlText w:val="•"/>
      <w:lvlJc w:val="left"/>
      <w:pPr>
        <w:ind w:left="4385" w:hanging="156"/>
      </w:pPr>
      <w:rPr>
        <w:rFonts w:hint="default"/>
      </w:rPr>
    </w:lvl>
    <w:lvl w:ilvl="5" w:tplc="1F8CB1CA">
      <w:start w:val="1"/>
      <w:numFmt w:val="bullet"/>
      <w:lvlText w:val="•"/>
      <w:lvlJc w:val="left"/>
      <w:pPr>
        <w:ind w:left="5275" w:hanging="156"/>
      </w:pPr>
      <w:rPr>
        <w:rFonts w:hint="default"/>
      </w:rPr>
    </w:lvl>
    <w:lvl w:ilvl="6" w:tplc="29144D3A">
      <w:start w:val="1"/>
      <w:numFmt w:val="bullet"/>
      <w:lvlText w:val="•"/>
      <w:lvlJc w:val="left"/>
      <w:pPr>
        <w:ind w:left="6165" w:hanging="156"/>
      </w:pPr>
      <w:rPr>
        <w:rFonts w:hint="default"/>
      </w:rPr>
    </w:lvl>
    <w:lvl w:ilvl="7" w:tplc="1116EB28">
      <w:start w:val="1"/>
      <w:numFmt w:val="bullet"/>
      <w:lvlText w:val="•"/>
      <w:lvlJc w:val="left"/>
      <w:pPr>
        <w:ind w:left="7056" w:hanging="156"/>
      </w:pPr>
      <w:rPr>
        <w:rFonts w:hint="default"/>
      </w:rPr>
    </w:lvl>
    <w:lvl w:ilvl="8" w:tplc="DAF81CC0">
      <w:start w:val="1"/>
      <w:numFmt w:val="bullet"/>
      <w:lvlText w:val="•"/>
      <w:lvlJc w:val="left"/>
      <w:pPr>
        <w:ind w:left="7946" w:hanging="156"/>
      </w:pPr>
      <w:rPr>
        <w:rFonts w:hint="default"/>
      </w:rPr>
    </w:lvl>
  </w:abstractNum>
  <w:abstractNum w:abstractNumId="22" w15:restartNumberingAfterBreak="0">
    <w:nsid w:val="257D64AA"/>
    <w:multiLevelType w:val="multilevel"/>
    <w:tmpl w:val="14C42AB8"/>
    <w:lvl w:ilvl="0">
      <w:start w:val="3"/>
      <w:numFmt w:val="upperRoman"/>
      <w:lvlText w:val="%1"/>
      <w:lvlJc w:val="left"/>
      <w:pPr>
        <w:ind w:left="1406" w:hanging="1301"/>
      </w:pPr>
      <w:rPr>
        <w:rFonts w:hint="default"/>
      </w:rPr>
    </w:lvl>
    <w:lvl w:ilvl="1">
      <w:start w:val="2"/>
      <w:numFmt w:val="decimal"/>
      <w:lvlText w:val="%1.%2"/>
      <w:lvlJc w:val="left"/>
      <w:pPr>
        <w:ind w:left="1406" w:hanging="1301"/>
      </w:pPr>
      <w:rPr>
        <w:rFonts w:hint="default"/>
      </w:rPr>
    </w:lvl>
    <w:lvl w:ilvl="2">
      <w:start w:val="2"/>
      <w:numFmt w:val="decimal"/>
      <w:lvlText w:val="%1.%2.%3"/>
      <w:lvlJc w:val="left"/>
      <w:pPr>
        <w:ind w:left="1406" w:hanging="1301"/>
      </w:pPr>
      <w:rPr>
        <w:rFonts w:hint="default"/>
      </w:rPr>
    </w:lvl>
    <w:lvl w:ilvl="3">
      <w:start w:val="1"/>
      <w:numFmt w:val="decimal"/>
      <w:lvlText w:val="%1.%2.%3.%4"/>
      <w:lvlJc w:val="left"/>
      <w:pPr>
        <w:ind w:left="1406" w:hanging="1301"/>
      </w:pPr>
      <w:rPr>
        <w:rFonts w:hint="default"/>
      </w:rPr>
    </w:lvl>
    <w:lvl w:ilvl="4">
      <w:start w:val="1"/>
      <w:numFmt w:val="decimal"/>
      <w:lvlText w:val="%1.%2.%3.%4.%5"/>
      <w:lvlJc w:val="left"/>
      <w:pPr>
        <w:ind w:left="1406" w:hanging="1301"/>
      </w:pPr>
      <w:rPr>
        <w:rFonts w:hint="default"/>
      </w:rPr>
    </w:lvl>
    <w:lvl w:ilvl="5">
      <w:start w:val="1"/>
      <w:numFmt w:val="decimal"/>
      <w:lvlText w:val="%1.%2.%3.%4.%5.%6."/>
      <w:lvlJc w:val="left"/>
      <w:pPr>
        <w:ind w:left="1406" w:hanging="1301"/>
      </w:pPr>
      <w:rPr>
        <w:rFonts w:ascii="Times New Roman" w:eastAsia="Times New Roman" w:hAnsi="Times New Roman" w:hint="default"/>
        <w:b/>
        <w:bCs/>
        <w:sz w:val="24"/>
        <w:szCs w:val="24"/>
      </w:rPr>
    </w:lvl>
    <w:lvl w:ilvl="6">
      <w:start w:val="1"/>
      <w:numFmt w:val="bullet"/>
      <w:lvlText w:val=""/>
      <w:lvlJc w:val="left"/>
      <w:pPr>
        <w:ind w:left="945" w:hanging="358"/>
      </w:pPr>
      <w:rPr>
        <w:rFonts w:ascii="Symbol" w:eastAsia="Symbol" w:hAnsi="Symbol" w:hint="default"/>
        <w:sz w:val="24"/>
        <w:szCs w:val="24"/>
      </w:rPr>
    </w:lvl>
    <w:lvl w:ilvl="7">
      <w:start w:val="1"/>
      <w:numFmt w:val="bullet"/>
      <w:lvlText w:val="•"/>
      <w:lvlJc w:val="left"/>
      <w:pPr>
        <w:ind w:left="6952" w:hanging="358"/>
      </w:pPr>
      <w:rPr>
        <w:rFonts w:hint="default"/>
      </w:rPr>
    </w:lvl>
    <w:lvl w:ilvl="8">
      <w:start w:val="1"/>
      <w:numFmt w:val="bullet"/>
      <w:lvlText w:val="•"/>
      <w:lvlJc w:val="left"/>
      <w:pPr>
        <w:ind w:left="7877" w:hanging="358"/>
      </w:pPr>
      <w:rPr>
        <w:rFonts w:hint="default"/>
      </w:rPr>
    </w:lvl>
  </w:abstractNum>
  <w:abstractNum w:abstractNumId="23" w15:restartNumberingAfterBreak="0">
    <w:nsid w:val="277743A2"/>
    <w:multiLevelType w:val="hybridMultilevel"/>
    <w:tmpl w:val="DDE891F8"/>
    <w:lvl w:ilvl="0" w:tplc="46906B20">
      <w:start w:val="1"/>
      <w:numFmt w:val="bullet"/>
      <w:lvlText w:val=""/>
      <w:lvlJc w:val="left"/>
      <w:pPr>
        <w:ind w:left="125" w:hanging="363"/>
      </w:pPr>
      <w:rPr>
        <w:rFonts w:ascii="Symbol" w:eastAsia="Symbol" w:hAnsi="Symbol" w:hint="default"/>
        <w:sz w:val="23"/>
        <w:szCs w:val="23"/>
      </w:rPr>
    </w:lvl>
    <w:lvl w:ilvl="1" w:tplc="06322BDC">
      <w:start w:val="1"/>
      <w:numFmt w:val="bullet"/>
      <w:lvlText w:val="•"/>
      <w:lvlJc w:val="left"/>
      <w:pPr>
        <w:ind w:left="1087" w:hanging="363"/>
      </w:pPr>
      <w:rPr>
        <w:rFonts w:hint="default"/>
      </w:rPr>
    </w:lvl>
    <w:lvl w:ilvl="2" w:tplc="0CFC8948">
      <w:start w:val="1"/>
      <w:numFmt w:val="bullet"/>
      <w:lvlText w:val="•"/>
      <w:lvlJc w:val="left"/>
      <w:pPr>
        <w:ind w:left="2049" w:hanging="363"/>
      </w:pPr>
      <w:rPr>
        <w:rFonts w:hint="default"/>
      </w:rPr>
    </w:lvl>
    <w:lvl w:ilvl="3" w:tplc="2A545A44">
      <w:start w:val="1"/>
      <w:numFmt w:val="bullet"/>
      <w:lvlText w:val="•"/>
      <w:lvlJc w:val="left"/>
      <w:pPr>
        <w:ind w:left="3011" w:hanging="363"/>
      </w:pPr>
      <w:rPr>
        <w:rFonts w:hint="default"/>
      </w:rPr>
    </w:lvl>
    <w:lvl w:ilvl="4" w:tplc="6C042C6A">
      <w:start w:val="1"/>
      <w:numFmt w:val="bullet"/>
      <w:lvlText w:val="•"/>
      <w:lvlJc w:val="left"/>
      <w:pPr>
        <w:ind w:left="3973" w:hanging="363"/>
      </w:pPr>
      <w:rPr>
        <w:rFonts w:hint="default"/>
      </w:rPr>
    </w:lvl>
    <w:lvl w:ilvl="5" w:tplc="35068B1A">
      <w:start w:val="1"/>
      <w:numFmt w:val="bullet"/>
      <w:lvlText w:val="•"/>
      <w:lvlJc w:val="left"/>
      <w:pPr>
        <w:ind w:left="4935" w:hanging="363"/>
      </w:pPr>
      <w:rPr>
        <w:rFonts w:hint="default"/>
      </w:rPr>
    </w:lvl>
    <w:lvl w:ilvl="6" w:tplc="FE769692">
      <w:start w:val="1"/>
      <w:numFmt w:val="bullet"/>
      <w:lvlText w:val="•"/>
      <w:lvlJc w:val="left"/>
      <w:pPr>
        <w:ind w:left="5897" w:hanging="363"/>
      </w:pPr>
      <w:rPr>
        <w:rFonts w:hint="default"/>
      </w:rPr>
    </w:lvl>
    <w:lvl w:ilvl="7" w:tplc="E6B2DBC6">
      <w:start w:val="1"/>
      <w:numFmt w:val="bullet"/>
      <w:lvlText w:val="•"/>
      <w:lvlJc w:val="left"/>
      <w:pPr>
        <w:ind w:left="6860" w:hanging="363"/>
      </w:pPr>
      <w:rPr>
        <w:rFonts w:hint="default"/>
      </w:rPr>
    </w:lvl>
    <w:lvl w:ilvl="8" w:tplc="FA622630">
      <w:start w:val="1"/>
      <w:numFmt w:val="bullet"/>
      <w:lvlText w:val="•"/>
      <w:lvlJc w:val="left"/>
      <w:pPr>
        <w:ind w:left="7822" w:hanging="363"/>
      </w:pPr>
      <w:rPr>
        <w:rFonts w:hint="default"/>
      </w:rPr>
    </w:lvl>
  </w:abstractNum>
  <w:abstractNum w:abstractNumId="24" w15:restartNumberingAfterBreak="0">
    <w:nsid w:val="2A2D4603"/>
    <w:multiLevelType w:val="hybridMultilevel"/>
    <w:tmpl w:val="6BC85166"/>
    <w:lvl w:ilvl="0" w:tplc="071E805A">
      <w:start w:val="1"/>
      <w:numFmt w:val="bullet"/>
      <w:lvlText w:val="-"/>
      <w:lvlJc w:val="left"/>
      <w:pPr>
        <w:ind w:left="1545" w:hanging="720"/>
      </w:pPr>
      <w:rPr>
        <w:rFonts w:ascii="Times New Roman" w:eastAsia="Times New Roman" w:hAnsi="Times New Roman" w:hint="default"/>
        <w:sz w:val="24"/>
        <w:szCs w:val="24"/>
      </w:rPr>
    </w:lvl>
    <w:lvl w:ilvl="1" w:tplc="76540FE6">
      <w:start w:val="1"/>
      <w:numFmt w:val="bullet"/>
      <w:lvlText w:val="•"/>
      <w:lvlJc w:val="left"/>
      <w:pPr>
        <w:ind w:left="2363" w:hanging="720"/>
      </w:pPr>
      <w:rPr>
        <w:rFonts w:hint="default"/>
      </w:rPr>
    </w:lvl>
    <w:lvl w:ilvl="2" w:tplc="56D0CD04">
      <w:start w:val="1"/>
      <w:numFmt w:val="bullet"/>
      <w:lvlText w:val="•"/>
      <w:lvlJc w:val="left"/>
      <w:pPr>
        <w:ind w:left="3181" w:hanging="720"/>
      </w:pPr>
      <w:rPr>
        <w:rFonts w:hint="default"/>
      </w:rPr>
    </w:lvl>
    <w:lvl w:ilvl="3" w:tplc="C4AED6E4">
      <w:start w:val="1"/>
      <w:numFmt w:val="bullet"/>
      <w:lvlText w:val="•"/>
      <w:lvlJc w:val="left"/>
      <w:pPr>
        <w:ind w:left="3999" w:hanging="720"/>
      </w:pPr>
      <w:rPr>
        <w:rFonts w:hint="default"/>
      </w:rPr>
    </w:lvl>
    <w:lvl w:ilvl="4" w:tplc="8730E600">
      <w:start w:val="1"/>
      <w:numFmt w:val="bullet"/>
      <w:lvlText w:val="•"/>
      <w:lvlJc w:val="left"/>
      <w:pPr>
        <w:ind w:left="4817" w:hanging="720"/>
      </w:pPr>
      <w:rPr>
        <w:rFonts w:hint="default"/>
      </w:rPr>
    </w:lvl>
    <w:lvl w:ilvl="5" w:tplc="49165E48">
      <w:start w:val="1"/>
      <w:numFmt w:val="bullet"/>
      <w:lvlText w:val="•"/>
      <w:lvlJc w:val="left"/>
      <w:pPr>
        <w:ind w:left="5635" w:hanging="720"/>
      </w:pPr>
      <w:rPr>
        <w:rFonts w:hint="default"/>
      </w:rPr>
    </w:lvl>
    <w:lvl w:ilvl="6" w:tplc="43C89FE8">
      <w:start w:val="1"/>
      <w:numFmt w:val="bullet"/>
      <w:lvlText w:val="•"/>
      <w:lvlJc w:val="left"/>
      <w:pPr>
        <w:ind w:left="6453" w:hanging="720"/>
      </w:pPr>
      <w:rPr>
        <w:rFonts w:hint="default"/>
      </w:rPr>
    </w:lvl>
    <w:lvl w:ilvl="7" w:tplc="3924AA20">
      <w:start w:val="1"/>
      <w:numFmt w:val="bullet"/>
      <w:lvlText w:val="•"/>
      <w:lvlJc w:val="left"/>
      <w:pPr>
        <w:ind w:left="7272" w:hanging="720"/>
      </w:pPr>
      <w:rPr>
        <w:rFonts w:hint="default"/>
      </w:rPr>
    </w:lvl>
    <w:lvl w:ilvl="8" w:tplc="0E58A646">
      <w:start w:val="1"/>
      <w:numFmt w:val="bullet"/>
      <w:lvlText w:val="•"/>
      <w:lvlJc w:val="left"/>
      <w:pPr>
        <w:ind w:left="8090" w:hanging="720"/>
      </w:pPr>
      <w:rPr>
        <w:rFonts w:hint="default"/>
      </w:rPr>
    </w:lvl>
  </w:abstractNum>
  <w:abstractNum w:abstractNumId="25" w15:restartNumberingAfterBreak="0">
    <w:nsid w:val="2A454313"/>
    <w:multiLevelType w:val="hybridMultilevel"/>
    <w:tmpl w:val="38047706"/>
    <w:lvl w:ilvl="0" w:tplc="B69CF44C">
      <w:start w:val="1"/>
      <w:numFmt w:val="lowerLetter"/>
      <w:lvlText w:val="%1)"/>
      <w:lvlJc w:val="left"/>
      <w:pPr>
        <w:ind w:left="408" w:hanging="284"/>
      </w:pPr>
      <w:rPr>
        <w:rFonts w:ascii="Times New Roman" w:eastAsia="Times New Roman" w:hAnsi="Times New Roman" w:hint="default"/>
        <w:b/>
        <w:bCs/>
        <w:sz w:val="24"/>
        <w:szCs w:val="24"/>
      </w:rPr>
    </w:lvl>
    <w:lvl w:ilvl="1" w:tplc="C028702E">
      <w:start w:val="1"/>
      <w:numFmt w:val="bullet"/>
      <w:lvlText w:val=""/>
      <w:lvlJc w:val="left"/>
      <w:pPr>
        <w:ind w:left="1185" w:hanging="360"/>
      </w:pPr>
      <w:rPr>
        <w:rFonts w:ascii="Symbol" w:eastAsia="Symbol" w:hAnsi="Symbol" w:hint="default"/>
        <w:sz w:val="24"/>
        <w:szCs w:val="24"/>
      </w:rPr>
    </w:lvl>
    <w:lvl w:ilvl="2" w:tplc="08090003">
      <w:start w:val="1"/>
      <w:numFmt w:val="bullet"/>
      <w:lvlText w:val="o"/>
      <w:lvlJc w:val="left"/>
      <w:pPr>
        <w:ind w:left="2136" w:hanging="360"/>
      </w:pPr>
      <w:rPr>
        <w:rFonts w:ascii="Courier New" w:hAnsi="Courier New" w:cs="Courier New" w:hint="default"/>
      </w:rPr>
    </w:lvl>
    <w:lvl w:ilvl="3" w:tplc="FC0613C6">
      <w:start w:val="1"/>
      <w:numFmt w:val="bullet"/>
      <w:lvlText w:val="•"/>
      <w:lvlJc w:val="left"/>
      <w:pPr>
        <w:ind w:left="3087" w:hanging="360"/>
      </w:pPr>
      <w:rPr>
        <w:rFonts w:hint="default"/>
      </w:rPr>
    </w:lvl>
    <w:lvl w:ilvl="4" w:tplc="F6EAF0C0">
      <w:start w:val="1"/>
      <w:numFmt w:val="bullet"/>
      <w:lvlText w:val="•"/>
      <w:lvlJc w:val="left"/>
      <w:pPr>
        <w:ind w:left="4038" w:hanging="360"/>
      </w:pPr>
      <w:rPr>
        <w:rFonts w:hint="default"/>
      </w:rPr>
    </w:lvl>
    <w:lvl w:ilvl="5" w:tplc="A9B86CE0">
      <w:start w:val="1"/>
      <w:numFmt w:val="bullet"/>
      <w:lvlText w:val="•"/>
      <w:lvlJc w:val="left"/>
      <w:pPr>
        <w:ind w:left="4990" w:hanging="360"/>
      </w:pPr>
      <w:rPr>
        <w:rFonts w:hint="default"/>
      </w:rPr>
    </w:lvl>
    <w:lvl w:ilvl="6" w:tplc="382C757E">
      <w:start w:val="1"/>
      <w:numFmt w:val="bullet"/>
      <w:lvlText w:val="•"/>
      <w:lvlJc w:val="left"/>
      <w:pPr>
        <w:ind w:left="5941" w:hanging="360"/>
      </w:pPr>
      <w:rPr>
        <w:rFonts w:hint="default"/>
      </w:rPr>
    </w:lvl>
    <w:lvl w:ilvl="7" w:tplc="EE4223CE">
      <w:start w:val="1"/>
      <w:numFmt w:val="bullet"/>
      <w:lvlText w:val="•"/>
      <w:lvlJc w:val="left"/>
      <w:pPr>
        <w:ind w:left="6892" w:hanging="360"/>
      </w:pPr>
      <w:rPr>
        <w:rFonts w:hint="default"/>
      </w:rPr>
    </w:lvl>
    <w:lvl w:ilvl="8" w:tplc="06623672">
      <w:start w:val="1"/>
      <w:numFmt w:val="bullet"/>
      <w:lvlText w:val="•"/>
      <w:lvlJc w:val="left"/>
      <w:pPr>
        <w:ind w:left="7843" w:hanging="360"/>
      </w:pPr>
      <w:rPr>
        <w:rFonts w:hint="default"/>
      </w:rPr>
    </w:lvl>
  </w:abstractNum>
  <w:abstractNum w:abstractNumId="26" w15:restartNumberingAfterBreak="0">
    <w:nsid w:val="2AAF4055"/>
    <w:multiLevelType w:val="hybridMultilevel"/>
    <w:tmpl w:val="A2F05988"/>
    <w:lvl w:ilvl="0" w:tplc="377029B4">
      <w:start w:val="1"/>
      <w:numFmt w:val="decimal"/>
      <w:lvlText w:val="%1)"/>
      <w:lvlJc w:val="left"/>
      <w:pPr>
        <w:ind w:left="105" w:hanging="262"/>
      </w:pPr>
      <w:rPr>
        <w:rFonts w:ascii="Times New Roman" w:eastAsia="Times New Roman" w:hAnsi="Times New Roman" w:hint="default"/>
        <w:sz w:val="24"/>
        <w:szCs w:val="24"/>
      </w:rPr>
    </w:lvl>
    <w:lvl w:ilvl="1" w:tplc="32541640">
      <w:start w:val="1"/>
      <w:numFmt w:val="lowerLetter"/>
      <w:lvlText w:val="%2)"/>
      <w:lvlJc w:val="left"/>
      <w:pPr>
        <w:ind w:left="825" w:hanging="360"/>
      </w:pPr>
      <w:rPr>
        <w:rFonts w:ascii="Times New Roman" w:eastAsia="Times New Roman" w:hAnsi="Times New Roman" w:hint="default"/>
        <w:spacing w:val="-1"/>
        <w:sz w:val="24"/>
        <w:szCs w:val="24"/>
      </w:rPr>
    </w:lvl>
    <w:lvl w:ilvl="2" w:tplc="143ED184">
      <w:start w:val="1"/>
      <w:numFmt w:val="bullet"/>
      <w:lvlText w:val="•"/>
      <w:lvlJc w:val="left"/>
      <w:pPr>
        <w:ind w:left="1814" w:hanging="360"/>
      </w:pPr>
      <w:rPr>
        <w:rFonts w:hint="default"/>
      </w:rPr>
    </w:lvl>
    <w:lvl w:ilvl="3" w:tplc="442845EE">
      <w:start w:val="1"/>
      <w:numFmt w:val="bullet"/>
      <w:lvlText w:val="•"/>
      <w:lvlJc w:val="left"/>
      <w:pPr>
        <w:ind w:left="2803" w:hanging="360"/>
      </w:pPr>
      <w:rPr>
        <w:rFonts w:hint="default"/>
      </w:rPr>
    </w:lvl>
    <w:lvl w:ilvl="4" w:tplc="24623D7C">
      <w:start w:val="1"/>
      <w:numFmt w:val="bullet"/>
      <w:lvlText w:val="•"/>
      <w:lvlJc w:val="left"/>
      <w:pPr>
        <w:ind w:left="3792" w:hanging="360"/>
      </w:pPr>
      <w:rPr>
        <w:rFonts w:hint="default"/>
      </w:rPr>
    </w:lvl>
    <w:lvl w:ilvl="5" w:tplc="100A98EA">
      <w:start w:val="1"/>
      <w:numFmt w:val="bullet"/>
      <w:lvlText w:val="•"/>
      <w:lvlJc w:val="left"/>
      <w:pPr>
        <w:ind w:left="4781" w:hanging="360"/>
      </w:pPr>
      <w:rPr>
        <w:rFonts w:hint="default"/>
      </w:rPr>
    </w:lvl>
    <w:lvl w:ilvl="6" w:tplc="CC0ECFF0">
      <w:start w:val="1"/>
      <w:numFmt w:val="bullet"/>
      <w:lvlText w:val="•"/>
      <w:lvlJc w:val="left"/>
      <w:pPr>
        <w:ind w:left="5770" w:hanging="360"/>
      </w:pPr>
      <w:rPr>
        <w:rFonts w:hint="default"/>
      </w:rPr>
    </w:lvl>
    <w:lvl w:ilvl="7" w:tplc="CB308828">
      <w:start w:val="1"/>
      <w:numFmt w:val="bullet"/>
      <w:lvlText w:val="•"/>
      <w:lvlJc w:val="left"/>
      <w:pPr>
        <w:ind w:left="6759" w:hanging="360"/>
      </w:pPr>
      <w:rPr>
        <w:rFonts w:hint="default"/>
      </w:rPr>
    </w:lvl>
    <w:lvl w:ilvl="8" w:tplc="D602A188">
      <w:start w:val="1"/>
      <w:numFmt w:val="bullet"/>
      <w:lvlText w:val="•"/>
      <w:lvlJc w:val="left"/>
      <w:pPr>
        <w:ind w:left="7748" w:hanging="360"/>
      </w:pPr>
      <w:rPr>
        <w:rFonts w:hint="default"/>
      </w:rPr>
    </w:lvl>
  </w:abstractNum>
  <w:abstractNum w:abstractNumId="27" w15:restartNumberingAfterBreak="0">
    <w:nsid w:val="2B4946B1"/>
    <w:multiLevelType w:val="hybridMultilevel"/>
    <w:tmpl w:val="6BAC2D5E"/>
    <w:lvl w:ilvl="0" w:tplc="F348BB5C">
      <w:start w:val="1"/>
      <w:numFmt w:val="decimal"/>
      <w:lvlText w:val="%1."/>
      <w:lvlJc w:val="left"/>
      <w:pPr>
        <w:ind w:left="825" w:hanging="720"/>
      </w:pPr>
      <w:rPr>
        <w:rFonts w:ascii="Times New Roman" w:eastAsia="Times New Roman" w:hAnsi="Times New Roman" w:hint="default"/>
        <w:sz w:val="24"/>
        <w:szCs w:val="24"/>
      </w:rPr>
    </w:lvl>
    <w:lvl w:ilvl="1" w:tplc="4F2CAB1C">
      <w:start w:val="1"/>
      <w:numFmt w:val="bullet"/>
      <w:lvlText w:val="•"/>
      <w:lvlJc w:val="left"/>
      <w:pPr>
        <w:ind w:left="1715" w:hanging="720"/>
      </w:pPr>
      <w:rPr>
        <w:rFonts w:hint="default"/>
      </w:rPr>
    </w:lvl>
    <w:lvl w:ilvl="2" w:tplc="F11693B4">
      <w:start w:val="1"/>
      <w:numFmt w:val="bullet"/>
      <w:lvlText w:val="•"/>
      <w:lvlJc w:val="left"/>
      <w:pPr>
        <w:ind w:left="2605" w:hanging="720"/>
      </w:pPr>
      <w:rPr>
        <w:rFonts w:hint="default"/>
      </w:rPr>
    </w:lvl>
    <w:lvl w:ilvl="3" w:tplc="0980C4EC">
      <w:start w:val="1"/>
      <w:numFmt w:val="bullet"/>
      <w:lvlText w:val="•"/>
      <w:lvlJc w:val="left"/>
      <w:pPr>
        <w:ind w:left="3495" w:hanging="720"/>
      </w:pPr>
      <w:rPr>
        <w:rFonts w:hint="default"/>
      </w:rPr>
    </w:lvl>
    <w:lvl w:ilvl="4" w:tplc="1DD86A16">
      <w:start w:val="1"/>
      <w:numFmt w:val="bullet"/>
      <w:lvlText w:val="•"/>
      <w:lvlJc w:val="left"/>
      <w:pPr>
        <w:ind w:left="4385" w:hanging="720"/>
      </w:pPr>
      <w:rPr>
        <w:rFonts w:hint="default"/>
      </w:rPr>
    </w:lvl>
    <w:lvl w:ilvl="5" w:tplc="36A84A30">
      <w:start w:val="1"/>
      <w:numFmt w:val="bullet"/>
      <w:lvlText w:val="•"/>
      <w:lvlJc w:val="left"/>
      <w:pPr>
        <w:ind w:left="5275" w:hanging="720"/>
      </w:pPr>
      <w:rPr>
        <w:rFonts w:hint="default"/>
      </w:rPr>
    </w:lvl>
    <w:lvl w:ilvl="6" w:tplc="62AE2798">
      <w:start w:val="1"/>
      <w:numFmt w:val="bullet"/>
      <w:lvlText w:val="•"/>
      <w:lvlJc w:val="left"/>
      <w:pPr>
        <w:ind w:left="6165" w:hanging="720"/>
      </w:pPr>
      <w:rPr>
        <w:rFonts w:hint="default"/>
      </w:rPr>
    </w:lvl>
    <w:lvl w:ilvl="7" w:tplc="54582752">
      <w:start w:val="1"/>
      <w:numFmt w:val="bullet"/>
      <w:lvlText w:val="•"/>
      <w:lvlJc w:val="left"/>
      <w:pPr>
        <w:ind w:left="7056" w:hanging="720"/>
      </w:pPr>
      <w:rPr>
        <w:rFonts w:hint="default"/>
      </w:rPr>
    </w:lvl>
    <w:lvl w:ilvl="8" w:tplc="E4869C70">
      <w:start w:val="1"/>
      <w:numFmt w:val="bullet"/>
      <w:lvlText w:val="•"/>
      <w:lvlJc w:val="left"/>
      <w:pPr>
        <w:ind w:left="7946" w:hanging="720"/>
      </w:pPr>
      <w:rPr>
        <w:rFonts w:hint="default"/>
      </w:rPr>
    </w:lvl>
  </w:abstractNum>
  <w:abstractNum w:abstractNumId="28" w15:restartNumberingAfterBreak="0">
    <w:nsid w:val="2D641E91"/>
    <w:multiLevelType w:val="multilevel"/>
    <w:tmpl w:val="D4AA24D0"/>
    <w:lvl w:ilvl="0">
      <w:start w:val="2"/>
      <w:numFmt w:val="upperRoman"/>
      <w:lvlText w:val="%1"/>
      <w:lvlJc w:val="left"/>
      <w:pPr>
        <w:ind w:left="772" w:hanging="668"/>
      </w:pPr>
      <w:rPr>
        <w:rFonts w:hint="default"/>
      </w:rPr>
    </w:lvl>
    <w:lvl w:ilvl="1">
      <w:start w:val="3"/>
      <w:numFmt w:val="decimal"/>
      <w:lvlText w:val="%1.%2"/>
      <w:lvlJc w:val="left"/>
      <w:pPr>
        <w:ind w:left="772" w:hanging="668"/>
      </w:pPr>
      <w:rPr>
        <w:rFonts w:hint="default"/>
      </w:rPr>
    </w:lvl>
    <w:lvl w:ilvl="2">
      <w:start w:val="5"/>
      <w:numFmt w:val="decimal"/>
      <w:lvlText w:val="%1.%2.%3."/>
      <w:lvlJc w:val="left"/>
      <w:pPr>
        <w:ind w:left="772" w:hanging="668"/>
      </w:pPr>
      <w:rPr>
        <w:rFonts w:ascii="Times New Roman" w:eastAsia="Times New Roman" w:hAnsi="Times New Roman" w:hint="default"/>
        <w:b/>
        <w:bCs/>
        <w:sz w:val="24"/>
        <w:szCs w:val="24"/>
      </w:rPr>
    </w:lvl>
    <w:lvl w:ilvl="3">
      <w:start w:val="1"/>
      <w:numFmt w:val="decimal"/>
      <w:lvlText w:val="%1.%2.%3.%4."/>
      <w:lvlJc w:val="left"/>
      <w:pPr>
        <w:ind w:left="105" w:hanging="845"/>
      </w:pPr>
      <w:rPr>
        <w:rFonts w:ascii="Times New Roman" w:eastAsia="Times New Roman" w:hAnsi="Times New Roman" w:hint="default"/>
        <w:b/>
        <w:bCs/>
        <w:sz w:val="24"/>
        <w:szCs w:val="24"/>
      </w:rPr>
    </w:lvl>
    <w:lvl w:ilvl="4">
      <w:start w:val="1"/>
      <w:numFmt w:val="bullet"/>
      <w:lvlText w:val="•"/>
      <w:lvlJc w:val="left"/>
      <w:pPr>
        <w:ind w:left="3757" w:hanging="845"/>
      </w:pPr>
      <w:rPr>
        <w:rFonts w:hint="default"/>
      </w:rPr>
    </w:lvl>
    <w:lvl w:ilvl="5">
      <w:start w:val="1"/>
      <w:numFmt w:val="bullet"/>
      <w:lvlText w:val="•"/>
      <w:lvlJc w:val="left"/>
      <w:pPr>
        <w:ind w:left="4752" w:hanging="845"/>
      </w:pPr>
      <w:rPr>
        <w:rFonts w:hint="default"/>
      </w:rPr>
    </w:lvl>
    <w:lvl w:ilvl="6">
      <w:start w:val="1"/>
      <w:numFmt w:val="bullet"/>
      <w:lvlText w:val="•"/>
      <w:lvlJc w:val="left"/>
      <w:pPr>
        <w:ind w:left="5746" w:hanging="845"/>
      </w:pPr>
      <w:rPr>
        <w:rFonts w:hint="default"/>
      </w:rPr>
    </w:lvl>
    <w:lvl w:ilvl="7">
      <w:start w:val="1"/>
      <w:numFmt w:val="bullet"/>
      <w:lvlText w:val="•"/>
      <w:lvlJc w:val="left"/>
      <w:pPr>
        <w:ind w:left="6741" w:hanging="845"/>
      </w:pPr>
      <w:rPr>
        <w:rFonts w:hint="default"/>
      </w:rPr>
    </w:lvl>
    <w:lvl w:ilvl="8">
      <w:start w:val="1"/>
      <w:numFmt w:val="bullet"/>
      <w:lvlText w:val="•"/>
      <w:lvlJc w:val="left"/>
      <w:pPr>
        <w:ind w:left="7736" w:hanging="845"/>
      </w:pPr>
      <w:rPr>
        <w:rFonts w:hint="default"/>
      </w:rPr>
    </w:lvl>
  </w:abstractNum>
  <w:abstractNum w:abstractNumId="29" w15:restartNumberingAfterBreak="0">
    <w:nsid w:val="2EAF3144"/>
    <w:multiLevelType w:val="multilevel"/>
    <w:tmpl w:val="7D5CBDBC"/>
    <w:lvl w:ilvl="0">
      <w:start w:val="5"/>
      <w:numFmt w:val="upperRoman"/>
      <w:lvlText w:val="%1"/>
      <w:lvlJc w:val="left"/>
      <w:pPr>
        <w:ind w:left="105" w:hanging="648"/>
      </w:pPr>
      <w:rPr>
        <w:rFonts w:hint="default"/>
      </w:rPr>
    </w:lvl>
    <w:lvl w:ilvl="1">
      <w:start w:val="2"/>
      <w:numFmt w:val="decimal"/>
      <w:lvlText w:val="%1.%2"/>
      <w:lvlJc w:val="left"/>
      <w:pPr>
        <w:ind w:left="105" w:hanging="648"/>
      </w:pPr>
      <w:rPr>
        <w:rFonts w:hint="default"/>
      </w:rPr>
    </w:lvl>
    <w:lvl w:ilvl="2">
      <w:start w:val="2"/>
      <w:numFmt w:val="decimal"/>
      <w:lvlText w:val="%1.%2.%3."/>
      <w:lvlJc w:val="left"/>
      <w:pPr>
        <w:ind w:left="105" w:hanging="648"/>
      </w:pPr>
      <w:rPr>
        <w:rFonts w:ascii="Times New Roman" w:eastAsia="Times New Roman" w:hAnsi="Times New Roman" w:hint="default"/>
        <w:b/>
        <w:bCs/>
        <w:sz w:val="24"/>
        <w:szCs w:val="24"/>
      </w:rPr>
    </w:lvl>
    <w:lvl w:ilvl="3">
      <w:start w:val="1"/>
      <w:numFmt w:val="decimal"/>
      <w:lvlText w:val="%1.%2.%3.%4."/>
      <w:lvlJc w:val="left"/>
      <w:pPr>
        <w:ind w:left="938" w:hanging="833"/>
      </w:pPr>
      <w:rPr>
        <w:rFonts w:ascii="Times New Roman" w:eastAsia="Times New Roman" w:hAnsi="Times New Roman" w:hint="default"/>
        <w:b/>
        <w:bCs/>
        <w:sz w:val="24"/>
        <w:szCs w:val="24"/>
      </w:rPr>
    </w:lvl>
    <w:lvl w:ilvl="4">
      <w:start w:val="1"/>
      <w:numFmt w:val="decimal"/>
      <w:lvlText w:val="%1.%2.%3.%4.%5."/>
      <w:lvlJc w:val="left"/>
      <w:pPr>
        <w:ind w:left="125" w:hanging="1013"/>
      </w:pPr>
      <w:rPr>
        <w:rFonts w:ascii="Times New Roman" w:eastAsia="Times New Roman" w:hAnsi="Times New Roman" w:hint="default"/>
        <w:b/>
        <w:bCs/>
        <w:sz w:val="24"/>
        <w:szCs w:val="24"/>
      </w:rPr>
    </w:lvl>
    <w:lvl w:ilvl="5">
      <w:start w:val="1"/>
      <w:numFmt w:val="lowerRoman"/>
      <w:lvlText w:val="%6."/>
      <w:lvlJc w:val="left"/>
      <w:pPr>
        <w:ind w:left="818" w:hanging="483"/>
        <w:jc w:val="right"/>
      </w:pPr>
      <w:rPr>
        <w:rFonts w:ascii="Times New Roman" w:eastAsia="Times New Roman" w:hAnsi="Times New Roman" w:hint="default"/>
        <w:sz w:val="24"/>
        <w:szCs w:val="24"/>
      </w:rPr>
    </w:lvl>
    <w:lvl w:ilvl="6">
      <w:start w:val="1"/>
      <w:numFmt w:val="bullet"/>
      <w:lvlText w:val="•"/>
      <w:lvlJc w:val="left"/>
      <w:pPr>
        <w:ind w:left="4704" w:hanging="483"/>
      </w:pPr>
      <w:rPr>
        <w:rFonts w:hint="default"/>
      </w:rPr>
    </w:lvl>
    <w:lvl w:ilvl="7">
      <w:start w:val="1"/>
      <w:numFmt w:val="bullet"/>
      <w:lvlText w:val="•"/>
      <w:lvlJc w:val="left"/>
      <w:pPr>
        <w:ind w:left="5959" w:hanging="483"/>
      </w:pPr>
      <w:rPr>
        <w:rFonts w:hint="default"/>
      </w:rPr>
    </w:lvl>
    <w:lvl w:ilvl="8">
      <w:start w:val="1"/>
      <w:numFmt w:val="bullet"/>
      <w:lvlText w:val="•"/>
      <w:lvlJc w:val="left"/>
      <w:pPr>
        <w:ind w:left="7215" w:hanging="483"/>
      </w:pPr>
      <w:rPr>
        <w:rFonts w:hint="default"/>
      </w:rPr>
    </w:lvl>
  </w:abstractNum>
  <w:abstractNum w:abstractNumId="30" w15:restartNumberingAfterBreak="0">
    <w:nsid w:val="32E71415"/>
    <w:multiLevelType w:val="hybridMultilevel"/>
    <w:tmpl w:val="398E8644"/>
    <w:lvl w:ilvl="0" w:tplc="704A51E6">
      <w:start w:val="1"/>
      <w:numFmt w:val="bullet"/>
      <w:lvlText w:val="-"/>
      <w:lvlJc w:val="left"/>
      <w:pPr>
        <w:ind w:left="845" w:hanging="168"/>
      </w:pPr>
      <w:rPr>
        <w:rFonts w:ascii="Times New Roman" w:eastAsia="Times New Roman" w:hAnsi="Times New Roman" w:hint="default"/>
        <w:sz w:val="24"/>
        <w:szCs w:val="24"/>
      </w:rPr>
    </w:lvl>
    <w:lvl w:ilvl="1" w:tplc="749AA74C">
      <w:start w:val="1"/>
      <w:numFmt w:val="bullet"/>
      <w:lvlText w:val="•"/>
      <w:lvlJc w:val="left"/>
      <w:pPr>
        <w:ind w:left="1735" w:hanging="168"/>
      </w:pPr>
      <w:rPr>
        <w:rFonts w:hint="default"/>
      </w:rPr>
    </w:lvl>
    <w:lvl w:ilvl="2" w:tplc="BCD4BF54">
      <w:start w:val="1"/>
      <w:numFmt w:val="bullet"/>
      <w:lvlText w:val="•"/>
      <w:lvlJc w:val="left"/>
      <w:pPr>
        <w:ind w:left="2625" w:hanging="168"/>
      </w:pPr>
      <w:rPr>
        <w:rFonts w:hint="default"/>
      </w:rPr>
    </w:lvl>
    <w:lvl w:ilvl="3" w:tplc="846E0AF2">
      <w:start w:val="1"/>
      <w:numFmt w:val="bullet"/>
      <w:lvlText w:val="•"/>
      <w:lvlJc w:val="left"/>
      <w:pPr>
        <w:ind w:left="3515" w:hanging="168"/>
      </w:pPr>
      <w:rPr>
        <w:rFonts w:hint="default"/>
      </w:rPr>
    </w:lvl>
    <w:lvl w:ilvl="4" w:tplc="20DE65A2">
      <w:start w:val="1"/>
      <w:numFmt w:val="bullet"/>
      <w:lvlText w:val="•"/>
      <w:lvlJc w:val="left"/>
      <w:pPr>
        <w:ind w:left="4405" w:hanging="168"/>
      </w:pPr>
      <w:rPr>
        <w:rFonts w:hint="default"/>
      </w:rPr>
    </w:lvl>
    <w:lvl w:ilvl="5" w:tplc="779C34CC">
      <w:start w:val="1"/>
      <w:numFmt w:val="bullet"/>
      <w:lvlText w:val="•"/>
      <w:lvlJc w:val="left"/>
      <w:pPr>
        <w:ind w:left="5295" w:hanging="168"/>
      </w:pPr>
      <w:rPr>
        <w:rFonts w:hint="default"/>
      </w:rPr>
    </w:lvl>
    <w:lvl w:ilvl="6" w:tplc="C5409C68">
      <w:start w:val="1"/>
      <w:numFmt w:val="bullet"/>
      <w:lvlText w:val="•"/>
      <w:lvlJc w:val="left"/>
      <w:pPr>
        <w:ind w:left="6185" w:hanging="168"/>
      </w:pPr>
      <w:rPr>
        <w:rFonts w:hint="default"/>
      </w:rPr>
    </w:lvl>
    <w:lvl w:ilvl="7" w:tplc="B37AE0D0">
      <w:start w:val="1"/>
      <w:numFmt w:val="bullet"/>
      <w:lvlText w:val="•"/>
      <w:lvlJc w:val="left"/>
      <w:pPr>
        <w:ind w:left="7076" w:hanging="168"/>
      </w:pPr>
      <w:rPr>
        <w:rFonts w:hint="default"/>
      </w:rPr>
    </w:lvl>
    <w:lvl w:ilvl="8" w:tplc="4AF4FBAE">
      <w:start w:val="1"/>
      <w:numFmt w:val="bullet"/>
      <w:lvlText w:val="•"/>
      <w:lvlJc w:val="left"/>
      <w:pPr>
        <w:ind w:left="7966" w:hanging="168"/>
      </w:pPr>
      <w:rPr>
        <w:rFonts w:hint="default"/>
      </w:rPr>
    </w:lvl>
  </w:abstractNum>
  <w:abstractNum w:abstractNumId="31" w15:restartNumberingAfterBreak="0">
    <w:nsid w:val="32E775F6"/>
    <w:multiLevelType w:val="hybridMultilevel"/>
    <w:tmpl w:val="4538EC4A"/>
    <w:lvl w:ilvl="0" w:tplc="7EA6127A">
      <w:start w:val="1"/>
      <w:numFmt w:val="bullet"/>
      <w:lvlText w:val="-"/>
      <w:lvlJc w:val="left"/>
      <w:pPr>
        <w:ind w:left="825" w:hanging="360"/>
      </w:pPr>
      <w:rPr>
        <w:rFonts w:ascii="Times New Roman" w:eastAsia="Times New Roman" w:hAnsi="Times New Roman" w:hint="default"/>
        <w:sz w:val="24"/>
        <w:szCs w:val="24"/>
      </w:rPr>
    </w:lvl>
    <w:lvl w:ilvl="1" w:tplc="1FF2E112">
      <w:start w:val="1"/>
      <w:numFmt w:val="bullet"/>
      <w:lvlText w:val="•"/>
      <w:lvlJc w:val="left"/>
      <w:pPr>
        <w:ind w:left="1715" w:hanging="360"/>
      </w:pPr>
      <w:rPr>
        <w:rFonts w:hint="default"/>
      </w:rPr>
    </w:lvl>
    <w:lvl w:ilvl="2" w:tplc="15408BCA">
      <w:start w:val="1"/>
      <w:numFmt w:val="bullet"/>
      <w:lvlText w:val="•"/>
      <w:lvlJc w:val="left"/>
      <w:pPr>
        <w:ind w:left="2605" w:hanging="360"/>
      </w:pPr>
      <w:rPr>
        <w:rFonts w:hint="default"/>
      </w:rPr>
    </w:lvl>
    <w:lvl w:ilvl="3" w:tplc="3486427C">
      <w:start w:val="1"/>
      <w:numFmt w:val="bullet"/>
      <w:lvlText w:val="•"/>
      <w:lvlJc w:val="left"/>
      <w:pPr>
        <w:ind w:left="3495" w:hanging="360"/>
      </w:pPr>
      <w:rPr>
        <w:rFonts w:hint="default"/>
      </w:rPr>
    </w:lvl>
    <w:lvl w:ilvl="4" w:tplc="084EEC80">
      <w:start w:val="1"/>
      <w:numFmt w:val="bullet"/>
      <w:lvlText w:val="•"/>
      <w:lvlJc w:val="left"/>
      <w:pPr>
        <w:ind w:left="4385" w:hanging="360"/>
      </w:pPr>
      <w:rPr>
        <w:rFonts w:hint="default"/>
      </w:rPr>
    </w:lvl>
    <w:lvl w:ilvl="5" w:tplc="7944A79E">
      <w:start w:val="1"/>
      <w:numFmt w:val="bullet"/>
      <w:lvlText w:val="•"/>
      <w:lvlJc w:val="left"/>
      <w:pPr>
        <w:ind w:left="5275" w:hanging="360"/>
      </w:pPr>
      <w:rPr>
        <w:rFonts w:hint="default"/>
      </w:rPr>
    </w:lvl>
    <w:lvl w:ilvl="6" w:tplc="EB7C73FC">
      <w:start w:val="1"/>
      <w:numFmt w:val="bullet"/>
      <w:lvlText w:val="•"/>
      <w:lvlJc w:val="left"/>
      <w:pPr>
        <w:ind w:left="6165" w:hanging="360"/>
      </w:pPr>
      <w:rPr>
        <w:rFonts w:hint="default"/>
      </w:rPr>
    </w:lvl>
    <w:lvl w:ilvl="7" w:tplc="22E4CFBE">
      <w:start w:val="1"/>
      <w:numFmt w:val="bullet"/>
      <w:lvlText w:val="•"/>
      <w:lvlJc w:val="left"/>
      <w:pPr>
        <w:ind w:left="7056" w:hanging="360"/>
      </w:pPr>
      <w:rPr>
        <w:rFonts w:hint="default"/>
      </w:rPr>
    </w:lvl>
    <w:lvl w:ilvl="8" w:tplc="55782CE6">
      <w:start w:val="1"/>
      <w:numFmt w:val="bullet"/>
      <w:lvlText w:val="•"/>
      <w:lvlJc w:val="left"/>
      <w:pPr>
        <w:ind w:left="7946" w:hanging="360"/>
      </w:pPr>
      <w:rPr>
        <w:rFonts w:hint="default"/>
      </w:rPr>
    </w:lvl>
  </w:abstractNum>
  <w:abstractNum w:abstractNumId="32" w15:restartNumberingAfterBreak="0">
    <w:nsid w:val="3A064933"/>
    <w:multiLevelType w:val="hybridMultilevel"/>
    <w:tmpl w:val="E076CEDC"/>
    <w:lvl w:ilvl="0" w:tplc="81B21D42">
      <w:start w:val="29"/>
      <w:numFmt w:val="decimal"/>
      <w:lvlText w:val="%1"/>
      <w:lvlJc w:val="left"/>
      <w:pPr>
        <w:ind w:left="305" w:hanging="180"/>
      </w:pPr>
      <w:rPr>
        <w:rFonts w:ascii="Times New Roman" w:eastAsia="Times New Roman" w:hAnsi="Times New Roman" w:hint="default"/>
        <w:w w:val="99"/>
        <w:position w:val="7"/>
        <w:sz w:val="13"/>
        <w:szCs w:val="13"/>
      </w:rPr>
    </w:lvl>
    <w:lvl w:ilvl="1" w:tplc="E80A6D02">
      <w:start w:val="1"/>
      <w:numFmt w:val="bullet"/>
      <w:lvlText w:val="•"/>
      <w:lvlJc w:val="left"/>
      <w:pPr>
        <w:ind w:left="1249" w:hanging="180"/>
      </w:pPr>
      <w:rPr>
        <w:rFonts w:hint="default"/>
      </w:rPr>
    </w:lvl>
    <w:lvl w:ilvl="2" w:tplc="7BA4D72C">
      <w:start w:val="1"/>
      <w:numFmt w:val="bullet"/>
      <w:lvlText w:val="•"/>
      <w:lvlJc w:val="left"/>
      <w:pPr>
        <w:ind w:left="2193" w:hanging="180"/>
      </w:pPr>
      <w:rPr>
        <w:rFonts w:hint="default"/>
      </w:rPr>
    </w:lvl>
    <w:lvl w:ilvl="3" w:tplc="2CA4036C">
      <w:start w:val="1"/>
      <w:numFmt w:val="bullet"/>
      <w:lvlText w:val="•"/>
      <w:lvlJc w:val="left"/>
      <w:pPr>
        <w:ind w:left="3137" w:hanging="180"/>
      </w:pPr>
      <w:rPr>
        <w:rFonts w:hint="default"/>
      </w:rPr>
    </w:lvl>
    <w:lvl w:ilvl="4" w:tplc="92CAC422">
      <w:start w:val="1"/>
      <w:numFmt w:val="bullet"/>
      <w:lvlText w:val="•"/>
      <w:lvlJc w:val="left"/>
      <w:pPr>
        <w:ind w:left="4081" w:hanging="180"/>
      </w:pPr>
      <w:rPr>
        <w:rFonts w:hint="default"/>
      </w:rPr>
    </w:lvl>
    <w:lvl w:ilvl="5" w:tplc="FABC938E">
      <w:start w:val="1"/>
      <w:numFmt w:val="bullet"/>
      <w:lvlText w:val="•"/>
      <w:lvlJc w:val="left"/>
      <w:pPr>
        <w:ind w:left="5025" w:hanging="180"/>
      </w:pPr>
      <w:rPr>
        <w:rFonts w:hint="default"/>
      </w:rPr>
    </w:lvl>
    <w:lvl w:ilvl="6" w:tplc="484AA4E0">
      <w:start w:val="1"/>
      <w:numFmt w:val="bullet"/>
      <w:lvlText w:val="•"/>
      <w:lvlJc w:val="left"/>
      <w:pPr>
        <w:ind w:left="5969" w:hanging="180"/>
      </w:pPr>
      <w:rPr>
        <w:rFonts w:hint="default"/>
      </w:rPr>
    </w:lvl>
    <w:lvl w:ilvl="7" w:tplc="9A78946C">
      <w:start w:val="1"/>
      <w:numFmt w:val="bullet"/>
      <w:lvlText w:val="•"/>
      <w:lvlJc w:val="left"/>
      <w:pPr>
        <w:ind w:left="6914" w:hanging="180"/>
      </w:pPr>
      <w:rPr>
        <w:rFonts w:hint="default"/>
      </w:rPr>
    </w:lvl>
    <w:lvl w:ilvl="8" w:tplc="7FC6376E">
      <w:start w:val="1"/>
      <w:numFmt w:val="bullet"/>
      <w:lvlText w:val="•"/>
      <w:lvlJc w:val="left"/>
      <w:pPr>
        <w:ind w:left="7858" w:hanging="180"/>
      </w:pPr>
      <w:rPr>
        <w:rFonts w:hint="default"/>
      </w:rPr>
    </w:lvl>
  </w:abstractNum>
  <w:abstractNum w:abstractNumId="33" w15:restartNumberingAfterBreak="0">
    <w:nsid w:val="3C1A7EE7"/>
    <w:multiLevelType w:val="multilevel"/>
    <w:tmpl w:val="7674B252"/>
    <w:lvl w:ilvl="0">
      <w:start w:val="6"/>
      <w:numFmt w:val="upperRoman"/>
      <w:lvlText w:val="%1"/>
      <w:lvlJc w:val="left"/>
      <w:pPr>
        <w:ind w:left="871" w:hanging="747"/>
      </w:pPr>
      <w:rPr>
        <w:rFonts w:hint="default"/>
      </w:rPr>
    </w:lvl>
    <w:lvl w:ilvl="1">
      <w:start w:val="3"/>
      <w:numFmt w:val="decimal"/>
      <w:lvlText w:val="%1.%2"/>
      <w:lvlJc w:val="left"/>
      <w:pPr>
        <w:ind w:left="871" w:hanging="747"/>
      </w:pPr>
      <w:rPr>
        <w:rFonts w:hint="default"/>
      </w:rPr>
    </w:lvl>
    <w:lvl w:ilvl="2">
      <w:start w:val="1"/>
      <w:numFmt w:val="decimal"/>
      <w:lvlText w:val="%1.%2.%3."/>
      <w:lvlJc w:val="left"/>
      <w:pPr>
        <w:ind w:left="871" w:hanging="747"/>
      </w:pPr>
      <w:rPr>
        <w:rFonts w:ascii="Times New Roman" w:eastAsia="Times New Roman" w:hAnsi="Times New Roman" w:hint="default"/>
        <w:b/>
        <w:bCs/>
        <w:sz w:val="24"/>
        <w:szCs w:val="24"/>
      </w:rPr>
    </w:lvl>
    <w:lvl w:ilvl="3">
      <w:start w:val="1"/>
      <w:numFmt w:val="bullet"/>
      <w:lvlText w:val="•"/>
      <w:lvlJc w:val="left"/>
      <w:pPr>
        <w:ind w:left="3534" w:hanging="747"/>
      </w:pPr>
      <w:rPr>
        <w:rFonts w:hint="default"/>
      </w:rPr>
    </w:lvl>
    <w:lvl w:ilvl="4">
      <w:start w:val="1"/>
      <w:numFmt w:val="bullet"/>
      <w:lvlText w:val="•"/>
      <w:lvlJc w:val="left"/>
      <w:pPr>
        <w:ind w:left="4421" w:hanging="747"/>
      </w:pPr>
      <w:rPr>
        <w:rFonts w:hint="default"/>
      </w:rPr>
    </w:lvl>
    <w:lvl w:ilvl="5">
      <w:start w:val="1"/>
      <w:numFmt w:val="bullet"/>
      <w:lvlText w:val="•"/>
      <w:lvlJc w:val="left"/>
      <w:pPr>
        <w:ind w:left="5309" w:hanging="747"/>
      </w:pPr>
      <w:rPr>
        <w:rFonts w:hint="default"/>
      </w:rPr>
    </w:lvl>
    <w:lvl w:ilvl="6">
      <w:start w:val="1"/>
      <w:numFmt w:val="bullet"/>
      <w:lvlText w:val="•"/>
      <w:lvlJc w:val="left"/>
      <w:pPr>
        <w:ind w:left="6196" w:hanging="747"/>
      </w:pPr>
      <w:rPr>
        <w:rFonts w:hint="default"/>
      </w:rPr>
    </w:lvl>
    <w:lvl w:ilvl="7">
      <w:start w:val="1"/>
      <w:numFmt w:val="bullet"/>
      <w:lvlText w:val="•"/>
      <w:lvlJc w:val="left"/>
      <w:pPr>
        <w:ind w:left="7083" w:hanging="747"/>
      </w:pPr>
      <w:rPr>
        <w:rFonts w:hint="default"/>
      </w:rPr>
    </w:lvl>
    <w:lvl w:ilvl="8">
      <w:start w:val="1"/>
      <w:numFmt w:val="bullet"/>
      <w:lvlText w:val="•"/>
      <w:lvlJc w:val="left"/>
      <w:pPr>
        <w:ind w:left="7971" w:hanging="747"/>
      </w:pPr>
      <w:rPr>
        <w:rFonts w:hint="default"/>
      </w:rPr>
    </w:lvl>
  </w:abstractNum>
  <w:abstractNum w:abstractNumId="34" w15:restartNumberingAfterBreak="0">
    <w:nsid w:val="44147844"/>
    <w:multiLevelType w:val="multilevel"/>
    <w:tmpl w:val="49B2B236"/>
    <w:lvl w:ilvl="0">
      <w:start w:val="4"/>
      <w:numFmt w:val="upperRoman"/>
      <w:lvlText w:val="%1"/>
      <w:lvlJc w:val="left"/>
      <w:pPr>
        <w:ind w:left="1031" w:hanging="927"/>
      </w:pPr>
      <w:rPr>
        <w:rFonts w:hint="default"/>
      </w:rPr>
    </w:lvl>
    <w:lvl w:ilvl="1">
      <w:start w:val="3"/>
      <w:numFmt w:val="decimal"/>
      <w:lvlText w:val="%1.%2"/>
      <w:lvlJc w:val="left"/>
      <w:pPr>
        <w:ind w:left="1031" w:hanging="927"/>
      </w:pPr>
      <w:rPr>
        <w:rFonts w:hint="default"/>
      </w:rPr>
    </w:lvl>
    <w:lvl w:ilvl="2">
      <w:start w:val="1"/>
      <w:numFmt w:val="decimal"/>
      <w:lvlText w:val="%1.%2.%3"/>
      <w:lvlJc w:val="left"/>
      <w:pPr>
        <w:ind w:left="1031" w:hanging="927"/>
      </w:pPr>
      <w:rPr>
        <w:rFonts w:hint="default"/>
      </w:rPr>
    </w:lvl>
    <w:lvl w:ilvl="3">
      <w:start w:val="1"/>
      <w:numFmt w:val="decimal"/>
      <w:lvlText w:val="%1.%2.%3.%4."/>
      <w:lvlJc w:val="left"/>
      <w:pPr>
        <w:ind w:left="1031" w:hanging="927"/>
      </w:pPr>
      <w:rPr>
        <w:rFonts w:ascii="Times New Roman" w:eastAsia="Times New Roman" w:hAnsi="Times New Roman" w:hint="default"/>
        <w:b/>
        <w:bCs/>
        <w:sz w:val="24"/>
        <w:szCs w:val="24"/>
      </w:rPr>
    </w:lvl>
    <w:lvl w:ilvl="4">
      <w:start w:val="1"/>
      <w:numFmt w:val="bullet"/>
      <w:lvlText w:val="•"/>
      <w:lvlJc w:val="left"/>
      <w:pPr>
        <w:ind w:left="4509" w:hanging="927"/>
      </w:pPr>
      <w:rPr>
        <w:rFonts w:hint="default"/>
      </w:rPr>
    </w:lvl>
    <w:lvl w:ilvl="5">
      <w:start w:val="1"/>
      <w:numFmt w:val="bullet"/>
      <w:lvlText w:val="•"/>
      <w:lvlJc w:val="left"/>
      <w:pPr>
        <w:ind w:left="5379" w:hanging="927"/>
      </w:pPr>
      <w:rPr>
        <w:rFonts w:hint="default"/>
      </w:rPr>
    </w:lvl>
    <w:lvl w:ilvl="6">
      <w:start w:val="1"/>
      <w:numFmt w:val="bullet"/>
      <w:lvlText w:val="•"/>
      <w:lvlJc w:val="left"/>
      <w:pPr>
        <w:ind w:left="6248" w:hanging="927"/>
      </w:pPr>
      <w:rPr>
        <w:rFonts w:hint="default"/>
      </w:rPr>
    </w:lvl>
    <w:lvl w:ilvl="7">
      <w:start w:val="1"/>
      <w:numFmt w:val="bullet"/>
      <w:lvlText w:val="•"/>
      <w:lvlJc w:val="left"/>
      <w:pPr>
        <w:ind w:left="7117" w:hanging="927"/>
      </w:pPr>
      <w:rPr>
        <w:rFonts w:hint="default"/>
      </w:rPr>
    </w:lvl>
    <w:lvl w:ilvl="8">
      <w:start w:val="1"/>
      <w:numFmt w:val="bullet"/>
      <w:lvlText w:val="•"/>
      <w:lvlJc w:val="left"/>
      <w:pPr>
        <w:ind w:left="7987" w:hanging="927"/>
      </w:pPr>
      <w:rPr>
        <w:rFonts w:hint="default"/>
      </w:rPr>
    </w:lvl>
  </w:abstractNum>
  <w:abstractNum w:abstractNumId="35" w15:restartNumberingAfterBreak="0">
    <w:nsid w:val="471814D0"/>
    <w:multiLevelType w:val="hybridMultilevel"/>
    <w:tmpl w:val="6AB06694"/>
    <w:lvl w:ilvl="0" w:tplc="931AE6FC">
      <w:start w:val="1"/>
      <w:numFmt w:val="bullet"/>
      <w:lvlText w:val="-"/>
      <w:lvlJc w:val="left"/>
      <w:pPr>
        <w:ind w:left="825" w:hanging="720"/>
      </w:pPr>
      <w:rPr>
        <w:rFonts w:ascii="Times New Roman" w:eastAsia="Times New Roman" w:hAnsi="Times New Roman" w:hint="default"/>
        <w:sz w:val="24"/>
        <w:szCs w:val="24"/>
      </w:rPr>
    </w:lvl>
    <w:lvl w:ilvl="1" w:tplc="D2022688">
      <w:start w:val="1"/>
      <w:numFmt w:val="bullet"/>
      <w:lvlText w:val="•"/>
      <w:lvlJc w:val="left"/>
      <w:pPr>
        <w:ind w:left="1715" w:hanging="720"/>
      </w:pPr>
      <w:rPr>
        <w:rFonts w:hint="default"/>
      </w:rPr>
    </w:lvl>
    <w:lvl w:ilvl="2" w:tplc="7E309B30">
      <w:start w:val="1"/>
      <w:numFmt w:val="bullet"/>
      <w:lvlText w:val="•"/>
      <w:lvlJc w:val="left"/>
      <w:pPr>
        <w:ind w:left="2605" w:hanging="720"/>
      </w:pPr>
      <w:rPr>
        <w:rFonts w:hint="default"/>
      </w:rPr>
    </w:lvl>
    <w:lvl w:ilvl="3" w:tplc="3170F270">
      <w:start w:val="1"/>
      <w:numFmt w:val="bullet"/>
      <w:lvlText w:val="•"/>
      <w:lvlJc w:val="left"/>
      <w:pPr>
        <w:ind w:left="3495" w:hanging="720"/>
      </w:pPr>
      <w:rPr>
        <w:rFonts w:hint="default"/>
      </w:rPr>
    </w:lvl>
    <w:lvl w:ilvl="4" w:tplc="6DF83BCA">
      <w:start w:val="1"/>
      <w:numFmt w:val="bullet"/>
      <w:lvlText w:val="•"/>
      <w:lvlJc w:val="left"/>
      <w:pPr>
        <w:ind w:left="4385" w:hanging="720"/>
      </w:pPr>
      <w:rPr>
        <w:rFonts w:hint="default"/>
      </w:rPr>
    </w:lvl>
    <w:lvl w:ilvl="5" w:tplc="0CD253C2">
      <w:start w:val="1"/>
      <w:numFmt w:val="bullet"/>
      <w:lvlText w:val="•"/>
      <w:lvlJc w:val="left"/>
      <w:pPr>
        <w:ind w:left="5275" w:hanging="720"/>
      </w:pPr>
      <w:rPr>
        <w:rFonts w:hint="default"/>
      </w:rPr>
    </w:lvl>
    <w:lvl w:ilvl="6" w:tplc="8980996C">
      <w:start w:val="1"/>
      <w:numFmt w:val="bullet"/>
      <w:lvlText w:val="•"/>
      <w:lvlJc w:val="left"/>
      <w:pPr>
        <w:ind w:left="6165" w:hanging="720"/>
      </w:pPr>
      <w:rPr>
        <w:rFonts w:hint="default"/>
      </w:rPr>
    </w:lvl>
    <w:lvl w:ilvl="7" w:tplc="5040046A">
      <w:start w:val="1"/>
      <w:numFmt w:val="bullet"/>
      <w:lvlText w:val="•"/>
      <w:lvlJc w:val="left"/>
      <w:pPr>
        <w:ind w:left="7056" w:hanging="720"/>
      </w:pPr>
      <w:rPr>
        <w:rFonts w:hint="default"/>
      </w:rPr>
    </w:lvl>
    <w:lvl w:ilvl="8" w:tplc="B9C2E6B8">
      <w:start w:val="1"/>
      <w:numFmt w:val="bullet"/>
      <w:lvlText w:val="•"/>
      <w:lvlJc w:val="left"/>
      <w:pPr>
        <w:ind w:left="7946" w:hanging="720"/>
      </w:pPr>
      <w:rPr>
        <w:rFonts w:hint="default"/>
      </w:rPr>
    </w:lvl>
  </w:abstractNum>
  <w:abstractNum w:abstractNumId="36" w15:restartNumberingAfterBreak="0">
    <w:nsid w:val="475E3042"/>
    <w:multiLevelType w:val="hybridMultilevel"/>
    <w:tmpl w:val="1E863FF8"/>
    <w:lvl w:ilvl="0" w:tplc="8500CDE0">
      <w:start w:val="1"/>
      <w:numFmt w:val="bullet"/>
      <w:lvlText w:val="-"/>
      <w:lvlJc w:val="left"/>
      <w:pPr>
        <w:ind w:left="825" w:hanging="360"/>
      </w:pPr>
      <w:rPr>
        <w:rFonts w:ascii="Times New Roman" w:eastAsia="Times New Roman" w:hAnsi="Times New Roman" w:hint="default"/>
        <w:sz w:val="24"/>
        <w:szCs w:val="24"/>
      </w:rPr>
    </w:lvl>
    <w:lvl w:ilvl="1" w:tplc="9D76690E">
      <w:start w:val="1"/>
      <w:numFmt w:val="bullet"/>
      <w:lvlText w:val="•"/>
      <w:lvlJc w:val="left"/>
      <w:pPr>
        <w:ind w:left="1715" w:hanging="360"/>
      </w:pPr>
      <w:rPr>
        <w:rFonts w:hint="default"/>
      </w:rPr>
    </w:lvl>
    <w:lvl w:ilvl="2" w:tplc="C48E1B12">
      <w:start w:val="1"/>
      <w:numFmt w:val="bullet"/>
      <w:lvlText w:val="•"/>
      <w:lvlJc w:val="left"/>
      <w:pPr>
        <w:ind w:left="2605" w:hanging="360"/>
      </w:pPr>
      <w:rPr>
        <w:rFonts w:hint="default"/>
      </w:rPr>
    </w:lvl>
    <w:lvl w:ilvl="3" w:tplc="EBACEAC4">
      <w:start w:val="1"/>
      <w:numFmt w:val="bullet"/>
      <w:lvlText w:val="•"/>
      <w:lvlJc w:val="left"/>
      <w:pPr>
        <w:ind w:left="3495" w:hanging="360"/>
      </w:pPr>
      <w:rPr>
        <w:rFonts w:hint="default"/>
      </w:rPr>
    </w:lvl>
    <w:lvl w:ilvl="4" w:tplc="1E90CD86">
      <w:start w:val="1"/>
      <w:numFmt w:val="bullet"/>
      <w:lvlText w:val="•"/>
      <w:lvlJc w:val="left"/>
      <w:pPr>
        <w:ind w:left="4385" w:hanging="360"/>
      </w:pPr>
      <w:rPr>
        <w:rFonts w:hint="default"/>
      </w:rPr>
    </w:lvl>
    <w:lvl w:ilvl="5" w:tplc="4DF8A1BE">
      <w:start w:val="1"/>
      <w:numFmt w:val="bullet"/>
      <w:lvlText w:val="•"/>
      <w:lvlJc w:val="left"/>
      <w:pPr>
        <w:ind w:left="5275" w:hanging="360"/>
      </w:pPr>
      <w:rPr>
        <w:rFonts w:hint="default"/>
      </w:rPr>
    </w:lvl>
    <w:lvl w:ilvl="6" w:tplc="61E055E2">
      <w:start w:val="1"/>
      <w:numFmt w:val="bullet"/>
      <w:lvlText w:val="•"/>
      <w:lvlJc w:val="left"/>
      <w:pPr>
        <w:ind w:left="6165" w:hanging="360"/>
      </w:pPr>
      <w:rPr>
        <w:rFonts w:hint="default"/>
      </w:rPr>
    </w:lvl>
    <w:lvl w:ilvl="7" w:tplc="33406EE2">
      <w:start w:val="1"/>
      <w:numFmt w:val="bullet"/>
      <w:lvlText w:val="•"/>
      <w:lvlJc w:val="left"/>
      <w:pPr>
        <w:ind w:left="7056" w:hanging="360"/>
      </w:pPr>
      <w:rPr>
        <w:rFonts w:hint="default"/>
      </w:rPr>
    </w:lvl>
    <w:lvl w:ilvl="8" w:tplc="46849466">
      <w:start w:val="1"/>
      <w:numFmt w:val="bullet"/>
      <w:lvlText w:val="•"/>
      <w:lvlJc w:val="left"/>
      <w:pPr>
        <w:ind w:left="7946" w:hanging="360"/>
      </w:pPr>
      <w:rPr>
        <w:rFonts w:hint="default"/>
      </w:rPr>
    </w:lvl>
  </w:abstractNum>
  <w:abstractNum w:abstractNumId="37" w15:restartNumberingAfterBreak="0">
    <w:nsid w:val="47BB24A5"/>
    <w:multiLevelType w:val="hybridMultilevel"/>
    <w:tmpl w:val="1324B8A6"/>
    <w:lvl w:ilvl="0" w:tplc="2E9685A4">
      <w:start w:val="1"/>
      <w:numFmt w:val="decimal"/>
      <w:lvlText w:val="%1."/>
      <w:lvlJc w:val="left"/>
      <w:pPr>
        <w:ind w:left="818" w:hanging="356"/>
      </w:pPr>
      <w:rPr>
        <w:rFonts w:ascii="Times New Roman" w:eastAsia="Times New Roman" w:hAnsi="Times New Roman" w:hint="default"/>
        <w:b/>
        <w:bCs/>
        <w:sz w:val="24"/>
        <w:szCs w:val="24"/>
      </w:rPr>
    </w:lvl>
    <w:lvl w:ilvl="1" w:tplc="5CE064D4">
      <w:start w:val="1"/>
      <w:numFmt w:val="bullet"/>
      <w:lvlText w:val=""/>
      <w:lvlJc w:val="left"/>
      <w:pPr>
        <w:ind w:left="1173" w:hanging="360"/>
      </w:pPr>
      <w:rPr>
        <w:rFonts w:ascii="Symbol" w:eastAsia="Symbol" w:hAnsi="Symbol" w:hint="default"/>
        <w:sz w:val="24"/>
        <w:szCs w:val="24"/>
      </w:rPr>
    </w:lvl>
    <w:lvl w:ilvl="2" w:tplc="93B89624">
      <w:start w:val="1"/>
      <w:numFmt w:val="bullet"/>
      <w:lvlText w:val="•"/>
      <w:lvlJc w:val="left"/>
      <w:pPr>
        <w:ind w:left="1173" w:hanging="360"/>
      </w:pPr>
      <w:rPr>
        <w:rFonts w:hint="default"/>
      </w:rPr>
    </w:lvl>
    <w:lvl w:ilvl="3" w:tplc="5A500DAA">
      <w:start w:val="1"/>
      <w:numFmt w:val="bullet"/>
      <w:lvlText w:val="•"/>
      <w:lvlJc w:val="left"/>
      <w:pPr>
        <w:ind w:left="2242" w:hanging="360"/>
      </w:pPr>
      <w:rPr>
        <w:rFonts w:hint="default"/>
      </w:rPr>
    </w:lvl>
    <w:lvl w:ilvl="4" w:tplc="8214D7C0">
      <w:start w:val="1"/>
      <w:numFmt w:val="bullet"/>
      <w:lvlText w:val="•"/>
      <w:lvlJc w:val="left"/>
      <w:pPr>
        <w:ind w:left="3311" w:hanging="360"/>
      </w:pPr>
      <w:rPr>
        <w:rFonts w:hint="default"/>
      </w:rPr>
    </w:lvl>
    <w:lvl w:ilvl="5" w:tplc="9D3C984A">
      <w:start w:val="1"/>
      <w:numFmt w:val="bullet"/>
      <w:lvlText w:val="•"/>
      <w:lvlJc w:val="left"/>
      <w:pPr>
        <w:ind w:left="4380" w:hanging="360"/>
      </w:pPr>
      <w:rPr>
        <w:rFonts w:hint="default"/>
      </w:rPr>
    </w:lvl>
    <w:lvl w:ilvl="6" w:tplc="F51E345C">
      <w:start w:val="1"/>
      <w:numFmt w:val="bullet"/>
      <w:lvlText w:val="•"/>
      <w:lvlJc w:val="left"/>
      <w:pPr>
        <w:ind w:left="5449" w:hanging="360"/>
      </w:pPr>
      <w:rPr>
        <w:rFonts w:hint="default"/>
      </w:rPr>
    </w:lvl>
    <w:lvl w:ilvl="7" w:tplc="04DCD132">
      <w:start w:val="1"/>
      <w:numFmt w:val="bullet"/>
      <w:lvlText w:val="•"/>
      <w:lvlJc w:val="left"/>
      <w:pPr>
        <w:ind w:left="6518" w:hanging="360"/>
      </w:pPr>
      <w:rPr>
        <w:rFonts w:hint="default"/>
      </w:rPr>
    </w:lvl>
    <w:lvl w:ilvl="8" w:tplc="FF98F156">
      <w:start w:val="1"/>
      <w:numFmt w:val="bullet"/>
      <w:lvlText w:val="•"/>
      <w:lvlJc w:val="left"/>
      <w:pPr>
        <w:ind w:left="7588" w:hanging="360"/>
      </w:pPr>
      <w:rPr>
        <w:rFonts w:hint="default"/>
      </w:rPr>
    </w:lvl>
  </w:abstractNum>
  <w:abstractNum w:abstractNumId="38" w15:restartNumberingAfterBreak="0">
    <w:nsid w:val="498072B4"/>
    <w:multiLevelType w:val="hybridMultilevel"/>
    <w:tmpl w:val="878431E8"/>
    <w:lvl w:ilvl="0" w:tplc="202A2BCE">
      <w:start w:val="1"/>
      <w:numFmt w:val="bullet"/>
      <w:lvlText w:val="-"/>
      <w:lvlJc w:val="left"/>
      <w:pPr>
        <w:ind w:left="1185" w:hanging="360"/>
      </w:pPr>
      <w:rPr>
        <w:rFonts w:ascii="Calibri" w:eastAsia="Calibri" w:hAnsi="Calibri" w:hint="default"/>
        <w:sz w:val="24"/>
        <w:szCs w:val="24"/>
      </w:rPr>
    </w:lvl>
    <w:lvl w:ilvl="1" w:tplc="DD84BBCA">
      <w:start w:val="1"/>
      <w:numFmt w:val="bullet"/>
      <w:lvlText w:val="-"/>
      <w:lvlJc w:val="left"/>
      <w:pPr>
        <w:ind w:left="1905" w:hanging="360"/>
      </w:pPr>
      <w:rPr>
        <w:rFonts w:ascii="Calibri" w:eastAsia="Calibri" w:hAnsi="Calibri" w:hint="default"/>
        <w:sz w:val="24"/>
        <w:szCs w:val="24"/>
      </w:rPr>
    </w:lvl>
    <w:lvl w:ilvl="2" w:tplc="D32CF66E">
      <w:start w:val="1"/>
      <w:numFmt w:val="bullet"/>
      <w:lvlText w:val="•"/>
      <w:lvlJc w:val="left"/>
      <w:pPr>
        <w:ind w:left="2774" w:hanging="360"/>
      </w:pPr>
      <w:rPr>
        <w:rFonts w:hint="default"/>
      </w:rPr>
    </w:lvl>
    <w:lvl w:ilvl="3" w:tplc="65ACD2AC">
      <w:start w:val="1"/>
      <w:numFmt w:val="bullet"/>
      <w:lvlText w:val="•"/>
      <w:lvlJc w:val="left"/>
      <w:pPr>
        <w:ind w:left="3643" w:hanging="360"/>
      </w:pPr>
      <w:rPr>
        <w:rFonts w:hint="default"/>
      </w:rPr>
    </w:lvl>
    <w:lvl w:ilvl="4" w:tplc="D25EEFE4">
      <w:start w:val="1"/>
      <w:numFmt w:val="bullet"/>
      <w:lvlText w:val="•"/>
      <w:lvlJc w:val="left"/>
      <w:pPr>
        <w:ind w:left="4512" w:hanging="360"/>
      </w:pPr>
      <w:rPr>
        <w:rFonts w:hint="default"/>
      </w:rPr>
    </w:lvl>
    <w:lvl w:ilvl="5" w:tplc="B7584796">
      <w:start w:val="1"/>
      <w:numFmt w:val="bullet"/>
      <w:lvlText w:val="•"/>
      <w:lvlJc w:val="left"/>
      <w:pPr>
        <w:ind w:left="5381" w:hanging="360"/>
      </w:pPr>
      <w:rPr>
        <w:rFonts w:hint="default"/>
      </w:rPr>
    </w:lvl>
    <w:lvl w:ilvl="6" w:tplc="B2669234">
      <w:start w:val="1"/>
      <w:numFmt w:val="bullet"/>
      <w:lvlText w:val="•"/>
      <w:lvlJc w:val="left"/>
      <w:pPr>
        <w:ind w:left="6250" w:hanging="360"/>
      </w:pPr>
      <w:rPr>
        <w:rFonts w:hint="default"/>
      </w:rPr>
    </w:lvl>
    <w:lvl w:ilvl="7" w:tplc="7F6A62CC">
      <w:start w:val="1"/>
      <w:numFmt w:val="bullet"/>
      <w:lvlText w:val="•"/>
      <w:lvlJc w:val="left"/>
      <w:pPr>
        <w:ind w:left="7119" w:hanging="360"/>
      </w:pPr>
      <w:rPr>
        <w:rFonts w:hint="default"/>
      </w:rPr>
    </w:lvl>
    <w:lvl w:ilvl="8" w:tplc="A16C5CF4">
      <w:start w:val="1"/>
      <w:numFmt w:val="bullet"/>
      <w:lvlText w:val="•"/>
      <w:lvlJc w:val="left"/>
      <w:pPr>
        <w:ind w:left="7988" w:hanging="360"/>
      </w:pPr>
      <w:rPr>
        <w:rFonts w:hint="default"/>
      </w:rPr>
    </w:lvl>
  </w:abstractNum>
  <w:abstractNum w:abstractNumId="39" w15:restartNumberingAfterBreak="0">
    <w:nsid w:val="4BC209B9"/>
    <w:multiLevelType w:val="hybridMultilevel"/>
    <w:tmpl w:val="6930ACAC"/>
    <w:lvl w:ilvl="0" w:tplc="F5381B34">
      <w:start w:val="2"/>
      <w:numFmt w:val="lowerLetter"/>
      <w:lvlText w:val="(%1)"/>
      <w:lvlJc w:val="left"/>
      <w:pPr>
        <w:ind w:left="458" w:hanging="353"/>
      </w:pPr>
      <w:rPr>
        <w:rFonts w:ascii="Times New Roman" w:eastAsia="Times New Roman" w:hAnsi="Times New Roman" w:hint="default"/>
        <w:b/>
        <w:bCs/>
        <w:sz w:val="24"/>
        <w:szCs w:val="24"/>
      </w:rPr>
    </w:lvl>
    <w:lvl w:ilvl="1" w:tplc="17C410B6">
      <w:start w:val="1"/>
      <w:numFmt w:val="decimal"/>
      <w:lvlText w:val="%2)"/>
      <w:lvlJc w:val="left"/>
      <w:pPr>
        <w:ind w:left="825" w:hanging="360"/>
      </w:pPr>
      <w:rPr>
        <w:rFonts w:ascii="Times New Roman" w:eastAsia="Times New Roman" w:hAnsi="Times New Roman" w:hint="default"/>
        <w:i/>
        <w:sz w:val="24"/>
        <w:szCs w:val="24"/>
      </w:rPr>
    </w:lvl>
    <w:lvl w:ilvl="2" w:tplc="7F381696">
      <w:start w:val="1"/>
      <w:numFmt w:val="bullet"/>
      <w:lvlText w:val="•"/>
      <w:lvlJc w:val="left"/>
      <w:pPr>
        <w:ind w:left="1814" w:hanging="360"/>
      </w:pPr>
      <w:rPr>
        <w:rFonts w:hint="default"/>
      </w:rPr>
    </w:lvl>
    <w:lvl w:ilvl="3" w:tplc="D990E594">
      <w:start w:val="1"/>
      <w:numFmt w:val="bullet"/>
      <w:lvlText w:val="•"/>
      <w:lvlJc w:val="left"/>
      <w:pPr>
        <w:ind w:left="2803" w:hanging="360"/>
      </w:pPr>
      <w:rPr>
        <w:rFonts w:hint="default"/>
      </w:rPr>
    </w:lvl>
    <w:lvl w:ilvl="4" w:tplc="E632A1C4">
      <w:start w:val="1"/>
      <w:numFmt w:val="bullet"/>
      <w:lvlText w:val="•"/>
      <w:lvlJc w:val="left"/>
      <w:pPr>
        <w:ind w:left="3792" w:hanging="360"/>
      </w:pPr>
      <w:rPr>
        <w:rFonts w:hint="default"/>
      </w:rPr>
    </w:lvl>
    <w:lvl w:ilvl="5" w:tplc="7A2423B0">
      <w:start w:val="1"/>
      <w:numFmt w:val="bullet"/>
      <w:lvlText w:val="•"/>
      <w:lvlJc w:val="left"/>
      <w:pPr>
        <w:ind w:left="4781" w:hanging="360"/>
      </w:pPr>
      <w:rPr>
        <w:rFonts w:hint="default"/>
      </w:rPr>
    </w:lvl>
    <w:lvl w:ilvl="6" w:tplc="816CA54E">
      <w:start w:val="1"/>
      <w:numFmt w:val="bullet"/>
      <w:lvlText w:val="•"/>
      <w:lvlJc w:val="left"/>
      <w:pPr>
        <w:ind w:left="5770" w:hanging="360"/>
      </w:pPr>
      <w:rPr>
        <w:rFonts w:hint="default"/>
      </w:rPr>
    </w:lvl>
    <w:lvl w:ilvl="7" w:tplc="17B82E28">
      <w:start w:val="1"/>
      <w:numFmt w:val="bullet"/>
      <w:lvlText w:val="•"/>
      <w:lvlJc w:val="left"/>
      <w:pPr>
        <w:ind w:left="6759" w:hanging="360"/>
      </w:pPr>
      <w:rPr>
        <w:rFonts w:hint="default"/>
      </w:rPr>
    </w:lvl>
    <w:lvl w:ilvl="8" w:tplc="2F30B96C">
      <w:start w:val="1"/>
      <w:numFmt w:val="bullet"/>
      <w:lvlText w:val="•"/>
      <w:lvlJc w:val="left"/>
      <w:pPr>
        <w:ind w:left="7748" w:hanging="360"/>
      </w:pPr>
      <w:rPr>
        <w:rFonts w:hint="default"/>
      </w:rPr>
    </w:lvl>
  </w:abstractNum>
  <w:abstractNum w:abstractNumId="40" w15:restartNumberingAfterBreak="0">
    <w:nsid w:val="4E8A3CE9"/>
    <w:multiLevelType w:val="hybridMultilevel"/>
    <w:tmpl w:val="F5AA0BF8"/>
    <w:lvl w:ilvl="0" w:tplc="AA7E425A">
      <w:start w:val="1"/>
      <w:numFmt w:val="bullet"/>
      <w:lvlText w:val="-"/>
      <w:lvlJc w:val="left"/>
      <w:pPr>
        <w:ind w:left="825" w:hanging="360"/>
      </w:pPr>
      <w:rPr>
        <w:rFonts w:ascii="Calibri" w:eastAsia="Calibri" w:hAnsi="Calibri" w:hint="default"/>
        <w:sz w:val="24"/>
        <w:szCs w:val="24"/>
      </w:rPr>
    </w:lvl>
    <w:lvl w:ilvl="1" w:tplc="DC564CEC">
      <w:start w:val="1"/>
      <w:numFmt w:val="bullet"/>
      <w:lvlText w:val="•"/>
      <w:lvlJc w:val="left"/>
      <w:pPr>
        <w:ind w:left="1715" w:hanging="360"/>
      </w:pPr>
      <w:rPr>
        <w:rFonts w:hint="default"/>
      </w:rPr>
    </w:lvl>
    <w:lvl w:ilvl="2" w:tplc="5BA66CFE">
      <w:start w:val="1"/>
      <w:numFmt w:val="bullet"/>
      <w:lvlText w:val="•"/>
      <w:lvlJc w:val="left"/>
      <w:pPr>
        <w:ind w:left="2605" w:hanging="360"/>
      </w:pPr>
      <w:rPr>
        <w:rFonts w:hint="default"/>
      </w:rPr>
    </w:lvl>
    <w:lvl w:ilvl="3" w:tplc="B1FED63C">
      <w:start w:val="1"/>
      <w:numFmt w:val="bullet"/>
      <w:lvlText w:val="•"/>
      <w:lvlJc w:val="left"/>
      <w:pPr>
        <w:ind w:left="3495" w:hanging="360"/>
      </w:pPr>
      <w:rPr>
        <w:rFonts w:hint="default"/>
      </w:rPr>
    </w:lvl>
    <w:lvl w:ilvl="4" w:tplc="3846255E">
      <w:start w:val="1"/>
      <w:numFmt w:val="bullet"/>
      <w:lvlText w:val="•"/>
      <w:lvlJc w:val="left"/>
      <w:pPr>
        <w:ind w:left="4385" w:hanging="360"/>
      </w:pPr>
      <w:rPr>
        <w:rFonts w:hint="default"/>
      </w:rPr>
    </w:lvl>
    <w:lvl w:ilvl="5" w:tplc="F80454D2">
      <w:start w:val="1"/>
      <w:numFmt w:val="bullet"/>
      <w:lvlText w:val="•"/>
      <w:lvlJc w:val="left"/>
      <w:pPr>
        <w:ind w:left="5275" w:hanging="360"/>
      </w:pPr>
      <w:rPr>
        <w:rFonts w:hint="default"/>
      </w:rPr>
    </w:lvl>
    <w:lvl w:ilvl="6" w:tplc="7310BA32">
      <w:start w:val="1"/>
      <w:numFmt w:val="bullet"/>
      <w:lvlText w:val="•"/>
      <w:lvlJc w:val="left"/>
      <w:pPr>
        <w:ind w:left="6165" w:hanging="360"/>
      </w:pPr>
      <w:rPr>
        <w:rFonts w:hint="default"/>
      </w:rPr>
    </w:lvl>
    <w:lvl w:ilvl="7" w:tplc="9B6E3AC8">
      <w:start w:val="1"/>
      <w:numFmt w:val="bullet"/>
      <w:lvlText w:val="•"/>
      <w:lvlJc w:val="left"/>
      <w:pPr>
        <w:ind w:left="7056" w:hanging="360"/>
      </w:pPr>
      <w:rPr>
        <w:rFonts w:hint="default"/>
      </w:rPr>
    </w:lvl>
    <w:lvl w:ilvl="8" w:tplc="53208294">
      <w:start w:val="1"/>
      <w:numFmt w:val="bullet"/>
      <w:lvlText w:val="•"/>
      <w:lvlJc w:val="left"/>
      <w:pPr>
        <w:ind w:left="7946" w:hanging="360"/>
      </w:pPr>
      <w:rPr>
        <w:rFonts w:hint="default"/>
      </w:rPr>
    </w:lvl>
  </w:abstractNum>
  <w:abstractNum w:abstractNumId="41" w15:restartNumberingAfterBreak="0">
    <w:nsid w:val="54B01DCF"/>
    <w:multiLevelType w:val="hybridMultilevel"/>
    <w:tmpl w:val="A4E8E710"/>
    <w:lvl w:ilvl="0" w:tplc="CF5A55D6">
      <w:start w:val="1"/>
      <w:numFmt w:val="decimal"/>
      <w:lvlText w:val="%1)"/>
      <w:lvlJc w:val="left"/>
      <w:pPr>
        <w:ind w:left="825" w:hanging="360"/>
      </w:pPr>
      <w:rPr>
        <w:rFonts w:ascii="Times New Roman" w:eastAsia="Times New Roman" w:hAnsi="Times New Roman" w:hint="default"/>
        <w:sz w:val="24"/>
        <w:szCs w:val="24"/>
      </w:rPr>
    </w:lvl>
    <w:lvl w:ilvl="1" w:tplc="522E3FA6">
      <w:start w:val="1"/>
      <w:numFmt w:val="bullet"/>
      <w:lvlText w:val="•"/>
      <w:lvlJc w:val="left"/>
      <w:pPr>
        <w:ind w:left="1717" w:hanging="360"/>
      </w:pPr>
      <w:rPr>
        <w:rFonts w:hint="default"/>
      </w:rPr>
    </w:lvl>
    <w:lvl w:ilvl="2" w:tplc="4288BD40">
      <w:start w:val="1"/>
      <w:numFmt w:val="bullet"/>
      <w:lvlText w:val="•"/>
      <w:lvlJc w:val="left"/>
      <w:pPr>
        <w:ind w:left="2609" w:hanging="360"/>
      </w:pPr>
      <w:rPr>
        <w:rFonts w:hint="default"/>
      </w:rPr>
    </w:lvl>
    <w:lvl w:ilvl="3" w:tplc="F7D08470">
      <w:start w:val="1"/>
      <w:numFmt w:val="bullet"/>
      <w:lvlText w:val="•"/>
      <w:lvlJc w:val="left"/>
      <w:pPr>
        <w:ind w:left="3501" w:hanging="360"/>
      </w:pPr>
      <w:rPr>
        <w:rFonts w:hint="default"/>
      </w:rPr>
    </w:lvl>
    <w:lvl w:ilvl="4" w:tplc="3A84518E">
      <w:start w:val="1"/>
      <w:numFmt w:val="bullet"/>
      <w:lvlText w:val="•"/>
      <w:lvlJc w:val="left"/>
      <w:pPr>
        <w:ind w:left="4393" w:hanging="360"/>
      </w:pPr>
      <w:rPr>
        <w:rFonts w:hint="default"/>
      </w:rPr>
    </w:lvl>
    <w:lvl w:ilvl="5" w:tplc="1312E94E">
      <w:start w:val="1"/>
      <w:numFmt w:val="bullet"/>
      <w:lvlText w:val="•"/>
      <w:lvlJc w:val="left"/>
      <w:pPr>
        <w:ind w:left="5285" w:hanging="360"/>
      </w:pPr>
      <w:rPr>
        <w:rFonts w:hint="default"/>
      </w:rPr>
    </w:lvl>
    <w:lvl w:ilvl="6" w:tplc="1A906C40">
      <w:start w:val="1"/>
      <w:numFmt w:val="bullet"/>
      <w:lvlText w:val="•"/>
      <w:lvlJc w:val="left"/>
      <w:pPr>
        <w:ind w:left="6177" w:hanging="360"/>
      </w:pPr>
      <w:rPr>
        <w:rFonts w:hint="default"/>
      </w:rPr>
    </w:lvl>
    <w:lvl w:ilvl="7" w:tplc="33C22700">
      <w:start w:val="1"/>
      <w:numFmt w:val="bullet"/>
      <w:lvlText w:val="•"/>
      <w:lvlJc w:val="left"/>
      <w:pPr>
        <w:ind w:left="7070" w:hanging="360"/>
      </w:pPr>
      <w:rPr>
        <w:rFonts w:hint="default"/>
      </w:rPr>
    </w:lvl>
    <w:lvl w:ilvl="8" w:tplc="798C59C4">
      <w:start w:val="1"/>
      <w:numFmt w:val="bullet"/>
      <w:lvlText w:val="•"/>
      <w:lvlJc w:val="left"/>
      <w:pPr>
        <w:ind w:left="7962" w:hanging="360"/>
      </w:pPr>
      <w:rPr>
        <w:rFonts w:hint="default"/>
      </w:rPr>
    </w:lvl>
  </w:abstractNum>
  <w:abstractNum w:abstractNumId="42" w15:restartNumberingAfterBreak="0">
    <w:nsid w:val="55804BCD"/>
    <w:multiLevelType w:val="multilevel"/>
    <w:tmpl w:val="68D4F632"/>
    <w:lvl w:ilvl="0">
      <w:start w:val="5"/>
      <w:numFmt w:val="upperRoman"/>
      <w:lvlText w:val="%1"/>
      <w:lvlJc w:val="left"/>
      <w:pPr>
        <w:ind w:left="758" w:hanging="653"/>
      </w:pPr>
      <w:rPr>
        <w:rFonts w:hint="default"/>
      </w:rPr>
    </w:lvl>
    <w:lvl w:ilvl="1">
      <w:start w:val="2"/>
      <w:numFmt w:val="decimal"/>
      <w:lvlText w:val="%1.%2"/>
      <w:lvlJc w:val="left"/>
      <w:pPr>
        <w:ind w:left="758" w:hanging="653"/>
      </w:pPr>
      <w:rPr>
        <w:rFonts w:hint="default"/>
      </w:rPr>
    </w:lvl>
    <w:lvl w:ilvl="2">
      <w:start w:val="5"/>
      <w:numFmt w:val="decimal"/>
      <w:lvlText w:val="%1.%2.%3."/>
      <w:lvlJc w:val="left"/>
      <w:pPr>
        <w:ind w:left="758" w:hanging="653"/>
      </w:pPr>
      <w:rPr>
        <w:rFonts w:ascii="Times New Roman" w:eastAsia="Times New Roman" w:hAnsi="Times New Roman" w:hint="default"/>
        <w:b/>
        <w:bCs/>
        <w:sz w:val="24"/>
        <w:szCs w:val="24"/>
      </w:rPr>
    </w:lvl>
    <w:lvl w:ilvl="3">
      <w:start w:val="1"/>
      <w:numFmt w:val="decimal"/>
      <w:lvlText w:val="%1.%2.%3.%4."/>
      <w:lvlJc w:val="left"/>
      <w:pPr>
        <w:ind w:left="938" w:hanging="833"/>
      </w:pPr>
      <w:rPr>
        <w:rFonts w:ascii="Times New Roman" w:eastAsia="Times New Roman" w:hAnsi="Times New Roman" w:hint="default"/>
        <w:b/>
        <w:bCs/>
        <w:spacing w:val="-1"/>
        <w:sz w:val="24"/>
        <w:szCs w:val="24"/>
      </w:rPr>
    </w:lvl>
    <w:lvl w:ilvl="4">
      <w:start w:val="1"/>
      <w:numFmt w:val="bullet"/>
      <w:lvlText w:val="-"/>
      <w:lvlJc w:val="left"/>
      <w:pPr>
        <w:ind w:left="825" w:hanging="360"/>
      </w:pPr>
      <w:rPr>
        <w:rFonts w:ascii="Calibri" w:eastAsia="Calibri" w:hAnsi="Calibri" w:hint="default"/>
        <w:sz w:val="24"/>
        <w:szCs w:val="24"/>
      </w:rPr>
    </w:lvl>
    <w:lvl w:ilvl="5">
      <w:start w:val="1"/>
      <w:numFmt w:val="bullet"/>
      <w:lvlText w:val="•"/>
      <w:lvlJc w:val="left"/>
      <w:pPr>
        <w:ind w:left="3448" w:hanging="360"/>
      </w:pPr>
      <w:rPr>
        <w:rFonts w:hint="default"/>
      </w:rPr>
    </w:lvl>
    <w:lvl w:ilvl="6">
      <w:start w:val="1"/>
      <w:numFmt w:val="bullet"/>
      <w:lvlText w:val="•"/>
      <w:lvlJc w:val="left"/>
      <w:pPr>
        <w:ind w:left="4704" w:hanging="360"/>
      </w:pPr>
      <w:rPr>
        <w:rFonts w:hint="default"/>
      </w:rPr>
    </w:lvl>
    <w:lvl w:ilvl="7">
      <w:start w:val="1"/>
      <w:numFmt w:val="bullet"/>
      <w:lvlText w:val="•"/>
      <w:lvlJc w:val="left"/>
      <w:pPr>
        <w:ind w:left="5959" w:hanging="360"/>
      </w:pPr>
      <w:rPr>
        <w:rFonts w:hint="default"/>
      </w:rPr>
    </w:lvl>
    <w:lvl w:ilvl="8">
      <w:start w:val="1"/>
      <w:numFmt w:val="bullet"/>
      <w:lvlText w:val="•"/>
      <w:lvlJc w:val="left"/>
      <w:pPr>
        <w:ind w:left="7215" w:hanging="360"/>
      </w:pPr>
      <w:rPr>
        <w:rFonts w:hint="default"/>
      </w:rPr>
    </w:lvl>
  </w:abstractNum>
  <w:abstractNum w:abstractNumId="43" w15:restartNumberingAfterBreak="0">
    <w:nsid w:val="55F9098A"/>
    <w:multiLevelType w:val="hybridMultilevel"/>
    <w:tmpl w:val="29AC36F2"/>
    <w:lvl w:ilvl="0" w:tplc="4D88C4FC">
      <w:start w:val="1"/>
      <w:numFmt w:val="bullet"/>
      <w:lvlText w:val="-"/>
      <w:lvlJc w:val="left"/>
      <w:pPr>
        <w:ind w:left="1245" w:hanging="360"/>
      </w:pPr>
      <w:rPr>
        <w:rFonts w:ascii="Times New Roman" w:eastAsia="Times New Roman" w:hAnsi="Times New Roman" w:hint="default"/>
        <w:sz w:val="24"/>
        <w:szCs w:val="24"/>
      </w:rPr>
    </w:lvl>
    <w:lvl w:ilvl="1" w:tplc="9FE8F95E">
      <w:start w:val="1"/>
      <w:numFmt w:val="bullet"/>
      <w:lvlText w:val="•"/>
      <w:lvlJc w:val="left"/>
      <w:pPr>
        <w:ind w:left="2093" w:hanging="360"/>
      </w:pPr>
      <w:rPr>
        <w:rFonts w:hint="default"/>
      </w:rPr>
    </w:lvl>
    <w:lvl w:ilvl="2" w:tplc="3104E218">
      <w:start w:val="1"/>
      <w:numFmt w:val="bullet"/>
      <w:lvlText w:val="•"/>
      <w:lvlJc w:val="left"/>
      <w:pPr>
        <w:ind w:left="2941" w:hanging="360"/>
      </w:pPr>
      <w:rPr>
        <w:rFonts w:hint="default"/>
      </w:rPr>
    </w:lvl>
    <w:lvl w:ilvl="3" w:tplc="626A15D2">
      <w:start w:val="1"/>
      <w:numFmt w:val="bullet"/>
      <w:lvlText w:val="•"/>
      <w:lvlJc w:val="left"/>
      <w:pPr>
        <w:ind w:left="3789" w:hanging="360"/>
      </w:pPr>
      <w:rPr>
        <w:rFonts w:hint="default"/>
      </w:rPr>
    </w:lvl>
    <w:lvl w:ilvl="4" w:tplc="584011FE">
      <w:start w:val="1"/>
      <w:numFmt w:val="bullet"/>
      <w:lvlText w:val="•"/>
      <w:lvlJc w:val="left"/>
      <w:pPr>
        <w:ind w:left="4637" w:hanging="360"/>
      </w:pPr>
      <w:rPr>
        <w:rFonts w:hint="default"/>
      </w:rPr>
    </w:lvl>
    <w:lvl w:ilvl="5" w:tplc="8568653C">
      <w:start w:val="1"/>
      <w:numFmt w:val="bullet"/>
      <w:lvlText w:val="•"/>
      <w:lvlJc w:val="left"/>
      <w:pPr>
        <w:ind w:left="5485" w:hanging="360"/>
      </w:pPr>
      <w:rPr>
        <w:rFonts w:hint="default"/>
      </w:rPr>
    </w:lvl>
    <w:lvl w:ilvl="6" w:tplc="1F705CE4">
      <w:start w:val="1"/>
      <w:numFmt w:val="bullet"/>
      <w:lvlText w:val="•"/>
      <w:lvlJc w:val="left"/>
      <w:pPr>
        <w:ind w:left="6333" w:hanging="360"/>
      </w:pPr>
      <w:rPr>
        <w:rFonts w:hint="default"/>
      </w:rPr>
    </w:lvl>
    <w:lvl w:ilvl="7" w:tplc="2C76F312">
      <w:start w:val="1"/>
      <w:numFmt w:val="bullet"/>
      <w:lvlText w:val="•"/>
      <w:lvlJc w:val="left"/>
      <w:pPr>
        <w:ind w:left="7182" w:hanging="360"/>
      </w:pPr>
      <w:rPr>
        <w:rFonts w:hint="default"/>
      </w:rPr>
    </w:lvl>
    <w:lvl w:ilvl="8" w:tplc="AB24F024">
      <w:start w:val="1"/>
      <w:numFmt w:val="bullet"/>
      <w:lvlText w:val="•"/>
      <w:lvlJc w:val="left"/>
      <w:pPr>
        <w:ind w:left="8030" w:hanging="360"/>
      </w:pPr>
      <w:rPr>
        <w:rFonts w:hint="default"/>
      </w:rPr>
    </w:lvl>
  </w:abstractNum>
  <w:abstractNum w:abstractNumId="44" w15:restartNumberingAfterBreak="0">
    <w:nsid w:val="56EA0F1A"/>
    <w:multiLevelType w:val="hybridMultilevel"/>
    <w:tmpl w:val="33104C30"/>
    <w:lvl w:ilvl="0" w:tplc="2D321FDE">
      <w:start w:val="1"/>
      <w:numFmt w:val="bullet"/>
      <w:lvlText w:val="-"/>
      <w:lvlJc w:val="left"/>
      <w:pPr>
        <w:ind w:left="825" w:hanging="214"/>
      </w:pPr>
      <w:rPr>
        <w:rFonts w:ascii="Times New Roman" w:eastAsia="Times New Roman" w:hAnsi="Times New Roman" w:hint="default"/>
        <w:sz w:val="24"/>
        <w:szCs w:val="24"/>
      </w:rPr>
    </w:lvl>
    <w:lvl w:ilvl="1" w:tplc="FC1090B8">
      <w:start w:val="1"/>
      <w:numFmt w:val="bullet"/>
      <w:lvlText w:val="•"/>
      <w:lvlJc w:val="left"/>
      <w:pPr>
        <w:ind w:left="1715" w:hanging="214"/>
      </w:pPr>
      <w:rPr>
        <w:rFonts w:hint="default"/>
      </w:rPr>
    </w:lvl>
    <w:lvl w:ilvl="2" w:tplc="6CAED232">
      <w:start w:val="1"/>
      <w:numFmt w:val="bullet"/>
      <w:lvlText w:val="•"/>
      <w:lvlJc w:val="left"/>
      <w:pPr>
        <w:ind w:left="2605" w:hanging="214"/>
      </w:pPr>
      <w:rPr>
        <w:rFonts w:hint="default"/>
      </w:rPr>
    </w:lvl>
    <w:lvl w:ilvl="3" w:tplc="7E086FBC">
      <w:start w:val="1"/>
      <w:numFmt w:val="bullet"/>
      <w:lvlText w:val="•"/>
      <w:lvlJc w:val="left"/>
      <w:pPr>
        <w:ind w:left="3495" w:hanging="214"/>
      </w:pPr>
      <w:rPr>
        <w:rFonts w:hint="default"/>
      </w:rPr>
    </w:lvl>
    <w:lvl w:ilvl="4" w:tplc="0088B838">
      <w:start w:val="1"/>
      <w:numFmt w:val="bullet"/>
      <w:lvlText w:val="•"/>
      <w:lvlJc w:val="left"/>
      <w:pPr>
        <w:ind w:left="4385" w:hanging="214"/>
      </w:pPr>
      <w:rPr>
        <w:rFonts w:hint="default"/>
      </w:rPr>
    </w:lvl>
    <w:lvl w:ilvl="5" w:tplc="E3FA9280">
      <w:start w:val="1"/>
      <w:numFmt w:val="bullet"/>
      <w:lvlText w:val="•"/>
      <w:lvlJc w:val="left"/>
      <w:pPr>
        <w:ind w:left="5275" w:hanging="214"/>
      </w:pPr>
      <w:rPr>
        <w:rFonts w:hint="default"/>
      </w:rPr>
    </w:lvl>
    <w:lvl w:ilvl="6" w:tplc="CFD6F2BA">
      <w:start w:val="1"/>
      <w:numFmt w:val="bullet"/>
      <w:lvlText w:val="•"/>
      <w:lvlJc w:val="left"/>
      <w:pPr>
        <w:ind w:left="6165" w:hanging="214"/>
      </w:pPr>
      <w:rPr>
        <w:rFonts w:hint="default"/>
      </w:rPr>
    </w:lvl>
    <w:lvl w:ilvl="7" w:tplc="5A108BC4">
      <w:start w:val="1"/>
      <w:numFmt w:val="bullet"/>
      <w:lvlText w:val="•"/>
      <w:lvlJc w:val="left"/>
      <w:pPr>
        <w:ind w:left="7056" w:hanging="214"/>
      </w:pPr>
      <w:rPr>
        <w:rFonts w:hint="default"/>
      </w:rPr>
    </w:lvl>
    <w:lvl w:ilvl="8" w:tplc="70D06446">
      <w:start w:val="1"/>
      <w:numFmt w:val="bullet"/>
      <w:lvlText w:val="•"/>
      <w:lvlJc w:val="left"/>
      <w:pPr>
        <w:ind w:left="7946" w:hanging="214"/>
      </w:pPr>
      <w:rPr>
        <w:rFonts w:hint="default"/>
      </w:rPr>
    </w:lvl>
  </w:abstractNum>
  <w:abstractNum w:abstractNumId="45" w15:restartNumberingAfterBreak="0">
    <w:nsid w:val="57233491"/>
    <w:multiLevelType w:val="multilevel"/>
    <w:tmpl w:val="ACA6D70A"/>
    <w:lvl w:ilvl="0">
      <w:start w:val="5"/>
      <w:numFmt w:val="upperRoman"/>
      <w:lvlText w:val="%1"/>
      <w:lvlJc w:val="left"/>
      <w:pPr>
        <w:ind w:left="758" w:hanging="653"/>
      </w:pPr>
      <w:rPr>
        <w:rFonts w:hint="default"/>
      </w:rPr>
    </w:lvl>
    <w:lvl w:ilvl="1">
      <w:start w:val="2"/>
      <w:numFmt w:val="decimal"/>
      <w:lvlText w:val="%1.%2"/>
      <w:lvlJc w:val="left"/>
      <w:pPr>
        <w:ind w:left="758" w:hanging="653"/>
      </w:pPr>
      <w:rPr>
        <w:rFonts w:hint="default"/>
      </w:rPr>
    </w:lvl>
    <w:lvl w:ilvl="2">
      <w:start w:val="4"/>
      <w:numFmt w:val="decimal"/>
      <w:lvlText w:val="%1.%2.%3."/>
      <w:lvlJc w:val="left"/>
      <w:pPr>
        <w:ind w:left="758" w:hanging="653"/>
      </w:pPr>
      <w:rPr>
        <w:rFonts w:ascii="Times New Roman" w:eastAsia="Times New Roman" w:hAnsi="Times New Roman" w:hint="default"/>
        <w:b/>
        <w:bCs/>
        <w:sz w:val="24"/>
        <w:szCs w:val="24"/>
      </w:rPr>
    </w:lvl>
    <w:lvl w:ilvl="3">
      <w:start w:val="1"/>
      <w:numFmt w:val="decimal"/>
      <w:lvlText w:val="%1.%2.%3.%4."/>
      <w:lvlJc w:val="left"/>
      <w:pPr>
        <w:ind w:left="105" w:hanging="828"/>
      </w:pPr>
      <w:rPr>
        <w:rFonts w:ascii="Times New Roman" w:eastAsia="Times New Roman" w:hAnsi="Times New Roman" w:hint="default"/>
        <w:b/>
        <w:bCs/>
        <w:sz w:val="24"/>
        <w:szCs w:val="24"/>
      </w:rPr>
    </w:lvl>
    <w:lvl w:ilvl="4">
      <w:start w:val="1"/>
      <w:numFmt w:val="bullet"/>
      <w:lvlText w:val=""/>
      <w:lvlJc w:val="left"/>
      <w:pPr>
        <w:ind w:left="1185" w:hanging="360"/>
      </w:pPr>
      <w:rPr>
        <w:rFonts w:ascii="Symbol" w:eastAsia="Symbol" w:hAnsi="Symbol" w:hint="default"/>
        <w:sz w:val="24"/>
        <w:szCs w:val="24"/>
      </w:rPr>
    </w:lvl>
    <w:lvl w:ilvl="5">
      <w:start w:val="1"/>
      <w:numFmt w:val="bullet"/>
      <w:lvlText w:val="•"/>
      <w:lvlJc w:val="left"/>
      <w:pPr>
        <w:ind w:left="4388" w:hanging="360"/>
      </w:pPr>
      <w:rPr>
        <w:rFonts w:hint="default"/>
      </w:rPr>
    </w:lvl>
    <w:lvl w:ilvl="6">
      <w:start w:val="1"/>
      <w:numFmt w:val="bullet"/>
      <w:lvlText w:val="•"/>
      <w:lvlJc w:val="left"/>
      <w:pPr>
        <w:ind w:left="5455" w:hanging="360"/>
      </w:pPr>
      <w:rPr>
        <w:rFonts w:hint="default"/>
      </w:rPr>
    </w:lvl>
    <w:lvl w:ilvl="7">
      <w:start w:val="1"/>
      <w:numFmt w:val="bullet"/>
      <w:lvlText w:val="•"/>
      <w:lvlJc w:val="left"/>
      <w:pPr>
        <w:ind w:left="6523" w:hanging="360"/>
      </w:pPr>
      <w:rPr>
        <w:rFonts w:hint="default"/>
      </w:rPr>
    </w:lvl>
    <w:lvl w:ilvl="8">
      <w:start w:val="1"/>
      <w:numFmt w:val="bullet"/>
      <w:lvlText w:val="•"/>
      <w:lvlJc w:val="left"/>
      <w:pPr>
        <w:ind w:left="7591" w:hanging="360"/>
      </w:pPr>
      <w:rPr>
        <w:rFonts w:hint="default"/>
      </w:rPr>
    </w:lvl>
  </w:abstractNum>
  <w:abstractNum w:abstractNumId="46" w15:restartNumberingAfterBreak="0">
    <w:nsid w:val="5F435AE2"/>
    <w:multiLevelType w:val="multilevel"/>
    <w:tmpl w:val="AD2C02A0"/>
    <w:lvl w:ilvl="0">
      <w:start w:val="6"/>
      <w:numFmt w:val="upperRoman"/>
      <w:lvlText w:val="%1"/>
      <w:lvlJc w:val="left"/>
      <w:pPr>
        <w:ind w:left="871" w:hanging="747"/>
      </w:pPr>
      <w:rPr>
        <w:rFonts w:hint="default"/>
      </w:rPr>
    </w:lvl>
    <w:lvl w:ilvl="1">
      <w:start w:val="2"/>
      <w:numFmt w:val="decimal"/>
      <w:lvlText w:val="%1.%2"/>
      <w:lvlJc w:val="left"/>
      <w:pPr>
        <w:ind w:left="871" w:hanging="747"/>
      </w:pPr>
      <w:rPr>
        <w:rFonts w:hint="default"/>
      </w:rPr>
    </w:lvl>
    <w:lvl w:ilvl="2">
      <w:start w:val="2"/>
      <w:numFmt w:val="decimal"/>
      <w:lvlText w:val="%1.%2.%3."/>
      <w:lvlJc w:val="left"/>
      <w:pPr>
        <w:ind w:left="871" w:hanging="747"/>
      </w:pPr>
      <w:rPr>
        <w:rFonts w:ascii="Times New Roman" w:eastAsia="Times New Roman" w:hAnsi="Times New Roman" w:hint="default"/>
        <w:b/>
        <w:bCs/>
        <w:sz w:val="24"/>
        <w:szCs w:val="24"/>
      </w:rPr>
    </w:lvl>
    <w:lvl w:ilvl="3">
      <w:start w:val="1"/>
      <w:numFmt w:val="bullet"/>
      <w:lvlText w:val="-"/>
      <w:lvlJc w:val="left"/>
      <w:pPr>
        <w:ind w:left="845" w:hanging="360"/>
      </w:pPr>
      <w:rPr>
        <w:rFonts w:ascii="Calibri" w:eastAsia="Calibri" w:hAnsi="Calibri" w:hint="default"/>
        <w:sz w:val="24"/>
        <w:szCs w:val="24"/>
      </w:rPr>
    </w:lvl>
    <w:lvl w:ilvl="4">
      <w:start w:val="1"/>
      <w:numFmt w:val="bullet"/>
      <w:lvlText w:val="•"/>
      <w:lvlJc w:val="left"/>
      <w:pPr>
        <w:ind w:left="3829" w:hanging="360"/>
      </w:pPr>
      <w:rPr>
        <w:rFonts w:hint="default"/>
      </w:rPr>
    </w:lvl>
    <w:lvl w:ilvl="5">
      <w:start w:val="1"/>
      <w:numFmt w:val="bullet"/>
      <w:lvlText w:val="•"/>
      <w:lvlJc w:val="left"/>
      <w:pPr>
        <w:ind w:left="4815" w:hanging="360"/>
      </w:pPr>
      <w:rPr>
        <w:rFonts w:hint="default"/>
      </w:rPr>
    </w:lvl>
    <w:lvl w:ilvl="6">
      <w:start w:val="1"/>
      <w:numFmt w:val="bullet"/>
      <w:lvlText w:val="•"/>
      <w:lvlJc w:val="left"/>
      <w:pPr>
        <w:ind w:left="5802" w:hanging="360"/>
      </w:pPr>
      <w:rPr>
        <w:rFonts w:hint="default"/>
      </w:rPr>
    </w:lvl>
    <w:lvl w:ilvl="7">
      <w:start w:val="1"/>
      <w:numFmt w:val="bullet"/>
      <w:lvlText w:val="•"/>
      <w:lvlJc w:val="left"/>
      <w:pPr>
        <w:ind w:left="6788" w:hanging="360"/>
      </w:pPr>
      <w:rPr>
        <w:rFonts w:hint="default"/>
      </w:rPr>
    </w:lvl>
    <w:lvl w:ilvl="8">
      <w:start w:val="1"/>
      <w:numFmt w:val="bullet"/>
      <w:lvlText w:val="•"/>
      <w:lvlJc w:val="left"/>
      <w:pPr>
        <w:ind w:left="7774" w:hanging="360"/>
      </w:pPr>
      <w:rPr>
        <w:rFonts w:hint="default"/>
      </w:rPr>
    </w:lvl>
  </w:abstractNum>
  <w:abstractNum w:abstractNumId="47" w15:restartNumberingAfterBreak="0">
    <w:nsid w:val="61BC2204"/>
    <w:multiLevelType w:val="multilevel"/>
    <w:tmpl w:val="67A6C47A"/>
    <w:lvl w:ilvl="0">
      <w:start w:val="5"/>
      <w:numFmt w:val="upperRoman"/>
      <w:lvlText w:val="%1"/>
      <w:lvlJc w:val="left"/>
      <w:pPr>
        <w:ind w:left="758" w:hanging="653"/>
      </w:pPr>
      <w:rPr>
        <w:rFonts w:hint="default"/>
      </w:rPr>
    </w:lvl>
    <w:lvl w:ilvl="1">
      <w:start w:val="2"/>
      <w:numFmt w:val="decimal"/>
      <w:lvlText w:val="%1.%2"/>
      <w:lvlJc w:val="left"/>
      <w:pPr>
        <w:ind w:left="758" w:hanging="653"/>
      </w:pPr>
      <w:rPr>
        <w:rFonts w:hint="default"/>
      </w:rPr>
    </w:lvl>
    <w:lvl w:ilvl="2">
      <w:start w:val="3"/>
      <w:numFmt w:val="decimal"/>
      <w:lvlText w:val="%1.%2.%3."/>
      <w:lvlJc w:val="left"/>
      <w:pPr>
        <w:ind w:left="758" w:hanging="653"/>
      </w:pPr>
      <w:rPr>
        <w:rFonts w:ascii="Times New Roman" w:eastAsia="Times New Roman" w:hAnsi="Times New Roman" w:hint="default"/>
        <w:b/>
        <w:bCs/>
        <w:spacing w:val="-1"/>
        <w:sz w:val="24"/>
        <w:szCs w:val="24"/>
      </w:rPr>
    </w:lvl>
    <w:lvl w:ilvl="3">
      <w:start w:val="1"/>
      <w:numFmt w:val="decimal"/>
      <w:lvlText w:val="%1.%2.%3.%4."/>
      <w:lvlJc w:val="left"/>
      <w:pPr>
        <w:ind w:left="938" w:hanging="833"/>
      </w:pPr>
      <w:rPr>
        <w:rFonts w:ascii="Times New Roman" w:eastAsia="Times New Roman" w:hAnsi="Times New Roman" w:hint="default"/>
        <w:b/>
        <w:bCs/>
        <w:spacing w:val="-1"/>
        <w:sz w:val="24"/>
        <w:szCs w:val="24"/>
      </w:rPr>
    </w:lvl>
    <w:lvl w:ilvl="4">
      <w:start w:val="1"/>
      <w:numFmt w:val="bullet"/>
      <w:lvlText w:val="•"/>
      <w:lvlJc w:val="left"/>
      <w:pPr>
        <w:ind w:left="3867" w:hanging="833"/>
      </w:pPr>
      <w:rPr>
        <w:rFonts w:hint="default"/>
      </w:rPr>
    </w:lvl>
    <w:lvl w:ilvl="5">
      <w:start w:val="1"/>
      <w:numFmt w:val="bullet"/>
      <w:lvlText w:val="•"/>
      <w:lvlJc w:val="left"/>
      <w:pPr>
        <w:ind w:left="4843" w:hanging="833"/>
      </w:pPr>
      <w:rPr>
        <w:rFonts w:hint="default"/>
      </w:rPr>
    </w:lvl>
    <w:lvl w:ilvl="6">
      <w:start w:val="1"/>
      <w:numFmt w:val="bullet"/>
      <w:lvlText w:val="•"/>
      <w:lvlJc w:val="left"/>
      <w:pPr>
        <w:ind w:left="5820" w:hanging="833"/>
      </w:pPr>
      <w:rPr>
        <w:rFonts w:hint="default"/>
      </w:rPr>
    </w:lvl>
    <w:lvl w:ilvl="7">
      <w:start w:val="1"/>
      <w:numFmt w:val="bullet"/>
      <w:lvlText w:val="•"/>
      <w:lvlJc w:val="left"/>
      <w:pPr>
        <w:ind w:left="6796" w:hanging="833"/>
      </w:pPr>
      <w:rPr>
        <w:rFonts w:hint="default"/>
      </w:rPr>
    </w:lvl>
    <w:lvl w:ilvl="8">
      <w:start w:val="1"/>
      <w:numFmt w:val="bullet"/>
      <w:lvlText w:val="•"/>
      <w:lvlJc w:val="left"/>
      <w:pPr>
        <w:ind w:left="7773" w:hanging="833"/>
      </w:pPr>
      <w:rPr>
        <w:rFonts w:hint="default"/>
      </w:rPr>
    </w:lvl>
  </w:abstractNum>
  <w:abstractNum w:abstractNumId="48" w15:restartNumberingAfterBreak="0">
    <w:nsid w:val="63213A02"/>
    <w:multiLevelType w:val="hybridMultilevel"/>
    <w:tmpl w:val="566E493A"/>
    <w:lvl w:ilvl="0" w:tplc="9ED28C5C">
      <w:start w:val="1"/>
      <w:numFmt w:val="decimal"/>
      <w:lvlText w:val="%1."/>
      <w:lvlJc w:val="left"/>
      <w:pPr>
        <w:ind w:left="825" w:hanging="360"/>
      </w:pPr>
      <w:rPr>
        <w:rFonts w:ascii="Times New Roman" w:eastAsia="Times New Roman" w:hAnsi="Times New Roman" w:hint="default"/>
        <w:sz w:val="24"/>
        <w:szCs w:val="24"/>
      </w:rPr>
    </w:lvl>
    <w:lvl w:ilvl="1" w:tplc="3E360456">
      <w:start w:val="1"/>
      <w:numFmt w:val="bullet"/>
      <w:lvlText w:val="•"/>
      <w:lvlJc w:val="left"/>
      <w:pPr>
        <w:ind w:left="1715" w:hanging="360"/>
      </w:pPr>
      <w:rPr>
        <w:rFonts w:hint="default"/>
      </w:rPr>
    </w:lvl>
    <w:lvl w:ilvl="2" w:tplc="B36A8076">
      <w:start w:val="1"/>
      <w:numFmt w:val="bullet"/>
      <w:lvlText w:val="•"/>
      <w:lvlJc w:val="left"/>
      <w:pPr>
        <w:ind w:left="2605" w:hanging="360"/>
      </w:pPr>
      <w:rPr>
        <w:rFonts w:hint="default"/>
      </w:rPr>
    </w:lvl>
    <w:lvl w:ilvl="3" w:tplc="BDDEA364">
      <w:start w:val="1"/>
      <w:numFmt w:val="bullet"/>
      <w:lvlText w:val="•"/>
      <w:lvlJc w:val="left"/>
      <w:pPr>
        <w:ind w:left="3495" w:hanging="360"/>
      </w:pPr>
      <w:rPr>
        <w:rFonts w:hint="default"/>
      </w:rPr>
    </w:lvl>
    <w:lvl w:ilvl="4" w:tplc="DDB4F9CE">
      <w:start w:val="1"/>
      <w:numFmt w:val="bullet"/>
      <w:lvlText w:val="•"/>
      <w:lvlJc w:val="left"/>
      <w:pPr>
        <w:ind w:left="4385" w:hanging="360"/>
      </w:pPr>
      <w:rPr>
        <w:rFonts w:hint="default"/>
      </w:rPr>
    </w:lvl>
    <w:lvl w:ilvl="5" w:tplc="F0C67B88">
      <w:start w:val="1"/>
      <w:numFmt w:val="bullet"/>
      <w:lvlText w:val="•"/>
      <w:lvlJc w:val="left"/>
      <w:pPr>
        <w:ind w:left="5275" w:hanging="360"/>
      </w:pPr>
      <w:rPr>
        <w:rFonts w:hint="default"/>
      </w:rPr>
    </w:lvl>
    <w:lvl w:ilvl="6" w:tplc="A398A1E4">
      <w:start w:val="1"/>
      <w:numFmt w:val="bullet"/>
      <w:lvlText w:val="•"/>
      <w:lvlJc w:val="left"/>
      <w:pPr>
        <w:ind w:left="6165" w:hanging="360"/>
      </w:pPr>
      <w:rPr>
        <w:rFonts w:hint="default"/>
      </w:rPr>
    </w:lvl>
    <w:lvl w:ilvl="7" w:tplc="37366706">
      <w:start w:val="1"/>
      <w:numFmt w:val="bullet"/>
      <w:lvlText w:val="•"/>
      <w:lvlJc w:val="left"/>
      <w:pPr>
        <w:ind w:left="7056" w:hanging="360"/>
      </w:pPr>
      <w:rPr>
        <w:rFonts w:hint="default"/>
      </w:rPr>
    </w:lvl>
    <w:lvl w:ilvl="8" w:tplc="E7AE7BEC">
      <w:start w:val="1"/>
      <w:numFmt w:val="bullet"/>
      <w:lvlText w:val="•"/>
      <w:lvlJc w:val="left"/>
      <w:pPr>
        <w:ind w:left="7946" w:hanging="360"/>
      </w:pPr>
      <w:rPr>
        <w:rFonts w:hint="default"/>
      </w:rPr>
    </w:lvl>
  </w:abstractNum>
  <w:abstractNum w:abstractNumId="49" w15:restartNumberingAfterBreak="0">
    <w:nsid w:val="667C7026"/>
    <w:multiLevelType w:val="hybridMultilevel"/>
    <w:tmpl w:val="70EA4414"/>
    <w:lvl w:ilvl="0" w:tplc="11400A72">
      <w:start w:val="1"/>
      <w:numFmt w:val="bullet"/>
      <w:lvlText w:val="-"/>
      <w:lvlJc w:val="left"/>
      <w:pPr>
        <w:ind w:left="825" w:hanging="360"/>
      </w:pPr>
      <w:rPr>
        <w:rFonts w:ascii="Times New Roman" w:eastAsia="Times New Roman" w:hAnsi="Times New Roman" w:hint="default"/>
        <w:sz w:val="24"/>
        <w:szCs w:val="24"/>
      </w:rPr>
    </w:lvl>
    <w:lvl w:ilvl="1" w:tplc="20E43350">
      <w:start w:val="1"/>
      <w:numFmt w:val="bullet"/>
      <w:lvlText w:val="•"/>
      <w:lvlJc w:val="left"/>
      <w:pPr>
        <w:ind w:left="1715" w:hanging="360"/>
      </w:pPr>
      <w:rPr>
        <w:rFonts w:hint="default"/>
      </w:rPr>
    </w:lvl>
    <w:lvl w:ilvl="2" w:tplc="F0928FA4">
      <w:start w:val="1"/>
      <w:numFmt w:val="bullet"/>
      <w:lvlText w:val="•"/>
      <w:lvlJc w:val="left"/>
      <w:pPr>
        <w:ind w:left="2605" w:hanging="360"/>
      </w:pPr>
      <w:rPr>
        <w:rFonts w:hint="default"/>
      </w:rPr>
    </w:lvl>
    <w:lvl w:ilvl="3" w:tplc="1E889E22">
      <w:start w:val="1"/>
      <w:numFmt w:val="bullet"/>
      <w:lvlText w:val="•"/>
      <w:lvlJc w:val="left"/>
      <w:pPr>
        <w:ind w:left="3495" w:hanging="360"/>
      </w:pPr>
      <w:rPr>
        <w:rFonts w:hint="default"/>
      </w:rPr>
    </w:lvl>
    <w:lvl w:ilvl="4" w:tplc="2A683A38">
      <w:start w:val="1"/>
      <w:numFmt w:val="bullet"/>
      <w:lvlText w:val="•"/>
      <w:lvlJc w:val="left"/>
      <w:pPr>
        <w:ind w:left="4385" w:hanging="360"/>
      </w:pPr>
      <w:rPr>
        <w:rFonts w:hint="default"/>
      </w:rPr>
    </w:lvl>
    <w:lvl w:ilvl="5" w:tplc="FC1454E4">
      <w:start w:val="1"/>
      <w:numFmt w:val="bullet"/>
      <w:lvlText w:val="•"/>
      <w:lvlJc w:val="left"/>
      <w:pPr>
        <w:ind w:left="5275" w:hanging="360"/>
      </w:pPr>
      <w:rPr>
        <w:rFonts w:hint="default"/>
      </w:rPr>
    </w:lvl>
    <w:lvl w:ilvl="6" w:tplc="094AC7B4">
      <w:start w:val="1"/>
      <w:numFmt w:val="bullet"/>
      <w:lvlText w:val="•"/>
      <w:lvlJc w:val="left"/>
      <w:pPr>
        <w:ind w:left="6165" w:hanging="360"/>
      </w:pPr>
      <w:rPr>
        <w:rFonts w:hint="default"/>
      </w:rPr>
    </w:lvl>
    <w:lvl w:ilvl="7" w:tplc="F6EEB13A">
      <w:start w:val="1"/>
      <w:numFmt w:val="bullet"/>
      <w:lvlText w:val="•"/>
      <w:lvlJc w:val="left"/>
      <w:pPr>
        <w:ind w:left="7056" w:hanging="360"/>
      </w:pPr>
      <w:rPr>
        <w:rFonts w:hint="default"/>
      </w:rPr>
    </w:lvl>
    <w:lvl w:ilvl="8" w:tplc="8ADC7E64">
      <w:start w:val="1"/>
      <w:numFmt w:val="bullet"/>
      <w:lvlText w:val="•"/>
      <w:lvlJc w:val="left"/>
      <w:pPr>
        <w:ind w:left="7946" w:hanging="360"/>
      </w:pPr>
      <w:rPr>
        <w:rFonts w:hint="default"/>
      </w:rPr>
    </w:lvl>
  </w:abstractNum>
  <w:abstractNum w:abstractNumId="50" w15:restartNumberingAfterBreak="0">
    <w:nsid w:val="66B02FE8"/>
    <w:multiLevelType w:val="multilevel"/>
    <w:tmpl w:val="3E1E4EE2"/>
    <w:lvl w:ilvl="0">
      <w:start w:val="3"/>
      <w:numFmt w:val="upperRoman"/>
      <w:lvlText w:val="%1"/>
      <w:lvlJc w:val="left"/>
      <w:pPr>
        <w:ind w:left="1226" w:hanging="1121"/>
      </w:pPr>
      <w:rPr>
        <w:rFonts w:hint="default"/>
      </w:rPr>
    </w:lvl>
    <w:lvl w:ilvl="1">
      <w:start w:val="2"/>
      <w:numFmt w:val="decimal"/>
      <w:lvlText w:val="%1.%2"/>
      <w:lvlJc w:val="left"/>
      <w:pPr>
        <w:ind w:left="1226" w:hanging="1121"/>
      </w:pPr>
      <w:rPr>
        <w:rFonts w:hint="default"/>
      </w:rPr>
    </w:lvl>
    <w:lvl w:ilvl="2">
      <w:start w:val="2"/>
      <w:numFmt w:val="decimal"/>
      <w:lvlText w:val="%1.%2.%3"/>
      <w:lvlJc w:val="left"/>
      <w:pPr>
        <w:ind w:left="1226" w:hanging="1121"/>
      </w:pPr>
      <w:rPr>
        <w:rFonts w:hint="default"/>
      </w:rPr>
    </w:lvl>
    <w:lvl w:ilvl="3">
      <w:start w:val="1"/>
      <w:numFmt w:val="decimal"/>
      <w:lvlText w:val="%1.%2.%3.%4"/>
      <w:lvlJc w:val="left"/>
      <w:pPr>
        <w:ind w:left="1226" w:hanging="1121"/>
      </w:pPr>
      <w:rPr>
        <w:rFonts w:hint="default"/>
      </w:rPr>
    </w:lvl>
    <w:lvl w:ilvl="4">
      <w:start w:val="2"/>
      <w:numFmt w:val="decimal"/>
      <w:lvlText w:val="%1.%2.%3.%4.%5."/>
      <w:lvlJc w:val="left"/>
      <w:pPr>
        <w:ind w:left="1226" w:hanging="1121"/>
      </w:pPr>
      <w:rPr>
        <w:rFonts w:ascii="Times New Roman" w:eastAsia="Times New Roman" w:hAnsi="Times New Roman" w:hint="default"/>
        <w:b/>
        <w:bCs/>
        <w:sz w:val="24"/>
        <w:szCs w:val="24"/>
      </w:rPr>
    </w:lvl>
    <w:lvl w:ilvl="5">
      <w:start w:val="1"/>
      <w:numFmt w:val="bullet"/>
      <w:lvlText w:val=""/>
      <w:lvlJc w:val="left"/>
      <w:pPr>
        <w:ind w:left="825" w:hanging="360"/>
      </w:pPr>
      <w:rPr>
        <w:rFonts w:ascii="Wingdings" w:eastAsia="Wingdings" w:hAnsi="Wingdings" w:hint="default"/>
        <w:w w:val="99"/>
        <w:sz w:val="20"/>
        <w:szCs w:val="20"/>
      </w:rPr>
    </w:lvl>
    <w:lvl w:ilvl="6">
      <w:start w:val="1"/>
      <w:numFmt w:val="bullet"/>
      <w:lvlText w:val="•"/>
      <w:lvlJc w:val="left"/>
      <w:pPr>
        <w:ind w:left="5948" w:hanging="360"/>
      </w:pPr>
      <w:rPr>
        <w:rFonts w:hint="default"/>
      </w:rPr>
    </w:lvl>
    <w:lvl w:ilvl="7">
      <w:start w:val="1"/>
      <w:numFmt w:val="bullet"/>
      <w:lvlText w:val="•"/>
      <w:lvlJc w:val="left"/>
      <w:pPr>
        <w:ind w:left="6892" w:hanging="360"/>
      </w:pPr>
      <w:rPr>
        <w:rFonts w:hint="default"/>
      </w:rPr>
    </w:lvl>
    <w:lvl w:ilvl="8">
      <w:start w:val="1"/>
      <w:numFmt w:val="bullet"/>
      <w:lvlText w:val="•"/>
      <w:lvlJc w:val="left"/>
      <w:pPr>
        <w:ind w:left="7837" w:hanging="360"/>
      </w:pPr>
      <w:rPr>
        <w:rFonts w:hint="default"/>
      </w:rPr>
    </w:lvl>
  </w:abstractNum>
  <w:abstractNum w:abstractNumId="51" w15:restartNumberingAfterBreak="0">
    <w:nsid w:val="67476DF5"/>
    <w:multiLevelType w:val="hybridMultilevel"/>
    <w:tmpl w:val="2626F990"/>
    <w:lvl w:ilvl="0" w:tplc="97288434">
      <w:start w:val="1"/>
      <w:numFmt w:val="bullet"/>
      <w:lvlText w:val="-"/>
      <w:lvlJc w:val="left"/>
      <w:pPr>
        <w:ind w:left="845" w:hanging="360"/>
      </w:pPr>
      <w:rPr>
        <w:rFonts w:ascii="Times New Roman" w:eastAsia="Times New Roman" w:hAnsi="Times New Roman" w:hint="default"/>
        <w:sz w:val="24"/>
        <w:szCs w:val="24"/>
      </w:rPr>
    </w:lvl>
    <w:lvl w:ilvl="1" w:tplc="3ED85DBA">
      <w:start w:val="1"/>
      <w:numFmt w:val="bullet"/>
      <w:lvlText w:val="•"/>
      <w:lvlJc w:val="left"/>
      <w:pPr>
        <w:ind w:left="1735" w:hanging="360"/>
      </w:pPr>
      <w:rPr>
        <w:rFonts w:hint="default"/>
      </w:rPr>
    </w:lvl>
    <w:lvl w:ilvl="2" w:tplc="FCD895D0">
      <w:start w:val="1"/>
      <w:numFmt w:val="bullet"/>
      <w:lvlText w:val="•"/>
      <w:lvlJc w:val="left"/>
      <w:pPr>
        <w:ind w:left="2625" w:hanging="360"/>
      </w:pPr>
      <w:rPr>
        <w:rFonts w:hint="default"/>
      </w:rPr>
    </w:lvl>
    <w:lvl w:ilvl="3" w:tplc="D3B45EEA">
      <w:start w:val="1"/>
      <w:numFmt w:val="bullet"/>
      <w:lvlText w:val="•"/>
      <w:lvlJc w:val="left"/>
      <w:pPr>
        <w:ind w:left="3515" w:hanging="360"/>
      </w:pPr>
      <w:rPr>
        <w:rFonts w:hint="default"/>
      </w:rPr>
    </w:lvl>
    <w:lvl w:ilvl="4" w:tplc="D06A02A6">
      <w:start w:val="1"/>
      <w:numFmt w:val="bullet"/>
      <w:lvlText w:val="•"/>
      <w:lvlJc w:val="left"/>
      <w:pPr>
        <w:ind w:left="4405" w:hanging="360"/>
      </w:pPr>
      <w:rPr>
        <w:rFonts w:hint="default"/>
      </w:rPr>
    </w:lvl>
    <w:lvl w:ilvl="5" w:tplc="06F2B4AA">
      <w:start w:val="1"/>
      <w:numFmt w:val="bullet"/>
      <w:lvlText w:val="•"/>
      <w:lvlJc w:val="left"/>
      <w:pPr>
        <w:ind w:left="5295" w:hanging="360"/>
      </w:pPr>
      <w:rPr>
        <w:rFonts w:hint="default"/>
      </w:rPr>
    </w:lvl>
    <w:lvl w:ilvl="6" w:tplc="6C766642">
      <w:start w:val="1"/>
      <w:numFmt w:val="bullet"/>
      <w:lvlText w:val="•"/>
      <w:lvlJc w:val="left"/>
      <w:pPr>
        <w:ind w:left="6185" w:hanging="360"/>
      </w:pPr>
      <w:rPr>
        <w:rFonts w:hint="default"/>
      </w:rPr>
    </w:lvl>
    <w:lvl w:ilvl="7" w:tplc="489E3DA0">
      <w:start w:val="1"/>
      <w:numFmt w:val="bullet"/>
      <w:lvlText w:val="•"/>
      <w:lvlJc w:val="left"/>
      <w:pPr>
        <w:ind w:left="7076" w:hanging="360"/>
      </w:pPr>
      <w:rPr>
        <w:rFonts w:hint="default"/>
      </w:rPr>
    </w:lvl>
    <w:lvl w:ilvl="8" w:tplc="7CE02F88">
      <w:start w:val="1"/>
      <w:numFmt w:val="bullet"/>
      <w:lvlText w:val="•"/>
      <w:lvlJc w:val="left"/>
      <w:pPr>
        <w:ind w:left="7966" w:hanging="360"/>
      </w:pPr>
      <w:rPr>
        <w:rFonts w:hint="default"/>
      </w:rPr>
    </w:lvl>
  </w:abstractNum>
  <w:abstractNum w:abstractNumId="52" w15:restartNumberingAfterBreak="0">
    <w:nsid w:val="677E104C"/>
    <w:multiLevelType w:val="hybridMultilevel"/>
    <w:tmpl w:val="DCBEE00E"/>
    <w:lvl w:ilvl="0" w:tplc="39D4D95C">
      <w:start w:val="1"/>
      <w:numFmt w:val="bullet"/>
      <w:lvlText w:val="-"/>
      <w:lvlJc w:val="left"/>
      <w:pPr>
        <w:ind w:left="485" w:hanging="360"/>
      </w:pPr>
      <w:rPr>
        <w:rFonts w:ascii="Calibri" w:eastAsia="Calibri" w:hAnsi="Calibri" w:hint="default"/>
        <w:sz w:val="24"/>
        <w:szCs w:val="24"/>
      </w:rPr>
    </w:lvl>
    <w:lvl w:ilvl="1" w:tplc="2E7812AC">
      <w:start w:val="1"/>
      <w:numFmt w:val="bullet"/>
      <w:lvlText w:val="•"/>
      <w:lvlJc w:val="left"/>
      <w:pPr>
        <w:ind w:left="1411" w:hanging="360"/>
      </w:pPr>
      <w:rPr>
        <w:rFonts w:hint="default"/>
      </w:rPr>
    </w:lvl>
    <w:lvl w:ilvl="2" w:tplc="A4502696">
      <w:start w:val="1"/>
      <w:numFmt w:val="bullet"/>
      <w:lvlText w:val="•"/>
      <w:lvlJc w:val="left"/>
      <w:pPr>
        <w:ind w:left="2337" w:hanging="360"/>
      </w:pPr>
      <w:rPr>
        <w:rFonts w:hint="default"/>
      </w:rPr>
    </w:lvl>
    <w:lvl w:ilvl="3" w:tplc="B2B083DE">
      <w:start w:val="1"/>
      <w:numFmt w:val="bullet"/>
      <w:lvlText w:val="•"/>
      <w:lvlJc w:val="left"/>
      <w:pPr>
        <w:ind w:left="3263" w:hanging="360"/>
      </w:pPr>
      <w:rPr>
        <w:rFonts w:hint="default"/>
      </w:rPr>
    </w:lvl>
    <w:lvl w:ilvl="4" w:tplc="3A0A1D48">
      <w:start w:val="1"/>
      <w:numFmt w:val="bullet"/>
      <w:lvlText w:val="•"/>
      <w:lvlJc w:val="left"/>
      <w:pPr>
        <w:ind w:left="4189" w:hanging="360"/>
      </w:pPr>
      <w:rPr>
        <w:rFonts w:hint="default"/>
      </w:rPr>
    </w:lvl>
    <w:lvl w:ilvl="5" w:tplc="CAE2FB84">
      <w:start w:val="1"/>
      <w:numFmt w:val="bullet"/>
      <w:lvlText w:val="•"/>
      <w:lvlJc w:val="left"/>
      <w:pPr>
        <w:ind w:left="5115" w:hanging="360"/>
      </w:pPr>
      <w:rPr>
        <w:rFonts w:hint="default"/>
      </w:rPr>
    </w:lvl>
    <w:lvl w:ilvl="6" w:tplc="839A4362">
      <w:start w:val="1"/>
      <w:numFmt w:val="bullet"/>
      <w:lvlText w:val="•"/>
      <w:lvlJc w:val="left"/>
      <w:pPr>
        <w:ind w:left="6041" w:hanging="360"/>
      </w:pPr>
      <w:rPr>
        <w:rFonts w:hint="default"/>
      </w:rPr>
    </w:lvl>
    <w:lvl w:ilvl="7" w:tplc="5F3C157C">
      <w:start w:val="1"/>
      <w:numFmt w:val="bullet"/>
      <w:lvlText w:val="•"/>
      <w:lvlJc w:val="left"/>
      <w:pPr>
        <w:ind w:left="6968" w:hanging="360"/>
      </w:pPr>
      <w:rPr>
        <w:rFonts w:hint="default"/>
      </w:rPr>
    </w:lvl>
    <w:lvl w:ilvl="8" w:tplc="A2AC2424">
      <w:start w:val="1"/>
      <w:numFmt w:val="bullet"/>
      <w:lvlText w:val="•"/>
      <w:lvlJc w:val="left"/>
      <w:pPr>
        <w:ind w:left="7894" w:hanging="360"/>
      </w:pPr>
      <w:rPr>
        <w:rFonts w:hint="default"/>
      </w:rPr>
    </w:lvl>
  </w:abstractNum>
  <w:abstractNum w:abstractNumId="53" w15:restartNumberingAfterBreak="0">
    <w:nsid w:val="6C4608CB"/>
    <w:multiLevelType w:val="multilevel"/>
    <w:tmpl w:val="0D1A18D0"/>
    <w:lvl w:ilvl="0">
      <w:start w:val="6"/>
      <w:numFmt w:val="upperRoman"/>
      <w:lvlText w:val="%1"/>
      <w:lvlJc w:val="left"/>
      <w:pPr>
        <w:ind w:left="691" w:hanging="567"/>
      </w:pPr>
      <w:rPr>
        <w:rFonts w:hint="default"/>
      </w:rPr>
    </w:lvl>
    <w:lvl w:ilvl="1">
      <w:start w:val="3"/>
      <w:numFmt w:val="decimal"/>
      <w:lvlText w:val="%1.%2."/>
      <w:lvlJc w:val="left"/>
      <w:pPr>
        <w:ind w:left="691" w:hanging="567"/>
      </w:pPr>
      <w:rPr>
        <w:rFonts w:ascii="Times New Roman" w:eastAsia="Times New Roman" w:hAnsi="Times New Roman" w:hint="default"/>
        <w:b/>
        <w:bCs/>
        <w:sz w:val="24"/>
        <w:szCs w:val="24"/>
      </w:rPr>
    </w:lvl>
    <w:lvl w:ilvl="2">
      <w:start w:val="1"/>
      <w:numFmt w:val="lowerLetter"/>
      <w:lvlText w:val="%3)"/>
      <w:lvlJc w:val="left"/>
      <w:pPr>
        <w:ind w:left="845" w:hanging="286"/>
      </w:pPr>
      <w:rPr>
        <w:rFonts w:ascii="Times New Roman" w:eastAsia="Times New Roman" w:hAnsi="Times New Roman" w:hint="default"/>
        <w:spacing w:val="-1"/>
        <w:sz w:val="24"/>
        <w:szCs w:val="24"/>
      </w:rPr>
    </w:lvl>
    <w:lvl w:ilvl="3">
      <w:start w:val="1"/>
      <w:numFmt w:val="bullet"/>
      <w:lvlText w:val="•"/>
      <w:lvlJc w:val="left"/>
      <w:pPr>
        <w:ind w:left="2823" w:hanging="286"/>
      </w:pPr>
      <w:rPr>
        <w:rFonts w:hint="default"/>
      </w:rPr>
    </w:lvl>
    <w:lvl w:ilvl="4">
      <w:start w:val="1"/>
      <w:numFmt w:val="bullet"/>
      <w:lvlText w:val="•"/>
      <w:lvlJc w:val="left"/>
      <w:pPr>
        <w:ind w:left="3812" w:hanging="286"/>
      </w:pPr>
      <w:rPr>
        <w:rFonts w:hint="default"/>
      </w:rPr>
    </w:lvl>
    <w:lvl w:ilvl="5">
      <w:start w:val="1"/>
      <w:numFmt w:val="bullet"/>
      <w:lvlText w:val="•"/>
      <w:lvlJc w:val="left"/>
      <w:pPr>
        <w:ind w:left="4801" w:hanging="286"/>
      </w:pPr>
      <w:rPr>
        <w:rFonts w:hint="default"/>
      </w:rPr>
    </w:lvl>
    <w:lvl w:ilvl="6">
      <w:start w:val="1"/>
      <w:numFmt w:val="bullet"/>
      <w:lvlText w:val="•"/>
      <w:lvlJc w:val="left"/>
      <w:pPr>
        <w:ind w:left="5790" w:hanging="286"/>
      </w:pPr>
      <w:rPr>
        <w:rFonts w:hint="default"/>
      </w:rPr>
    </w:lvl>
    <w:lvl w:ilvl="7">
      <w:start w:val="1"/>
      <w:numFmt w:val="bullet"/>
      <w:lvlText w:val="•"/>
      <w:lvlJc w:val="left"/>
      <w:pPr>
        <w:ind w:left="6779" w:hanging="286"/>
      </w:pPr>
      <w:rPr>
        <w:rFonts w:hint="default"/>
      </w:rPr>
    </w:lvl>
    <w:lvl w:ilvl="8">
      <w:start w:val="1"/>
      <w:numFmt w:val="bullet"/>
      <w:lvlText w:val="•"/>
      <w:lvlJc w:val="left"/>
      <w:pPr>
        <w:ind w:left="7768" w:hanging="286"/>
      </w:pPr>
      <w:rPr>
        <w:rFonts w:hint="default"/>
      </w:rPr>
    </w:lvl>
  </w:abstractNum>
  <w:abstractNum w:abstractNumId="54" w15:restartNumberingAfterBreak="0">
    <w:nsid w:val="73711180"/>
    <w:multiLevelType w:val="hybridMultilevel"/>
    <w:tmpl w:val="16DA1252"/>
    <w:lvl w:ilvl="0" w:tplc="564C3AF2">
      <w:start w:val="1"/>
      <w:numFmt w:val="bullet"/>
      <w:lvlText w:val="-"/>
      <w:lvlJc w:val="left"/>
      <w:pPr>
        <w:ind w:left="825" w:hanging="360"/>
      </w:pPr>
      <w:rPr>
        <w:rFonts w:ascii="Times New Roman" w:eastAsia="Times New Roman" w:hAnsi="Times New Roman" w:hint="default"/>
        <w:sz w:val="24"/>
        <w:szCs w:val="24"/>
      </w:rPr>
    </w:lvl>
    <w:lvl w:ilvl="1" w:tplc="E3F270EA">
      <w:start w:val="1"/>
      <w:numFmt w:val="bullet"/>
      <w:lvlText w:val="•"/>
      <w:lvlJc w:val="left"/>
      <w:pPr>
        <w:ind w:left="1715" w:hanging="360"/>
      </w:pPr>
      <w:rPr>
        <w:rFonts w:hint="default"/>
      </w:rPr>
    </w:lvl>
    <w:lvl w:ilvl="2" w:tplc="632641B8">
      <w:start w:val="1"/>
      <w:numFmt w:val="bullet"/>
      <w:lvlText w:val="•"/>
      <w:lvlJc w:val="left"/>
      <w:pPr>
        <w:ind w:left="2605" w:hanging="360"/>
      </w:pPr>
      <w:rPr>
        <w:rFonts w:hint="default"/>
      </w:rPr>
    </w:lvl>
    <w:lvl w:ilvl="3" w:tplc="BA62E6E6">
      <w:start w:val="1"/>
      <w:numFmt w:val="bullet"/>
      <w:lvlText w:val="•"/>
      <w:lvlJc w:val="left"/>
      <w:pPr>
        <w:ind w:left="3495" w:hanging="360"/>
      </w:pPr>
      <w:rPr>
        <w:rFonts w:hint="default"/>
      </w:rPr>
    </w:lvl>
    <w:lvl w:ilvl="4" w:tplc="C60C52E8">
      <w:start w:val="1"/>
      <w:numFmt w:val="bullet"/>
      <w:lvlText w:val="•"/>
      <w:lvlJc w:val="left"/>
      <w:pPr>
        <w:ind w:left="4385" w:hanging="360"/>
      </w:pPr>
      <w:rPr>
        <w:rFonts w:hint="default"/>
      </w:rPr>
    </w:lvl>
    <w:lvl w:ilvl="5" w:tplc="1A1C20A6">
      <w:start w:val="1"/>
      <w:numFmt w:val="bullet"/>
      <w:lvlText w:val="•"/>
      <w:lvlJc w:val="left"/>
      <w:pPr>
        <w:ind w:left="5275" w:hanging="360"/>
      </w:pPr>
      <w:rPr>
        <w:rFonts w:hint="default"/>
      </w:rPr>
    </w:lvl>
    <w:lvl w:ilvl="6" w:tplc="F464590C">
      <w:start w:val="1"/>
      <w:numFmt w:val="bullet"/>
      <w:lvlText w:val="•"/>
      <w:lvlJc w:val="left"/>
      <w:pPr>
        <w:ind w:left="6165" w:hanging="360"/>
      </w:pPr>
      <w:rPr>
        <w:rFonts w:hint="default"/>
      </w:rPr>
    </w:lvl>
    <w:lvl w:ilvl="7" w:tplc="7E0621F4">
      <w:start w:val="1"/>
      <w:numFmt w:val="bullet"/>
      <w:lvlText w:val="•"/>
      <w:lvlJc w:val="left"/>
      <w:pPr>
        <w:ind w:left="7056" w:hanging="360"/>
      </w:pPr>
      <w:rPr>
        <w:rFonts w:hint="default"/>
      </w:rPr>
    </w:lvl>
    <w:lvl w:ilvl="8" w:tplc="D098070E">
      <w:start w:val="1"/>
      <w:numFmt w:val="bullet"/>
      <w:lvlText w:val="•"/>
      <w:lvlJc w:val="left"/>
      <w:pPr>
        <w:ind w:left="7946" w:hanging="360"/>
      </w:pPr>
      <w:rPr>
        <w:rFonts w:hint="default"/>
      </w:rPr>
    </w:lvl>
  </w:abstractNum>
  <w:abstractNum w:abstractNumId="55" w15:restartNumberingAfterBreak="0">
    <w:nsid w:val="75006180"/>
    <w:multiLevelType w:val="multilevel"/>
    <w:tmpl w:val="4D0E87C8"/>
    <w:lvl w:ilvl="0">
      <w:start w:val="3"/>
      <w:numFmt w:val="upperRoman"/>
      <w:lvlText w:val="%1"/>
      <w:lvlJc w:val="left"/>
      <w:pPr>
        <w:ind w:left="1379" w:hanging="992"/>
      </w:pPr>
      <w:rPr>
        <w:rFonts w:hint="default"/>
      </w:rPr>
    </w:lvl>
    <w:lvl w:ilvl="1">
      <w:start w:val="2"/>
      <w:numFmt w:val="decimal"/>
      <w:lvlText w:val="%1.%2"/>
      <w:lvlJc w:val="left"/>
      <w:pPr>
        <w:ind w:left="1379" w:hanging="992"/>
      </w:pPr>
      <w:rPr>
        <w:rFonts w:hint="default"/>
      </w:rPr>
    </w:lvl>
    <w:lvl w:ilvl="2">
      <w:start w:val="2"/>
      <w:numFmt w:val="decimal"/>
      <w:lvlText w:val="%1.%2.%3"/>
      <w:lvlJc w:val="left"/>
      <w:pPr>
        <w:ind w:left="1379" w:hanging="992"/>
      </w:pPr>
      <w:rPr>
        <w:rFonts w:hint="default"/>
      </w:rPr>
    </w:lvl>
    <w:lvl w:ilvl="3">
      <w:start w:val="1"/>
      <w:numFmt w:val="decimal"/>
      <w:lvlText w:val="%1.%2.%3.%4"/>
      <w:lvlJc w:val="left"/>
      <w:pPr>
        <w:ind w:left="1379" w:hanging="992"/>
      </w:pPr>
      <w:rPr>
        <w:rFonts w:hint="default"/>
      </w:rPr>
    </w:lvl>
    <w:lvl w:ilvl="4">
      <w:start w:val="1"/>
      <w:numFmt w:val="decimal"/>
      <w:lvlText w:val="%1.%2.%3.%4.%5."/>
      <w:lvlJc w:val="left"/>
      <w:pPr>
        <w:ind w:left="1379" w:hanging="992"/>
      </w:pPr>
      <w:rPr>
        <w:rFonts w:ascii="Times New Roman" w:eastAsia="Times New Roman" w:hAnsi="Times New Roman" w:hint="default"/>
        <w:spacing w:val="-2"/>
        <w:sz w:val="22"/>
        <w:szCs w:val="22"/>
      </w:rPr>
    </w:lvl>
    <w:lvl w:ilvl="5">
      <w:start w:val="1"/>
      <w:numFmt w:val="decimal"/>
      <w:lvlText w:val="%1.%2.%3.%4.%5.%6."/>
      <w:lvlJc w:val="left"/>
      <w:pPr>
        <w:ind w:left="1545" w:hanging="1157"/>
      </w:pPr>
      <w:rPr>
        <w:rFonts w:ascii="Times New Roman" w:eastAsia="Times New Roman" w:hAnsi="Times New Roman" w:hint="default"/>
        <w:spacing w:val="-2"/>
        <w:sz w:val="22"/>
        <w:szCs w:val="22"/>
      </w:rPr>
    </w:lvl>
    <w:lvl w:ilvl="6">
      <w:start w:val="1"/>
      <w:numFmt w:val="bullet"/>
      <w:lvlText w:val="•"/>
      <w:lvlJc w:val="left"/>
      <w:pPr>
        <w:ind w:left="6134" w:hanging="1157"/>
      </w:pPr>
      <w:rPr>
        <w:rFonts w:hint="default"/>
      </w:rPr>
    </w:lvl>
    <w:lvl w:ilvl="7">
      <w:start w:val="1"/>
      <w:numFmt w:val="bullet"/>
      <w:lvlText w:val="•"/>
      <w:lvlJc w:val="left"/>
      <w:pPr>
        <w:ind w:left="7052" w:hanging="1157"/>
      </w:pPr>
      <w:rPr>
        <w:rFonts w:hint="default"/>
      </w:rPr>
    </w:lvl>
    <w:lvl w:ilvl="8">
      <w:start w:val="1"/>
      <w:numFmt w:val="bullet"/>
      <w:lvlText w:val="•"/>
      <w:lvlJc w:val="left"/>
      <w:pPr>
        <w:ind w:left="7970" w:hanging="1157"/>
      </w:pPr>
      <w:rPr>
        <w:rFonts w:hint="default"/>
      </w:rPr>
    </w:lvl>
  </w:abstractNum>
  <w:abstractNum w:abstractNumId="56" w15:restartNumberingAfterBreak="0">
    <w:nsid w:val="78714E1B"/>
    <w:multiLevelType w:val="multilevel"/>
    <w:tmpl w:val="45309B48"/>
    <w:lvl w:ilvl="0">
      <w:start w:val="4"/>
      <w:numFmt w:val="upperRoman"/>
      <w:lvlText w:val="%1"/>
      <w:lvlJc w:val="left"/>
      <w:pPr>
        <w:ind w:left="691" w:hanging="567"/>
      </w:pPr>
      <w:rPr>
        <w:rFonts w:hint="default"/>
      </w:rPr>
    </w:lvl>
    <w:lvl w:ilvl="1">
      <w:start w:val="4"/>
      <w:numFmt w:val="decimal"/>
      <w:lvlText w:val="%1.%2."/>
      <w:lvlJc w:val="left"/>
      <w:pPr>
        <w:ind w:left="691" w:hanging="567"/>
      </w:pPr>
      <w:rPr>
        <w:rFonts w:ascii="Times New Roman" w:eastAsia="Times New Roman" w:hAnsi="Times New Roman" w:hint="default"/>
        <w:b/>
        <w:bCs/>
        <w:sz w:val="24"/>
        <w:szCs w:val="24"/>
      </w:rPr>
    </w:lvl>
    <w:lvl w:ilvl="2">
      <w:start w:val="1"/>
      <w:numFmt w:val="lowerRoman"/>
      <w:lvlText w:val="%3."/>
      <w:lvlJc w:val="left"/>
      <w:pPr>
        <w:ind w:left="845" w:hanging="488"/>
        <w:jc w:val="right"/>
      </w:pPr>
      <w:rPr>
        <w:rFonts w:ascii="Times New Roman" w:eastAsia="Times New Roman" w:hAnsi="Times New Roman" w:hint="default"/>
        <w:sz w:val="24"/>
        <w:szCs w:val="24"/>
      </w:rPr>
    </w:lvl>
    <w:lvl w:ilvl="3">
      <w:start w:val="1"/>
      <w:numFmt w:val="bullet"/>
      <w:lvlText w:val="•"/>
      <w:lvlJc w:val="left"/>
      <w:pPr>
        <w:ind w:left="2912" w:hanging="488"/>
      </w:pPr>
      <w:rPr>
        <w:rFonts w:hint="default"/>
      </w:rPr>
    </w:lvl>
    <w:lvl w:ilvl="4">
      <w:start w:val="1"/>
      <w:numFmt w:val="bullet"/>
      <w:lvlText w:val="•"/>
      <w:lvlJc w:val="left"/>
      <w:pPr>
        <w:ind w:left="3945" w:hanging="488"/>
      </w:pPr>
      <w:rPr>
        <w:rFonts w:hint="default"/>
      </w:rPr>
    </w:lvl>
    <w:lvl w:ilvl="5">
      <w:start w:val="1"/>
      <w:numFmt w:val="bullet"/>
      <w:lvlText w:val="•"/>
      <w:lvlJc w:val="left"/>
      <w:pPr>
        <w:ind w:left="4979" w:hanging="488"/>
      </w:pPr>
      <w:rPr>
        <w:rFonts w:hint="default"/>
      </w:rPr>
    </w:lvl>
    <w:lvl w:ilvl="6">
      <w:start w:val="1"/>
      <w:numFmt w:val="bullet"/>
      <w:lvlText w:val="•"/>
      <w:lvlJc w:val="left"/>
      <w:pPr>
        <w:ind w:left="6012" w:hanging="488"/>
      </w:pPr>
      <w:rPr>
        <w:rFonts w:hint="default"/>
      </w:rPr>
    </w:lvl>
    <w:lvl w:ilvl="7">
      <w:start w:val="1"/>
      <w:numFmt w:val="bullet"/>
      <w:lvlText w:val="•"/>
      <w:lvlJc w:val="left"/>
      <w:pPr>
        <w:ind w:left="7046" w:hanging="488"/>
      </w:pPr>
      <w:rPr>
        <w:rFonts w:hint="default"/>
      </w:rPr>
    </w:lvl>
    <w:lvl w:ilvl="8">
      <w:start w:val="1"/>
      <w:numFmt w:val="bullet"/>
      <w:lvlText w:val="•"/>
      <w:lvlJc w:val="left"/>
      <w:pPr>
        <w:ind w:left="8079" w:hanging="488"/>
      </w:pPr>
      <w:rPr>
        <w:rFonts w:hint="default"/>
      </w:rPr>
    </w:lvl>
  </w:abstractNum>
  <w:abstractNum w:abstractNumId="57" w15:restartNumberingAfterBreak="0">
    <w:nsid w:val="78CA2660"/>
    <w:multiLevelType w:val="multilevel"/>
    <w:tmpl w:val="C62C09F2"/>
    <w:lvl w:ilvl="0">
      <w:start w:val="5"/>
      <w:numFmt w:val="upperRoman"/>
      <w:lvlText w:val="%1"/>
      <w:lvlJc w:val="left"/>
      <w:pPr>
        <w:ind w:left="1118" w:hanging="1013"/>
      </w:pPr>
      <w:rPr>
        <w:rFonts w:hint="default"/>
      </w:rPr>
    </w:lvl>
    <w:lvl w:ilvl="1">
      <w:start w:val="2"/>
      <w:numFmt w:val="decimal"/>
      <w:lvlText w:val="%1.%2"/>
      <w:lvlJc w:val="left"/>
      <w:pPr>
        <w:ind w:left="1118" w:hanging="1013"/>
      </w:pPr>
      <w:rPr>
        <w:rFonts w:hint="default"/>
      </w:rPr>
    </w:lvl>
    <w:lvl w:ilvl="2">
      <w:start w:val="4"/>
      <w:numFmt w:val="decimal"/>
      <w:lvlText w:val="%1.%2.%3"/>
      <w:lvlJc w:val="left"/>
      <w:pPr>
        <w:ind w:left="1118" w:hanging="1013"/>
      </w:pPr>
      <w:rPr>
        <w:rFonts w:hint="default"/>
      </w:rPr>
    </w:lvl>
    <w:lvl w:ilvl="3">
      <w:start w:val="2"/>
      <w:numFmt w:val="decimal"/>
      <w:lvlText w:val="%1.%2.%3.%4"/>
      <w:lvlJc w:val="left"/>
      <w:pPr>
        <w:ind w:left="1118" w:hanging="1013"/>
      </w:pPr>
      <w:rPr>
        <w:rFonts w:hint="default"/>
      </w:rPr>
    </w:lvl>
    <w:lvl w:ilvl="4">
      <w:start w:val="1"/>
      <w:numFmt w:val="decimal"/>
      <w:lvlText w:val="%1.%2.%3.%4.%5."/>
      <w:lvlJc w:val="left"/>
      <w:pPr>
        <w:ind w:left="105" w:hanging="1013"/>
      </w:pPr>
      <w:rPr>
        <w:rFonts w:ascii="Times New Roman" w:eastAsia="Times New Roman" w:hAnsi="Times New Roman" w:hint="default"/>
        <w:b/>
        <w:bCs/>
        <w:sz w:val="24"/>
        <w:szCs w:val="24"/>
      </w:rPr>
    </w:lvl>
    <w:lvl w:ilvl="5">
      <w:start w:val="1"/>
      <w:numFmt w:val="bullet"/>
      <w:lvlText w:val="-"/>
      <w:lvlJc w:val="left"/>
      <w:pPr>
        <w:ind w:left="1173" w:hanging="360"/>
      </w:pPr>
      <w:rPr>
        <w:rFonts w:ascii="Times New Roman" w:eastAsia="Times New Roman" w:hAnsi="Times New Roman" w:hint="default"/>
        <w:sz w:val="24"/>
        <w:szCs w:val="24"/>
      </w:rPr>
    </w:lvl>
    <w:lvl w:ilvl="6">
      <w:start w:val="1"/>
      <w:numFmt w:val="bullet"/>
      <w:lvlText w:val="•"/>
      <w:lvlJc w:val="left"/>
      <w:pPr>
        <w:ind w:left="5449" w:hanging="360"/>
      </w:pPr>
      <w:rPr>
        <w:rFonts w:hint="default"/>
      </w:rPr>
    </w:lvl>
    <w:lvl w:ilvl="7">
      <w:start w:val="1"/>
      <w:numFmt w:val="bullet"/>
      <w:lvlText w:val="•"/>
      <w:lvlJc w:val="left"/>
      <w:pPr>
        <w:ind w:left="6518" w:hanging="360"/>
      </w:pPr>
      <w:rPr>
        <w:rFonts w:hint="default"/>
      </w:rPr>
    </w:lvl>
    <w:lvl w:ilvl="8">
      <w:start w:val="1"/>
      <w:numFmt w:val="bullet"/>
      <w:lvlText w:val="•"/>
      <w:lvlJc w:val="left"/>
      <w:pPr>
        <w:ind w:left="7588" w:hanging="360"/>
      </w:pPr>
      <w:rPr>
        <w:rFonts w:hint="default"/>
      </w:rPr>
    </w:lvl>
  </w:abstractNum>
  <w:abstractNum w:abstractNumId="58" w15:restartNumberingAfterBreak="0">
    <w:nsid w:val="7D725DFE"/>
    <w:multiLevelType w:val="hybridMultilevel"/>
    <w:tmpl w:val="5268F3BC"/>
    <w:lvl w:ilvl="0" w:tplc="2C0AF818">
      <w:start w:val="1"/>
      <w:numFmt w:val="bullet"/>
      <w:lvlText w:val="-"/>
      <w:lvlJc w:val="left"/>
      <w:pPr>
        <w:ind w:left="825" w:hanging="360"/>
      </w:pPr>
      <w:rPr>
        <w:rFonts w:ascii="Times New Roman" w:eastAsia="Times New Roman" w:hAnsi="Times New Roman" w:hint="default"/>
        <w:sz w:val="24"/>
        <w:szCs w:val="24"/>
      </w:rPr>
    </w:lvl>
    <w:lvl w:ilvl="1" w:tplc="683646B0">
      <w:start w:val="1"/>
      <w:numFmt w:val="bullet"/>
      <w:lvlText w:val="•"/>
      <w:lvlJc w:val="left"/>
      <w:pPr>
        <w:ind w:left="1715" w:hanging="360"/>
      </w:pPr>
      <w:rPr>
        <w:rFonts w:hint="default"/>
      </w:rPr>
    </w:lvl>
    <w:lvl w:ilvl="2" w:tplc="26B41414">
      <w:start w:val="1"/>
      <w:numFmt w:val="bullet"/>
      <w:lvlText w:val="•"/>
      <w:lvlJc w:val="left"/>
      <w:pPr>
        <w:ind w:left="2605" w:hanging="360"/>
      </w:pPr>
      <w:rPr>
        <w:rFonts w:hint="default"/>
      </w:rPr>
    </w:lvl>
    <w:lvl w:ilvl="3" w:tplc="9ED82DC4">
      <w:start w:val="1"/>
      <w:numFmt w:val="bullet"/>
      <w:lvlText w:val="•"/>
      <w:lvlJc w:val="left"/>
      <w:pPr>
        <w:ind w:left="3495" w:hanging="360"/>
      </w:pPr>
      <w:rPr>
        <w:rFonts w:hint="default"/>
      </w:rPr>
    </w:lvl>
    <w:lvl w:ilvl="4" w:tplc="0076F8B0">
      <w:start w:val="1"/>
      <w:numFmt w:val="bullet"/>
      <w:lvlText w:val="•"/>
      <w:lvlJc w:val="left"/>
      <w:pPr>
        <w:ind w:left="4385" w:hanging="360"/>
      </w:pPr>
      <w:rPr>
        <w:rFonts w:hint="default"/>
      </w:rPr>
    </w:lvl>
    <w:lvl w:ilvl="5" w:tplc="00FAD9CA">
      <w:start w:val="1"/>
      <w:numFmt w:val="bullet"/>
      <w:lvlText w:val="•"/>
      <w:lvlJc w:val="left"/>
      <w:pPr>
        <w:ind w:left="5275" w:hanging="360"/>
      </w:pPr>
      <w:rPr>
        <w:rFonts w:hint="default"/>
      </w:rPr>
    </w:lvl>
    <w:lvl w:ilvl="6" w:tplc="B9765BF6">
      <w:start w:val="1"/>
      <w:numFmt w:val="bullet"/>
      <w:lvlText w:val="•"/>
      <w:lvlJc w:val="left"/>
      <w:pPr>
        <w:ind w:left="6165" w:hanging="360"/>
      </w:pPr>
      <w:rPr>
        <w:rFonts w:hint="default"/>
      </w:rPr>
    </w:lvl>
    <w:lvl w:ilvl="7" w:tplc="5072893E">
      <w:start w:val="1"/>
      <w:numFmt w:val="bullet"/>
      <w:lvlText w:val="•"/>
      <w:lvlJc w:val="left"/>
      <w:pPr>
        <w:ind w:left="7056" w:hanging="360"/>
      </w:pPr>
      <w:rPr>
        <w:rFonts w:hint="default"/>
      </w:rPr>
    </w:lvl>
    <w:lvl w:ilvl="8" w:tplc="A3BABF62">
      <w:start w:val="1"/>
      <w:numFmt w:val="bullet"/>
      <w:lvlText w:val="•"/>
      <w:lvlJc w:val="left"/>
      <w:pPr>
        <w:ind w:left="7946" w:hanging="360"/>
      </w:pPr>
      <w:rPr>
        <w:rFonts w:hint="default"/>
      </w:rPr>
    </w:lvl>
  </w:abstractNum>
  <w:abstractNum w:abstractNumId="59" w15:restartNumberingAfterBreak="0">
    <w:nsid w:val="7D9B77F7"/>
    <w:multiLevelType w:val="hybridMultilevel"/>
    <w:tmpl w:val="2DEE8E84"/>
    <w:lvl w:ilvl="0" w:tplc="025492D2">
      <w:start w:val="22"/>
      <w:numFmt w:val="decimal"/>
      <w:lvlText w:val="%1"/>
      <w:lvlJc w:val="left"/>
      <w:pPr>
        <w:ind w:left="125" w:hanging="180"/>
      </w:pPr>
      <w:rPr>
        <w:rFonts w:ascii="Times New Roman" w:eastAsia="Times New Roman" w:hAnsi="Times New Roman" w:hint="default"/>
        <w:w w:val="99"/>
        <w:position w:val="7"/>
        <w:sz w:val="13"/>
        <w:szCs w:val="13"/>
      </w:rPr>
    </w:lvl>
    <w:lvl w:ilvl="1" w:tplc="08223B62">
      <w:start w:val="1"/>
      <w:numFmt w:val="bullet"/>
      <w:lvlText w:val="-"/>
      <w:lvlJc w:val="left"/>
      <w:pPr>
        <w:ind w:left="845" w:hanging="360"/>
      </w:pPr>
      <w:rPr>
        <w:rFonts w:ascii="Calibri" w:eastAsia="Calibri" w:hAnsi="Calibri" w:hint="default"/>
        <w:sz w:val="24"/>
        <w:szCs w:val="24"/>
      </w:rPr>
    </w:lvl>
    <w:lvl w:ilvl="2" w:tplc="AFCCC1AA">
      <w:start w:val="1"/>
      <w:numFmt w:val="bullet"/>
      <w:lvlText w:val="•"/>
      <w:lvlJc w:val="left"/>
      <w:pPr>
        <w:ind w:left="1834" w:hanging="360"/>
      </w:pPr>
      <w:rPr>
        <w:rFonts w:hint="default"/>
      </w:rPr>
    </w:lvl>
    <w:lvl w:ilvl="3" w:tplc="292009FE">
      <w:start w:val="1"/>
      <w:numFmt w:val="bullet"/>
      <w:lvlText w:val="•"/>
      <w:lvlJc w:val="left"/>
      <w:pPr>
        <w:ind w:left="2823" w:hanging="360"/>
      </w:pPr>
      <w:rPr>
        <w:rFonts w:hint="default"/>
      </w:rPr>
    </w:lvl>
    <w:lvl w:ilvl="4" w:tplc="B6B49040">
      <w:start w:val="1"/>
      <w:numFmt w:val="bullet"/>
      <w:lvlText w:val="•"/>
      <w:lvlJc w:val="left"/>
      <w:pPr>
        <w:ind w:left="3812" w:hanging="360"/>
      </w:pPr>
      <w:rPr>
        <w:rFonts w:hint="default"/>
      </w:rPr>
    </w:lvl>
    <w:lvl w:ilvl="5" w:tplc="7C8ED3CE">
      <w:start w:val="1"/>
      <w:numFmt w:val="bullet"/>
      <w:lvlText w:val="•"/>
      <w:lvlJc w:val="left"/>
      <w:pPr>
        <w:ind w:left="4801" w:hanging="360"/>
      </w:pPr>
      <w:rPr>
        <w:rFonts w:hint="default"/>
      </w:rPr>
    </w:lvl>
    <w:lvl w:ilvl="6" w:tplc="1944BE9A">
      <w:start w:val="1"/>
      <w:numFmt w:val="bullet"/>
      <w:lvlText w:val="•"/>
      <w:lvlJc w:val="left"/>
      <w:pPr>
        <w:ind w:left="5790" w:hanging="360"/>
      </w:pPr>
      <w:rPr>
        <w:rFonts w:hint="default"/>
      </w:rPr>
    </w:lvl>
    <w:lvl w:ilvl="7" w:tplc="B92698B0">
      <w:start w:val="1"/>
      <w:numFmt w:val="bullet"/>
      <w:lvlText w:val="•"/>
      <w:lvlJc w:val="left"/>
      <w:pPr>
        <w:ind w:left="6779" w:hanging="360"/>
      </w:pPr>
      <w:rPr>
        <w:rFonts w:hint="default"/>
      </w:rPr>
    </w:lvl>
    <w:lvl w:ilvl="8" w:tplc="08983218">
      <w:start w:val="1"/>
      <w:numFmt w:val="bullet"/>
      <w:lvlText w:val="•"/>
      <w:lvlJc w:val="left"/>
      <w:pPr>
        <w:ind w:left="7768" w:hanging="360"/>
      </w:pPr>
      <w:rPr>
        <w:rFonts w:hint="default"/>
      </w:rPr>
    </w:lvl>
  </w:abstractNum>
  <w:abstractNum w:abstractNumId="60" w15:restartNumberingAfterBreak="0">
    <w:nsid w:val="7EC8225B"/>
    <w:multiLevelType w:val="multilevel"/>
    <w:tmpl w:val="8166CD62"/>
    <w:lvl w:ilvl="0">
      <w:start w:val="1"/>
      <w:numFmt w:val="upperRoman"/>
      <w:lvlText w:val="%1."/>
      <w:lvlJc w:val="left"/>
      <w:pPr>
        <w:ind w:left="358" w:hanging="214"/>
      </w:pPr>
      <w:rPr>
        <w:rFonts w:ascii="Times New Roman" w:eastAsia="Times New Roman" w:hAnsi="Times New Roman" w:hint="default"/>
        <w:b/>
        <w:bCs/>
        <w:sz w:val="24"/>
        <w:szCs w:val="24"/>
      </w:rPr>
    </w:lvl>
    <w:lvl w:ilvl="1">
      <w:start w:val="1"/>
      <w:numFmt w:val="decimal"/>
      <w:lvlText w:val="%1.%2."/>
      <w:lvlJc w:val="left"/>
      <w:pPr>
        <w:ind w:left="538" w:hanging="394"/>
        <w:jc w:val="right"/>
      </w:pPr>
      <w:rPr>
        <w:rFonts w:ascii="Times New Roman" w:eastAsia="Times New Roman" w:hAnsi="Times New Roman" w:hint="default"/>
        <w:b/>
        <w:bCs/>
        <w:sz w:val="24"/>
        <w:szCs w:val="24"/>
      </w:rPr>
    </w:lvl>
    <w:lvl w:ilvl="2">
      <w:start w:val="1"/>
      <w:numFmt w:val="decimal"/>
      <w:lvlText w:val="%1.%2.%3."/>
      <w:lvlJc w:val="left"/>
      <w:pPr>
        <w:ind w:left="792" w:hanging="668"/>
      </w:pPr>
      <w:rPr>
        <w:rFonts w:ascii="Times New Roman" w:eastAsia="Times New Roman" w:hAnsi="Times New Roman" w:hint="default"/>
        <w:b/>
        <w:bCs/>
        <w:sz w:val="24"/>
        <w:szCs w:val="24"/>
      </w:rPr>
    </w:lvl>
    <w:lvl w:ilvl="3">
      <w:start w:val="1"/>
      <w:numFmt w:val="bullet"/>
      <w:lvlText w:val="-"/>
      <w:lvlJc w:val="left"/>
      <w:pPr>
        <w:ind w:left="818" w:hanging="356"/>
      </w:pPr>
      <w:rPr>
        <w:rFonts w:ascii="Times New Roman" w:eastAsia="Times New Roman" w:hAnsi="Times New Roman" w:hint="default"/>
        <w:sz w:val="24"/>
        <w:szCs w:val="24"/>
      </w:rPr>
    </w:lvl>
    <w:lvl w:ilvl="4">
      <w:start w:val="1"/>
      <w:numFmt w:val="bullet"/>
      <w:lvlText w:val="•"/>
      <w:lvlJc w:val="left"/>
      <w:pPr>
        <w:ind w:left="686" w:hanging="356"/>
      </w:pPr>
      <w:rPr>
        <w:rFonts w:hint="default"/>
      </w:rPr>
    </w:lvl>
    <w:lvl w:ilvl="5">
      <w:start w:val="1"/>
      <w:numFmt w:val="bullet"/>
      <w:lvlText w:val="•"/>
      <w:lvlJc w:val="left"/>
      <w:pPr>
        <w:ind w:left="691" w:hanging="356"/>
      </w:pPr>
      <w:rPr>
        <w:rFonts w:hint="default"/>
      </w:rPr>
    </w:lvl>
    <w:lvl w:ilvl="6">
      <w:start w:val="1"/>
      <w:numFmt w:val="bullet"/>
      <w:lvlText w:val="•"/>
      <w:lvlJc w:val="left"/>
      <w:pPr>
        <w:ind w:left="758" w:hanging="356"/>
      </w:pPr>
      <w:rPr>
        <w:rFonts w:hint="default"/>
      </w:rPr>
    </w:lvl>
    <w:lvl w:ilvl="7">
      <w:start w:val="1"/>
      <w:numFmt w:val="bullet"/>
      <w:lvlText w:val="•"/>
      <w:lvlJc w:val="left"/>
      <w:pPr>
        <w:ind w:left="792" w:hanging="356"/>
      </w:pPr>
      <w:rPr>
        <w:rFonts w:hint="default"/>
      </w:rPr>
    </w:lvl>
    <w:lvl w:ilvl="8">
      <w:start w:val="1"/>
      <w:numFmt w:val="bullet"/>
      <w:lvlText w:val="•"/>
      <w:lvlJc w:val="left"/>
      <w:pPr>
        <w:ind w:left="818" w:hanging="356"/>
      </w:pPr>
      <w:rPr>
        <w:rFonts w:hint="default"/>
      </w:rPr>
    </w:lvl>
  </w:abstractNum>
  <w:abstractNum w:abstractNumId="61" w15:restartNumberingAfterBreak="0">
    <w:nsid w:val="7ED03376"/>
    <w:multiLevelType w:val="hybridMultilevel"/>
    <w:tmpl w:val="D1427BE8"/>
    <w:lvl w:ilvl="0" w:tplc="DE8E70FE">
      <w:start w:val="1"/>
      <w:numFmt w:val="bullet"/>
      <w:lvlText w:val="-"/>
      <w:lvlJc w:val="left"/>
      <w:pPr>
        <w:ind w:left="1545" w:hanging="720"/>
      </w:pPr>
      <w:rPr>
        <w:rFonts w:ascii="Times New Roman" w:eastAsia="Times New Roman" w:hAnsi="Times New Roman" w:hint="default"/>
        <w:sz w:val="24"/>
        <w:szCs w:val="24"/>
      </w:rPr>
    </w:lvl>
    <w:lvl w:ilvl="1" w:tplc="431042A0">
      <w:start w:val="1"/>
      <w:numFmt w:val="bullet"/>
      <w:lvlText w:val="•"/>
      <w:lvlJc w:val="left"/>
      <w:pPr>
        <w:ind w:left="2363" w:hanging="720"/>
      </w:pPr>
      <w:rPr>
        <w:rFonts w:hint="default"/>
      </w:rPr>
    </w:lvl>
    <w:lvl w:ilvl="2" w:tplc="4CB8BBC2">
      <w:start w:val="1"/>
      <w:numFmt w:val="bullet"/>
      <w:lvlText w:val="•"/>
      <w:lvlJc w:val="left"/>
      <w:pPr>
        <w:ind w:left="3181" w:hanging="720"/>
      </w:pPr>
      <w:rPr>
        <w:rFonts w:hint="default"/>
      </w:rPr>
    </w:lvl>
    <w:lvl w:ilvl="3" w:tplc="8F1462A2">
      <w:start w:val="1"/>
      <w:numFmt w:val="bullet"/>
      <w:lvlText w:val="•"/>
      <w:lvlJc w:val="left"/>
      <w:pPr>
        <w:ind w:left="3999" w:hanging="720"/>
      </w:pPr>
      <w:rPr>
        <w:rFonts w:hint="default"/>
      </w:rPr>
    </w:lvl>
    <w:lvl w:ilvl="4" w:tplc="492A5D72">
      <w:start w:val="1"/>
      <w:numFmt w:val="bullet"/>
      <w:lvlText w:val="•"/>
      <w:lvlJc w:val="left"/>
      <w:pPr>
        <w:ind w:left="4817" w:hanging="720"/>
      </w:pPr>
      <w:rPr>
        <w:rFonts w:hint="default"/>
      </w:rPr>
    </w:lvl>
    <w:lvl w:ilvl="5" w:tplc="5C00FEEA">
      <w:start w:val="1"/>
      <w:numFmt w:val="bullet"/>
      <w:lvlText w:val="•"/>
      <w:lvlJc w:val="left"/>
      <w:pPr>
        <w:ind w:left="5635" w:hanging="720"/>
      </w:pPr>
      <w:rPr>
        <w:rFonts w:hint="default"/>
      </w:rPr>
    </w:lvl>
    <w:lvl w:ilvl="6" w:tplc="0D0E3140">
      <w:start w:val="1"/>
      <w:numFmt w:val="bullet"/>
      <w:lvlText w:val="•"/>
      <w:lvlJc w:val="left"/>
      <w:pPr>
        <w:ind w:left="6453" w:hanging="720"/>
      </w:pPr>
      <w:rPr>
        <w:rFonts w:hint="default"/>
      </w:rPr>
    </w:lvl>
    <w:lvl w:ilvl="7" w:tplc="D8CCBD00">
      <w:start w:val="1"/>
      <w:numFmt w:val="bullet"/>
      <w:lvlText w:val="•"/>
      <w:lvlJc w:val="left"/>
      <w:pPr>
        <w:ind w:left="7272" w:hanging="720"/>
      </w:pPr>
      <w:rPr>
        <w:rFonts w:hint="default"/>
      </w:rPr>
    </w:lvl>
    <w:lvl w:ilvl="8" w:tplc="1C7AF02C">
      <w:start w:val="1"/>
      <w:numFmt w:val="bullet"/>
      <w:lvlText w:val="•"/>
      <w:lvlJc w:val="left"/>
      <w:pPr>
        <w:ind w:left="8090" w:hanging="720"/>
      </w:pPr>
      <w:rPr>
        <w:rFonts w:hint="default"/>
      </w:rPr>
    </w:lvl>
  </w:abstractNum>
  <w:num w:numId="1" w16cid:durableId="1881357936">
    <w:abstractNumId w:val="39"/>
  </w:num>
  <w:num w:numId="2" w16cid:durableId="1807120367">
    <w:abstractNumId w:val="0"/>
  </w:num>
  <w:num w:numId="3" w16cid:durableId="1842810539">
    <w:abstractNumId w:val="18"/>
  </w:num>
  <w:num w:numId="4" w16cid:durableId="223294632">
    <w:abstractNumId w:val="38"/>
  </w:num>
  <w:num w:numId="5" w16cid:durableId="637763516">
    <w:abstractNumId w:val="26"/>
  </w:num>
  <w:num w:numId="6" w16cid:durableId="737290692">
    <w:abstractNumId w:val="37"/>
  </w:num>
  <w:num w:numId="7" w16cid:durableId="2128893829">
    <w:abstractNumId w:val="6"/>
  </w:num>
  <w:num w:numId="8" w16cid:durableId="275018465">
    <w:abstractNumId w:val="40"/>
  </w:num>
  <w:num w:numId="9" w16cid:durableId="1956786391">
    <w:abstractNumId w:val="48"/>
  </w:num>
  <w:num w:numId="10" w16cid:durableId="1858084251">
    <w:abstractNumId w:val="33"/>
  </w:num>
  <w:num w:numId="11" w16cid:durableId="1200633154">
    <w:abstractNumId w:val="32"/>
  </w:num>
  <w:num w:numId="12" w16cid:durableId="1835998578">
    <w:abstractNumId w:val="53"/>
  </w:num>
  <w:num w:numId="13" w16cid:durableId="2059893696">
    <w:abstractNumId w:val="13"/>
  </w:num>
  <w:num w:numId="14" w16cid:durableId="1414936141">
    <w:abstractNumId w:val="46"/>
  </w:num>
  <w:num w:numId="15" w16cid:durableId="673146641">
    <w:abstractNumId w:val="61"/>
  </w:num>
  <w:num w:numId="16" w16cid:durableId="1397894089">
    <w:abstractNumId w:val="24"/>
  </w:num>
  <w:num w:numId="17" w16cid:durableId="1377657724">
    <w:abstractNumId w:val="30"/>
  </w:num>
  <w:num w:numId="18" w16cid:durableId="1891577085">
    <w:abstractNumId w:val="59"/>
  </w:num>
  <w:num w:numId="19" w16cid:durableId="2053575890">
    <w:abstractNumId w:val="21"/>
  </w:num>
  <w:num w:numId="20" w16cid:durableId="1552577479">
    <w:abstractNumId w:val="17"/>
  </w:num>
  <w:num w:numId="21" w16cid:durableId="1957104666">
    <w:abstractNumId w:val="27"/>
  </w:num>
  <w:num w:numId="22" w16cid:durableId="1018576770">
    <w:abstractNumId w:val="4"/>
  </w:num>
  <w:num w:numId="23" w16cid:durableId="11732721">
    <w:abstractNumId w:val="35"/>
  </w:num>
  <w:num w:numId="24" w16cid:durableId="791561024">
    <w:abstractNumId w:val="42"/>
  </w:num>
  <w:num w:numId="25" w16cid:durableId="77093330">
    <w:abstractNumId w:val="57"/>
  </w:num>
  <w:num w:numId="26" w16cid:durableId="2146073386">
    <w:abstractNumId w:val="36"/>
  </w:num>
  <w:num w:numId="27" w16cid:durableId="1252931314">
    <w:abstractNumId w:val="45"/>
  </w:num>
  <w:num w:numId="28" w16cid:durableId="538788721">
    <w:abstractNumId w:val="23"/>
  </w:num>
  <w:num w:numId="29" w16cid:durableId="2001540207">
    <w:abstractNumId w:val="25"/>
  </w:num>
  <w:num w:numId="30" w16cid:durableId="341205714">
    <w:abstractNumId w:val="19"/>
  </w:num>
  <w:num w:numId="31" w16cid:durableId="1072502436">
    <w:abstractNumId w:val="51"/>
  </w:num>
  <w:num w:numId="32" w16cid:durableId="817115026">
    <w:abstractNumId w:val="47"/>
  </w:num>
  <w:num w:numId="33" w16cid:durableId="1052655007">
    <w:abstractNumId w:val="16"/>
  </w:num>
  <w:num w:numId="34" w16cid:durableId="1450860166">
    <w:abstractNumId w:val="58"/>
  </w:num>
  <w:num w:numId="35" w16cid:durableId="1851412863">
    <w:abstractNumId w:val="43"/>
  </w:num>
  <w:num w:numId="36" w16cid:durableId="2008509774">
    <w:abstractNumId w:val="15"/>
  </w:num>
  <w:num w:numId="37" w16cid:durableId="548079552">
    <w:abstractNumId w:val="41"/>
  </w:num>
  <w:num w:numId="38" w16cid:durableId="89130746">
    <w:abstractNumId w:val="12"/>
  </w:num>
  <w:num w:numId="39" w16cid:durableId="1257445322">
    <w:abstractNumId w:val="44"/>
  </w:num>
  <w:num w:numId="40" w16cid:durableId="1911692083">
    <w:abstractNumId w:val="29"/>
  </w:num>
  <w:num w:numId="41" w16cid:durableId="224996184">
    <w:abstractNumId w:val="2"/>
  </w:num>
  <w:num w:numId="42" w16cid:durableId="1080299490">
    <w:abstractNumId w:val="49"/>
  </w:num>
  <w:num w:numId="43" w16cid:durableId="1705708391">
    <w:abstractNumId w:val="31"/>
  </w:num>
  <w:num w:numId="44" w16cid:durableId="1291402020">
    <w:abstractNumId w:val="56"/>
  </w:num>
  <w:num w:numId="45" w16cid:durableId="29769651">
    <w:abstractNumId w:val="10"/>
  </w:num>
  <w:num w:numId="46" w16cid:durableId="1980498451">
    <w:abstractNumId w:val="3"/>
  </w:num>
  <w:num w:numId="47" w16cid:durableId="401417462">
    <w:abstractNumId w:val="34"/>
  </w:num>
  <w:num w:numId="48" w16cid:durableId="937106597">
    <w:abstractNumId w:val="11"/>
  </w:num>
  <w:num w:numId="49" w16cid:durableId="1780055836">
    <w:abstractNumId w:val="50"/>
  </w:num>
  <w:num w:numId="50" w16cid:durableId="2015917206">
    <w:abstractNumId w:val="22"/>
  </w:num>
  <w:num w:numId="51" w16cid:durableId="2027628894">
    <w:abstractNumId w:val="9"/>
  </w:num>
  <w:num w:numId="52" w16cid:durableId="100801012">
    <w:abstractNumId w:val="20"/>
  </w:num>
  <w:num w:numId="53" w16cid:durableId="1723093657">
    <w:abstractNumId w:val="54"/>
  </w:num>
  <w:num w:numId="54" w16cid:durableId="1703478099">
    <w:abstractNumId w:val="8"/>
  </w:num>
  <w:num w:numId="55" w16cid:durableId="385641087">
    <w:abstractNumId w:val="5"/>
  </w:num>
  <w:num w:numId="56" w16cid:durableId="1165633672">
    <w:abstractNumId w:val="28"/>
  </w:num>
  <w:num w:numId="57" w16cid:durableId="1798985785">
    <w:abstractNumId w:val="14"/>
  </w:num>
  <w:num w:numId="58" w16cid:durableId="1463419720">
    <w:abstractNumId w:val="52"/>
  </w:num>
  <w:num w:numId="59" w16cid:durableId="458185413">
    <w:abstractNumId w:val="60"/>
  </w:num>
  <w:num w:numId="60" w16cid:durableId="328678221">
    <w:abstractNumId w:val="7"/>
  </w:num>
  <w:num w:numId="61" w16cid:durableId="931166848">
    <w:abstractNumId w:val="55"/>
  </w:num>
  <w:num w:numId="62" w16cid:durableId="1300915786">
    <w:abstractNumId w:val="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E24CD"/>
    <w:rsid w:val="00016917"/>
    <w:rsid w:val="00020093"/>
    <w:rsid w:val="0002063A"/>
    <w:rsid w:val="00026CA5"/>
    <w:rsid w:val="00031F94"/>
    <w:rsid w:val="00032384"/>
    <w:rsid w:val="00033A4B"/>
    <w:rsid w:val="00045AE4"/>
    <w:rsid w:val="000700B1"/>
    <w:rsid w:val="00072BE6"/>
    <w:rsid w:val="00090EED"/>
    <w:rsid w:val="00096EFD"/>
    <w:rsid w:val="000A1503"/>
    <w:rsid w:val="000C27C2"/>
    <w:rsid w:val="000C50B2"/>
    <w:rsid w:val="00104D74"/>
    <w:rsid w:val="001100CB"/>
    <w:rsid w:val="00110D31"/>
    <w:rsid w:val="00112219"/>
    <w:rsid w:val="001150C1"/>
    <w:rsid w:val="00121109"/>
    <w:rsid w:val="001221ED"/>
    <w:rsid w:val="00123EDB"/>
    <w:rsid w:val="00124079"/>
    <w:rsid w:val="00127986"/>
    <w:rsid w:val="00143D4E"/>
    <w:rsid w:val="001578A1"/>
    <w:rsid w:val="00160356"/>
    <w:rsid w:val="00171647"/>
    <w:rsid w:val="00185D95"/>
    <w:rsid w:val="00192202"/>
    <w:rsid w:val="0019254B"/>
    <w:rsid w:val="001A0EE0"/>
    <w:rsid w:val="001A4E80"/>
    <w:rsid w:val="001B304B"/>
    <w:rsid w:val="001C2CEB"/>
    <w:rsid w:val="001C7537"/>
    <w:rsid w:val="001E1CF0"/>
    <w:rsid w:val="001E7D38"/>
    <w:rsid w:val="00200DB9"/>
    <w:rsid w:val="002112E1"/>
    <w:rsid w:val="002155F0"/>
    <w:rsid w:val="00221833"/>
    <w:rsid w:val="00227D9F"/>
    <w:rsid w:val="002313A1"/>
    <w:rsid w:val="00244E9E"/>
    <w:rsid w:val="002477AA"/>
    <w:rsid w:val="00251D95"/>
    <w:rsid w:val="0025799A"/>
    <w:rsid w:val="00267FAA"/>
    <w:rsid w:val="00271A27"/>
    <w:rsid w:val="00273E08"/>
    <w:rsid w:val="00281883"/>
    <w:rsid w:val="002830A9"/>
    <w:rsid w:val="002859D7"/>
    <w:rsid w:val="002B4A26"/>
    <w:rsid w:val="002C3577"/>
    <w:rsid w:val="002D67B8"/>
    <w:rsid w:val="002E2FC6"/>
    <w:rsid w:val="002F05D2"/>
    <w:rsid w:val="002F0690"/>
    <w:rsid w:val="00305029"/>
    <w:rsid w:val="00307C74"/>
    <w:rsid w:val="003174CE"/>
    <w:rsid w:val="0032471D"/>
    <w:rsid w:val="00346AA7"/>
    <w:rsid w:val="00354D4B"/>
    <w:rsid w:val="003570FC"/>
    <w:rsid w:val="00360924"/>
    <w:rsid w:val="00381A93"/>
    <w:rsid w:val="0039201A"/>
    <w:rsid w:val="003A5925"/>
    <w:rsid w:val="003C2D7F"/>
    <w:rsid w:val="003C6157"/>
    <w:rsid w:val="003C74A7"/>
    <w:rsid w:val="003E0F9C"/>
    <w:rsid w:val="003F3B95"/>
    <w:rsid w:val="004128CD"/>
    <w:rsid w:val="0041431E"/>
    <w:rsid w:val="00420924"/>
    <w:rsid w:val="004210BA"/>
    <w:rsid w:val="00422A38"/>
    <w:rsid w:val="00441BA4"/>
    <w:rsid w:val="00445F57"/>
    <w:rsid w:val="004529A7"/>
    <w:rsid w:val="004600DA"/>
    <w:rsid w:val="0046653B"/>
    <w:rsid w:val="004723D9"/>
    <w:rsid w:val="00491851"/>
    <w:rsid w:val="00497D6F"/>
    <w:rsid w:val="004A1823"/>
    <w:rsid w:val="004A5198"/>
    <w:rsid w:val="004B070F"/>
    <w:rsid w:val="004B5DE6"/>
    <w:rsid w:val="004B75E3"/>
    <w:rsid w:val="004C073E"/>
    <w:rsid w:val="004D2D13"/>
    <w:rsid w:val="004F2B0E"/>
    <w:rsid w:val="004F67F5"/>
    <w:rsid w:val="005206CD"/>
    <w:rsid w:val="00524D1E"/>
    <w:rsid w:val="00527AC2"/>
    <w:rsid w:val="00543626"/>
    <w:rsid w:val="005470BC"/>
    <w:rsid w:val="005479B0"/>
    <w:rsid w:val="00563B5C"/>
    <w:rsid w:val="005676F8"/>
    <w:rsid w:val="00571EE7"/>
    <w:rsid w:val="00583C8C"/>
    <w:rsid w:val="0058503F"/>
    <w:rsid w:val="0059347B"/>
    <w:rsid w:val="005A2D50"/>
    <w:rsid w:val="005E3C98"/>
    <w:rsid w:val="005E5699"/>
    <w:rsid w:val="00612E7B"/>
    <w:rsid w:val="006133AA"/>
    <w:rsid w:val="00622A53"/>
    <w:rsid w:val="0063129D"/>
    <w:rsid w:val="00631CBA"/>
    <w:rsid w:val="00642C09"/>
    <w:rsid w:val="006477B0"/>
    <w:rsid w:val="006641A6"/>
    <w:rsid w:val="0066616A"/>
    <w:rsid w:val="00666387"/>
    <w:rsid w:val="00680A98"/>
    <w:rsid w:val="00681F55"/>
    <w:rsid w:val="00687DB5"/>
    <w:rsid w:val="00690E6D"/>
    <w:rsid w:val="006A1BD9"/>
    <w:rsid w:val="006A4FC8"/>
    <w:rsid w:val="006B4372"/>
    <w:rsid w:val="006D4302"/>
    <w:rsid w:val="006D46E5"/>
    <w:rsid w:val="006E2F11"/>
    <w:rsid w:val="006E636B"/>
    <w:rsid w:val="007057DA"/>
    <w:rsid w:val="007302AC"/>
    <w:rsid w:val="00747EE3"/>
    <w:rsid w:val="00796DF1"/>
    <w:rsid w:val="007B25E8"/>
    <w:rsid w:val="007B7992"/>
    <w:rsid w:val="007C1F3F"/>
    <w:rsid w:val="007C56C9"/>
    <w:rsid w:val="007E24CD"/>
    <w:rsid w:val="007F2AB0"/>
    <w:rsid w:val="00804F08"/>
    <w:rsid w:val="00807663"/>
    <w:rsid w:val="00817511"/>
    <w:rsid w:val="00854584"/>
    <w:rsid w:val="00861D15"/>
    <w:rsid w:val="00871930"/>
    <w:rsid w:val="0089015D"/>
    <w:rsid w:val="00893857"/>
    <w:rsid w:val="008A151F"/>
    <w:rsid w:val="008C132C"/>
    <w:rsid w:val="008C2220"/>
    <w:rsid w:val="008C3215"/>
    <w:rsid w:val="008D70C9"/>
    <w:rsid w:val="008E1BD6"/>
    <w:rsid w:val="00906F06"/>
    <w:rsid w:val="00916598"/>
    <w:rsid w:val="00924372"/>
    <w:rsid w:val="00932CEB"/>
    <w:rsid w:val="00953DB0"/>
    <w:rsid w:val="00953FAC"/>
    <w:rsid w:val="009731E6"/>
    <w:rsid w:val="00975CDC"/>
    <w:rsid w:val="009853FB"/>
    <w:rsid w:val="00992075"/>
    <w:rsid w:val="009A01FA"/>
    <w:rsid w:val="009B5122"/>
    <w:rsid w:val="009B7384"/>
    <w:rsid w:val="009D2BA0"/>
    <w:rsid w:val="009D2DD6"/>
    <w:rsid w:val="00A0037E"/>
    <w:rsid w:val="00A00CEA"/>
    <w:rsid w:val="00A01DD8"/>
    <w:rsid w:val="00A03BE3"/>
    <w:rsid w:val="00A1436E"/>
    <w:rsid w:val="00A42FBE"/>
    <w:rsid w:val="00A50566"/>
    <w:rsid w:val="00A626D4"/>
    <w:rsid w:val="00A86388"/>
    <w:rsid w:val="00A937BE"/>
    <w:rsid w:val="00AC0522"/>
    <w:rsid w:val="00AC1CE8"/>
    <w:rsid w:val="00AF571A"/>
    <w:rsid w:val="00B473B6"/>
    <w:rsid w:val="00B5035B"/>
    <w:rsid w:val="00B64E0C"/>
    <w:rsid w:val="00B843CC"/>
    <w:rsid w:val="00BB109B"/>
    <w:rsid w:val="00BB1C9D"/>
    <w:rsid w:val="00BD67D9"/>
    <w:rsid w:val="00BF4224"/>
    <w:rsid w:val="00BF61E6"/>
    <w:rsid w:val="00BF7786"/>
    <w:rsid w:val="00C036B2"/>
    <w:rsid w:val="00C04339"/>
    <w:rsid w:val="00C24CFD"/>
    <w:rsid w:val="00C27A23"/>
    <w:rsid w:val="00C30F19"/>
    <w:rsid w:val="00C35FFD"/>
    <w:rsid w:val="00C4227A"/>
    <w:rsid w:val="00C433D2"/>
    <w:rsid w:val="00C439D9"/>
    <w:rsid w:val="00C537CA"/>
    <w:rsid w:val="00C61A97"/>
    <w:rsid w:val="00C7056C"/>
    <w:rsid w:val="00C77535"/>
    <w:rsid w:val="00C80186"/>
    <w:rsid w:val="00C9524D"/>
    <w:rsid w:val="00C97D81"/>
    <w:rsid w:val="00CC262D"/>
    <w:rsid w:val="00CD1A52"/>
    <w:rsid w:val="00CE3608"/>
    <w:rsid w:val="00D119F7"/>
    <w:rsid w:val="00D2063E"/>
    <w:rsid w:val="00D20BBE"/>
    <w:rsid w:val="00D3699F"/>
    <w:rsid w:val="00D61108"/>
    <w:rsid w:val="00D70C1C"/>
    <w:rsid w:val="00D77A4C"/>
    <w:rsid w:val="00DA7F35"/>
    <w:rsid w:val="00DB5812"/>
    <w:rsid w:val="00DD781B"/>
    <w:rsid w:val="00DF5E00"/>
    <w:rsid w:val="00E00FAB"/>
    <w:rsid w:val="00E10FED"/>
    <w:rsid w:val="00E356F7"/>
    <w:rsid w:val="00E40CBD"/>
    <w:rsid w:val="00E55215"/>
    <w:rsid w:val="00E64DF5"/>
    <w:rsid w:val="00E661CF"/>
    <w:rsid w:val="00E77A27"/>
    <w:rsid w:val="00E961CB"/>
    <w:rsid w:val="00E96B0B"/>
    <w:rsid w:val="00EA55C0"/>
    <w:rsid w:val="00EB0502"/>
    <w:rsid w:val="00EB55AD"/>
    <w:rsid w:val="00EB5CE4"/>
    <w:rsid w:val="00ED66B4"/>
    <w:rsid w:val="00F155F7"/>
    <w:rsid w:val="00F368AA"/>
    <w:rsid w:val="00F41D72"/>
    <w:rsid w:val="00F52A17"/>
    <w:rsid w:val="00F57DE0"/>
    <w:rsid w:val="00F758DD"/>
    <w:rsid w:val="00F86D76"/>
    <w:rsid w:val="00F92F49"/>
    <w:rsid w:val="00FA4C68"/>
    <w:rsid w:val="00FB3146"/>
    <w:rsid w:val="00FB4329"/>
    <w:rsid w:val="00FC0C0C"/>
    <w:rsid w:val="00FD09D8"/>
    <w:rsid w:val="00FE038F"/>
    <w:rsid w:val="00FE707E"/>
    <w:rsid w:val="00FF52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D3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rsid w:val="00C036B2"/>
    <w:pPr>
      <w:tabs>
        <w:tab w:val="left" w:pos="359"/>
      </w:tabs>
      <w:jc w:val="both"/>
      <w:outlineLvl w:val="0"/>
    </w:pPr>
    <w:rPr>
      <w:rFonts w:ascii="Times New Roman" w:hAnsi="Times New Roman"/>
      <w:b/>
      <w:sz w:val="24"/>
    </w:rPr>
  </w:style>
  <w:style w:type="paragraph" w:styleId="Heading2">
    <w:name w:val="heading 2"/>
    <w:basedOn w:val="Heading1"/>
    <w:uiPriority w:val="9"/>
    <w:unhideWhenUsed/>
    <w:qFormat/>
    <w:rsid w:val="00C036B2"/>
    <w:pPr>
      <w:outlineLvl w:val="1"/>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0"/>
    </w:pPr>
    <w:rPr>
      <w:rFonts w:ascii="Times New Roman" w:eastAsia="Times New Roman" w:hAnsi="Times New Roman"/>
    </w:rPr>
  </w:style>
  <w:style w:type="paragraph" w:styleId="TOC2">
    <w:name w:val="toc 2"/>
    <w:basedOn w:val="Normal"/>
    <w:uiPriority w:val="39"/>
    <w:qFormat/>
    <w:pPr>
      <w:spacing w:before="100"/>
      <w:ind w:left="611" w:hanging="506"/>
    </w:pPr>
    <w:rPr>
      <w:rFonts w:ascii="Times New Roman" w:eastAsia="Times New Roman" w:hAnsi="Times New Roman"/>
    </w:rPr>
  </w:style>
  <w:style w:type="paragraph" w:styleId="TOC3">
    <w:name w:val="toc 3"/>
    <w:basedOn w:val="Normal"/>
    <w:uiPriority w:val="1"/>
    <w:qFormat/>
    <w:pPr>
      <w:spacing w:before="100"/>
      <w:ind w:left="287" w:hanging="341"/>
    </w:pPr>
    <w:rPr>
      <w:rFonts w:ascii="Times New Roman" w:eastAsia="Times New Roman" w:hAnsi="Times New Roman"/>
      <w:sz w:val="18"/>
      <w:szCs w:val="18"/>
    </w:rPr>
  </w:style>
  <w:style w:type="paragraph" w:styleId="TOC4">
    <w:name w:val="toc 4"/>
    <w:basedOn w:val="Normal"/>
    <w:uiPriority w:val="1"/>
    <w:qFormat/>
    <w:pPr>
      <w:spacing w:before="100"/>
      <w:ind w:left="436" w:hanging="331"/>
    </w:pPr>
    <w:rPr>
      <w:rFonts w:ascii="Times New Roman" w:eastAsia="Times New Roman" w:hAnsi="Times New Roman"/>
      <w:b/>
      <w:bCs/>
      <w:i/>
    </w:rPr>
  </w:style>
  <w:style w:type="paragraph" w:styleId="TOC5">
    <w:name w:val="toc 5"/>
    <w:basedOn w:val="Normal"/>
    <w:uiPriority w:val="1"/>
    <w:qFormat/>
    <w:pPr>
      <w:spacing w:before="102"/>
      <w:ind w:left="198"/>
    </w:pPr>
    <w:rPr>
      <w:rFonts w:ascii="Times New Roman" w:eastAsia="Times New Roman" w:hAnsi="Times New Roman"/>
    </w:rPr>
  </w:style>
  <w:style w:type="paragraph" w:styleId="TOC6">
    <w:name w:val="toc 6"/>
    <w:basedOn w:val="Normal"/>
    <w:uiPriority w:val="1"/>
    <w:qFormat/>
    <w:pPr>
      <w:spacing w:before="100"/>
      <w:ind w:left="388"/>
    </w:pPr>
    <w:rPr>
      <w:rFonts w:ascii="Times New Roman" w:eastAsia="Times New Roman" w:hAnsi="Times New Roman"/>
    </w:rPr>
  </w:style>
  <w:style w:type="paragraph" w:styleId="BodyText">
    <w:name w:val="Body Text"/>
    <w:basedOn w:val="Normal"/>
    <w:uiPriority w:val="1"/>
    <w:qFormat/>
    <w:rsid w:val="00D70C1C"/>
    <w:pPr>
      <w:jc w:val="both"/>
    </w:pPr>
    <w:rPr>
      <w:rFonts w:ascii="Times New Roman" w:eastAsia="Arial" w:hAnsi="Times New Roman" w:cs="Times New Roman"/>
      <w:noProof/>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2313A1"/>
    <w:pPr>
      <w:tabs>
        <w:tab w:val="center" w:pos="4513"/>
        <w:tab w:val="right" w:pos="9026"/>
      </w:tabs>
    </w:pPr>
  </w:style>
  <w:style w:type="character" w:customStyle="1" w:styleId="HeaderChar">
    <w:name w:val="Header Char"/>
    <w:basedOn w:val="DefaultParagraphFont"/>
    <w:link w:val="Header"/>
    <w:rsid w:val="002313A1"/>
  </w:style>
  <w:style w:type="paragraph" w:styleId="Footer">
    <w:name w:val="footer"/>
    <w:basedOn w:val="Normal"/>
    <w:link w:val="FooterChar"/>
    <w:unhideWhenUsed/>
    <w:rsid w:val="002313A1"/>
    <w:pPr>
      <w:tabs>
        <w:tab w:val="center" w:pos="4513"/>
        <w:tab w:val="right" w:pos="9026"/>
      </w:tabs>
    </w:pPr>
  </w:style>
  <w:style w:type="character" w:customStyle="1" w:styleId="FooterChar">
    <w:name w:val="Footer Char"/>
    <w:basedOn w:val="DefaultParagraphFont"/>
    <w:link w:val="Footer"/>
    <w:rsid w:val="002313A1"/>
  </w:style>
  <w:style w:type="table" w:styleId="TableGrid">
    <w:name w:val="Table Grid"/>
    <w:basedOn w:val="TableNormal"/>
    <w:uiPriority w:val="39"/>
    <w:rsid w:val="00285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60356"/>
    <w:rPr>
      <w:sz w:val="20"/>
      <w:szCs w:val="20"/>
    </w:rPr>
  </w:style>
  <w:style w:type="character" w:customStyle="1" w:styleId="FootnoteTextChar">
    <w:name w:val="Footnote Text Char"/>
    <w:basedOn w:val="DefaultParagraphFont"/>
    <w:link w:val="FootnoteText"/>
    <w:uiPriority w:val="99"/>
    <w:semiHidden/>
    <w:rsid w:val="00160356"/>
    <w:rPr>
      <w:sz w:val="20"/>
      <w:szCs w:val="20"/>
    </w:rPr>
  </w:style>
  <w:style w:type="character" w:styleId="FootnoteReference">
    <w:name w:val="footnote reference"/>
    <w:basedOn w:val="DefaultParagraphFont"/>
    <w:uiPriority w:val="99"/>
    <w:semiHidden/>
    <w:unhideWhenUsed/>
    <w:rsid w:val="00160356"/>
    <w:rPr>
      <w:vertAlign w:val="superscript"/>
    </w:rPr>
  </w:style>
  <w:style w:type="character" w:styleId="CommentReference">
    <w:name w:val="annotation reference"/>
    <w:basedOn w:val="DefaultParagraphFont"/>
    <w:uiPriority w:val="99"/>
    <w:semiHidden/>
    <w:unhideWhenUsed/>
    <w:rsid w:val="00C439D9"/>
    <w:rPr>
      <w:sz w:val="16"/>
      <w:szCs w:val="16"/>
    </w:rPr>
  </w:style>
  <w:style w:type="paragraph" w:styleId="CommentText">
    <w:name w:val="annotation text"/>
    <w:basedOn w:val="Normal"/>
    <w:link w:val="CommentTextChar"/>
    <w:uiPriority w:val="99"/>
    <w:unhideWhenUsed/>
    <w:rsid w:val="00C439D9"/>
    <w:rPr>
      <w:sz w:val="20"/>
      <w:szCs w:val="20"/>
    </w:rPr>
  </w:style>
  <w:style w:type="character" w:customStyle="1" w:styleId="CommentTextChar">
    <w:name w:val="Comment Text Char"/>
    <w:basedOn w:val="DefaultParagraphFont"/>
    <w:link w:val="CommentText"/>
    <w:uiPriority w:val="99"/>
    <w:rsid w:val="00C439D9"/>
    <w:rPr>
      <w:sz w:val="20"/>
      <w:szCs w:val="20"/>
    </w:rPr>
  </w:style>
  <w:style w:type="paragraph" w:styleId="CommentSubject">
    <w:name w:val="annotation subject"/>
    <w:basedOn w:val="CommentText"/>
    <w:next w:val="CommentText"/>
    <w:link w:val="CommentSubjectChar"/>
    <w:uiPriority w:val="99"/>
    <w:semiHidden/>
    <w:unhideWhenUsed/>
    <w:rsid w:val="00C439D9"/>
    <w:rPr>
      <w:b/>
      <w:bCs/>
    </w:rPr>
  </w:style>
  <w:style w:type="character" w:customStyle="1" w:styleId="CommentSubjectChar">
    <w:name w:val="Comment Subject Char"/>
    <w:basedOn w:val="CommentTextChar"/>
    <w:link w:val="CommentSubject"/>
    <w:uiPriority w:val="99"/>
    <w:semiHidden/>
    <w:rsid w:val="00C439D9"/>
    <w:rPr>
      <w:b/>
      <w:bCs/>
      <w:sz w:val="20"/>
      <w:szCs w:val="20"/>
    </w:rPr>
  </w:style>
  <w:style w:type="paragraph" w:styleId="Revision">
    <w:name w:val="Revision"/>
    <w:hidden/>
    <w:uiPriority w:val="99"/>
    <w:semiHidden/>
    <w:rsid w:val="00C439D9"/>
    <w:pPr>
      <w:widowControl/>
    </w:pPr>
  </w:style>
  <w:style w:type="character" w:styleId="PageNumber">
    <w:name w:val="page number"/>
    <w:basedOn w:val="DefaultParagraphFont"/>
    <w:semiHidden/>
    <w:rsid w:val="00C24CFD"/>
  </w:style>
  <w:style w:type="paragraph" w:styleId="TOCHeading">
    <w:name w:val="TOC Heading"/>
    <w:basedOn w:val="Heading1"/>
    <w:next w:val="Normal"/>
    <w:uiPriority w:val="39"/>
    <w:unhideWhenUsed/>
    <w:qFormat/>
    <w:rsid w:val="00C30F19"/>
    <w:pPr>
      <w:keepNext/>
      <w:keepLines/>
      <w:widowControl/>
      <w:tabs>
        <w:tab w:val="clear" w:pos="359"/>
      </w:tab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rPr>
  </w:style>
  <w:style w:type="character" w:styleId="Hyperlink">
    <w:name w:val="Hyperlink"/>
    <w:basedOn w:val="DefaultParagraphFont"/>
    <w:uiPriority w:val="99"/>
    <w:unhideWhenUsed/>
    <w:rsid w:val="00C30F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05580B-2499-4902-BC26-988818236440}">
  <ds:schemaRefs>
    <ds:schemaRef ds:uri="http://schemas.openxmlformats.org/officeDocument/2006/bibliography"/>
  </ds:schemaRefs>
</ds:datastoreItem>
</file>

<file path=customXml/itemProps2.xml><?xml version="1.0" encoding="utf-8"?>
<ds:datastoreItem xmlns:ds="http://schemas.openxmlformats.org/officeDocument/2006/customXml" ds:itemID="{B68D6647-B649-48DC-8A52-10C646A00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DDCAEF-46E7-477C-9BF5-DF32D1104CD1}">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4.xml><?xml version="1.0" encoding="utf-8"?>
<ds:datastoreItem xmlns:ds="http://schemas.openxmlformats.org/officeDocument/2006/customXml" ds:itemID="{721D8897-1A70-46E5-B70E-301FAB6C53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130976</Words>
  <Characters>74657</Characters>
  <Application>Microsoft Office Word</Application>
  <DocSecurity>0</DocSecurity>
  <Lines>622</Lines>
  <Paragraphs>410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2022-03-29T07:51:00Z</dcterms:created>
  <dcterms:modified xsi:type="dcterms:W3CDTF">2022-08-16T11:51:00Z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