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0EF03" w14:textId="77777777" w:rsidR="0022206F" w:rsidRPr="0022206F" w:rsidRDefault="0022206F" w:rsidP="0022206F">
      <w:pPr>
        <w:jc w:val="right"/>
        <w:rPr>
          <w:rFonts w:ascii="Times New Roman" w:hAnsi="Times New Roman" w:cs="Times New Roman"/>
          <w:b/>
          <w:i/>
          <w:noProof/>
          <w:sz w:val="24"/>
          <w:szCs w:val="24"/>
        </w:rPr>
      </w:pPr>
      <w:r>
        <w:rPr>
          <w:rFonts w:ascii="Times New Roman" w:hAnsi="Times New Roman"/>
          <w:b/>
          <w:i/>
          <w:sz w:val="24"/>
        </w:rPr>
        <w:t>2007. gada 14. decembris</w:t>
      </w:r>
    </w:p>
    <w:p w14:paraId="65FDF212" w14:textId="77777777" w:rsidR="0022206F" w:rsidRPr="0020431E" w:rsidRDefault="0022206F" w:rsidP="0022206F">
      <w:pPr>
        <w:jc w:val="both"/>
        <w:rPr>
          <w:rFonts w:ascii="Times New Roman" w:eastAsia="Arial" w:hAnsi="Times New Roman" w:cs="Times New Roman"/>
          <w:i/>
          <w:noProof/>
          <w:sz w:val="24"/>
          <w:szCs w:val="24"/>
        </w:rPr>
      </w:pPr>
    </w:p>
    <w:p w14:paraId="5A3C8E47" w14:textId="77777777" w:rsidR="0022206F" w:rsidRPr="0020431E" w:rsidRDefault="0022206F" w:rsidP="0022206F">
      <w:pPr>
        <w:jc w:val="both"/>
        <w:rPr>
          <w:rFonts w:ascii="Times New Roman" w:eastAsia="Arial" w:hAnsi="Times New Roman" w:cs="Times New Roman"/>
          <w:i/>
          <w:noProof/>
          <w:sz w:val="24"/>
          <w:szCs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461"/>
      </w:tblGrid>
      <w:tr w:rsidR="0022206F" w:rsidRPr="0022206F" w14:paraId="73D00F27" w14:textId="77777777" w:rsidTr="00ED5568">
        <w:tc>
          <w:tcPr>
            <w:tcW w:w="9621" w:type="dxa"/>
          </w:tcPr>
          <w:p w14:paraId="602B2FA7" w14:textId="77777777" w:rsidR="0022206F" w:rsidRPr="0022206F" w:rsidRDefault="0022206F" w:rsidP="00ED5568">
            <w:pPr>
              <w:jc w:val="center"/>
              <w:rPr>
                <w:rFonts w:ascii="Times New Roman" w:eastAsia="Arial" w:hAnsi="Times New Roman" w:cs="Times New Roman"/>
                <w:b/>
                <w:bCs/>
                <w:iCs/>
                <w:noProof/>
                <w:sz w:val="24"/>
                <w:szCs w:val="24"/>
              </w:rPr>
            </w:pPr>
            <w:r>
              <w:rPr>
                <w:rFonts w:ascii="Times New Roman" w:hAnsi="Times New Roman"/>
                <w:b/>
                <w:sz w:val="24"/>
              </w:rPr>
              <w:t>PAMATNOSTĀDNES ATTIECĪBĀ UZ REGULAS (EK) Nr. 1924/2006 PAR UZTURVĒRTĪBAS UN VESELĪGUMA NORĀDĒM UZ PĀRTIKAS PRODUKTIEM ĪSTENOŠANU. PĀRTIKAS APRITES UN DZĪVNIEKU VESELĪBAS PASTĀVĪGĀS KOMITEJAS SECINĀJUMI</w:t>
            </w:r>
          </w:p>
        </w:tc>
      </w:tr>
    </w:tbl>
    <w:p w14:paraId="0FE2442E" w14:textId="77777777" w:rsidR="0022206F" w:rsidRPr="0022206F" w:rsidRDefault="0022206F" w:rsidP="0022206F">
      <w:pPr>
        <w:jc w:val="both"/>
        <w:rPr>
          <w:rFonts w:ascii="Times New Roman" w:eastAsia="Arial" w:hAnsi="Times New Roman" w:cs="Times New Roman"/>
          <w:noProof/>
          <w:sz w:val="24"/>
          <w:szCs w:val="24"/>
        </w:rPr>
      </w:pPr>
    </w:p>
    <w:p w14:paraId="765E59AC" w14:textId="77777777" w:rsidR="0022206F" w:rsidRPr="0022206F" w:rsidRDefault="0022206F" w:rsidP="0022206F">
      <w:pPr>
        <w:pStyle w:val="Virsraksts1"/>
        <w:spacing w:before="0"/>
        <w:ind w:left="0"/>
        <w:jc w:val="both"/>
        <w:rPr>
          <w:rFonts w:cs="Times New Roman"/>
          <w:noProof/>
          <w:sz w:val="24"/>
          <w:szCs w:val="24"/>
        </w:rPr>
      </w:pPr>
      <w:bookmarkStart w:id="0" w:name="_TOC_250016"/>
      <w:r>
        <w:br w:type="page"/>
      </w:r>
    </w:p>
    <w:p w14:paraId="624031E1" w14:textId="77777777" w:rsidR="006F1EDB" w:rsidRDefault="006F1EDB" w:rsidP="006079AA">
      <w:pPr>
        <w:jc w:val="both"/>
        <w:rPr>
          <w:rFonts w:ascii="Times New Roman" w:hAnsi="Times New Roman" w:cs="Times New Roman"/>
          <w:b/>
          <w:bCs/>
          <w:sz w:val="24"/>
        </w:rPr>
      </w:pPr>
    </w:p>
    <w:p w14:paraId="4816DD5B" w14:textId="454AD0FC" w:rsidR="006079AA" w:rsidRPr="006079AA" w:rsidRDefault="006079AA" w:rsidP="006079AA">
      <w:pPr>
        <w:jc w:val="both"/>
        <w:rPr>
          <w:rFonts w:ascii="Times New Roman" w:hAnsi="Times New Roman" w:cs="Times New Roman"/>
          <w:b/>
          <w:bCs/>
          <w:sz w:val="24"/>
        </w:rPr>
      </w:pPr>
      <w:r w:rsidRPr="006079AA">
        <w:rPr>
          <w:rFonts w:ascii="Times New Roman" w:hAnsi="Times New Roman" w:cs="Times New Roman"/>
          <w:b/>
          <w:bCs/>
          <w:sz w:val="24"/>
        </w:rPr>
        <w:t>Saturs</w:t>
      </w:r>
    </w:p>
    <w:sdt>
      <w:sdtPr>
        <w:rPr>
          <w:rFonts w:ascii="Times New Roman" w:eastAsiaTheme="minorHAnsi" w:hAnsi="Times New Roman" w:cs="Times New Roman"/>
          <w:color w:val="auto"/>
          <w:sz w:val="24"/>
          <w:szCs w:val="24"/>
          <w:lang w:eastAsia="en-US"/>
        </w:rPr>
        <w:id w:val="-557622357"/>
        <w:docPartObj>
          <w:docPartGallery w:val="Table of Contents"/>
          <w:docPartUnique/>
        </w:docPartObj>
      </w:sdtPr>
      <w:sdtEndPr>
        <w:rPr>
          <w:b/>
          <w:bCs/>
        </w:rPr>
      </w:sdtEndPr>
      <w:sdtContent>
        <w:p w14:paraId="11D11750" w14:textId="4F09CEB1" w:rsidR="006079AA" w:rsidRPr="00D333FC" w:rsidRDefault="006079AA" w:rsidP="00432A4D">
          <w:pPr>
            <w:pStyle w:val="Saturardtjavirsraksts"/>
            <w:spacing w:before="0" w:line="240" w:lineRule="auto"/>
            <w:jc w:val="both"/>
            <w:rPr>
              <w:rFonts w:ascii="Times New Roman" w:hAnsi="Times New Roman" w:cs="Times New Roman"/>
              <w:color w:val="auto"/>
              <w:sz w:val="24"/>
              <w:szCs w:val="24"/>
            </w:rPr>
          </w:pPr>
        </w:p>
        <w:p w14:paraId="464B2DFA" w14:textId="77777777" w:rsidR="006C2ED4" w:rsidRPr="00D333FC" w:rsidRDefault="006C2ED4" w:rsidP="006C2ED4">
          <w:pPr>
            <w:rPr>
              <w:rFonts w:ascii="Times New Roman" w:hAnsi="Times New Roman" w:cs="Times New Roman"/>
              <w:sz w:val="24"/>
              <w:szCs w:val="24"/>
              <w:lang w:eastAsia="lv-LV"/>
            </w:rPr>
          </w:pPr>
        </w:p>
        <w:p w14:paraId="6412DC3A" w14:textId="32A49473" w:rsidR="006079AA" w:rsidRPr="00D333FC" w:rsidRDefault="006079AA" w:rsidP="00432A4D">
          <w:pPr>
            <w:pStyle w:val="Saturs1"/>
            <w:tabs>
              <w:tab w:val="right" w:leader="dot" w:pos="9395"/>
            </w:tabs>
            <w:ind w:left="0" w:firstLine="0"/>
            <w:jc w:val="both"/>
            <w:rPr>
              <w:rFonts w:eastAsiaTheme="minorEastAsia" w:cs="Times New Roman"/>
              <w:b w:val="0"/>
              <w:bCs w:val="0"/>
              <w:noProof/>
              <w:lang w:eastAsia="lv-LV"/>
            </w:rPr>
          </w:pPr>
          <w:r w:rsidRPr="00D333FC">
            <w:rPr>
              <w:rFonts w:cs="Times New Roman"/>
            </w:rPr>
            <w:fldChar w:fldCharType="begin"/>
          </w:r>
          <w:r w:rsidRPr="00D333FC">
            <w:rPr>
              <w:rFonts w:cs="Times New Roman"/>
            </w:rPr>
            <w:instrText xml:space="preserve"> TOC \o "1-3" \h \z \u </w:instrText>
          </w:r>
          <w:r w:rsidRPr="00D333FC">
            <w:rPr>
              <w:rFonts w:cs="Times New Roman"/>
            </w:rPr>
            <w:fldChar w:fldCharType="separate"/>
          </w:r>
          <w:hyperlink w:anchor="_Toc64303275" w:history="1">
            <w:r w:rsidRPr="00D333FC">
              <w:rPr>
                <w:rStyle w:val="Hipersaite"/>
                <w:rFonts w:cs="Times New Roman"/>
                <w:noProof/>
              </w:rPr>
              <w:t>IEVADS</w:t>
            </w:r>
            <w:r w:rsidRPr="00D333FC">
              <w:rPr>
                <w:rFonts w:cs="Times New Roman"/>
                <w:noProof/>
                <w:webHidden/>
              </w:rPr>
              <w:tab/>
            </w:r>
            <w:r w:rsidRPr="00D333FC">
              <w:rPr>
                <w:rFonts w:cs="Times New Roman"/>
                <w:noProof/>
                <w:webHidden/>
              </w:rPr>
              <w:fldChar w:fldCharType="begin"/>
            </w:r>
            <w:r w:rsidRPr="00D333FC">
              <w:rPr>
                <w:rFonts w:cs="Times New Roman"/>
                <w:noProof/>
                <w:webHidden/>
              </w:rPr>
              <w:instrText xml:space="preserve"> PAGEREF _Toc64303275 \h </w:instrText>
            </w:r>
            <w:r w:rsidRPr="00D333FC">
              <w:rPr>
                <w:rFonts w:cs="Times New Roman"/>
                <w:noProof/>
                <w:webHidden/>
              </w:rPr>
            </w:r>
            <w:r w:rsidRPr="00D333FC">
              <w:rPr>
                <w:rFonts w:cs="Times New Roman"/>
                <w:noProof/>
                <w:webHidden/>
              </w:rPr>
              <w:fldChar w:fldCharType="separate"/>
            </w:r>
            <w:r w:rsidRPr="00D333FC">
              <w:rPr>
                <w:rFonts w:cs="Times New Roman"/>
                <w:noProof/>
                <w:webHidden/>
              </w:rPr>
              <w:t>3</w:t>
            </w:r>
            <w:r w:rsidRPr="00D333FC">
              <w:rPr>
                <w:rFonts w:cs="Times New Roman"/>
                <w:noProof/>
                <w:webHidden/>
              </w:rPr>
              <w:fldChar w:fldCharType="end"/>
            </w:r>
          </w:hyperlink>
        </w:p>
        <w:p w14:paraId="42978F30" w14:textId="0A8171AE" w:rsidR="006079AA" w:rsidRPr="00D333FC" w:rsidRDefault="0020431E" w:rsidP="00432A4D">
          <w:pPr>
            <w:pStyle w:val="Saturs1"/>
            <w:tabs>
              <w:tab w:val="right" w:leader="dot" w:pos="9395"/>
            </w:tabs>
            <w:ind w:left="0" w:firstLine="0"/>
            <w:jc w:val="both"/>
            <w:rPr>
              <w:rFonts w:eastAsiaTheme="minorEastAsia" w:cs="Times New Roman"/>
              <w:b w:val="0"/>
              <w:bCs w:val="0"/>
              <w:noProof/>
              <w:lang w:eastAsia="lv-LV"/>
            </w:rPr>
          </w:pPr>
          <w:hyperlink w:anchor="_Toc64303276" w:history="1">
            <w:r w:rsidR="006079AA" w:rsidRPr="00D333FC">
              <w:rPr>
                <w:rStyle w:val="Hipersaite"/>
                <w:rFonts w:cs="Times New Roman"/>
                <w:noProof/>
              </w:rPr>
              <w:t>I. MIJIEDARBĪBA AR CITIEM KOPIENAS TIESĪBU AKTIEM</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_Toc64303276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4</w:t>
            </w:r>
            <w:r w:rsidR="006079AA" w:rsidRPr="00D333FC">
              <w:rPr>
                <w:rFonts w:cs="Times New Roman"/>
                <w:noProof/>
                <w:webHidden/>
              </w:rPr>
              <w:fldChar w:fldCharType="end"/>
            </w:r>
          </w:hyperlink>
        </w:p>
        <w:p w14:paraId="4B5CF06A" w14:textId="4DD4C106" w:rsidR="006079AA" w:rsidRPr="00D333FC" w:rsidRDefault="0020431E" w:rsidP="00432A4D">
          <w:pPr>
            <w:pStyle w:val="Saturs2"/>
            <w:tabs>
              <w:tab w:val="right" w:leader="dot" w:pos="9395"/>
            </w:tabs>
            <w:ind w:left="284" w:firstLine="0"/>
            <w:jc w:val="both"/>
            <w:rPr>
              <w:rFonts w:eastAsiaTheme="minorEastAsia" w:cs="Times New Roman"/>
              <w:b w:val="0"/>
              <w:bCs w:val="0"/>
              <w:noProof/>
              <w:lang w:eastAsia="lv-LV"/>
            </w:rPr>
          </w:pPr>
          <w:hyperlink w:anchor="_Toc64303277" w:history="1">
            <w:r w:rsidR="006079AA" w:rsidRPr="00D333FC">
              <w:rPr>
                <w:rStyle w:val="Hipersaite"/>
                <w:rFonts w:cs="Times New Roman"/>
                <w:noProof/>
              </w:rPr>
              <w:t>I.1. Mijiedarbība ar Kopienas noteikumiem, kas definēti Direktīvā 89/398/EEK un direktīvās, kuras pieņemtas attiecībā uz īpašas diētas pārtikas produktiem (</w:t>
            </w:r>
            <w:r w:rsidR="006079AA" w:rsidRPr="00D333FC">
              <w:rPr>
                <w:rStyle w:val="Hipersaite"/>
                <w:rFonts w:cs="Times New Roman"/>
                <w:i/>
                <w:iCs/>
                <w:noProof/>
              </w:rPr>
              <w:t>PARNUTS</w:t>
            </w:r>
            <w:r w:rsidR="006079AA" w:rsidRPr="00D333FC">
              <w:rPr>
                <w:rStyle w:val="Hipersaite"/>
                <w:rFonts w:cs="Times New Roman"/>
                <w:noProof/>
              </w:rPr>
              <w:t>)</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_Toc64303277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4</w:t>
            </w:r>
            <w:r w:rsidR="006079AA" w:rsidRPr="00D333FC">
              <w:rPr>
                <w:rFonts w:cs="Times New Roman"/>
                <w:noProof/>
                <w:webHidden/>
              </w:rPr>
              <w:fldChar w:fldCharType="end"/>
            </w:r>
          </w:hyperlink>
        </w:p>
        <w:p w14:paraId="477FF364" w14:textId="30CA13FF" w:rsidR="006079AA" w:rsidRPr="00D333FC" w:rsidRDefault="0020431E" w:rsidP="00432A4D">
          <w:pPr>
            <w:pStyle w:val="Saturs2"/>
            <w:tabs>
              <w:tab w:val="right" w:leader="dot" w:pos="9395"/>
            </w:tabs>
            <w:ind w:left="284" w:firstLine="0"/>
            <w:jc w:val="both"/>
            <w:rPr>
              <w:rFonts w:eastAsiaTheme="minorEastAsia" w:cs="Times New Roman"/>
              <w:b w:val="0"/>
              <w:bCs w:val="0"/>
              <w:noProof/>
              <w:lang w:eastAsia="lv-LV"/>
            </w:rPr>
          </w:pPr>
          <w:hyperlink w:anchor="_Toc64303278" w:history="1">
            <w:r w:rsidR="006079AA" w:rsidRPr="00D333FC">
              <w:rPr>
                <w:rStyle w:val="Hipersaite"/>
                <w:rFonts w:cs="Times New Roman"/>
                <w:noProof/>
              </w:rPr>
              <w:t>I.2. Mijiedarbība ar Regulu (EK) Nr. 258/97, kas attiecas uz jauniem pārtikas produktiem un jaunām pārtikas produktu sastāvdaļām, un attiecīgie pasākumi</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_Toc64303278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4</w:t>
            </w:r>
            <w:r w:rsidR="006079AA" w:rsidRPr="00D333FC">
              <w:rPr>
                <w:rFonts w:cs="Times New Roman"/>
                <w:noProof/>
                <w:webHidden/>
              </w:rPr>
              <w:fldChar w:fldCharType="end"/>
            </w:r>
          </w:hyperlink>
        </w:p>
        <w:p w14:paraId="12A917DA" w14:textId="2FEFFD76" w:rsidR="006079AA" w:rsidRPr="00D333FC" w:rsidRDefault="0020431E" w:rsidP="00432A4D">
          <w:pPr>
            <w:pStyle w:val="Saturs1"/>
            <w:tabs>
              <w:tab w:val="right" w:leader="dot" w:pos="9395"/>
            </w:tabs>
            <w:ind w:left="0" w:firstLine="0"/>
            <w:jc w:val="both"/>
            <w:rPr>
              <w:rFonts w:eastAsiaTheme="minorEastAsia" w:cs="Times New Roman"/>
              <w:b w:val="0"/>
              <w:bCs w:val="0"/>
              <w:noProof/>
              <w:lang w:eastAsia="lv-LV"/>
            </w:rPr>
          </w:pPr>
          <w:hyperlink w:anchor="_Toc64303279" w:history="1">
            <w:r w:rsidR="006079AA" w:rsidRPr="00D333FC">
              <w:rPr>
                <w:rStyle w:val="Hipersaite"/>
                <w:rFonts w:cs="Times New Roman"/>
                <w:noProof/>
              </w:rPr>
              <w:t>II. SALĪDZINOŠĀS NORĀDES</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_Toc64303279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6</w:t>
            </w:r>
            <w:r w:rsidR="006079AA" w:rsidRPr="00D333FC">
              <w:rPr>
                <w:rFonts w:cs="Times New Roman"/>
                <w:noProof/>
                <w:webHidden/>
              </w:rPr>
              <w:fldChar w:fldCharType="end"/>
            </w:r>
          </w:hyperlink>
        </w:p>
        <w:p w14:paraId="7C04B579" w14:textId="7ED7E982" w:rsidR="006079AA" w:rsidRPr="00D333FC" w:rsidRDefault="0020431E" w:rsidP="00432A4D">
          <w:pPr>
            <w:pStyle w:val="Saturs2"/>
            <w:tabs>
              <w:tab w:val="right" w:leader="dot" w:pos="9395"/>
            </w:tabs>
            <w:ind w:left="284" w:firstLine="0"/>
            <w:jc w:val="both"/>
            <w:rPr>
              <w:rFonts w:eastAsiaTheme="minorEastAsia" w:cs="Times New Roman"/>
              <w:b w:val="0"/>
              <w:bCs w:val="0"/>
              <w:noProof/>
              <w:lang w:eastAsia="lv-LV"/>
            </w:rPr>
          </w:pPr>
          <w:hyperlink w:anchor="_Toc64303280" w:history="1">
            <w:r w:rsidR="006079AA" w:rsidRPr="00D333FC">
              <w:rPr>
                <w:rStyle w:val="Hipersaite"/>
                <w:rFonts w:cs="Times New Roman"/>
                <w:noProof/>
              </w:rPr>
              <w:t>II.1. Regulas noteikumi</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_Toc64303280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6</w:t>
            </w:r>
            <w:r w:rsidR="006079AA" w:rsidRPr="00D333FC">
              <w:rPr>
                <w:rFonts w:cs="Times New Roman"/>
                <w:noProof/>
                <w:webHidden/>
              </w:rPr>
              <w:fldChar w:fldCharType="end"/>
            </w:r>
          </w:hyperlink>
        </w:p>
        <w:p w14:paraId="5BB2D466" w14:textId="232EE18E" w:rsidR="006079AA" w:rsidRPr="00D333FC" w:rsidRDefault="0020431E" w:rsidP="006F1EDB">
          <w:pPr>
            <w:pStyle w:val="Saturs2"/>
            <w:tabs>
              <w:tab w:val="right" w:leader="dot" w:pos="9395"/>
            </w:tabs>
            <w:ind w:left="709" w:firstLine="0"/>
            <w:jc w:val="both"/>
            <w:rPr>
              <w:rFonts w:eastAsiaTheme="minorEastAsia" w:cs="Times New Roman"/>
              <w:b w:val="0"/>
              <w:bCs w:val="0"/>
              <w:noProof/>
              <w:lang w:eastAsia="lv-LV"/>
            </w:rPr>
          </w:pPr>
          <w:hyperlink w:anchor="_Toc64303281" w:history="1">
            <w:r w:rsidR="006079AA" w:rsidRPr="00D333FC">
              <w:rPr>
                <w:rStyle w:val="Hipersaite"/>
                <w:rFonts w:cs="Times New Roman"/>
                <w:noProof/>
              </w:rPr>
              <w:t>Salīdzinošās norādes, kuras reglamentē Regulas 9. pants</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_Toc64303281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6</w:t>
            </w:r>
            <w:r w:rsidR="006079AA" w:rsidRPr="00D333FC">
              <w:rPr>
                <w:rFonts w:cs="Times New Roman"/>
                <w:noProof/>
                <w:webHidden/>
              </w:rPr>
              <w:fldChar w:fldCharType="end"/>
            </w:r>
          </w:hyperlink>
        </w:p>
        <w:p w14:paraId="768B2731" w14:textId="626DBB76" w:rsidR="006079AA" w:rsidRPr="00D333FC" w:rsidRDefault="0020431E" w:rsidP="00432A4D">
          <w:pPr>
            <w:pStyle w:val="Saturs2"/>
            <w:tabs>
              <w:tab w:val="right" w:leader="dot" w:pos="9395"/>
            </w:tabs>
            <w:ind w:left="284" w:firstLine="0"/>
            <w:jc w:val="both"/>
            <w:rPr>
              <w:rFonts w:eastAsiaTheme="minorEastAsia" w:cs="Times New Roman"/>
              <w:b w:val="0"/>
              <w:bCs w:val="0"/>
              <w:noProof/>
              <w:lang w:eastAsia="lv-LV"/>
            </w:rPr>
          </w:pPr>
          <w:hyperlink w:anchor="_Toc64303282" w:history="1">
            <w:r w:rsidR="006079AA" w:rsidRPr="00D333FC">
              <w:rPr>
                <w:rStyle w:val="Hipersaite"/>
                <w:rFonts w:cs="Times New Roman"/>
                <w:noProof/>
              </w:rPr>
              <w:t>II.2. Pamatnostādnes par salīdzinošo norāžu lietošanu</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_Toc64303282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7</w:t>
            </w:r>
            <w:r w:rsidR="006079AA" w:rsidRPr="00D333FC">
              <w:rPr>
                <w:rFonts w:cs="Times New Roman"/>
                <w:noProof/>
                <w:webHidden/>
              </w:rPr>
              <w:fldChar w:fldCharType="end"/>
            </w:r>
          </w:hyperlink>
        </w:p>
        <w:p w14:paraId="536B7058" w14:textId="07B93B2E" w:rsidR="006079AA" w:rsidRPr="00D333FC" w:rsidRDefault="0020431E" w:rsidP="00432A4D">
          <w:pPr>
            <w:pStyle w:val="Saturs3"/>
            <w:tabs>
              <w:tab w:val="right" w:leader="dot" w:pos="9395"/>
            </w:tabs>
            <w:ind w:left="709"/>
            <w:jc w:val="both"/>
            <w:rPr>
              <w:rFonts w:eastAsiaTheme="minorEastAsia" w:cs="Times New Roman"/>
              <w:b w:val="0"/>
              <w:bCs w:val="0"/>
              <w:noProof/>
              <w:lang w:eastAsia="lv-LV"/>
            </w:rPr>
          </w:pPr>
          <w:hyperlink w:anchor="_Toc64303283" w:history="1">
            <w:r w:rsidR="006079AA" w:rsidRPr="00D333FC">
              <w:rPr>
                <w:rStyle w:val="Hipersaite"/>
                <w:rFonts w:cs="Times New Roman"/>
                <w:noProof/>
              </w:rPr>
              <w:t>II.2.1. Pārtikas produktu kategorija</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_Toc64303283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7</w:t>
            </w:r>
            <w:r w:rsidR="006079AA" w:rsidRPr="00D333FC">
              <w:rPr>
                <w:rFonts w:cs="Times New Roman"/>
                <w:noProof/>
                <w:webHidden/>
              </w:rPr>
              <w:fldChar w:fldCharType="end"/>
            </w:r>
          </w:hyperlink>
        </w:p>
        <w:p w14:paraId="5BC1CF63" w14:textId="00200BB7" w:rsidR="006079AA" w:rsidRPr="00D333FC" w:rsidRDefault="0020431E" w:rsidP="00432A4D">
          <w:pPr>
            <w:pStyle w:val="Saturs3"/>
            <w:tabs>
              <w:tab w:val="right" w:leader="dot" w:pos="9395"/>
            </w:tabs>
            <w:ind w:left="709"/>
            <w:jc w:val="both"/>
            <w:rPr>
              <w:rFonts w:eastAsiaTheme="minorEastAsia" w:cs="Times New Roman"/>
              <w:b w:val="0"/>
              <w:bCs w:val="0"/>
              <w:noProof/>
              <w:lang w:eastAsia="lv-LV"/>
            </w:rPr>
          </w:pPr>
          <w:hyperlink w:anchor="_Toc64303284" w:history="1">
            <w:r w:rsidR="006079AA" w:rsidRPr="00D333FC">
              <w:rPr>
                <w:rStyle w:val="Hipersaite"/>
                <w:rFonts w:cs="Times New Roman"/>
                <w:noProof/>
              </w:rPr>
              <w:t>II.2.2. Atsauces produkts</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_Toc64303284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7</w:t>
            </w:r>
            <w:r w:rsidR="006079AA" w:rsidRPr="00D333FC">
              <w:rPr>
                <w:rFonts w:cs="Times New Roman"/>
                <w:noProof/>
                <w:webHidden/>
              </w:rPr>
              <w:fldChar w:fldCharType="end"/>
            </w:r>
          </w:hyperlink>
        </w:p>
        <w:p w14:paraId="353DE6A0" w14:textId="341EC356" w:rsidR="006079AA" w:rsidRPr="00D333FC" w:rsidRDefault="0020431E" w:rsidP="00432A4D">
          <w:pPr>
            <w:pStyle w:val="Saturs3"/>
            <w:tabs>
              <w:tab w:val="right" w:leader="dot" w:pos="9395"/>
            </w:tabs>
            <w:ind w:left="709"/>
            <w:jc w:val="both"/>
            <w:rPr>
              <w:rFonts w:eastAsiaTheme="minorEastAsia" w:cs="Times New Roman"/>
              <w:b w:val="0"/>
              <w:bCs w:val="0"/>
              <w:noProof/>
              <w:lang w:eastAsia="lv-LV"/>
            </w:rPr>
          </w:pPr>
          <w:hyperlink w:anchor="_Toc64303285" w:history="1">
            <w:r w:rsidR="006079AA" w:rsidRPr="00D333FC">
              <w:rPr>
                <w:rStyle w:val="Hipersaite"/>
                <w:rFonts w:cs="Times New Roman"/>
                <w:noProof/>
              </w:rPr>
              <w:t>II.2.3. Nozīmīgs salīdzinājums</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_Toc64303285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8</w:t>
            </w:r>
            <w:r w:rsidR="006079AA" w:rsidRPr="00D333FC">
              <w:rPr>
                <w:rFonts w:cs="Times New Roman"/>
                <w:noProof/>
                <w:webHidden/>
              </w:rPr>
              <w:fldChar w:fldCharType="end"/>
            </w:r>
          </w:hyperlink>
        </w:p>
        <w:p w14:paraId="22C563EA" w14:textId="7CD174FF" w:rsidR="006079AA" w:rsidRPr="00D333FC" w:rsidRDefault="0020431E" w:rsidP="00432A4D">
          <w:pPr>
            <w:pStyle w:val="Saturs3"/>
            <w:tabs>
              <w:tab w:val="right" w:leader="dot" w:pos="9395"/>
            </w:tabs>
            <w:ind w:left="709"/>
            <w:jc w:val="both"/>
            <w:rPr>
              <w:rFonts w:eastAsiaTheme="minorEastAsia" w:cs="Times New Roman"/>
              <w:b w:val="0"/>
              <w:bCs w:val="0"/>
              <w:noProof/>
              <w:lang w:eastAsia="lv-LV"/>
            </w:rPr>
          </w:pPr>
          <w:hyperlink w:anchor="_Toc64303286" w:history="1">
            <w:r w:rsidR="006079AA" w:rsidRPr="00D333FC">
              <w:rPr>
                <w:rStyle w:val="Hipersaite"/>
                <w:rFonts w:cs="Times New Roman"/>
                <w:noProof/>
              </w:rPr>
              <w:t>II.2.4. Norāde par atšķirībām uzturvielas daudzumā un/vai enerģētiskajā vērtībā</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_Toc64303286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8</w:t>
            </w:r>
            <w:r w:rsidR="006079AA" w:rsidRPr="00D333FC">
              <w:rPr>
                <w:rFonts w:cs="Times New Roman"/>
                <w:noProof/>
                <w:webHidden/>
              </w:rPr>
              <w:fldChar w:fldCharType="end"/>
            </w:r>
          </w:hyperlink>
        </w:p>
        <w:p w14:paraId="0996CF0B" w14:textId="07F24820" w:rsidR="006079AA" w:rsidRPr="00D333FC" w:rsidRDefault="0020431E" w:rsidP="00432A4D">
          <w:pPr>
            <w:pStyle w:val="Saturs1"/>
            <w:tabs>
              <w:tab w:val="right" w:leader="dot" w:pos="9395"/>
            </w:tabs>
            <w:ind w:left="0" w:firstLine="0"/>
            <w:jc w:val="both"/>
            <w:rPr>
              <w:rFonts w:eastAsiaTheme="minorEastAsia" w:cs="Times New Roman"/>
              <w:b w:val="0"/>
              <w:bCs w:val="0"/>
              <w:noProof/>
              <w:lang w:eastAsia="lv-LV"/>
            </w:rPr>
          </w:pPr>
          <w:hyperlink w:anchor="_Toc64303287" w:history="1">
            <w:r w:rsidR="006079AA" w:rsidRPr="00D333FC">
              <w:rPr>
                <w:rStyle w:val="Hipersaite"/>
                <w:rFonts w:cs="Times New Roman"/>
                <w:noProof/>
              </w:rPr>
              <w:t>III. NORĀŽU KLASIFIKĀCIJA</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_Toc64303287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9</w:t>
            </w:r>
            <w:r w:rsidR="006079AA" w:rsidRPr="00D333FC">
              <w:rPr>
                <w:rFonts w:cs="Times New Roman"/>
                <w:noProof/>
                <w:webHidden/>
              </w:rPr>
              <w:fldChar w:fldCharType="end"/>
            </w:r>
          </w:hyperlink>
        </w:p>
        <w:p w14:paraId="799193F6" w14:textId="1F183E09" w:rsidR="006079AA" w:rsidRPr="00D333FC" w:rsidRDefault="0020431E" w:rsidP="00432A4D">
          <w:pPr>
            <w:pStyle w:val="Saturs2"/>
            <w:tabs>
              <w:tab w:val="right" w:leader="dot" w:pos="9395"/>
            </w:tabs>
            <w:ind w:left="284" w:firstLine="0"/>
            <w:jc w:val="both"/>
            <w:rPr>
              <w:rFonts w:eastAsiaTheme="minorEastAsia" w:cs="Times New Roman"/>
              <w:b w:val="0"/>
              <w:bCs w:val="0"/>
              <w:noProof/>
              <w:lang w:eastAsia="lv-LV"/>
            </w:rPr>
          </w:pPr>
          <w:hyperlink w:anchor="_Toc64303288" w:history="1">
            <w:r w:rsidR="006079AA" w:rsidRPr="00D333FC">
              <w:rPr>
                <w:rStyle w:val="Hipersaite"/>
                <w:rFonts w:cs="Times New Roman"/>
                <w:noProof/>
              </w:rPr>
              <w:t>III.1. Uzturvērtības norādes / veselīguma norādes</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_Toc64303288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9</w:t>
            </w:r>
            <w:r w:rsidR="006079AA" w:rsidRPr="00D333FC">
              <w:rPr>
                <w:rFonts w:cs="Times New Roman"/>
                <w:noProof/>
                <w:webHidden/>
              </w:rPr>
              <w:fldChar w:fldCharType="end"/>
            </w:r>
          </w:hyperlink>
        </w:p>
        <w:p w14:paraId="7C998A17" w14:textId="0018180C" w:rsidR="006079AA" w:rsidRPr="00D333FC" w:rsidRDefault="0020431E" w:rsidP="006F1EDB">
          <w:pPr>
            <w:pStyle w:val="Saturs2"/>
            <w:tabs>
              <w:tab w:val="right" w:leader="dot" w:pos="9395"/>
            </w:tabs>
            <w:ind w:left="284" w:firstLine="0"/>
            <w:jc w:val="both"/>
            <w:rPr>
              <w:rFonts w:eastAsiaTheme="minorEastAsia" w:cs="Times New Roman"/>
              <w:b w:val="0"/>
              <w:bCs w:val="0"/>
              <w:noProof/>
              <w:lang w:eastAsia="lv-LV"/>
            </w:rPr>
          </w:pPr>
          <w:hyperlink w:anchor="_Toc64303289" w:history="1">
            <w:r w:rsidR="006079AA" w:rsidRPr="00D333FC">
              <w:rPr>
                <w:rStyle w:val="Hipersaite"/>
                <w:rFonts w:cs="Times New Roman"/>
                <w:noProof/>
              </w:rPr>
              <w:t>III.2. Veselīguma norāžu klasifikācija</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_Toc64303289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11</w:t>
            </w:r>
            <w:r w:rsidR="006079AA" w:rsidRPr="00D333FC">
              <w:rPr>
                <w:rFonts w:cs="Times New Roman"/>
                <w:noProof/>
                <w:webHidden/>
              </w:rPr>
              <w:fldChar w:fldCharType="end"/>
            </w:r>
          </w:hyperlink>
        </w:p>
        <w:p w14:paraId="295395FC" w14:textId="62E7F255" w:rsidR="006079AA" w:rsidRPr="00D333FC" w:rsidRDefault="0020431E" w:rsidP="00432A4D">
          <w:pPr>
            <w:pStyle w:val="Saturs3"/>
            <w:tabs>
              <w:tab w:val="right" w:leader="dot" w:pos="9395"/>
            </w:tabs>
            <w:ind w:left="709"/>
            <w:jc w:val="both"/>
            <w:rPr>
              <w:rFonts w:eastAsiaTheme="minorEastAsia" w:cs="Times New Roman"/>
              <w:b w:val="0"/>
              <w:bCs w:val="0"/>
              <w:noProof/>
              <w:lang w:eastAsia="lv-LV"/>
            </w:rPr>
          </w:pPr>
          <w:hyperlink w:anchor="_Toc64303291" w:history="1">
            <w:r w:rsidR="006079AA" w:rsidRPr="00D333FC">
              <w:rPr>
                <w:rStyle w:val="Hipersaite"/>
                <w:rFonts w:cs="Times New Roman"/>
                <w:noProof/>
              </w:rPr>
              <w:t>III.2.1. Robežgadījumi starp “norādēm par funkcijām organismā” un “samazināta slimības riska norādēm”</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_Toc64303291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11</w:t>
            </w:r>
            <w:r w:rsidR="006079AA" w:rsidRPr="00D333FC">
              <w:rPr>
                <w:rFonts w:cs="Times New Roman"/>
                <w:noProof/>
                <w:webHidden/>
              </w:rPr>
              <w:fldChar w:fldCharType="end"/>
            </w:r>
          </w:hyperlink>
        </w:p>
        <w:p w14:paraId="06ADA151" w14:textId="13EE447D" w:rsidR="006079AA" w:rsidRPr="00D333FC" w:rsidRDefault="0020431E" w:rsidP="00432A4D">
          <w:pPr>
            <w:pStyle w:val="Saturs3"/>
            <w:tabs>
              <w:tab w:val="right" w:leader="dot" w:pos="9395"/>
            </w:tabs>
            <w:ind w:left="709"/>
            <w:jc w:val="both"/>
            <w:rPr>
              <w:rFonts w:eastAsiaTheme="minorEastAsia" w:cs="Times New Roman"/>
              <w:b w:val="0"/>
              <w:bCs w:val="0"/>
              <w:noProof/>
              <w:lang w:eastAsia="lv-LV"/>
            </w:rPr>
          </w:pPr>
          <w:hyperlink w:anchor="_Toc64303292" w:history="1">
            <w:r w:rsidR="006079AA" w:rsidRPr="00D333FC">
              <w:rPr>
                <w:rStyle w:val="Hipersaite"/>
                <w:rFonts w:cs="Times New Roman"/>
                <w:noProof/>
              </w:rPr>
              <w:t>III.2.2. Robežgadījumi starp norādēm, kurās minēta bērnu attīstība un veselība, un citām veselīguma norādēm</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_Toc64303292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12</w:t>
            </w:r>
            <w:r w:rsidR="006079AA" w:rsidRPr="00D333FC">
              <w:rPr>
                <w:rFonts w:cs="Times New Roman"/>
                <w:noProof/>
                <w:webHidden/>
              </w:rPr>
              <w:fldChar w:fldCharType="end"/>
            </w:r>
          </w:hyperlink>
        </w:p>
        <w:p w14:paraId="443EBCDC" w14:textId="0C37D73D" w:rsidR="006079AA" w:rsidRPr="00D333FC" w:rsidRDefault="0020431E" w:rsidP="00432A4D">
          <w:pPr>
            <w:pStyle w:val="Saturs3"/>
            <w:tabs>
              <w:tab w:val="right" w:leader="dot" w:pos="9395"/>
            </w:tabs>
            <w:ind w:left="709"/>
            <w:jc w:val="both"/>
            <w:rPr>
              <w:rFonts w:eastAsiaTheme="minorEastAsia" w:cs="Times New Roman"/>
              <w:b w:val="0"/>
              <w:bCs w:val="0"/>
              <w:noProof/>
              <w:lang w:eastAsia="lv-LV"/>
            </w:rPr>
          </w:pPr>
          <w:hyperlink w:anchor="_Toc64303295" w:history="1">
            <w:r w:rsidR="006079AA" w:rsidRPr="00D333FC">
              <w:rPr>
                <w:rStyle w:val="Hipersaite"/>
                <w:rFonts w:cs="Times New Roman"/>
                <w:noProof/>
              </w:rPr>
              <w:t>III.2.3. Ietekme, ko rada klasifikācija atbilstoši 13. un 14. pantam</w:t>
            </w:r>
            <w:r w:rsidR="006079AA" w:rsidRPr="00D333FC">
              <w:rPr>
                <w:rFonts w:cs="Times New Roman"/>
                <w:noProof/>
                <w:webHidden/>
              </w:rPr>
              <w:tab/>
            </w:r>
            <w:r w:rsidR="006079AA" w:rsidRPr="00D333FC">
              <w:rPr>
                <w:rFonts w:cs="Times New Roman"/>
                <w:noProof/>
                <w:webHidden/>
              </w:rPr>
              <w:fldChar w:fldCharType="begin"/>
            </w:r>
            <w:r w:rsidR="006079AA" w:rsidRPr="00D333FC">
              <w:rPr>
                <w:rFonts w:cs="Times New Roman"/>
                <w:noProof/>
                <w:webHidden/>
              </w:rPr>
              <w:instrText xml:space="preserve"> PAGEREF _Toc64303295 \h </w:instrText>
            </w:r>
            <w:r w:rsidR="006079AA" w:rsidRPr="00D333FC">
              <w:rPr>
                <w:rFonts w:cs="Times New Roman"/>
                <w:noProof/>
                <w:webHidden/>
              </w:rPr>
            </w:r>
            <w:r w:rsidR="006079AA" w:rsidRPr="00D333FC">
              <w:rPr>
                <w:rFonts w:cs="Times New Roman"/>
                <w:noProof/>
                <w:webHidden/>
              </w:rPr>
              <w:fldChar w:fldCharType="separate"/>
            </w:r>
            <w:r w:rsidR="006079AA" w:rsidRPr="00D333FC">
              <w:rPr>
                <w:rFonts w:cs="Times New Roman"/>
                <w:noProof/>
                <w:webHidden/>
              </w:rPr>
              <w:t>13</w:t>
            </w:r>
            <w:r w:rsidR="006079AA" w:rsidRPr="00D333FC">
              <w:rPr>
                <w:rFonts w:cs="Times New Roman"/>
                <w:noProof/>
                <w:webHidden/>
              </w:rPr>
              <w:fldChar w:fldCharType="end"/>
            </w:r>
          </w:hyperlink>
        </w:p>
        <w:p w14:paraId="1D780AF1" w14:textId="35E0275A" w:rsidR="006079AA" w:rsidRPr="00D333FC" w:rsidRDefault="006079AA" w:rsidP="00432A4D">
          <w:pPr>
            <w:jc w:val="both"/>
            <w:rPr>
              <w:rFonts w:ascii="Times New Roman" w:hAnsi="Times New Roman" w:cs="Times New Roman"/>
              <w:sz w:val="24"/>
              <w:szCs w:val="24"/>
            </w:rPr>
          </w:pPr>
          <w:r w:rsidRPr="00D333FC">
            <w:rPr>
              <w:rFonts w:ascii="Times New Roman" w:hAnsi="Times New Roman" w:cs="Times New Roman"/>
              <w:b/>
              <w:bCs/>
              <w:sz w:val="24"/>
              <w:szCs w:val="24"/>
            </w:rPr>
            <w:fldChar w:fldCharType="end"/>
          </w:r>
        </w:p>
      </w:sdtContent>
    </w:sdt>
    <w:p w14:paraId="4E0D9616" w14:textId="77777777" w:rsidR="006079AA" w:rsidRPr="006079AA" w:rsidRDefault="006079AA" w:rsidP="006079AA">
      <w:pPr>
        <w:jc w:val="both"/>
        <w:rPr>
          <w:rFonts w:ascii="Times New Roman" w:hAnsi="Times New Roman" w:cs="Times New Roman"/>
          <w:sz w:val="24"/>
        </w:rPr>
      </w:pPr>
    </w:p>
    <w:p w14:paraId="7AF84C19" w14:textId="5EDFE2D3" w:rsidR="006079AA" w:rsidRDefault="006079AA">
      <w:pPr>
        <w:rPr>
          <w:rFonts w:ascii="Times New Roman" w:eastAsia="Times New Roman" w:hAnsi="Times New Roman"/>
          <w:b/>
          <w:bCs/>
          <w:sz w:val="24"/>
          <w:szCs w:val="36"/>
        </w:rPr>
      </w:pPr>
      <w:r>
        <w:rPr>
          <w:sz w:val="24"/>
        </w:rPr>
        <w:br w:type="page"/>
      </w:r>
    </w:p>
    <w:p w14:paraId="50EA19C5" w14:textId="77777777" w:rsidR="006079AA" w:rsidRDefault="006079AA" w:rsidP="0022206F">
      <w:pPr>
        <w:pStyle w:val="Virsraksts1"/>
        <w:spacing w:before="0"/>
        <w:ind w:left="0"/>
        <w:jc w:val="both"/>
        <w:rPr>
          <w:sz w:val="24"/>
        </w:rPr>
      </w:pPr>
    </w:p>
    <w:p w14:paraId="1CA307D5" w14:textId="5985FB17" w:rsidR="0022206F" w:rsidRPr="0022206F" w:rsidRDefault="0022206F" w:rsidP="0022206F">
      <w:pPr>
        <w:pStyle w:val="Virsraksts1"/>
        <w:spacing w:before="0"/>
        <w:ind w:left="0"/>
        <w:jc w:val="both"/>
        <w:rPr>
          <w:rFonts w:cs="Times New Roman"/>
          <w:noProof/>
          <w:sz w:val="24"/>
          <w:szCs w:val="24"/>
        </w:rPr>
      </w:pPr>
      <w:bookmarkStart w:id="1" w:name="_Toc64303275"/>
      <w:r>
        <w:rPr>
          <w:sz w:val="24"/>
        </w:rPr>
        <w:t>IEVADS</w:t>
      </w:r>
      <w:bookmarkEnd w:id="0"/>
      <w:bookmarkEnd w:id="1"/>
    </w:p>
    <w:p w14:paraId="35704308" w14:textId="77777777" w:rsidR="0022206F" w:rsidRPr="0022206F" w:rsidRDefault="0022206F" w:rsidP="0022206F">
      <w:pPr>
        <w:jc w:val="both"/>
        <w:rPr>
          <w:rFonts w:ascii="Times New Roman" w:eastAsia="Times New Roman" w:hAnsi="Times New Roman" w:cs="Times New Roman"/>
          <w:b/>
          <w:bCs/>
          <w:noProof/>
          <w:sz w:val="24"/>
          <w:szCs w:val="24"/>
        </w:rPr>
      </w:pPr>
    </w:p>
    <w:p w14:paraId="2EC85CC7" w14:textId="77777777" w:rsidR="0022206F" w:rsidRPr="0022206F" w:rsidRDefault="0022206F" w:rsidP="0022206F">
      <w:pPr>
        <w:pStyle w:val="Pamatteksts"/>
        <w:ind w:left="0"/>
        <w:jc w:val="both"/>
        <w:rPr>
          <w:rFonts w:cs="Times New Roman"/>
          <w:noProof/>
        </w:rPr>
      </w:pPr>
      <w:r>
        <w:t>Eiropas Parlamenta un Padomes Regulu (EK) Nr. 1924/2006</w:t>
      </w:r>
      <w:r>
        <w:rPr>
          <w:rFonts w:cs="Times New Roman"/>
          <w:noProof/>
          <w:vertAlign w:val="superscript"/>
        </w:rPr>
        <w:footnoteReference w:customMarkFollows="1" w:id="1"/>
        <w:t>*</w:t>
      </w:r>
      <w:r>
        <w:t xml:space="preserve"> par uzturvērtības un veselīguma norādēm uz pārtikas produktiem (turpmāk “Regulu”) pieņēma 2006. gada 20. decembrī. Šajā regulā ir definēti saskaņoti noteikumi par uzturvērtības un veselīguma norāžu izmantošanu, un tā palīdz nodrošināt augstu patērētāju aizsardzības līmeni. Tā nodrošina, ka visas norādes uz pārtikas marķējuma ES ir skaidras, precīzas un pamatotas, lai ļautu patērētājiem pieņemt apzinātu un jēgpilnu lēmumu. Regulas mērķis ir arī nodrošināt godīgu konkurenci un veicināt un aizsargāt inovācijas pārtikas jomā.</w:t>
      </w:r>
    </w:p>
    <w:p w14:paraId="579C1416" w14:textId="77777777" w:rsidR="0022206F" w:rsidRPr="0022206F" w:rsidRDefault="0022206F" w:rsidP="0022206F">
      <w:pPr>
        <w:jc w:val="both"/>
        <w:rPr>
          <w:rFonts w:cs="Times New Roman"/>
          <w:noProof/>
        </w:rPr>
      </w:pPr>
    </w:p>
    <w:p w14:paraId="19BB6902" w14:textId="77777777" w:rsidR="0022206F" w:rsidRPr="0022206F" w:rsidRDefault="0022206F" w:rsidP="0022206F">
      <w:pPr>
        <w:pStyle w:val="Pamatteksts"/>
        <w:ind w:left="0"/>
        <w:jc w:val="both"/>
        <w:rPr>
          <w:rFonts w:cs="Times New Roman"/>
          <w:noProof/>
        </w:rPr>
      </w:pPr>
      <w:r>
        <w:t>Saskaņā ar neformāli izmantoto darba praksi Komisijas Veselības un patērētāju tiesību aizsardzības ģenerāldirektorāts ir izveidojis darba grupu ar dalībvalstu ekspertu līdzdalību, lai izskatītu virkni jautājumu, kas skar Regulas īstenošanu, jo īpaši attiecībā uz norāžu klasifikāciju.</w:t>
      </w:r>
    </w:p>
    <w:p w14:paraId="45B84379" w14:textId="77777777" w:rsidR="0022206F" w:rsidRPr="0022206F" w:rsidRDefault="0022206F" w:rsidP="0022206F">
      <w:pPr>
        <w:jc w:val="both"/>
        <w:rPr>
          <w:rFonts w:ascii="Times New Roman" w:eastAsia="Times New Roman" w:hAnsi="Times New Roman" w:cs="Times New Roman"/>
          <w:noProof/>
          <w:sz w:val="24"/>
          <w:szCs w:val="24"/>
        </w:rPr>
      </w:pPr>
    </w:p>
    <w:p w14:paraId="49015951" w14:textId="77777777" w:rsidR="0022206F" w:rsidRPr="0022206F" w:rsidRDefault="0022206F" w:rsidP="0022206F">
      <w:pPr>
        <w:pStyle w:val="Pamatteksts"/>
        <w:ind w:left="0"/>
        <w:jc w:val="both"/>
        <w:rPr>
          <w:rFonts w:cs="Times New Roman"/>
          <w:noProof/>
        </w:rPr>
      </w:pPr>
      <w:r>
        <w:t>Pārtikas aprites un dzīvnieku veselības pastāvīgā komiteja 2007. gada 14. decembra sanāksmē ir apstiprinājusi turpmāk minētos secinājumus.</w:t>
      </w:r>
    </w:p>
    <w:p w14:paraId="53CC4287" w14:textId="77777777" w:rsidR="0022206F" w:rsidRPr="0022206F" w:rsidRDefault="0022206F" w:rsidP="0022206F">
      <w:pPr>
        <w:jc w:val="both"/>
        <w:rPr>
          <w:rFonts w:ascii="Times New Roman" w:eastAsia="Times New Roman" w:hAnsi="Times New Roman" w:cs="Times New Roman"/>
          <w:noProof/>
          <w:sz w:val="24"/>
          <w:szCs w:val="24"/>
        </w:rPr>
      </w:pPr>
    </w:p>
    <w:p w14:paraId="5E212788" w14:textId="77777777" w:rsidR="0022206F" w:rsidRPr="0022206F" w:rsidRDefault="0022206F" w:rsidP="0022206F">
      <w:pPr>
        <w:pStyle w:val="Pamatteksts"/>
        <w:ind w:left="0"/>
        <w:jc w:val="both"/>
        <w:rPr>
          <w:rFonts w:cs="Times New Roman"/>
          <w:noProof/>
        </w:rPr>
      </w:pPr>
      <w:r>
        <w:t>Šā dokumenta mērķis ir palīdzēt ieinteresētajām personām labāk izprast Regulu un piemērot to pareizi un vienveidīgi. Tomēr šim dokumentam nav oficiāla juridiska statusa, un strīda gadījumā galīgā atbildība par tiesību akta interpretāciju ir Tiesai.</w:t>
      </w:r>
    </w:p>
    <w:p w14:paraId="38F67B3A" w14:textId="77777777" w:rsidR="0022206F" w:rsidRPr="0022206F" w:rsidRDefault="0022206F" w:rsidP="0022206F">
      <w:pPr>
        <w:pStyle w:val="Pamatteksts"/>
        <w:ind w:left="0"/>
        <w:jc w:val="both"/>
        <w:rPr>
          <w:rFonts w:cs="Times New Roman"/>
          <w:noProof/>
        </w:rPr>
      </w:pPr>
    </w:p>
    <w:p w14:paraId="62E22C58" w14:textId="77777777" w:rsidR="0022206F" w:rsidRPr="0022206F" w:rsidRDefault="0022206F" w:rsidP="0022206F">
      <w:pPr>
        <w:pStyle w:val="Virsraksts1"/>
        <w:tabs>
          <w:tab w:val="left" w:pos="822"/>
        </w:tabs>
        <w:spacing w:before="0"/>
        <w:ind w:left="0"/>
        <w:jc w:val="both"/>
        <w:rPr>
          <w:rFonts w:cs="Times New Roman"/>
          <w:b w:val="0"/>
          <w:bCs w:val="0"/>
          <w:noProof/>
          <w:sz w:val="24"/>
          <w:szCs w:val="24"/>
        </w:rPr>
      </w:pPr>
      <w:bookmarkStart w:id="2" w:name="_TOC_250015"/>
      <w:r>
        <w:br w:type="page"/>
      </w:r>
    </w:p>
    <w:p w14:paraId="19CC28BA" w14:textId="77777777" w:rsidR="0022206F" w:rsidRPr="0022206F" w:rsidRDefault="0022206F" w:rsidP="0022206F">
      <w:pPr>
        <w:pStyle w:val="Virsraksts1"/>
        <w:tabs>
          <w:tab w:val="left" w:pos="822"/>
        </w:tabs>
        <w:spacing w:before="0"/>
        <w:ind w:left="0"/>
        <w:jc w:val="both"/>
        <w:rPr>
          <w:rFonts w:cs="Times New Roman"/>
          <w:noProof/>
          <w:sz w:val="24"/>
          <w:szCs w:val="24"/>
        </w:rPr>
      </w:pPr>
      <w:bookmarkStart w:id="3" w:name="_Toc64303276"/>
      <w:r>
        <w:rPr>
          <w:sz w:val="24"/>
        </w:rPr>
        <w:lastRenderedPageBreak/>
        <w:t>I. MIJIEDARBĪBA AR CITIEM KOPIENAS TIESĪBU AKTIEM</w:t>
      </w:r>
      <w:bookmarkEnd w:id="2"/>
      <w:bookmarkEnd w:id="3"/>
    </w:p>
    <w:p w14:paraId="48432B9B" w14:textId="77777777" w:rsidR="0022206F" w:rsidRPr="0022206F" w:rsidRDefault="0022206F" w:rsidP="0022206F">
      <w:pPr>
        <w:jc w:val="both"/>
        <w:rPr>
          <w:rFonts w:ascii="Times New Roman" w:eastAsia="Times New Roman" w:hAnsi="Times New Roman" w:cs="Times New Roman"/>
          <w:b/>
          <w:bCs/>
          <w:noProof/>
          <w:sz w:val="24"/>
          <w:szCs w:val="24"/>
        </w:rPr>
      </w:pPr>
    </w:p>
    <w:p w14:paraId="53ECB073" w14:textId="77777777" w:rsidR="0022206F" w:rsidRPr="0022206F" w:rsidRDefault="0022206F" w:rsidP="0022206F">
      <w:pPr>
        <w:pStyle w:val="Pamatteksts"/>
        <w:ind w:left="0"/>
        <w:jc w:val="both"/>
        <w:rPr>
          <w:rFonts w:cs="Times New Roman"/>
          <w:noProof/>
        </w:rPr>
      </w:pPr>
      <w:r>
        <w:t>Regula (EK) Nr. 1924/2006 attiecas uz to, kā lietojamas norādes, kuras saskaņā ar Regulā sniegto norāžu definīciju ir “jebkurš ziņojums vai atveidojums, kas nav obligāts saskaņā ar Kopienas vai valstu tiesību aktiem ..”. Tādējādi norādes, t. i., ziņojumi, kas sniegti, pamatojoties uz brīvprātības principu, būtu jānošķir no obligātajām marķējuma norādēm, kas paredzētas citos Kopienas vai dalībvalstu tiesību aktos.</w:t>
      </w:r>
    </w:p>
    <w:p w14:paraId="3A3A0F22" w14:textId="77777777" w:rsidR="0022206F" w:rsidRPr="0022206F" w:rsidRDefault="0022206F" w:rsidP="0022206F">
      <w:pPr>
        <w:jc w:val="both"/>
        <w:rPr>
          <w:rFonts w:ascii="Times New Roman" w:eastAsia="Times New Roman" w:hAnsi="Times New Roman" w:cs="Times New Roman"/>
          <w:noProof/>
          <w:sz w:val="24"/>
          <w:szCs w:val="24"/>
        </w:rPr>
      </w:pPr>
    </w:p>
    <w:p w14:paraId="60635FA5" w14:textId="77777777" w:rsidR="0022206F" w:rsidRPr="0022206F" w:rsidRDefault="0022206F" w:rsidP="0022206F">
      <w:pPr>
        <w:pStyle w:val="Virsraksts2"/>
        <w:tabs>
          <w:tab w:val="left" w:pos="578"/>
        </w:tabs>
        <w:ind w:left="0" w:firstLine="0"/>
        <w:jc w:val="both"/>
        <w:rPr>
          <w:rFonts w:cs="Times New Roman"/>
          <w:noProof/>
          <w:sz w:val="24"/>
          <w:szCs w:val="24"/>
        </w:rPr>
      </w:pPr>
      <w:bookmarkStart w:id="4" w:name="_TOC_250014"/>
      <w:bookmarkStart w:id="5" w:name="_Toc64303277"/>
      <w:r>
        <w:rPr>
          <w:sz w:val="24"/>
        </w:rPr>
        <w:t>I.1. Mijiedarbība ar Kopienas noteikumiem, kas definēti Direktīvā 89/398/EEK un direktīvās, kuras pieņemtas attiecībā uz īpašas diētas pārtikas produktiem (</w:t>
      </w:r>
      <w:r>
        <w:rPr>
          <w:i/>
          <w:iCs/>
          <w:sz w:val="24"/>
        </w:rPr>
        <w:t>PARNUTS</w:t>
      </w:r>
      <w:r>
        <w:rPr>
          <w:sz w:val="24"/>
        </w:rPr>
        <w:t>)</w:t>
      </w:r>
      <w:bookmarkEnd w:id="4"/>
      <w:bookmarkEnd w:id="5"/>
    </w:p>
    <w:p w14:paraId="5F59240B" w14:textId="77777777" w:rsidR="0022206F" w:rsidRPr="0022206F" w:rsidRDefault="0022206F" w:rsidP="0022206F">
      <w:pPr>
        <w:jc w:val="both"/>
        <w:rPr>
          <w:rFonts w:ascii="Times New Roman" w:eastAsia="Times New Roman" w:hAnsi="Times New Roman" w:cs="Times New Roman"/>
          <w:b/>
          <w:bCs/>
          <w:noProof/>
          <w:sz w:val="24"/>
          <w:szCs w:val="24"/>
        </w:rPr>
      </w:pPr>
    </w:p>
    <w:p w14:paraId="79C8916F" w14:textId="77777777" w:rsidR="0022206F" w:rsidRPr="0022206F" w:rsidRDefault="0022206F" w:rsidP="0022206F">
      <w:pPr>
        <w:pStyle w:val="Pamatteksts"/>
        <w:ind w:left="0"/>
        <w:jc w:val="both"/>
        <w:rPr>
          <w:rFonts w:cs="Times New Roman"/>
          <w:noProof/>
        </w:rPr>
      </w:pPr>
      <w:r>
        <w:t>Regulas 1. panta 5. punktā noteikts, ka to piemēro, neskarot Kopienas noteikumus, kuri paredzēti, cita starpā, Direktīvā 89/398/EEK un īpašās direktīvās, kas pieņemtas attiecībā uz pārtikas produktiem, kuri paredzēti īpašām uztura vajadzībām [īpašas diētas pārtikas produktiem] (</w:t>
      </w:r>
      <w:r>
        <w:rPr>
          <w:i/>
          <w:iCs/>
        </w:rPr>
        <w:t>PARNUTS</w:t>
      </w:r>
      <w:r>
        <w:t>).</w:t>
      </w:r>
    </w:p>
    <w:p w14:paraId="1E804E8E" w14:textId="77777777" w:rsidR="0022206F" w:rsidRPr="0022206F" w:rsidRDefault="0022206F" w:rsidP="0022206F">
      <w:pPr>
        <w:jc w:val="both"/>
        <w:rPr>
          <w:rFonts w:ascii="Times New Roman" w:eastAsia="Times New Roman" w:hAnsi="Times New Roman" w:cs="Times New Roman"/>
          <w:noProof/>
          <w:sz w:val="24"/>
          <w:szCs w:val="24"/>
        </w:rPr>
      </w:pPr>
    </w:p>
    <w:p w14:paraId="3B52618C" w14:textId="77777777" w:rsidR="0022206F" w:rsidRPr="0022206F" w:rsidRDefault="0022206F" w:rsidP="0022206F">
      <w:pPr>
        <w:pStyle w:val="Pamatteksts"/>
        <w:ind w:left="0"/>
        <w:jc w:val="both"/>
        <w:rPr>
          <w:rFonts w:cs="Times New Roman"/>
          <w:noProof/>
        </w:rPr>
      </w:pPr>
      <w:r>
        <w:t xml:space="preserve">Direktīvā 89/398/EEK ir iekļauts vispārējs noteikums, ka īpašas diētas pārtikas produktu marķējumā jāraksturo produktu īpašās, ar diētu saistītās īpašības. Turklāt īpašajā Direktīvā 2006/141/EK par mākslīgajiem maisījumiem zīdaiņiem un mākslīgajiem papildu ēdināšanas maisījumiem zīdaiņiem, un ar ko groza Direktīvu 1999/21/EK, paredz īpašus noteikumus uzturvērtības un veselības norāžu lietošanai attiecībā uz mākslīgajiem maisījumiem zīdaiņiem. </w:t>
      </w:r>
      <w:r>
        <w:rPr>
          <w:b/>
          <w:bCs/>
        </w:rPr>
        <w:t>Vienīgās norādes, kas ir atļautas uz mākslīgajiem maisījumiem zīdaiņiem, ir uzskaitītas Direktīvas 2006/141/EK</w:t>
      </w:r>
      <w:r>
        <w:t xml:space="preserve"> IV pielikumā, un tām jābūt formulētām saskaņā ar minētajā direktīvā izklāstītajiem nosacījumiem. Saskaņā ar Direktīvas 89/398/EEK 4. panta 1. punkta trešo daļu izmaiņas uzturvērtības un veselīguma norāžu sarakstā pieņem komitejas procedūrā – vajadzības gadījumā pēc apspriešanās ar Eiropas Pārtikas nekaitīguma iestādi (</w:t>
      </w:r>
      <w:r>
        <w:rPr>
          <w:i/>
          <w:iCs/>
        </w:rPr>
        <w:t>EFSA</w:t>
      </w:r>
      <w:r>
        <w:t>).</w:t>
      </w:r>
    </w:p>
    <w:p w14:paraId="62750808" w14:textId="77777777" w:rsidR="0022206F" w:rsidRPr="0022206F" w:rsidRDefault="0022206F" w:rsidP="0022206F">
      <w:pPr>
        <w:jc w:val="both"/>
        <w:rPr>
          <w:rFonts w:cs="Times New Roman"/>
          <w:noProof/>
        </w:rPr>
      </w:pPr>
    </w:p>
    <w:p w14:paraId="3EC20262" w14:textId="77777777" w:rsidR="0022206F" w:rsidRPr="0022206F" w:rsidRDefault="0022206F" w:rsidP="0022206F">
      <w:pPr>
        <w:jc w:val="both"/>
        <w:rPr>
          <w:rFonts w:ascii="Times New Roman" w:eastAsia="Times New Roman" w:hAnsi="Times New Roman" w:cs="Times New Roman"/>
          <w:noProof/>
          <w:sz w:val="24"/>
          <w:szCs w:val="24"/>
        </w:rPr>
      </w:pPr>
      <w:r>
        <w:rPr>
          <w:rFonts w:ascii="Times New Roman" w:hAnsi="Times New Roman"/>
          <w:sz w:val="24"/>
        </w:rPr>
        <w:t xml:space="preserve">Tā kā attiecībā uz </w:t>
      </w:r>
      <w:r>
        <w:rPr>
          <w:rFonts w:ascii="Times New Roman" w:hAnsi="Times New Roman"/>
          <w:b/>
          <w:sz w:val="24"/>
        </w:rPr>
        <w:t>mākslīgajiem papildu ēdināšanas maisījumiem zīdaiņiem</w:t>
      </w:r>
      <w:r>
        <w:rPr>
          <w:rFonts w:ascii="Times New Roman" w:hAnsi="Times New Roman"/>
          <w:sz w:val="24"/>
        </w:rPr>
        <w:t xml:space="preserve"> nav izstrādāti līdzīgi noteikumi, </w:t>
      </w:r>
      <w:r>
        <w:rPr>
          <w:rFonts w:ascii="Times New Roman" w:hAnsi="Times New Roman"/>
          <w:b/>
          <w:sz w:val="24"/>
        </w:rPr>
        <w:t>tad, izvietojot uzturvielu un veselīguma norādes uz šādiem produktiem, pamatojas uz Regulas (EK) Nr. 1924/2006 noteikumiem</w:t>
      </w:r>
      <w:r>
        <w:rPr>
          <w:rFonts w:ascii="Times New Roman" w:hAnsi="Times New Roman"/>
          <w:sz w:val="24"/>
        </w:rPr>
        <w:t xml:space="preserve">. Uz pārējiem pārtikas produktiem, kurus reglamentē </w:t>
      </w:r>
      <w:r>
        <w:rPr>
          <w:rFonts w:ascii="Times New Roman" w:hAnsi="Times New Roman"/>
          <w:i/>
          <w:iCs/>
          <w:sz w:val="24"/>
        </w:rPr>
        <w:t>PARNUTS</w:t>
      </w:r>
      <w:r>
        <w:rPr>
          <w:rFonts w:ascii="Times New Roman" w:hAnsi="Times New Roman"/>
          <w:sz w:val="24"/>
        </w:rPr>
        <w:t xml:space="preserve"> direktīvas, kas pieņemtas, pamatojoties uz Direktīvu 89/398/EEK, jo īpaši </w:t>
      </w:r>
      <w:r>
        <w:rPr>
          <w:rFonts w:ascii="Times New Roman" w:hAnsi="Times New Roman"/>
          <w:b/>
          <w:bCs/>
          <w:sz w:val="24"/>
        </w:rPr>
        <w:t>uz apstrādātas graudaugu pārtikas un bērnu pārtikas zīdaiņiem un maziem bērniem (Komisijas Direktīva 2006/125/EK), var būt norādes, kuras atļautas, pamatojoties uz Regulu (EK) Nr. 1924/2006</w:t>
      </w:r>
      <w:r>
        <w:rPr>
          <w:rFonts w:ascii="Times New Roman" w:hAnsi="Times New Roman"/>
          <w:sz w:val="24"/>
        </w:rPr>
        <w:t>, jo šajās direktīvās nav īpašu noteikumu par uzturvērtības un veselīguma norāžu lietošanu.</w:t>
      </w:r>
    </w:p>
    <w:p w14:paraId="33E23D86" w14:textId="77777777" w:rsidR="0022206F" w:rsidRPr="0022206F" w:rsidRDefault="0022206F" w:rsidP="0022206F">
      <w:pPr>
        <w:jc w:val="both"/>
        <w:rPr>
          <w:rFonts w:ascii="Times New Roman" w:eastAsia="Times New Roman" w:hAnsi="Times New Roman" w:cs="Times New Roman"/>
          <w:noProof/>
          <w:sz w:val="24"/>
          <w:szCs w:val="24"/>
        </w:rPr>
      </w:pPr>
    </w:p>
    <w:p w14:paraId="095F01F1" w14:textId="77777777" w:rsidR="0022206F" w:rsidRPr="0022206F" w:rsidRDefault="0022206F" w:rsidP="0022206F">
      <w:pPr>
        <w:pStyle w:val="Pamatteksts"/>
        <w:ind w:left="0"/>
        <w:jc w:val="both"/>
        <w:rPr>
          <w:rFonts w:cs="Times New Roman"/>
          <w:noProof/>
        </w:rPr>
      </w:pPr>
      <w:r>
        <w:t xml:space="preserve">Direktīvā 89/398/EEK vai īpašajās </w:t>
      </w:r>
      <w:r>
        <w:rPr>
          <w:i/>
          <w:iCs/>
        </w:rPr>
        <w:t>PARNUTS</w:t>
      </w:r>
      <w:r>
        <w:t xml:space="preserve"> direktīvās, kuras pieņemtas, pamatojoties uz Direktīvu 89/398/EEK, prasītie </w:t>
      </w:r>
      <w:r>
        <w:rPr>
          <w:u w:val="single" w:color="000000"/>
        </w:rPr>
        <w:t>obligātie</w:t>
      </w:r>
      <w:r>
        <w:t xml:space="preserve"> elementi, kas jāietver īpašas diētas pārtikas produktu marķējumā, noformējumā vai reklāmā, lai aprakstītu šo pārtikas produktu īpašās, ar diētu saistītās īpašības vai paredzēto izmantošanas mērķi, protams, neietilpst Regulas (EK) Nr. 1924/2006 darbības jomā.</w:t>
      </w:r>
    </w:p>
    <w:p w14:paraId="1CDA403D" w14:textId="77777777" w:rsidR="0022206F" w:rsidRPr="0022206F" w:rsidRDefault="0022206F" w:rsidP="0022206F">
      <w:pPr>
        <w:pStyle w:val="Pamatteksts"/>
        <w:ind w:left="0"/>
        <w:jc w:val="both"/>
        <w:rPr>
          <w:rFonts w:cs="Times New Roman"/>
          <w:noProof/>
        </w:rPr>
      </w:pPr>
    </w:p>
    <w:p w14:paraId="7BDF14C9" w14:textId="77777777" w:rsidR="0022206F" w:rsidRPr="0022206F" w:rsidRDefault="0022206F" w:rsidP="0022206F">
      <w:pPr>
        <w:pStyle w:val="Virsraksts2"/>
        <w:tabs>
          <w:tab w:val="left" w:pos="617"/>
        </w:tabs>
        <w:ind w:left="0" w:firstLine="0"/>
        <w:jc w:val="both"/>
        <w:rPr>
          <w:rFonts w:cs="Times New Roman"/>
          <w:noProof/>
          <w:sz w:val="24"/>
          <w:szCs w:val="24"/>
        </w:rPr>
      </w:pPr>
      <w:bookmarkStart w:id="6" w:name="_TOC_250013"/>
      <w:bookmarkStart w:id="7" w:name="_Toc64303278"/>
      <w:r>
        <w:rPr>
          <w:sz w:val="24"/>
        </w:rPr>
        <w:t>I.2. Mijiedarbība ar Regulu (EK) Nr. 258/97, kas attiecas uz jauniem pārtikas produktiem un jaunām pārtikas produktu sastāvdaļām, un attiecīgie pasākumi</w:t>
      </w:r>
      <w:bookmarkEnd w:id="6"/>
      <w:bookmarkEnd w:id="7"/>
    </w:p>
    <w:p w14:paraId="382D5ECD" w14:textId="77777777" w:rsidR="0022206F" w:rsidRPr="0022206F" w:rsidRDefault="0022206F" w:rsidP="0022206F">
      <w:pPr>
        <w:jc w:val="both"/>
        <w:rPr>
          <w:rFonts w:ascii="Times New Roman" w:eastAsia="Times New Roman" w:hAnsi="Times New Roman" w:cs="Times New Roman"/>
          <w:b/>
          <w:bCs/>
          <w:noProof/>
          <w:sz w:val="24"/>
          <w:szCs w:val="24"/>
        </w:rPr>
      </w:pPr>
    </w:p>
    <w:p w14:paraId="3F9ABB02" w14:textId="77777777" w:rsidR="0022206F" w:rsidRPr="0022206F" w:rsidRDefault="0022206F" w:rsidP="0022206F">
      <w:pPr>
        <w:jc w:val="both"/>
        <w:rPr>
          <w:rFonts w:ascii="Times New Roman" w:eastAsia="Times New Roman" w:hAnsi="Times New Roman" w:cs="Times New Roman"/>
          <w:noProof/>
          <w:sz w:val="24"/>
          <w:szCs w:val="24"/>
        </w:rPr>
      </w:pPr>
      <w:r>
        <w:rPr>
          <w:rFonts w:ascii="Times New Roman" w:hAnsi="Times New Roman"/>
          <w:sz w:val="24"/>
        </w:rPr>
        <w:t>Regulā (EK) Nr. 258/97 jaunie pārtikas produkti ir definēti kā “</w:t>
      </w:r>
      <w:r>
        <w:rPr>
          <w:rFonts w:ascii="Times New Roman" w:hAnsi="Times New Roman"/>
          <w:i/>
          <w:iCs/>
          <w:sz w:val="24"/>
        </w:rPr>
        <w:t>pārtikas</w:t>
      </w:r>
      <w:r>
        <w:rPr>
          <w:rFonts w:ascii="Times New Roman" w:hAnsi="Times New Roman"/>
          <w:sz w:val="24"/>
        </w:rPr>
        <w:t xml:space="preserve"> </w:t>
      </w:r>
      <w:r>
        <w:rPr>
          <w:rFonts w:ascii="Times New Roman" w:hAnsi="Times New Roman"/>
          <w:i/>
          <w:iCs/>
          <w:sz w:val="24"/>
        </w:rPr>
        <w:t xml:space="preserve">produkti un pārtikas produktu sastāvdaļas, kuri līdz 1997. gada 15. maijam Kopienā nav nozīmīgā daudzumā </w:t>
      </w:r>
      <w:r>
        <w:rPr>
          <w:rFonts w:ascii="Times New Roman" w:hAnsi="Times New Roman"/>
          <w:i/>
          <w:iCs/>
          <w:sz w:val="24"/>
        </w:rPr>
        <w:lastRenderedPageBreak/>
        <w:t>izmantoti cilvēku patēriņam</w:t>
      </w:r>
      <w:r>
        <w:rPr>
          <w:rFonts w:ascii="Times New Roman" w:hAnsi="Times New Roman"/>
          <w:sz w:val="24"/>
        </w:rPr>
        <w:t>”. Regulā (EK) Nr. 258/97 ir sīki izstrādāti noteikumi par atļauju laist tirgū jaunus pārtikas produktus un jaunu pārtikas produktu sastāvdaļas.</w:t>
      </w:r>
    </w:p>
    <w:p w14:paraId="2E052214" w14:textId="77777777" w:rsidR="0022206F" w:rsidRPr="0022206F" w:rsidRDefault="0022206F" w:rsidP="0022206F">
      <w:pPr>
        <w:jc w:val="both"/>
        <w:rPr>
          <w:rFonts w:ascii="Times New Roman" w:eastAsia="Times New Roman" w:hAnsi="Times New Roman" w:cs="Times New Roman"/>
          <w:noProof/>
          <w:sz w:val="24"/>
          <w:szCs w:val="24"/>
        </w:rPr>
      </w:pPr>
    </w:p>
    <w:p w14:paraId="15F937C1" w14:textId="77777777" w:rsidR="0022206F" w:rsidRPr="0022206F" w:rsidRDefault="0022206F" w:rsidP="0022206F">
      <w:pPr>
        <w:pStyle w:val="Pamatteksts"/>
        <w:ind w:left="0"/>
        <w:jc w:val="both"/>
        <w:rPr>
          <w:rFonts w:cs="Times New Roman"/>
          <w:noProof/>
        </w:rPr>
      </w:pPr>
      <w:r>
        <w:t>Pieprasījumu atļaujas saņemšanai jaunu pārtikas produktu laišanai tirgū iesniedz saskaņā ar Regulu (EK) Nr. 258/97. Jebkuru pieprasījumu par norādi attiecībā uz jaunu pārtikas produktu, par kuru iesniegts atļaujas pieprasījums, iesniedz atsevišķi, ievērojot Regulas (EK) Nr. 1924/2006 noteikumus par norādēm.</w:t>
      </w:r>
    </w:p>
    <w:p w14:paraId="14DC9C77" w14:textId="77777777" w:rsidR="0022206F" w:rsidRPr="0022206F" w:rsidRDefault="0022206F" w:rsidP="0022206F">
      <w:pPr>
        <w:jc w:val="both"/>
        <w:rPr>
          <w:rFonts w:ascii="Times New Roman" w:eastAsia="Times New Roman" w:hAnsi="Times New Roman" w:cs="Times New Roman"/>
          <w:noProof/>
          <w:sz w:val="24"/>
          <w:szCs w:val="24"/>
        </w:rPr>
      </w:pPr>
    </w:p>
    <w:p w14:paraId="6E6B414B" w14:textId="77777777" w:rsidR="0022206F" w:rsidRPr="0022206F" w:rsidRDefault="0022206F" w:rsidP="0022206F">
      <w:pPr>
        <w:pStyle w:val="Pamatteksts"/>
        <w:ind w:left="0"/>
        <w:jc w:val="both"/>
        <w:rPr>
          <w:rFonts w:cs="Times New Roman"/>
          <w:noProof/>
        </w:rPr>
      </w:pPr>
      <w:r>
        <w:t>Regula (EK) Nr. 258/97 paredz arī iespēju noteikt obligātu marķējumu jauniem pārtikas produktiem vai jaunām pārtikas sastāvdaļām. Tomēr, kā norādīts I sadaļā, Kopienas tiesību aktos prasītie obligātie paziņojumi nav uzskatāmi par norādēm un tie neietilpst Regulas darbības jomā, kurā aptver tikai tās norādes, kas sniegtas, pamatojoties uz brīvprātības principu. Piemēram, tādi paziņojumi par holesterīnu, kas attiecībā uz fitosterīnus, fitostanolus vai to esterus saturošiem produktiem prasīti Komisijas Regulā (EK) Nr. 608/2004 par pārtikas produktu un pārtikas sastāvdaļu marķēšanu ar šādiem pievienotiem savienojumiem, neietilpst Regulas (EK) 1924/2006 darbības jomā.</w:t>
      </w:r>
    </w:p>
    <w:p w14:paraId="23B4BFB3" w14:textId="77777777" w:rsidR="0022206F" w:rsidRPr="0022206F" w:rsidRDefault="0022206F" w:rsidP="0022206F">
      <w:pPr>
        <w:pStyle w:val="Pamatteksts"/>
        <w:ind w:left="0"/>
        <w:jc w:val="both"/>
        <w:rPr>
          <w:rFonts w:cs="Times New Roman"/>
          <w:noProof/>
        </w:rPr>
      </w:pPr>
    </w:p>
    <w:p w14:paraId="682B0DC4" w14:textId="77777777" w:rsidR="0022206F" w:rsidRPr="0022206F" w:rsidRDefault="0022206F" w:rsidP="0022206F">
      <w:pPr>
        <w:pStyle w:val="Virsraksts1"/>
        <w:tabs>
          <w:tab w:val="left" w:pos="578"/>
        </w:tabs>
        <w:spacing w:before="0"/>
        <w:ind w:left="0"/>
        <w:jc w:val="both"/>
        <w:rPr>
          <w:rFonts w:cs="Times New Roman"/>
          <w:noProof/>
          <w:sz w:val="24"/>
          <w:szCs w:val="24"/>
        </w:rPr>
      </w:pPr>
      <w:bookmarkStart w:id="8" w:name="_TOC_250012"/>
      <w:r>
        <w:br w:type="page"/>
      </w:r>
    </w:p>
    <w:p w14:paraId="56BC0CF1" w14:textId="77777777" w:rsidR="0022206F" w:rsidRPr="0022206F" w:rsidRDefault="0022206F" w:rsidP="0022206F">
      <w:pPr>
        <w:pStyle w:val="Virsraksts1"/>
        <w:tabs>
          <w:tab w:val="left" w:pos="578"/>
        </w:tabs>
        <w:spacing w:before="0"/>
        <w:ind w:left="0"/>
        <w:jc w:val="both"/>
        <w:rPr>
          <w:rFonts w:cs="Times New Roman"/>
          <w:noProof/>
          <w:sz w:val="24"/>
          <w:szCs w:val="24"/>
        </w:rPr>
      </w:pPr>
      <w:bookmarkStart w:id="9" w:name="_Toc64303279"/>
      <w:r>
        <w:rPr>
          <w:sz w:val="24"/>
        </w:rPr>
        <w:lastRenderedPageBreak/>
        <w:t>II. SALĪDZINOŠĀS NORĀDES</w:t>
      </w:r>
      <w:bookmarkEnd w:id="8"/>
      <w:bookmarkEnd w:id="9"/>
    </w:p>
    <w:p w14:paraId="0749533E" w14:textId="77777777" w:rsidR="0022206F" w:rsidRPr="0022206F" w:rsidRDefault="0022206F" w:rsidP="0022206F">
      <w:pPr>
        <w:pStyle w:val="Pamatteksts"/>
        <w:ind w:left="0"/>
        <w:jc w:val="both"/>
        <w:rPr>
          <w:rFonts w:cs="Times New Roman"/>
          <w:noProof/>
        </w:rPr>
      </w:pPr>
      <w:r>
        <w:t>Uzturvērtības norādes drīkst lietot tikai tad, ja tās ir uzskaitītas Regulas (EK) Nr. 1924/2006 pielikumā (8. panta 1. punkts).</w:t>
      </w:r>
    </w:p>
    <w:p w14:paraId="230B3543" w14:textId="77777777" w:rsidR="0022206F" w:rsidRPr="0022206F" w:rsidRDefault="0022206F" w:rsidP="0022206F">
      <w:pPr>
        <w:jc w:val="both"/>
        <w:rPr>
          <w:rFonts w:ascii="Times New Roman" w:eastAsia="Times New Roman" w:hAnsi="Times New Roman" w:cs="Times New Roman"/>
          <w:noProof/>
          <w:sz w:val="24"/>
          <w:szCs w:val="24"/>
        </w:rPr>
      </w:pPr>
    </w:p>
    <w:p w14:paraId="0007069D" w14:textId="77777777" w:rsidR="0022206F" w:rsidRPr="0022206F" w:rsidRDefault="0022206F" w:rsidP="0022206F">
      <w:pPr>
        <w:pStyle w:val="Virsraksts2"/>
        <w:tabs>
          <w:tab w:val="left" w:pos="685"/>
        </w:tabs>
        <w:ind w:left="0" w:firstLine="0"/>
        <w:jc w:val="both"/>
        <w:rPr>
          <w:rFonts w:cs="Times New Roman"/>
          <w:noProof/>
          <w:sz w:val="24"/>
          <w:szCs w:val="24"/>
        </w:rPr>
      </w:pPr>
      <w:bookmarkStart w:id="10" w:name="_TOC_250011"/>
      <w:bookmarkStart w:id="11" w:name="_Toc64303280"/>
      <w:r>
        <w:rPr>
          <w:sz w:val="24"/>
        </w:rPr>
        <w:t>II.1. Regulas noteikumi</w:t>
      </w:r>
      <w:bookmarkEnd w:id="10"/>
      <w:bookmarkEnd w:id="11"/>
    </w:p>
    <w:p w14:paraId="28955C26" w14:textId="77777777" w:rsidR="0022206F" w:rsidRPr="0022206F" w:rsidRDefault="0022206F" w:rsidP="0022206F">
      <w:pPr>
        <w:jc w:val="both"/>
        <w:rPr>
          <w:rFonts w:ascii="Times New Roman" w:eastAsia="Times New Roman" w:hAnsi="Times New Roman" w:cs="Times New Roman"/>
          <w:b/>
          <w:bCs/>
          <w:noProof/>
          <w:sz w:val="24"/>
          <w:szCs w:val="24"/>
        </w:rPr>
      </w:pPr>
    </w:p>
    <w:p w14:paraId="04FCF09B" w14:textId="77777777" w:rsidR="0022206F" w:rsidRPr="00525213" w:rsidRDefault="0022206F" w:rsidP="00525213">
      <w:pPr>
        <w:pStyle w:val="Virsraksts2"/>
        <w:ind w:left="0" w:firstLine="0"/>
        <w:jc w:val="both"/>
        <w:rPr>
          <w:rFonts w:cs="Times New Roman"/>
          <w:b w:val="0"/>
          <w:bCs w:val="0"/>
          <w:noProof/>
          <w:sz w:val="24"/>
          <w:szCs w:val="24"/>
        </w:rPr>
      </w:pPr>
      <w:bookmarkStart w:id="12" w:name="_Toc64303281"/>
      <w:r w:rsidRPr="00525213">
        <w:rPr>
          <w:b w:val="0"/>
          <w:bCs w:val="0"/>
          <w:sz w:val="24"/>
          <w:szCs w:val="24"/>
        </w:rPr>
        <w:t>Salīdzinošās norādes, kuras reglamentē Regulas 9. pants</w:t>
      </w:r>
      <w:bookmarkEnd w:id="12"/>
    </w:p>
    <w:p w14:paraId="76A72067" w14:textId="77777777" w:rsidR="0022206F" w:rsidRPr="0022206F" w:rsidRDefault="0022206F" w:rsidP="0022206F">
      <w:pPr>
        <w:jc w:val="both"/>
        <w:rPr>
          <w:rFonts w:ascii="Times New Roman" w:eastAsia="Times New Roman" w:hAnsi="Times New Roman" w:cs="Times New Roman"/>
          <w:b/>
          <w:bCs/>
          <w:noProof/>
          <w:sz w:val="24"/>
          <w:szCs w:val="24"/>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9007"/>
      </w:tblGrid>
      <w:tr w:rsidR="0022206F" w:rsidRPr="0022206F" w14:paraId="07A35A9B" w14:textId="77777777" w:rsidTr="00ED5568">
        <w:tc>
          <w:tcPr>
            <w:tcW w:w="9007" w:type="dxa"/>
          </w:tcPr>
          <w:p w14:paraId="0493152B" w14:textId="77777777" w:rsidR="0022206F" w:rsidRPr="0022206F" w:rsidRDefault="0022206F" w:rsidP="00ED5568">
            <w:pPr>
              <w:tabs>
                <w:tab w:val="left" w:pos="365"/>
              </w:tabs>
              <w:spacing w:before="17"/>
              <w:ind w:right="104"/>
              <w:jc w:val="both"/>
              <w:rPr>
                <w:rFonts w:ascii="Times New Roman"/>
                <w:i/>
                <w:noProof/>
                <w:sz w:val="24"/>
              </w:rPr>
            </w:pPr>
            <w:r>
              <w:rPr>
                <w:rFonts w:ascii="Times New Roman"/>
                <w:i/>
                <w:sz w:val="24"/>
              </w:rPr>
              <w:t>1. Neskarot Direkt</w:t>
            </w:r>
            <w:r>
              <w:rPr>
                <w:rFonts w:ascii="Times New Roman"/>
                <w:i/>
                <w:sz w:val="24"/>
              </w:rPr>
              <w:t>ī</w:t>
            </w:r>
            <w:r>
              <w:rPr>
                <w:rFonts w:ascii="Times New Roman"/>
                <w:i/>
                <w:sz w:val="24"/>
              </w:rPr>
              <w:t>vu</w:t>
            </w:r>
            <w:r>
              <w:rPr>
                <w:rFonts w:ascii="Times New Roman"/>
                <w:i/>
                <w:sz w:val="24"/>
              </w:rPr>
              <w:t> </w:t>
            </w:r>
            <w:r>
              <w:rPr>
                <w:rFonts w:ascii="Times New Roman"/>
                <w:i/>
                <w:sz w:val="24"/>
              </w:rPr>
              <w:t>84/450/EEK, sal</w:t>
            </w:r>
            <w:r>
              <w:rPr>
                <w:rFonts w:ascii="Times New Roman"/>
                <w:i/>
                <w:sz w:val="24"/>
              </w:rPr>
              <w:t>ī</w:t>
            </w:r>
            <w:r>
              <w:rPr>
                <w:rFonts w:ascii="Times New Roman"/>
                <w:i/>
                <w:sz w:val="24"/>
              </w:rPr>
              <w:t>dzin</w:t>
            </w:r>
            <w:r>
              <w:rPr>
                <w:rFonts w:ascii="Times New Roman"/>
                <w:i/>
                <w:sz w:val="24"/>
              </w:rPr>
              <w:t>āš</w:t>
            </w:r>
            <w:r>
              <w:rPr>
                <w:rFonts w:ascii="Times New Roman"/>
                <w:i/>
                <w:sz w:val="24"/>
              </w:rPr>
              <w:t>ana ir pie</w:t>
            </w:r>
            <w:r>
              <w:rPr>
                <w:rFonts w:ascii="Times New Roman"/>
                <w:i/>
                <w:sz w:val="24"/>
              </w:rPr>
              <w:t>ļ</w:t>
            </w:r>
            <w:r>
              <w:rPr>
                <w:rFonts w:ascii="Times New Roman"/>
                <w:i/>
                <w:sz w:val="24"/>
              </w:rPr>
              <w:t>aujama tikai starp vienas un t</w:t>
            </w:r>
            <w:r>
              <w:rPr>
                <w:rFonts w:ascii="Times New Roman"/>
                <w:i/>
                <w:sz w:val="24"/>
              </w:rPr>
              <w:t>ā</w:t>
            </w:r>
            <w:r>
              <w:rPr>
                <w:rFonts w:ascii="Times New Roman"/>
                <w:i/>
                <w:sz w:val="24"/>
              </w:rPr>
              <w:t>s pa</w:t>
            </w:r>
            <w:r>
              <w:rPr>
                <w:rFonts w:ascii="Times New Roman"/>
                <w:i/>
                <w:sz w:val="24"/>
              </w:rPr>
              <w:t>š</w:t>
            </w:r>
            <w:r>
              <w:rPr>
                <w:rFonts w:ascii="Times New Roman"/>
                <w:i/>
                <w:sz w:val="24"/>
              </w:rPr>
              <w:t>as kategorijas p</w:t>
            </w:r>
            <w:r>
              <w:rPr>
                <w:rFonts w:ascii="Times New Roman"/>
                <w:i/>
                <w:sz w:val="24"/>
              </w:rPr>
              <w:t>ā</w:t>
            </w:r>
            <w:r>
              <w:rPr>
                <w:rFonts w:ascii="Times New Roman"/>
                <w:i/>
                <w:sz w:val="24"/>
              </w:rPr>
              <w:t>rtikas produktiem, apl</w:t>
            </w:r>
            <w:r>
              <w:rPr>
                <w:rFonts w:ascii="Times New Roman"/>
                <w:i/>
                <w:sz w:val="24"/>
              </w:rPr>
              <w:t>ū</w:t>
            </w:r>
            <w:r>
              <w:rPr>
                <w:rFonts w:ascii="Times New Roman"/>
                <w:i/>
                <w:sz w:val="24"/>
              </w:rPr>
              <w:t>kojot vair</w:t>
            </w:r>
            <w:r>
              <w:rPr>
                <w:rFonts w:ascii="Times New Roman"/>
                <w:i/>
                <w:sz w:val="24"/>
              </w:rPr>
              <w:t>ā</w:t>
            </w:r>
            <w:r>
              <w:rPr>
                <w:rFonts w:ascii="Times New Roman"/>
                <w:i/>
                <w:sz w:val="24"/>
              </w:rPr>
              <w:t xml:space="preserve">kus </w:t>
            </w:r>
            <w:r>
              <w:rPr>
                <w:rFonts w:ascii="Times New Roman"/>
                <w:i/>
                <w:sz w:val="24"/>
              </w:rPr>
              <w:t>šī</w:t>
            </w:r>
            <w:r>
              <w:rPr>
                <w:rFonts w:ascii="Times New Roman"/>
                <w:i/>
                <w:sz w:val="24"/>
              </w:rPr>
              <w:t>s kategorijas p</w:t>
            </w:r>
            <w:r>
              <w:rPr>
                <w:rFonts w:ascii="Times New Roman"/>
                <w:i/>
                <w:sz w:val="24"/>
              </w:rPr>
              <w:t>ā</w:t>
            </w:r>
            <w:r>
              <w:rPr>
                <w:rFonts w:ascii="Times New Roman"/>
                <w:i/>
                <w:sz w:val="24"/>
              </w:rPr>
              <w:t>rtikas produktus. Nor</w:t>
            </w:r>
            <w:r>
              <w:rPr>
                <w:rFonts w:ascii="Times New Roman"/>
                <w:i/>
                <w:sz w:val="24"/>
              </w:rPr>
              <w:t>ā</w:t>
            </w:r>
            <w:r>
              <w:rPr>
                <w:rFonts w:ascii="Times New Roman"/>
                <w:i/>
                <w:sz w:val="24"/>
              </w:rPr>
              <w:t>da at</w:t>
            </w:r>
            <w:r>
              <w:rPr>
                <w:rFonts w:ascii="Times New Roman"/>
                <w:i/>
                <w:sz w:val="24"/>
              </w:rPr>
              <w:t>šķ</w:t>
            </w:r>
            <w:r>
              <w:rPr>
                <w:rFonts w:ascii="Times New Roman"/>
                <w:i/>
                <w:sz w:val="24"/>
              </w:rPr>
              <w:t>ir</w:t>
            </w:r>
            <w:r>
              <w:rPr>
                <w:rFonts w:ascii="Times New Roman"/>
                <w:i/>
                <w:sz w:val="24"/>
              </w:rPr>
              <w:t>ī</w:t>
            </w:r>
            <w:r>
              <w:rPr>
                <w:rFonts w:ascii="Times New Roman"/>
                <w:i/>
                <w:sz w:val="24"/>
              </w:rPr>
              <w:t>bas uzturvielas daudzum</w:t>
            </w:r>
            <w:r>
              <w:rPr>
                <w:rFonts w:ascii="Times New Roman"/>
                <w:i/>
                <w:sz w:val="24"/>
              </w:rPr>
              <w:t>ā</w:t>
            </w:r>
            <w:r>
              <w:rPr>
                <w:rFonts w:ascii="Times New Roman"/>
                <w:i/>
                <w:sz w:val="24"/>
              </w:rPr>
              <w:t xml:space="preserve"> un/vai ener</w:t>
            </w:r>
            <w:r>
              <w:rPr>
                <w:rFonts w:ascii="Times New Roman"/>
                <w:i/>
                <w:sz w:val="24"/>
              </w:rPr>
              <w:t>ģē</w:t>
            </w:r>
            <w:r>
              <w:rPr>
                <w:rFonts w:ascii="Times New Roman"/>
                <w:i/>
                <w:sz w:val="24"/>
              </w:rPr>
              <w:t>tiskaj</w:t>
            </w:r>
            <w:r>
              <w:rPr>
                <w:rFonts w:ascii="Times New Roman"/>
                <w:i/>
                <w:sz w:val="24"/>
              </w:rPr>
              <w:t>ā</w:t>
            </w:r>
            <w:r>
              <w:rPr>
                <w:rFonts w:ascii="Times New Roman"/>
                <w:i/>
                <w:sz w:val="24"/>
              </w:rPr>
              <w:t xml:space="preserve"> v</w:t>
            </w:r>
            <w:r>
              <w:rPr>
                <w:rFonts w:ascii="Times New Roman"/>
                <w:i/>
                <w:sz w:val="24"/>
              </w:rPr>
              <w:t>ē</w:t>
            </w:r>
            <w:r>
              <w:rPr>
                <w:rFonts w:ascii="Times New Roman"/>
                <w:i/>
                <w:sz w:val="24"/>
              </w:rPr>
              <w:t>rt</w:t>
            </w:r>
            <w:r>
              <w:rPr>
                <w:rFonts w:ascii="Times New Roman"/>
                <w:i/>
                <w:sz w:val="24"/>
              </w:rPr>
              <w:t>ī</w:t>
            </w:r>
            <w:r>
              <w:rPr>
                <w:rFonts w:ascii="Times New Roman"/>
                <w:i/>
                <w:sz w:val="24"/>
              </w:rPr>
              <w:t>b</w:t>
            </w:r>
            <w:r>
              <w:rPr>
                <w:rFonts w:ascii="Times New Roman"/>
                <w:i/>
                <w:sz w:val="24"/>
              </w:rPr>
              <w:t>ā</w:t>
            </w:r>
            <w:r>
              <w:rPr>
                <w:rFonts w:ascii="Times New Roman"/>
                <w:i/>
                <w:sz w:val="24"/>
              </w:rPr>
              <w:t>, un sal</w:t>
            </w:r>
            <w:r>
              <w:rPr>
                <w:rFonts w:ascii="Times New Roman"/>
                <w:i/>
                <w:sz w:val="24"/>
              </w:rPr>
              <w:t>ī</w:t>
            </w:r>
            <w:r>
              <w:rPr>
                <w:rFonts w:ascii="Times New Roman"/>
                <w:i/>
                <w:sz w:val="24"/>
              </w:rPr>
              <w:t>dzin</w:t>
            </w:r>
            <w:r>
              <w:rPr>
                <w:rFonts w:ascii="Times New Roman"/>
                <w:i/>
                <w:sz w:val="24"/>
              </w:rPr>
              <w:t>ā</w:t>
            </w:r>
            <w:r>
              <w:rPr>
                <w:rFonts w:ascii="Times New Roman"/>
                <w:i/>
                <w:sz w:val="24"/>
              </w:rPr>
              <w:t>jums attiecas uz vien</w:t>
            </w:r>
            <w:r>
              <w:rPr>
                <w:rFonts w:ascii="Times New Roman"/>
                <w:i/>
                <w:sz w:val="24"/>
              </w:rPr>
              <w:t>ā</w:t>
            </w:r>
            <w:r>
              <w:rPr>
                <w:rFonts w:ascii="Times New Roman"/>
                <w:i/>
                <w:sz w:val="24"/>
              </w:rPr>
              <w:t>du p</w:t>
            </w:r>
            <w:r>
              <w:rPr>
                <w:rFonts w:ascii="Times New Roman"/>
                <w:i/>
                <w:sz w:val="24"/>
              </w:rPr>
              <w:t>ā</w:t>
            </w:r>
            <w:r>
              <w:rPr>
                <w:rFonts w:ascii="Times New Roman"/>
                <w:i/>
                <w:sz w:val="24"/>
              </w:rPr>
              <w:t>rtikas produkta daudzumu.</w:t>
            </w:r>
          </w:p>
          <w:p w14:paraId="199FCEF1" w14:textId="77777777" w:rsidR="0022206F" w:rsidRPr="0022206F" w:rsidRDefault="0022206F" w:rsidP="00ED5568">
            <w:pPr>
              <w:rPr>
                <w:rFonts w:ascii="Times New Roman" w:eastAsia="Times New Roman" w:hAnsi="Times New Roman" w:cs="Times New Roman"/>
                <w:b/>
                <w:bCs/>
                <w:noProof/>
                <w:sz w:val="24"/>
                <w:szCs w:val="24"/>
              </w:rPr>
            </w:pPr>
          </w:p>
          <w:p w14:paraId="22D2AF7F" w14:textId="77777777" w:rsidR="0022206F" w:rsidRPr="0022206F" w:rsidRDefault="0022206F" w:rsidP="00ED5568">
            <w:pPr>
              <w:tabs>
                <w:tab w:val="left" w:pos="381"/>
              </w:tabs>
              <w:ind w:right="104"/>
              <w:jc w:val="both"/>
              <w:rPr>
                <w:rFonts w:ascii="Times New Roman"/>
                <w:i/>
                <w:noProof/>
                <w:sz w:val="24"/>
              </w:rPr>
            </w:pPr>
            <w:r>
              <w:rPr>
                <w:rFonts w:ascii="Times New Roman"/>
                <w:i/>
                <w:sz w:val="24"/>
              </w:rPr>
              <w:t>2. Sal</w:t>
            </w:r>
            <w:r>
              <w:rPr>
                <w:rFonts w:ascii="Times New Roman"/>
                <w:i/>
                <w:sz w:val="24"/>
              </w:rPr>
              <w:t>ī</w:t>
            </w:r>
            <w:r>
              <w:rPr>
                <w:rFonts w:ascii="Times New Roman"/>
                <w:i/>
                <w:sz w:val="24"/>
              </w:rPr>
              <w:t>dzino</w:t>
            </w:r>
            <w:r>
              <w:rPr>
                <w:rFonts w:ascii="Times New Roman"/>
                <w:i/>
                <w:sz w:val="24"/>
              </w:rPr>
              <w:t>š</w:t>
            </w:r>
            <w:r>
              <w:rPr>
                <w:rFonts w:ascii="Times New Roman"/>
                <w:i/>
                <w:sz w:val="24"/>
              </w:rPr>
              <w:t>aj</w:t>
            </w:r>
            <w:r>
              <w:rPr>
                <w:rFonts w:ascii="Times New Roman"/>
                <w:i/>
                <w:sz w:val="24"/>
              </w:rPr>
              <w:t>ā</w:t>
            </w:r>
            <w:r>
              <w:rPr>
                <w:rFonts w:ascii="Times New Roman"/>
                <w:i/>
                <w:sz w:val="24"/>
              </w:rPr>
              <w:t>s uzturv</w:t>
            </w:r>
            <w:r>
              <w:rPr>
                <w:rFonts w:ascii="Times New Roman"/>
                <w:i/>
                <w:sz w:val="24"/>
              </w:rPr>
              <w:t>ē</w:t>
            </w:r>
            <w:r>
              <w:rPr>
                <w:rFonts w:ascii="Times New Roman"/>
                <w:i/>
                <w:sz w:val="24"/>
              </w:rPr>
              <w:t>rt</w:t>
            </w:r>
            <w:r>
              <w:rPr>
                <w:rFonts w:ascii="Times New Roman"/>
                <w:i/>
                <w:sz w:val="24"/>
              </w:rPr>
              <w:t>ī</w:t>
            </w:r>
            <w:r>
              <w:rPr>
                <w:rFonts w:ascii="Times New Roman"/>
                <w:i/>
                <w:sz w:val="24"/>
              </w:rPr>
              <w:t>bas nor</w:t>
            </w:r>
            <w:r>
              <w:rPr>
                <w:rFonts w:ascii="Times New Roman"/>
                <w:i/>
                <w:sz w:val="24"/>
              </w:rPr>
              <w:t>ā</w:t>
            </w:r>
            <w:r>
              <w:rPr>
                <w:rFonts w:ascii="Times New Roman"/>
                <w:i/>
                <w:sz w:val="24"/>
              </w:rPr>
              <w:t>d</w:t>
            </w:r>
            <w:r>
              <w:rPr>
                <w:rFonts w:ascii="Times New Roman"/>
                <w:i/>
                <w:sz w:val="24"/>
              </w:rPr>
              <w:t>ē</w:t>
            </w:r>
            <w:r>
              <w:rPr>
                <w:rFonts w:ascii="Times New Roman"/>
                <w:i/>
                <w:sz w:val="24"/>
              </w:rPr>
              <w:t>s sal</w:t>
            </w:r>
            <w:r>
              <w:rPr>
                <w:rFonts w:ascii="Times New Roman"/>
                <w:i/>
                <w:sz w:val="24"/>
              </w:rPr>
              <w:t>ī</w:t>
            </w:r>
            <w:r>
              <w:rPr>
                <w:rFonts w:ascii="Times New Roman"/>
                <w:i/>
                <w:sz w:val="24"/>
              </w:rPr>
              <w:t>dzina attiec</w:t>
            </w:r>
            <w:r>
              <w:rPr>
                <w:rFonts w:ascii="Times New Roman"/>
                <w:i/>
                <w:sz w:val="24"/>
              </w:rPr>
              <w:t>ī</w:t>
            </w:r>
            <w:r>
              <w:rPr>
                <w:rFonts w:ascii="Times New Roman"/>
                <w:i/>
                <w:sz w:val="24"/>
              </w:rPr>
              <w:t>g</w:t>
            </w:r>
            <w:r>
              <w:rPr>
                <w:rFonts w:ascii="Times New Roman"/>
                <w:i/>
                <w:sz w:val="24"/>
              </w:rPr>
              <w:t>ā</w:t>
            </w:r>
            <w:r>
              <w:rPr>
                <w:rFonts w:ascii="Times New Roman"/>
                <w:i/>
                <w:sz w:val="24"/>
              </w:rPr>
              <w:t xml:space="preserve"> p</w:t>
            </w:r>
            <w:r>
              <w:rPr>
                <w:rFonts w:ascii="Times New Roman"/>
                <w:i/>
                <w:sz w:val="24"/>
              </w:rPr>
              <w:t>ā</w:t>
            </w:r>
            <w:r>
              <w:rPr>
                <w:rFonts w:ascii="Times New Roman"/>
                <w:i/>
                <w:sz w:val="24"/>
              </w:rPr>
              <w:t>rtikas produkta sast</w:t>
            </w:r>
            <w:r>
              <w:rPr>
                <w:rFonts w:ascii="Times New Roman"/>
                <w:i/>
                <w:sz w:val="24"/>
              </w:rPr>
              <w:t>ā</w:t>
            </w:r>
            <w:r>
              <w:rPr>
                <w:rFonts w:ascii="Times New Roman"/>
                <w:i/>
                <w:sz w:val="24"/>
              </w:rPr>
              <w:t>vu ar vair</w:t>
            </w:r>
            <w:r>
              <w:rPr>
                <w:rFonts w:ascii="Times New Roman"/>
                <w:i/>
                <w:sz w:val="24"/>
              </w:rPr>
              <w:t>ā</w:t>
            </w:r>
            <w:r>
              <w:rPr>
                <w:rFonts w:ascii="Times New Roman"/>
                <w:i/>
                <w:sz w:val="24"/>
              </w:rPr>
              <w:t>kiem t</w:t>
            </w:r>
            <w:r>
              <w:rPr>
                <w:rFonts w:ascii="Times New Roman"/>
                <w:i/>
                <w:sz w:val="24"/>
              </w:rPr>
              <w:t>ā</w:t>
            </w:r>
            <w:r>
              <w:rPr>
                <w:rFonts w:ascii="Times New Roman"/>
                <w:i/>
                <w:sz w:val="24"/>
              </w:rPr>
              <w:t>s pa</w:t>
            </w:r>
            <w:r>
              <w:rPr>
                <w:rFonts w:ascii="Times New Roman"/>
                <w:i/>
                <w:sz w:val="24"/>
              </w:rPr>
              <w:t>š</w:t>
            </w:r>
            <w:r>
              <w:rPr>
                <w:rFonts w:ascii="Times New Roman"/>
                <w:i/>
                <w:sz w:val="24"/>
              </w:rPr>
              <w:t>as kategorijas p</w:t>
            </w:r>
            <w:r>
              <w:rPr>
                <w:rFonts w:ascii="Times New Roman"/>
                <w:i/>
                <w:sz w:val="24"/>
              </w:rPr>
              <w:t>ā</w:t>
            </w:r>
            <w:r>
              <w:rPr>
                <w:rFonts w:ascii="Times New Roman"/>
                <w:i/>
                <w:sz w:val="24"/>
              </w:rPr>
              <w:t>rtikas produktiem, tostarp citu z</w:t>
            </w:r>
            <w:r>
              <w:rPr>
                <w:rFonts w:ascii="Times New Roman"/>
                <w:i/>
                <w:sz w:val="24"/>
              </w:rPr>
              <w:t>ī</w:t>
            </w:r>
            <w:r>
              <w:rPr>
                <w:rFonts w:ascii="Times New Roman"/>
                <w:i/>
                <w:sz w:val="24"/>
              </w:rPr>
              <w:t>molv</w:t>
            </w:r>
            <w:r>
              <w:rPr>
                <w:rFonts w:ascii="Times New Roman"/>
                <w:i/>
                <w:sz w:val="24"/>
              </w:rPr>
              <w:t>ā</w:t>
            </w:r>
            <w:r>
              <w:rPr>
                <w:rFonts w:ascii="Times New Roman"/>
                <w:i/>
                <w:sz w:val="24"/>
              </w:rPr>
              <w:t>rdu p</w:t>
            </w:r>
            <w:r>
              <w:rPr>
                <w:rFonts w:ascii="Times New Roman"/>
                <w:i/>
                <w:sz w:val="24"/>
              </w:rPr>
              <w:t>ā</w:t>
            </w:r>
            <w:r>
              <w:rPr>
                <w:rFonts w:ascii="Times New Roman"/>
                <w:i/>
                <w:sz w:val="24"/>
              </w:rPr>
              <w:t>rtikas produktiem, kam nav t</w:t>
            </w:r>
            <w:r>
              <w:rPr>
                <w:rFonts w:ascii="Times New Roman"/>
                <w:i/>
                <w:sz w:val="24"/>
              </w:rPr>
              <w:t>ā</w:t>
            </w:r>
            <w:r>
              <w:rPr>
                <w:rFonts w:ascii="Times New Roman"/>
                <w:i/>
                <w:sz w:val="24"/>
              </w:rPr>
              <w:t>ds sast</w:t>
            </w:r>
            <w:r>
              <w:rPr>
                <w:rFonts w:ascii="Times New Roman"/>
                <w:i/>
                <w:sz w:val="24"/>
              </w:rPr>
              <w:t>ā</w:t>
            </w:r>
            <w:r>
              <w:rPr>
                <w:rFonts w:ascii="Times New Roman"/>
                <w:i/>
                <w:sz w:val="24"/>
              </w:rPr>
              <w:t>vs, kur</w:t>
            </w:r>
            <w:r>
              <w:rPr>
                <w:rFonts w:ascii="Times New Roman"/>
                <w:i/>
                <w:sz w:val="24"/>
              </w:rPr>
              <w:t>š</w:t>
            </w:r>
            <w:r>
              <w:rPr>
                <w:rFonts w:ascii="Times New Roman"/>
                <w:i/>
                <w:sz w:val="24"/>
              </w:rPr>
              <w:t xml:space="preserve"> </w:t>
            </w:r>
            <w:r>
              <w:rPr>
                <w:rFonts w:ascii="Times New Roman"/>
                <w:i/>
                <w:sz w:val="24"/>
              </w:rPr>
              <w:t>ļ</w:t>
            </w:r>
            <w:r>
              <w:rPr>
                <w:rFonts w:ascii="Times New Roman"/>
                <w:i/>
                <w:sz w:val="24"/>
              </w:rPr>
              <w:t>autu uz tiem lietot l</w:t>
            </w:r>
            <w:r>
              <w:rPr>
                <w:rFonts w:ascii="Times New Roman"/>
                <w:i/>
                <w:sz w:val="24"/>
              </w:rPr>
              <w:t>ī</w:t>
            </w:r>
            <w:r>
              <w:rPr>
                <w:rFonts w:ascii="Times New Roman"/>
                <w:i/>
                <w:sz w:val="24"/>
              </w:rPr>
              <w:t>dz</w:t>
            </w:r>
            <w:r>
              <w:rPr>
                <w:rFonts w:ascii="Times New Roman"/>
                <w:i/>
                <w:sz w:val="24"/>
              </w:rPr>
              <w:t>ī</w:t>
            </w:r>
            <w:r>
              <w:rPr>
                <w:rFonts w:ascii="Times New Roman"/>
                <w:i/>
                <w:sz w:val="24"/>
              </w:rPr>
              <w:t>gu nor</w:t>
            </w:r>
            <w:r>
              <w:rPr>
                <w:rFonts w:ascii="Times New Roman"/>
                <w:i/>
                <w:sz w:val="24"/>
              </w:rPr>
              <w:t>ā</w:t>
            </w:r>
            <w:r>
              <w:rPr>
                <w:rFonts w:ascii="Times New Roman"/>
                <w:i/>
                <w:sz w:val="24"/>
              </w:rPr>
              <w:t>di.</w:t>
            </w:r>
          </w:p>
        </w:tc>
      </w:tr>
    </w:tbl>
    <w:p w14:paraId="20D79A04" w14:textId="77777777" w:rsidR="0022206F" w:rsidRPr="0022206F" w:rsidRDefault="0022206F" w:rsidP="0022206F">
      <w:pPr>
        <w:jc w:val="both"/>
        <w:rPr>
          <w:rFonts w:ascii="Times New Roman" w:eastAsia="Times New Roman" w:hAnsi="Times New Roman" w:cs="Times New Roman"/>
          <w:b/>
          <w:bCs/>
          <w:noProof/>
          <w:sz w:val="24"/>
          <w:szCs w:val="24"/>
        </w:rPr>
      </w:pPr>
    </w:p>
    <w:p w14:paraId="0A3C5DA7" w14:textId="77777777" w:rsidR="0022206F" w:rsidRPr="0022206F" w:rsidRDefault="0022206F" w:rsidP="0022206F">
      <w:pPr>
        <w:jc w:val="both"/>
        <w:rPr>
          <w:rFonts w:ascii="Times New Roman" w:hAnsi="Times New Roman" w:cs="Times New Roman"/>
          <w:noProof/>
          <w:sz w:val="24"/>
          <w:szCs w:val="24"/>
        </w:rPr>
      </w:pPr>
      <w:r>
        <w:rPr>
          <w:rFonts w:ascii="Times New Roman" w:hAnsi="Times New Roman"/>
          <w:sz w:val="24"/>
        </w:rPr>
        <w:t>Preambulas 21. apsvērumā ir skaidrots, ka “</w:t>
      </w:r>
      <w:r>
        <w:rPr>
          <w:rFonts w:ascii="Times New Roman" w:hAnsi="Times New Roman"/>
          <w:i/>
          <w:iCs/>
          <w:sz w:val="24"/>
        </w:rPr>
        <w:t>salīdzinošās norādēs būtu galapatērētājam skaidri jānorāda salīdzināmie produkti</w:t>
      </w:r>
      <w:r>
        <w:rPr>
          <w:rFonts w:ascii="Times New Roman" w:hAnsi="Times New Roman"/>
          <w:sz w:val="24"/>
        </w:rPr>
        <w:t>”.</w:t>
      </w:r>
    </w:p>
    <w:p w14:paraId="48E18D1C" w14:textId="77777777" w:rsidR="0022206F" w:rsidRPr="0022206F" w:rsidRDefault="0022206F" w:rsidP="0022206F">
      <w:pPr>
        <w:jc w:val="both"/>
        <w:rPr>
          <w:rFonts w:ascii="Times New Roman" w:hAnsi="Times New Roman" w:cs="Times New Roman"/>
          <w:noProof/>
          <w:sz w:val="24"/>
          <w:szCs w:val="24"/>
        </w:rPr>
      </w:pPr>
    </w:p>
    <w:p w14:paraId="0FEF42EB" w14:textId="77777777" w:rsidR="0022206F" w:rsidRPr="0022206F" w:rsidRDefault="0022206F" w:rsidP="0022206F">
      <w:pPr>
        <w:jc w:val="both"/>
        <w:rPr>
          <w:rFonts w:ascii="Times New Roman" w:eastAsia="Times New Roman" w:hAnsi="Times New Roman" w:cs="Times New Roman"/>
          <w:noProof/>
          <w:sz w:val="24"/>
          <w:szCs w:val="24"/>
        </w:rPr>
      </w:pPr>
      <w:r>
        <w:rPr>
          <w:rFonts w:ascii="Times New Roman" w:hAnsi="Times New Roman"/>
          <w:sz w:val="24"/>
        </w:rPr>
        <w:t xml:space="preserve">Vienīgās pielikumā norādītās salīdzinošās norādes ir šādas: </w:t>
      </w:r>
      <w:r>
        <w:rPr>
          <w:rFonts w:ascii="Times New Roman" w:hAnsi="Times New Roman"/>
          <w:i/>
          <w:iCs/>
          <w:sz w:val="24"/>
        </w:rPr>
        <w:t>“palielināts [uzturvielas nosaukums] saturs”, “samazināts [uzturvielas nosaukums] saturs”, “samazināts kaloriju daudzums”</w:t>
      </w:r>
      <w:r>
        <w:rPr>
          <w:rFonts w:ascii="Times New Roman" w:hAnsi="Times New Roman"/>
          <w:sz w:val="24"/>
        </w:rPr>
        <w:t xml:space="preserve"> un </w:t>
      </w:r>
      <w:r>
        <w:rPr>
          <w:rFonts w:ascii="Times New Roman" w:hAnsi="Times New Roman"/>
          <w:i/>
          <w:iCs/>
          <w:sz w:val="24"/>
        </w:rPr>
        <w:t>“viegls”</w:t>
      </w:r>
      <w:r>
        <w:rPr>
          <w:rFonts w:ascii="Times New Roman" w:hAnsi="Times New Roman"/>
          <w:sz w:val="24"/>
        </w:rPr>
        <w:t>, un tām Regulas pielikumā ir norādīti īpaši nosacījumi.</w:t>
      </w:r>
    </w:p>
    <w:p w14:paraId="68E6D961" w14:textId="77777777" w:rsidR="0022206F" w:rsidRPr="0022206F" w:rsidRDefault="0022206F" w:rsidP="0022206F">
      <w:pPr>
        <w:jc w:val="both"/>
        <w:rPr>
          <w:rFonts w:ascii="Times New Roman" w:eastAsia="Times New Roman" w:hAnsi="Times New Roman" w:cs="Times New Roman"/>
          <w:noProof/>
          <w:sz w:val="24"/>
          <w:szCs w:val="24"/>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9007"/>
      </w:tblGrid>
      <w:tr w:rsidR="0022206F" w:rsidRPr="0022206F" w14:paraId="5C766F6C" w14:textId="77777777" w:rsidTr="00ED5568">
        <w:tc>
          <w:tcPr>
            <w:tcW w:w="9007" w:type="dxa"/>
          </w:tcPr>
          <w:p w14:paraId="7B2E5E4A" w14:textId="77777777" w:rsidR="0022206F" w:rsidRPr="0022206F" w:rsidRDefault="0022206F" w:rsidP="00ED5568">
            <w:pPr>
              <w:spacing w:before="17"/>
              <w:jc w:val="both"/>
              <w:rPr>
                <w:rFonts w:ascii="Times New Roman"/>
                <w:i/>
                <w:noProof/>
                <w:sz w:val="24"/>
              </w:rPr>
            </w:pPr>
            <w:r>
              <w:rPr>
                <w:rFonts w:ascii="Times New Roman"/>
                <w:i/>
                <w:sz w:val="24"/>
              </w:rPr>
              <w:t>PALIELIN</w:t>
            </w:r>
            <w:r>
              <w:rPr>
                <w:rFonts w:ascii="Times New Roman"/>
                <w:i/>
                <w:sz w:val="24"/>
              </w:rPr>
              <w:t>Ā</w:t>
            </w:r>
            <w:r>
              <w:rPr>
                <w:rFonts w:ascii="Times New Roman"/>
                <w:i/>
                <w:sz w:val="24"/>
              </w:rPr>
              <w:t>TS [UZTURVIELAS NOSAUKUMS] SATURS</w:t>
            </w:r>
          </w:p>
          <w:p w14:paraId="3CE426FB" w14:textId="77777777" w:rsidR="0022206F" w:rsidRPr="0022206F" w:rsidRDefault="0022206F" w:rsidP="00ED5568">
            <w:pPr>
              <w:rPr>
                <w:rFonts w:ascii="Times New Roman" w:eastAsia="Times New Roman" w:hAnsi="Times New Roman" w:cs="Times New Roman"/>
                <w:noProof/>
                <w:sz w:val="24"/>
                <w:szCs w:val="24"/>
              </w:rPr>
            </w:pPr>
          </w:p>
          <w:p w14:paraId="17B84CD1" w14:textId="77777777" w:rsidR="0022206F" w:rsidRPr="0022206F" w:rsidRDefault="0022206F" w:rsidP="00ED5568">
            <w:pPr>
              <w:ind w:right="103"/>
              <w:jc w:val="both"/>
              <w:rPr>
                <w:rFonts w:ascii="Times New Roman"/>
                <w:i/>
                <w:noProof/>
                <w:sz w:val="24"/>
              </w:rPr>
            </w:pPr>
            <w:r>
              <w:rPr>
                <w:rFonts w:ascii="Times New Roman"/>
                <w:i/>
                <w:sz w:val="24"/>
              </w:rPr>
              <w:t>Nor</w:t>
            </w:r>
            <w:r>
              <w:rPr>
                <w:rFonts w:ascii="Times New Roman"/>
                <w:i/>
                <w:sz w:val="24"/>
              </w:rPr>
              <w:t>ā</w:t>
            </w:r>
            <w:r>
              <w:rPr>
                <w:rFonts w:ascii="Times New Roman"/>
                <w:i/>
                <w:sz w:val="24"/>
              </w:rPr>
              <w:t>di, ka saturs vienai vai vair</w:t>
            </w:r>
            <w:r>
              <w:rPr>
                <w:rFonts w:ascii="Times New Roman"/>
                <w:i/>
                <w:sz w:val="24"/>
              </w:rPr>
              <w:t>ā</w:t>
            </w:r>
            <w:r>
              <w:rPr>
                <w:rFonts w:ascii="Times New Roman"/>
                <w:i/>
                <w:sz w:val="24"/>
              </w:rPr>
              <w:t>k</w:t>
            </w:r>
            <w:r>
              <w:rPr>
                <w:rFonts w:ascii="Times New Roman"/>
                <w:i/>
                <w:sz w:val="24"/>
              </w:rPr>
              <w:t>ā</w:t>
            </w:r>
            <w:r>
              <w:rPr>
                <w:rFonts w:ascii="Times New Roman"/>
                <w:i/>
                <w:sz w:val="24"/>
              </w:rPr>
              <w:t>m uzturviel</w:t>
            </w:r>
            <w:r>
              <w:rPr>
                <w:rFonts w:ascii="Times New Roman"/>
                <w:i/>
                <w:sz w:val="24"/>
              </w:rPr>
              <w:t>ā</w:t>
            </w:r>
            <w:r>
              <w:rPr>
                <w:rFonts w:ascii="Times New Roman"/>
                <w:i/>
                <w:sz w:val="24"/>
              </w:rPr>
              <w:t>m, kas nav vitam</w:t>
            </w:r>
            <w:r>
              <w:rPr>
                <w:rFonts w:ascii="Times New Roman"/>
                <w:i/>
                <w:sz w:val="24"/>
              </w:rPr>
              <w:t>ī</w:t>
            </w:r>
            <w:r>
              <w:rPr>
                <w:rFonts w:ascii="Times New Roman"/>
                <w:i/>
                <w:sz w:val="24"/>
              </w:rPr>
              <w:t>ni vai miner</w:t>
            </w:r>
            <w:r>
              <w:rPr>
                <w:rFonts w:ascii="Times New Roman"/>
                <w:i/>
                <w:sz w:val="24"/>
              </w:rPr>
              <w:t>ā</w:t>
            </w:r>
            <w:r>
              <w:rPr>
                <w:rFonts w:ascii="Times New Roman"/>
                <w:i/>
                <w:sz w:val="24"/>
              </w:rPr>
              <w:t>lvielas, ir palielin</w:t>
            </w:r>
            <w:r>
              <w:rPr>
                <w:rFonts w:ascii="Times New Roman"/>
                <w:i/>
                <w:sz w:val="24"/>
              </w:rPr>
              <w:t>ā</w:t>
            </w:r>
            <w:r>
              <w:rPr>
                <w:rFonts w:ascii="Times New Roman"/>
                <w:i/>
                <w:sz w:val="24"/>
              </w:rPr>
              <w:t>ts, k</w:t>
            </w:r>
            <w:r>
              <w:rPr>
                <w:rFonts w:ascii="Times New Roman"/>
                <w:i/>
                <w:sz w:val="24"/>
              </w:rPr>
              <w:t>ā</w:t>
            </w:r>
            <w:r>
              <w:rPr>
                <w:rFonts w:ascii="Times New Roman"/>
                <w:i/>
                <w:sz w:val="24"/>
              </w:rPr>
              <w:t xml:space="preserve"> ar</w:t>
            </w:r>
            <w:r>
              <w:rPr>
                <w:rFonts w:ascii="Times New Roman"/>
                <w:i/>
                <w:sz w:val="24"/>
              </w:rPr>
              <w:t>ī</w:t>
            </w:r>
            <w:r>
              <w:rPr>
                <w:rFonts w:ascii="Times New Roman"/>
                <w:i/>
                <w:sz w:val="24"/>
              </w:rPr>
              <w:t xml:space="preserve"> jebkuru citu nor</w:t>
            </w:r>
            <w:r>
              <w:rPr>
                <w:rFonts w:ascii="Times New Roman"/>
                <w:i/>
                <w:sz w:val="24"/>
              </w:rPr>
              <w:t>ā</w:t>
            </w:r>
            <w:r>
              <w:rPr>
                <w:rFonts w:ascii="Times New Roman"/>
                <w:i/>
                <w:sz w:val="24"/>
              </w:rPr>
              <w:t>di, ko pat</w:t>
            </w:r>
            <w:r>
              <w:rPr>
                <w:rFonts w:ascii="Times New Roman"/>
                <w:i/>
                <w:sz w:val="24"/>
              </w:rPr>
              <w:t>ē</w:t>
            </w:r>
            <w:r>
              <w:rPr>
                <w:rFonts w:ascii="Times New Roman"/>
                <w:i/>
                <w:sz w:val="24"/>
              </w:rPr>
              <w:t>r</w:t>
            </w:r>
            <w:r>
              <w:rPr>
                <w:rFonts w:ascii="Times New Roman"/>
                <w:i/>
                <w:sz w:val="24"/>
              </w:rPr>
              <w:t>ē</w:t>
            </w:r>
            <w:r>
              <w:rPr>
                <w:rFonts w:ascii="Times New Roman"/>
                <w:i/>
                <w:sz w:val="24"/>
              </w:rPr>
              <w:t>t</w:t>
            </w:r>
            <w:r>
              <w:rPr>
                <w:rFonts w:ascii="Times New Roman"/>
                <w:i/>
                <w:sz w:val="24"/>
              </w:rPr>
              <w:t>ā</w:t>
            </w:r>
            <w:r>
              <w:rPr>
                <w:rFonts w:ascii="Times New Roman"/>
                <w:i/>
                <w:sz w:val="24"/>
              </w:rPr>
              <w:t>js t</w:t>
            </w:r>
            <w:r>
              <w:rPr>
                <w:rFonts w:ascii="Times New Roman"/>
                <w:i/>
                <w:sz w:val="24"/>
              </w:rPr>
              <w:t>ā</w:t>
            </w:r>
            <w:r>
              <w:rPr>
                <w:rFonts w:ascii="Times New Roman"/>
                <w:i/>
                <w:sz w:val="24"/>
              </w:rPr>
              <w:t xml:space="preserve"> var</w:t>
            </w:r>
            <w:r>
              <w:rPr>
                <w:rFonts w:ascii="Times New Roman"/>
                <w:i/>
                <w:sz w:val="24"/>
              </w:rPr>
              <w:t>ē</w:t>
            </w:r>
            <w:r>
              <w:rPr>
                <w:rFonts w:ascii="Times New Roman"/>
                <w:i/>
                <w:sz w:val="24"/>
              </w:rPr>
              <w:t>tu saprast, dr</w:t>
            </w:r>
            <w:r>
              <w:rPr>
                <w:rFonts w:ascii="Times New Roman"/>
                <w:i/>
                <w:sz w:val="24"/>
              </w:rPr>
              <w:t>ī</w:t>
            </w:r>
            <w:r>
              <w:rPr>
                <w:rFonts w:ascii="Times New Roman"/>
                <w:i/>
                <w:sz w:val="24"/>
              </w:rPr>
              <w:t>kst izmantot tikai tad, ja produkts atbilst nosac</w:t>
            </w:r>
            <w:r>
              <w:rPr>
                <w:rFonts w:ascii="Times New Roman"/>
                <w:i/>
                <w:sz w:val="24"/>
              </w:rPr>
              <w:t>ī</w:t>
            </w:r>
            <w:r>
              <w:rPr>
                <w:rFonts w:ascii="Times New Roman"/>
                <w:i/>
                <w:sz w:val="24"/>
              </w:rPr>
              <w:t>jumiem attiec</w:t>
            </w:r>
            <w:r>
              <w:rPr>
                <w:rFonts w:ascii="Times New Roman"/>
                <w:i/>
                <w:sz w:val="24"/>
              </w:rPr>
              <w:t>ī</w:t>
            </w:r>
            <w:r>
              <w:rPr>
                <w:rFonts w:ascii="Times New Roman"/>
                <w:i/>
                <w:sz w:val="24"/>
              </w:rPr>
              <w:t>b</w:t>
            </w:r>
            <w:r>
              <w:rPr>
                <w:rFonts w:ascii="Times New Roman"/>
                <w:i/>
                <w:sz w:val="24"/>
              </w:rPr>
              <w:t>ā</w:t>
            </w:r>
            <w:r>
              <w:rPr>
                <w:rFonts w:ascii="Times New Roman"/>
                <w:i/>
                <w:sz w:val="24"/>
              </w:rPr>
              <w:t xml:space="preserve"> uz nor</w:t>
            </w:r>
            <w:r>
              <w:rPr>
                <w:rFonts w:ascii="Times New Roman"/>
                <w:i/>
                <w:sz w:val="24"/>
              </w:rPr>
              <w:t>ā</w:t>
            </w:r>
            <w:r>
              <w:rPr>
                <w:rFonts w:ascii="Times New Roman"/>
                <w:i/>
                <w:sz w:val="24"/>
              </w:rPr>
              <w:t xml:space="preserve">di </w:t>
            </w:r>
            <w:r>
              <w:rPr>
                <w:rFonts w:ascii="Times New Roman"/>
                <w:i/>
                <w:sz w:val="24"/>
              </w:rPr>
              <w:t>“</w:t>
            </w:r>
            <w:r>
              <w:rPr>
                <w:rFonts w:ascii="Times New Roman"/>
                <w:i/>
                <w:sz w:val="24"/>
              </w:rPr>
              <w:t>avots</w:t>
            </w:r>
            <w:r>
              <w:rPr>
                <w:rFonts w:ascii="Times New Roman"/>
                <w:i/>
                <w:sz w:val="24"/>
              </w:rPr>
              <w:t>”</w:t>
            </w:r>
            <w:r>
              <w:rPr>
                <w:rFonts w:ascii="Times New Roman"/>
                <w:i/>
                <w:sz w:val="24"/>
              </w:rPr>
              <w:t xml:space="preserve"> un ja saturs ir palielin</w:t>
            </w:r>
            <w:r>
              <w:rPr>
                <w:rFonts w:ascii="Times New Roman"/>
                <w:i/>
                <w:sz w:val="24"/>
              </w:rPr>
              <w:t>ā</w:t>
            </w:r>
            <w:r>
              <w:rPr>
                <w:rFonts w:ascii="Times New Roman"/>
                <w:i/>
                <w:sz w:val="24"/>
              </w:rPr>
              <w:t>ts par vismaz 30</w:t>
            </w:r>
            <w:r>
              <w:rPr>
                <w:rFonts w:ascii="Times New Roman"/>
                <w:i/>
                <w:sz w:val="24"/>
              </w:rPr>
              <w:t> </w:t>
            </w:r>
            <w:r>
              <w:rPr>
                <w:rFonts w:ascii="Times New Roman"/>
                <w:i/>
                <w:sz w:val="24"/>
              </w:rPr>
              <w:t>% sal</w:t>
            </w:r>
            <w:r>
              <w:rPr>
                <w:rFonts w:ascii="Times New Roman"/>
                <w:i/>
                <w:sz w:val="24"/>
              </w:rPr>
              <w:t>ī</w:t>
            </w:r>
            <w:r>
              <w:rPr>
                <w:rFonts w:ascii="Times New Roman"/>
                <w:i/>
                <w:sz w:val="24"/>
              </w:rPr>
              <w:t>dzin</w:t>
            </w:r>
            <w:r>
              <w:rPr>
                <w:rFonts w:ascii="Times New Roman"/>
                <w:i/>
                <w:sz w:val="24"/>
              </w:rPr>
              <w:t>ā</w:t>
            </w:r>
            <w:r>
              <w:rPr>
                <w:rFonts w:ascii="Times New Roman"/>
                <w:i/>
                <w:sz w:val="24"/>
              </w:rPr>
              <w:t>jum</w:t>
            </w:r>
            <w:r>
              <w:rPr>
                <w:rFonts w:ascii="Times New Roman"/>
                <w:i/>
                <w:sz w:val="24"/>
              </w:rPr>
              <w:t>ā</w:t>
            </w:r>
            <w:r>
              <w:rPr>
                <w:rFonts w:ascii="Times New Roman"/>
                <w:i/>
                <w:sz w:val="24"/>
              </w:rPr>
              <w:t xml:space="preserve"> ar l</w:t>
            </w:r>
            <w:r>
              <w:rPr>
                <w:rFonts w:ascii="Times New Roman"/>
                <w:i/>
                <w:sz w:val="24"/>
              </w:rPr>
              <w:t>ī</w:t>
            </w:r>
            <w:r>
              <w:rPr>
                <w:rFonts w:ascii="Times New Roman"/>
                <w:i/>
                <w:sz w:val="24"/>
              </w:rPr>
              <w:t>dz</w:t>
            </w:r>
            <w:r>
              <w:rPr>
                <w:rFonts w:ascii="Times New Roman"/>
                <w:i/>
                <w:sz w:val="24"/>
              </w:rPr>
              <w:t>ī</w:t>
            </w:r>
            <w:r>
              <w:rPr>
                <w:rFonts w:ascii="Times New Roman"/>
                <w:i/>
                <w:sz w:val="24"/>
              </w:rPr>
              <w:t>gu produktu.</w:t>
            </w:r>
          </w:p>
          <w:p w14:paraId="1467BB68" w14:textId="77777777" w:rsidR="0022206F" w:rsidRPr="0022206F" w:rsidRDefault="0022206F" w:rsidP="00ED5568">
            <w:pPr>
              <w:ind w:right="103"/>
              <w:jc w:val="both"/>
              <w:rPr>
                <w:rFonts w:ascii="Times New Roman"/>
                <w:i/>
                <w:noProof/>
                <w:sz w:val="24"/>
              </w:rPr>
            </w:pPr>
          </w:p>
          <w:p w14:paraId="6A8D3136" w14:textId="77777777" w:rsidR="0022206F" w:rsidRPr="0022206F" w:rsidRDefault="0022206F" w:rsidP="00ED5568">
            <w:pPr>
              <w:spacing w:before="17"/>
              <w:jc w:val="both"/>
              <w:rPr>
                <w:rFonts w:ascii="Times New Roman"/>
                <w:i/>
                <w:noProof/>
                <w:sz w:val="24"/>
              </w:rPr>
            </w:pPr>
            <w:r>
              <w:rPr>
                <w:rFonts w:ascii="Times New Roman"/>
                <w:i/>
                <w:sz w:val="24"/>
              </w:rPr>
              <w:t>SAMAZIN</w:t>
            </w:r>
            <w:r>
              <w:rPr>
                <w:rFonts w:ascii="Times New Roman"/>
                <w:i/>
                <w:sz w:val="24"/>
              </w:rPr>
              <w:t>Ā</w:t>
            </w:r>
            <w:r>
              <w:rPr>
                <w:rFonts w:ascii="Times New Roman"/>
                <w:i/>
                <w:sz w:val="24"/>
              </w:rPr>
              <w:t>TS [UZTURVIELAS NOSAUKUMS] SATURS</w:t>
            </w:r>
          </w:p>
          <w:p w14:paraId="45A5D9CE" w14:textId="77777777" w:rsidR="0022206F" w:rsidRPr="0022206F" w:rsidRDefault="0022206F" w:rsidP="00ED5568">
            <w:pPr>
              <w:rPr>
                <w:rFonts w:ascii="Times New Roman" w:eastAsia="Times New Roman" w:hAnsi="Times New Roman" w:cs="Times New Roman"/>
                <w:noProof/>
                <w:sz w:val="24"/>
                <w:szCs w:val="24"/>
              </w:rPr>
            </w:pPr>
          </w:p>
          <w:p w14:paraId="06A190FA" w14:textId="77777777" w:rsidR="0022206F" w:rsidRPr="0022206F" w:rsidRDefault="0022206F" w:rsidP="00ED5568">
            <w:pPr>
              <w:ind w:right="104"/>
              <w:jc w:val="both"/>
              <w:rPr>
                <w:rFonts w:ascii="Times New Roman"/>
                <w:i/>
                <w:noProof/>
                <w:sz w:val="24"/>
              </w:rPr>
            </w:pPr>
            <w:r>
              <w:rPr>
                <w:rFonts w:ascii="Times New Roman"/>
                <w:i/>
                <w:sz w:val="24"/>
              </w:rPr>
              <w:t>Nor</w:t>
            </w:r>
            <w:r>
              <w:rPr>
                <w:rFonts w:ascii="Times New Roman"/>
                <w:i/>
                <w:sz w:val="24"/>
              </w:rPr>
              <w:t>ā</w:t>
            </w:r>
            <w:r>
              <w:rPr>
                <w:rFonts w:ascii="Times New Roman"/>
                <w:i/>
                <w:sz w:val="24"/>
              </w:rPr>
              <w:t>di, ka vienas vai vair</w:t>
            </w:r>
            <w:r>
              <w:rPr>
                <w:rFonts w:ascii="Times New Roman"/>
                <w:i/>
                <w:sz w:val="24"/>
              </w:rPr>
              <w:t>ā</w:t>
            </w:r>
            <w:r>
              <w:rPr>
                <w:rFonts w:ascii="Times New Roman"/>
                <w:i/>
                <w:sz w:val="24"/>
              </w:rPr>
              <w:t>ku uzturvielu saturs ir samazin</w:t>
            </w:r>
            <w:r>
              <w:rPr>
                <w:rFonts w:ascii="Times New Roman"/>
                <w:i/>
                <w:sz w:val="24"/>
              </w:rPr>
              <w:t>ā</w:t>
            </w:r>
            <w:r>
              <w:rPr>
                <w:rFonts w:ascii="Times New Roman"/>
                <w:i/>
                <w:sz w:val="24"/>
              </w:rPr>
              <w:t>ts, k</w:t>
            </w:r>
            <w:r>
              <w:rPr>
                <w:rFonts w:ascii="Times New Roman"/>
                <w:i/>
                <w:sz w:val="24"/>
              </w:rPr>
              <w:t>ā</w:t>
            </w:r>
            <w:r>
              <w:rPr>
                <w:rFonts w:ascii="Times New Roman"/>
                <w:i/>
                <w:sz w:val="24"/>
              </w:rPr>
              <w:t xml:space="preserve"> ar</w:t>
            </w:r>
            <w:r>
              <w:rPr>
                <w:rFonts w:ascii="Times New Roman"/>
                <w:i/>
                <w:sz w:val="24"/>
              </w:rPr>
              <w:t>ī</w:t>
            </w:r>
            <w:r>
              <w:rPr>
                <w:rFonts w:ascii="Times New Roman"/>
                <w:i/>
                <w:sz w:val="24"/>
              </w:rPr>
              <w:t xml:space="preserve"> jebkuru citu nor</w:t>
            </w:r>
            <w:r>
              <w:rPr>
                <w:rFonts w:ascii="Times New Roman"/>
                <w:i/>
                <w:sz w:val="24"/>
              </w:rPr>
              <w:t>ā</w:t>
            </w:r>
            <w:r>
              <w:rPr>
                <w:rFonts w:ascii="Times New Roman"/>
                <w:i/>
                <w:sz w:val="24"/>
              </w:rPr>
              <w:t>di, ko pat</w:t>
            </w:r>
            <w:r>
              <w:rPr>
                <w:rFonts w:ascii="Times New Roman"/>
                <w:i/>
                <w:sz w:val="24"/>
              </w:rPr>
              <w:t>ē</w:t>
            </w:r>
            <w:r>
              <w:rPr>
                <w:rFonts w:ascii="Times New Roman"/>
                <w:i/>
                <w:sz w:val="24"/>
              </w:rPr>
              <w:t>r</w:t>
            </w:r>
            <w:r>
              <w:rPr>
                <w:rFonts w:ascii="Times New Roman"/>
                <w:i/>
                <w:sz w:val="24"/>
              </w:rPr>
              <w:t>ē</w:t>
            </w:r>
            <w:r>
              <w:rPr>
                <w:rFonts w:ascii="Times New Roman"/>
                <w:i/>
                <w:sz w:val="24"/>
              </w:rPr>
              <w:t>t</w:t>
            </w:r>
            <w:r>
              <w:rPr>
                <w:rFonts w:ascii="Times New Roman"/>
                <w:i/>
                <w:sz w:val="24"/>
              </w:rPr>
              <w:t>ā</w:t>
            </w:r>
            <w:r>
              <w:rPr>
                <w:rFonts w:ascii="Times New Roman"/>
                <w:i/>
                <w:sz w:val="24"/>
              </w:rPr>
              <w:t>js t</w:t>
            </w:r>
            <w:r>
              <w:rPr>
                <w:rFonts w:ascii="Times New Roman"/>
                <w:i/>
                <w:sz w:val="24"/>
              </w:rPr>
              <w:t>ā</w:t>
            </w:r>
            <w:r>
              <w:rPr>
                <w:rFonts w:ascii="Times New Roman"/>
                <w:i/>
                <w:sz w:val="24"/>
              </w:rPr>
              <w:t xml:space="preserve"> var</w:t>
            </w:r>
            <w:r>
              <w:rPr>
                <w:rFonts w:ascii="Times New Roman"/>
                <w:i/>
                <w:sz w:val="24"/>
              </w:rPr>
              <w:t>ē</w:t>
            </w:r>
            <w:r>
              <w:rPr>
                <w:rFonts w:ascii="Times New Roman"/>
                <w:i/>
                <w:sz w:val="24"/>
              </w:rPr>
              <w:t>tu saprast, dr</w:t>
            </w:r>
            <w:r>
              <w:rPr>
                <w:rFonts w:ascii="Times New Roman"/>
                <w:i/>
                <w:sz w:val="24"/>
              </w:rPr>
              <w:t>ī</w:t>
            </w:r>
            <w:r>
              <w:rPr>
                <w:rFonts w:ascii="Times New Roman"/>
                <w:i/>
                <w:sz w:val="24"/>
              </w:rPr>
              <w:t>kst izmantot tikai tad, ja saturs ir samazin</w:t>
            </w:r>
            <w:r>
              <w:rPr>
                <w:rFonts w:ascii="Times New Roman"/>
                <w:i/>
                <w:sz w:val="24"/>
              </w:rPr>
              <w:t>ā</w:t>
            </w:r>
            <w:r>
              <w:rPr>
                <w:rFonts w:ascii="Times New Roman"/>
                <w:i/>
                <w:sz w:val="24"/>
              </w:rPr>
              <w:t>ts par vismaz 30</w:t>
            </w:r>
            <w:r>
              <w:rPr>
                <w:rFonts w:ascii="Times New Roman"/>
                <w:i/>
                <w:sz w:val="24"/>
              </w:rPr>
              <w:t> </w:t>
            </w:r>
            <w:r>
              <w:rPr>
                <w:rFonts w:ascii="Times New Roman"/>
                <w:i/>
                <w:sz w:val="24"/>
              </w:rPr>
              <w:t>% sal</w:t>
            </w:r>
            <w:r>
              <w:rPr>
                <w:rFonts w:ascii="Times New Roman"/>
                <w:i/>
                <w:sz w:val="24"/>
              </w:rPr>
              <w:t>ī</w:t>
            </w:r>
            <w:r>
              <w:rPr>
                <w:rFonts w:ascii="Times New Roman"/>
                <w:i/>
                <w:sz w:val="24"/>
              </w:rPr>
              <w:t>dzin</w:t>
            </w:r>
            <w:r>
              <w:rPr>
                <w:rFonts w:ascii="Times New Roman"/>
                <w:i/>
                <w:sz w:val="24"/>
              </w:rPr>
              <w:t>ā</w:t>
            </w:r>
            <w:r>
              <w:rPr>
                <w:rFonts w:ascii="Times New Roman"/>
                <w:i/>
                <w:sz w:val="24"/>
              </w:rPr>
              <w:t>jum</w:t>
            </w:r>
            <w:r>
              <w:rPr>
                <w:rFonts w:ascii="Times New Roman"/>
                <w:i/>
                <w:sz w:val="24"/>
              </w:rPr>
              <w:t>ā</w:t>
            </w:r>
            <w:r>
              <w:rPr>
                <w:rFonts w:ascii="Times New Roman"/>
                <w:i/>
                <w:sz w:val="24"/>
              </w:rPr>
              <w:t xml:space="preserve"> ar l</w:t>
            </w:r>
            <w:r>
              <w:rPr>
                <w:rFonts w:ascii="Times New Roman"/>
                <w:i/>
                <w:sz w:val="24"/>
              </w:rPr>
              <w:t>ī</w:t>
            </w:r>
            <w:r>
              <w:rPr>
                <w:rFonts w:ascii="Times New Roman"/>
                <w:i/>
                <w:sz w:val="24"/>
              </w:rPr>
              <w:t>dz</w:t>
            </w:r>
            <w:r>
              <w:rPr>
                <w:rFonts w:ascii="Times New Roman"/>
                <w:i/>
                <w:sz w:val="24"/>
              </w:rPr>
              <w:t>ī</w:t>
            </w:r>
            <w:r>
              <w:rPr>
                <w:rFonts w:ascii="Times New Roman"/>
                <w:i/>
                <w:sz w:val="24"/>
              </w:rPr>
              <w:t>gu produktu, iz</w:t>
            </w:r>
            <w:r>
              <w:rPr>
                <w:rFonts w:ascii="Times New Roman"/>
                <w:i/>
                <w:sz w:val="24"/>
              </w:rPr>
              <w:t>ņ</w:t>
            </w:r>
            <w:r>
              <w:rPr>
                <w:rFonts w:ascii="Times New Roman"/>
                <w:i/>
                <w:sz w:val="24"/>
              </w:rPr>
              <w:t>emot attiec</w:t>
            </w:r>
            <w:r>
              <w:rPr>
                <w:rFonts w:ascii="Times New Roman"/>
                <w:i/>
                <w:sz w:val="24"/>
              </w:rPr>
              <w:t>ī</w:t>
            </w:r>
            <w:r>
              <w:rPr>
                <w:rFonts w:ascii="Times New Roman"/>
                <w:i/>
                <w:sz w:val="24"/>
              </w:rPr>
              <w:t>b</w:t>
            </w:r>
            <w:r>
              <w:rPr>
                <w:rFonts w:ascii="Times New Roman"/>
                <w:i/>
                <w:sz w:val="24"/>
              </w:rPr>
              <w:t>ā</w:t>
            </w:r>
            <w:r>
              <w:rPr>
                <w:rFonts w:ascii="Times New Roman"/>
                <w:i/>
                <w:sz w:val="24"/>
              </w:rPr>
              <w:t xml:space="preserve"> uz mikrouzturviel</w:t>
            </w:r>
            <w:r>
              <w:rPr>
                <w:rFonts w:ascii="Times New Roman"/>
                <w:i/>
                <w:sz w:val="24"/>
              </w:rPr>
              <w:t>ā</w:t>
            </w:r>
            <w:r>
              <w:rPr>
                <w:rFonts w:ascii="Times New Roman"/>
                <w:i/>
                <w:sz w:val="24"/>
              </w:rPr>
              <w:t>m, kur</w:t>
            </w:r>
            <w:r>
              <w:rPr>
                <w:rFonts w:ascii="Times New Roman"/>
                <w:i/>
                <w:sz w:val="24"/>
              </w:rPr>
              <w:t>ā</w:t>
            </w:r>
            <w:r>
              <w:rPr>
                <w:rFonts w:ascii="Times New Roman"/>
                <w:i/>
                <w:sz w:val="24"/>
              </w:rPr>
              <w:t>m ir pie</w:t>
            </w:r>
            <w:r>
              <w:rPr>
                <w:rFonts w:ascii="Times New Roman"/>
                <w:i/>
                <w:sz w:val="24"/>
              </w:rPr>
              <w:t>ņ</w:t>
            </w:r>
            <w:r>
              <w:rPr>
                <w:rFonts w:ascii="Times New Roman"/>
                <w:i/>
                <w:sz w:val="24"/>
              </w:rPr>
              <w:t>emama 10</w:t>
            </w:r>
            <w:r>
              <w:rPr>
                <w:rFonts w:ascii="Times New Roman"/>
                <w:i/>
                <w:sz w:val="24"/>
              </w:rPr>
              <w:t> </w:t>
            </w:r>
            <w:r>
              <w:rPr>
                <w:rFonts w:ascii="Times New Roman"/>
                <w:i/>
                <w:sz w:val="24"/>
              </w:rPr>
              <w:t>% at</w:t>
            </w:r>
            <w:r>
              <w:rPr>
                <w:rFonts w:ascii="Times New Roman"/>
                <w:i/>
                <w:sz w:val="24"/>
              </w:rPr>
              <w:t>šķ</w:t>
            </w:r>
            <w:r>
              <w:rPr>
                <w:rFonts w:ascii="Times New Roman"/>
                <w:i/>
                <w:sz w:val="24"/>
              </w:rPr>
              <w:t>ir</w:t>
            </w:r>
            <w:r>
              <w:rPr>
                <w:rFonts w:ascii="Times New Roman"/>
                <w:i/>
                <w:sz w:val="24"/>
              </w:rPr>
              <w:t>ī</w:t>
            </w:r>
            <w:r>
              <w:rPr>
                <w:rFonts w:ascii="Times New Roman"/>
                <w:i/>
                <w:sz w:val="24"/>
              </w:rPr>
              <w:t>ba atsauces v</w:t>
            </w:r>
            <w:r>
              <w:rPr>
                <w:rFonts w:ascii="Times New Roman"/>
                <w:i/>
                <w:sz w:val="24"/>
              </w:rPr>
              <w:t>ē</w:t>
            </w:r>
            <w:r>
              <w:rPr>
                <w:rFonts w:ascii="Times New Roman"/>
                <w:i/>
                <w:sz w:val="24"/>
              </w:rPr>
              <w:t>rt</w:t>
            </w:r>
            <w:r>
              <w:rPr>
                <w:rFonts w:ascii="Times New Roman"/>
                <w:i/>
                <w:sz w:val="24"/>
              </w:rPr>
              <w:t>ī</w:t>
            </w:r>
            <w:r>
              <w:rPr>
                <w:rFonts w:ascii="Times New Roman"/>
                <w:i/>
                <w:sz w:val="24"/>
              </w:rPr>
              <w:t>b</w:t>
            </w:r>
            <w:r>
              <w:rPr>
                <w:rFonts w:ascii="Times New Roman"/>
                <w:i/>
                <w:sz w:val="24"/>
              </w:rPr>
              <w:t>ā</w:t>
            </w:r>
            <w:r>
              <w:rPr>
                <w:rFonts w:ascii="Times New Roman"/>
                <w:i/>
                <w:sz w:val="24"/>
              </w:rPr>
              <w:t>s, k</w:t>
            </w:r>
            <w:r>
              <w:rPr>
                <w:rFonts w:ascii="Times New Roman"/>
                <w:i/>
                <w:sz w:val="24"/>
              </w:rPr>
              <w:t>ā</w:t>
            </w:r>
            <w:r>
              <w:rPr>
                <w:rFonts w:ascii="Times New Roman"/>
                <w:i/>
                <w:sz w:val="24"/>
              </w:rPr>
              <w:t xml:space="preserve"> noteikts Direkt</w:t>
            </w:r>
            <w:r>
              <w:rPr>
                <w:rFonts w:ascii="Times New Roman"/>
                <w:i/>
                <w:sz w:val="24"/>
              </w:rPr>
              <w:t>ī</w:t>
            </w:r>
            <w:r>
              <w:rPr>
                <w:rFonts w:ascii="Times New Roman"/>
                <w:i/>
                <w:sz w:val="24"/>
              </w:rPr>
              <w:t>v</w:t>
            </w:r>
            <w:r>
              <w:rPr>
                <w:rFonts w:ascii="Times New Roman"/>
                <w:i/>
                <w:sz w:val="24"/>
              </w:rPr>
              <w:t>ā </w:t>
            </w:r>
            <w:r>
              <w:rPr>
                <w:rFonts w:ascii="Times New Roman"/>
                <w:i/>
                <w:sz w:val="24"/>
              </w:rPr>
              <w:t>90/496/EEK, un attiec</w:t>
            </w:r>
            <w:r>
              <w:rPr>
                <w:rFonts w:ascii="Times New Roman"/>
                <w:i/>
                <w:sz w:val="24"/>
              </w:rPr>
              <w:t>ī</w:t>
            </w:r>
            <w:r>
              <w:rPr>
                <w:rFonts w:ascii="Times New Roman"/>
                <w:i/>
                <w:sz w:val="24"/>
              </w:rPr>
              <w:t>b</w:t>
            </w:r>
            <w:r>
              <w:rPr>
                <w:rFonts w:ascii="Times New Roman"/>
                <w:i/>
                <w:sz w:val="24"/>
              </w:rPr>
              <w:t>ā</w:t>
            </w:r>
            <w:r>
              <w:rPr>
                <w:rFonts w:ascii="Times New Roman"/>
                <w:i/>
                <w:sz w:val="24"/>
              </w:rPr>
              <w:t xml:space="preserve"> uz n</w:t>
            </w:r>
            <w:r>
              <w:rPr>
                <w:rFonts w:ascii="Times New Roman"/>
                <w:i/>
                <w:sz w:val="24"/>
              </w:rPr>
              <w:t>ā</w:t>
            </w:r>
            <w:r>
              <w:rPr>
                <w:rFonts w:ascii="Times New Roman"/>
                <w:i/>
                <w:sz w:val="24"/>
              </w:rPr>
              <w:t>triju vai tikpat daudz s</w:t>
            </w:r>
            <w:r>
              <w:rPr>
                <w:rFonts w:ascii="Times New Roman"/>
                <w:i/>
                <w:sz w:val="24"/>
              </w:rPr>
              <w:t>ā</w:t>
            </w:r>
            <w:r>
              <w:rPr>
                <w:rFonts w:ascii="Times New Roman"/>
                <w:i/>
                <w:sz w:val="24"/>
              </w:rPr>
              <w:t>ls, kuriem ir pie</w:t>
            </w:r>
            <w:r>
              <w:rPr>
                <w:rFonts w:ascii="Times New Roman"/>
                <w:i/>
                <w:sz w:val="24"/>
              </w:rPr>
              <w:t>ņ</w:t>
            </w:r>
            <w:r>
              <w:rPr>
                <w:rFonts w:ascii="Times New Roman"/>
                <w:i/>
                <w:sz w:val="24"/>
              </w:rPr>
              <w:t>emama 25</w:t>
            </w:r>
            <w:r>
              <w:rPr>
                <w:rFonts w:ascii="Times New Roman"/>
                <w:i/>
                <w:sz w:val="24"/>
              </w:rPr>
              <w:t> </w:t>
            </w:r>
            <w:r>
              <w:rPr>
                <w:rFonts w:ascii="Times New Roman"/>
                <w:i/>
                <w:sz w:val="24"/>
              </w:rPr>
              <w:t>% at</w:t>
            </w:r>
            <w:r>
              <w:rPr>
                <w:rFonts w:ascii="Times New Roman"/>
                <w:i/>
                <w:sz w:val="24"/>
              </w:rPr>
              <w:t>šķ</w:t>
            </w:r>
            <w:r>
              <w:rPr>
                <w:rFonts w:ascii="Times New Roman"/>
                <w:i/>
                <w:sz w:val="24"/>
              </w:rPr>
              <w:t>ir</w:t>
            </w:r>
            <w:r>
              <w:rPr>
                <w:rFonts w:ascii="Times New Roman"/>
                <w:i/>
                <w:sz w:val="24"/>
              </w:rPr>
              <w:t>ī</w:t>
            </w:r>
            <w:r>
              <w:rPr>
                <w:rFonts w:ascii="Times New Roman"/>
                <w:i/>
                <w:sz w:val="24"/>
              </w:rPr>
              <w:t>ba.</w:t>
            </w:r>
          </w:p>
          <w:p w14:paraId="7F4371D3" w14:textId="77777777" w:rsidR="0022206F" w:rsidRPr="0022206F" w:rsidRDefault="0022206F" w:rsidP="00ED5568">
            <w:pPr>
              <w:rPr>
                <w:rFonts w:ascii="Times New Roman" w:eastAsia="Times New Roman" w:hAnsi="Times New Roman" w:cs="Times New Roman"/>
                <w:noProof/>
                <w:sz w:val="24"/>
                <w:szCs w:val="24"/>
              </w:rPr>
            </w:pPr>
          </w:p>
          <w:p w14:paraId="5972B5E5" w14:textId="77777777" w:rsidR="0022206F" w:rsidRPr="0022206F" w:rsidRDefault="0022206F" w:rsidP="00ED5568">
            <w:pPr>
              <w:jc w:val="both"/>
              <w:rPr>
                <w:rFonts w:ascii="Times New Roman"/>
                <w:i/>
                <w:noProof/>
                <w:sz w:val="24"/>
              </w:rPr>
            </w:pPr>
            <w:r>
              <w:rPr>
                <w:rFonts w:ascii="Times New Roman"/>
                <w:i/>
                <w:sz w:val="24"/>
              </w:rPr>
              <w:t>SAMAZIN</w:t>
            </w:r>
            <w:r>
              <w:rPr>
                <w:rFonts w:ascii="Times New Roman"/>
                <w:i/>
                <w:sz w:val="24"/>
              </w:rPr>
              <w:t>Ā</w:t>
            </w:r>
            <w:r>
              <w:rPr>
                <w:rFonts w:ascii="Times New Roman"/>
                <w:i/>
                <w:sz w:val="24"/>
              </w:rPr>
              <w:t>TS KALORIJU DAUDZUMS</w:t>
            </w:r>
          </w:p>
          <w:p w14:paraId="20B8F0FA" w14:textId="77777777" w:rsidR="0022206F" w:rsidRPr="0022206F" w:rsidRDefault="0022206F" w:rsidP="00ED5568">
            <w:pPr>
              <w:rPr>
                <w:rFonts w:ascii="Times New Roman" w:eastAsia="Times New Roman" w:hAnsi="Times New Roman" w:cs="Times New Roman"/>
                <w:noProof/>
                <w:sz w:val="24"/>
                <w:szCs w:val="24"/>
              </w:rPr>
            </w:pPr>
          </w:p>
          <w:p w14:paraId="7201780A" w14:textId="77777777" w:rsidR="0022206F" w:rsidRPr="0022206F" w:rsidRDefault="0022206F" w:rsidP="00ED5568">
            <w:pPr>
              <w:ind w:right="103"/>
              <w:jc w:val="both"/>
              <w:rPr>
                <w:rFonts w:ascii="Times New Roman"/>
                <w:i/>
                <w:noProof/>
                <w:sz w:val="24"/>
              </w:rPr>
            </w:pPr>
            <w:r>
              <w:rPr>
                <w:rFonts w:ascii="Times New Roman"/>
                <w:i/>
                <w:sz w:val="24"/>
              </w:rPr>
              <w:t>Nor</w:t>
            </w:r>
            <w:r>
              <w:rPr>
                <w:rFonts w:ascii="Times New Roman"/>
                <w:i/>
                <w:sz w:val="24"/>
              </w:rPr>
              <w:t>ā</w:t>
            </w:r>
            <w:r>
              <w:rPr>
                <w:rFonts w:ascii="Times New Roman"/>
                <w:i/>
                <w:sz w:val="24"/>
              </w:rPr>
              <w:t>di, ka p</w:t>
            </w:r>
            <w:r>
              <w:rPr>
                <w:rFonts w:ascii="Times New Roman"/>
                <w:i/>
                <w:sz w:val="24"/>
              </w:rPr>
              <w:t>ā</w:t>
            </w:r>
            <w:r>
              <w:rPr>
                <w:rFonts w:ascii="Times New Roman"/>
                <w:i/>
                <w:sz w:val="24"/>
              </w:rPr>
              <w:t>rtikas produktam ir samazin</w:t>
            </w:r>
            <w:r>
              <w:rPr>
                <w:rFonts w:ascii="Times New Roman"/>
                <w:i/>
                <w:sz w:val="24"/>
              </w:rPr>
              <w:t>ā</w:t>
            </w:r>
            <w:r>
              <w:rPr>
                <w:rFonts w:ascii="Times New Roman"/>
                <w:i/>
                <w:sz w:val="24"/>
              </w:rPr>
              <w:t>ts kaloriju daudzums, un jebkuru nor</w:t>
            </w:r>
            <w:r>
              <w:rPr>
                <w:rFonts w:ascii="Times New Roman"/>
                <w:i/>
                <w:sz w:val="24"/>
              </w:rPr>
              <w:t>ā</w:t>
            </w:r>
            <w:r>
              <w:rPr>
                <w:rFonts w:ascii="Times New Roman"/>
                <w:i/>
                <w:sz w:val="24"/>
              </w:rPr>
              <w:t>di, ko pat</w:t>
            </w:r>
            <w:r>
              <w:rPr>
                <w:rFonts w:ascii="Times New Roman"/>
                <w:i/>
                <w:sz w:val="24"/>
              </w:rPr>
              <w:t>ē</w:t>
            </w:r>
            <w:r>
              <w:rPr>
                <w:rFonts w:ascii="Times New Roman"/>
                <w:i/>
                <w:sz w:val="24"/>
              </w:rPr>
              <w:t>r</w:t>
            </w:r>
            <w:r>
              <w:rPr>
                <w:rFonts w:ascii="Times New Roman"/>
                <w:i/>
                <w:sz w:val="24"/>
              </w:rPr>
              <w:t>ē</w:t>
            </w:r>
            <w:r>
              <w:rPr>
                <w:rFonts w:ascii="Times New Roman"/>
                <w:i/>
                <w:sz w:val="24"/>
              </w:rPr>
              <w:t>t</w:t>
            </w:r>
            <w:r>
              <w:rPr>
                <w:rFonts w:ascii="Times New Roman"/>
                <w:i/>
                <w:sz w:val="24"/>
              </w:rPr>
              <w:t>ā</w:t>
            </w:r>
            <w:r>
              <w:rPr>
                <w:rFonts w:ascii="Times New Roman"/>
                <w:i/>
                <w:sz w:val="24"/>
              </w:rPr>
              <w:t>js t</w:t>
            </w:r>
            <w:r>
              <w:rPr>
                <w:rFonts w:ascii="Times New Roman"/>
                <w:i/>
                <w:sz w:val="24"/>
              </w:rPr>
              <w:t>ā</w:t>
            </w:r>
            <w:r>
              <w:rPr>
                <w:rFonts w:ascii="Times New Roman"/>
                <w:i/>
                <w:sz w:val="24"/>
              </w:rPr>
              <w:t xml:space="preserve"> var</w:t>
            </w:r>
            <w:r>
              <w:rPr>
                <w:rFonts w:ascii="Times New Roman"/>
                <w:i/>
                <w:sz w:val="24"/>
              </w:rPr>
              <w:t>ē</w:t>
            </w:r>
            <w:r>
              <w:rPr>
                <w:rFonts w:ascii="Times New Roman"/>
                <w:i/>
                <w:sz w:val="24"/>
              </w:rPr>
              <w:t>tu saprast, dr</w:t>
            </w:r>
            <w:r>
              <w:rPr>
                <w:rFonts w:ascii="Times New Roman"/>
                <w:i/>
                <w:sz w:val="24"/>
              </w:rPr>
              <w:t>ī</w:t>
            </w:r>
            <w:r>
              <w:rPr>
                <w:rFonts w:ascii="Times New Roman"/>
                <w:i/>
                <w:sz w:val="24"/>
              </w:rPr>
              <w:t>kst izmantot tikai tad, ja produkta ener</w:t>
            </w:r>
            <w:r>
              <w:rPr>
                <w:rFonts w:ascii="Times New Roman"/>
                <w:i/>
                <w:sz w:val="24"/>
              </w:rPr>
              <w:t>ģē</w:t>
            </w:r>
            <w:r>
              <w:rPr>
                <w:rFonts w:ascii="Times New Roman"/>
                <w:i/>
                <w:sz w:val="24"/>
              </w:rPr>
              <w:t>tisk</w:t>
            </w:r>
            <w:r>
              <w:rPr>
                <w:rFonts w:ascii="Times New Roman"/>
                <w:i/>
                <w:sz w:val="24"/>
              </w:rPr>
              <w:t>ā</w:t>
            </w:r>
            <w:r>
              <w:rPr>
                <w:rFonts w:ascii="Times New Roman"/>
                <w:i/>
                <w:sz w:val="24"/>
              </w:rPr>
              <w:t xml:space="preserve"> v</w:t>
            </w:r>
            <w:r>
              <w:rPr>
                <w:rFonts w:ascii="Times New Roman"/>
                <w:i/>
                <w:sz w:val="24"/>
              </w:rPr>
              <w:t>ē</w:t>
            </w:r>
            <w:r>
              <w:rPr>
                <w:rFonts w:ascii="Times New Roman"/>
                <w:i/>
                <w:sz w:val="24"/>
              </w:rPr>
              <w:t>rt</w:t>
            </w:r>
            <w:r>
              <w:rPr>
                <w:rFonts w:ascii="Times New Roman"/>
                <w:i/>
                <w:sz w:val="24"/>
              </w:rPr>
              <w:t>ī</w:t>
            </w:r>
            <w:r>
              <w:rPr>
                <w:rFonts w:ascii="Times New Roman"/>
                <w:i/>
                <w:sz w:val="24"/>
              </w:rPr>
              <w:t>ba ir samazin</w:t>
            </w:r>
            <w:r>
              <w:rPr>
                <w:rFonts w:ascii="Times New Roman"/>
                <w:i/>
                <w:sz w:val="24"/>
              </w:rPr>
              <w:t>ā</w:t>
            </w:r>
            <w:r>
              <w:rPr>
                <w:rFonts w:ascii="Times New Roman"/>
                <w:i/>
                <w:sz w:val="24"/>
              </w:rPr>
              <w:t>ta par vismaz 30</w:t>
            </w:r>
            <w:r>
              <w:rPr>
                <w:rFonts w:ascii="Times New Roman"/>
                <w:i/>
                <w:sz w:val="24"/>
              </w:rPr>
              <w:t> </w:t>
            </w:r>
            <w:r>
              <w:rPr>
                <w:rFonts w:ascii="Times New Roman"/>
                <w:i/>
                <w:sz w:val="24"/>
              </w:rPr>
              <w:t>%, nor</w:t>
            </w:r>
            <w:r>
              <w:rPr>
                <w:rFonts w:ascii="Times New Roman"/>
                <w:i/>
                <w:sz w:val="24"/>
              </w:rPr>
              <w:t>ā</w:t>
            </w:r>
            <w:r>
              <w:rPr>
                <w:rFonts w:ascii="Times New Roman"/>
                <w:i/>
                <w:sz w:val="24"/>
              </w:rPr>
              <w:t>dot, k</w:t>
            </w:r>
            <w:r>
              <w:rPr>
                <w:rFonts w:ascii="Times New Roman"/>
                <w:i/>
                <w:sz w:val="24"/>
              </w:rPr>
              <w:t>ā</w:t>
            </w:r>
            <w:r>
              <w:rPr>
                <w:rFonts w:ascii="Times New Roman"/>
                <w:i/>
                <w:sz w:val="24"/>
              </w:rPr>
              <w:t>d</w:t>
            </w:r>
            <w:r>
              <w:rPr>
                <w:rFonts w:ascii="Times New Roman"/>
                <w:i/>
                <w:sz w:val="24"/>
              </w:rPr>
              <w:t>ēļ</w:t>
            </w:r>
            <w:r>
              <w:rPr>
                <w:rFonts w:ascii="Times New Roman"/>
                <w:i/>
                <w:sz w:val="24"/>
              </w:rPr>
              <w:t xml:space="preserve"> p</w:t>
            </w:r>
            <w:r>
              <w:rPr>
                <w:rFonts w:ascii="Times New Roman"/>
                <w:i/>
                <w:sz w:val="24"/>
              </w:rPr>
              <w:t>ā</w:t>
            </w:r>
            <w:r>
              <w:rPr>
                <w:rFonts w:ascii="Times New Roman"/>
                <w:i/>
                <w:sz w:val="24"/>
              </w:rPr>
              <w:t>rtikas produkta kop</w:t>
            </w:r>
            <w:r>
              <w:rPr>
                <w:rFonts w:ascii="Times New Roman"/>
                <w:i/>
                <w:sz w:val="24"/>
              </w:rPr>
              <w:t>ē</w:t>
            </w:r>
            <w:r>
              <w:rPr>
                <w:rFonts w:ascii="Times New Roman"/>
                <w:i/>
                <w:sz w:val="24"/>
              </w:rPr>
              <w:t>j</w:t>
            </w:r>
            <w:r>
              <w:rPr>
                <w:rFonts w:ascii="Times New Roman"/>
                <w:i/>
                <w:sz w:val="24"/>
              </w:rPr>
              <w:t>ā</w:t>
            </w:r>
            <w:r>
              <w:rPr>
                <w:rFonts w:ascii="Times New Roman"/>
                <w:i/>
                <w:sz w:val="24"/>
              </w:rPr>
              <w:t xml:space="preserve"> ener</w:t>
            </w:r>
            <w:r>
              <w:rPr>
                <w:rFonts w:ascii="Times New Roman"/>
                <w:i/>
                <w:sz w:val="24"/>
              </w:rPr>
              <w:t>ģē</w:t>
            </w:r>
            <w:r>
              <w:rPr>
                <w:rFonts w:ascii="Times New Roman"/>
                <w:i/>
                <w:sz w:val="24"/>
              </w:rPr>
              <w:t>tisk</w:t>
            </w:r>
            <w:r>
              <w:rPr>
                <w:rFonts w:ascii="Times New Roman"/>
                <w:i/>
                <w:sz w:val="24"/>
              </w:rPr>
              <w:t>ā</w:t>
            </w:r>
            <w:r>
              <w:rPr>
                <w:rFonts w:ascii="Times New Roman"/>
                <w:i/>
                <w:sz w:val="24"/>
              </w:rPr>
              <w:t xml:space="preserve"> v</w:t>
            </w:r>
            <w:r>
              <w:rPr>
                <w:rFonts w:ascii="Times New Roman"/>
                <w:i/>
                <w:sz w:val="24"/>
              </w:rPr>
              <w:t>ē</w:t>
            </w:r>
            <w:r>
              <w:rPr>
                <w:rFonts w:ascii="Times New Roman"/>
                <w:i/>
                <w:sz w:val="24"/>
              </w:rPr>
              <w:t>rt</w:t>
            </w:r>
            <w:r>
              <w:rPr>
                <w:rFonts w:ascii="Times New Roman"/>
                <w:i/>
                <w:sz w:val="24"/>
              </w:rPr>
              <w:t>ī</w:t>
            </w:r>
            <w:r>
              <w:rPr>
                <w:rFonts w:ascii="Times New Roman"/>
                <w:i/>
                <w:sz w:val="24"/>
              </w:rPr>
              <w:t>ba samazin</w:t>
            </w:r>
            <w:r>
              <w:rPr>
                <w:rFonts w:ascii="Times New Roman"/>
                <w:i/>
                <w:sz w:val="24"/>
              </w:rPr>
              <w:t>ā</w:t>
            </w:r>
            <w:r>
              <w:rPr>
                <w:rFonts w:ascii="Times New Roman"/>
                <w:i/>
                <w:sz w:val="24"/>
              </w:rPr>
              <w:t>ta.</w:t>
            </w:r>
          </w:p>
          <w:p w14:paraId="3D6713F0" w14:textId="77777777" w:rsidR="0022206F" w:rsidRPr="0022206F" w:rsidRDefault="0022206F" w:rsidP="00ED5568">
            <w:pPr>
              <w:rPr>
                <w:rFonts w:ascii="Times New Roman" w:eastAsia="Times New Roman" w:hAnsi="Times New Roman" w:cs="Times New Roman"/>
                <w:noProof/>
                <w:sz w:val="24"/>
                <w:szCs w:val="24"/>
              </w:rPr>
            </w:pPr>
          </w:p>
          <w:p w14:paraId="3674C537" w14:textId="77777777" w:rsidR="0022206F" w:rsidRPr="0022206F" w:rsidRDefault="0022206F" w:rsidP="00ED5568">
            <w:pPr>
              <w:jc w:val="both"/>
              <w:rPr>
                <w:rFonts w:ascii="Times New Roman"/>
                <w:i/>
                <w:noProof/>
                <w:sz w:val="24"/>
              </w:rPr>
            </w:pPr>
            <w:r>
              <w:rPr>
                <w:rFonts w:ascii="Times New Roman"/>
                <w:i/>
                <w:sz w:val="24"/>
              </w:rPr>
              <w:t>VIEGLS</w:t>
            </w:r>
          </w:p>
          <w:p w14:paraId="38BE9F74" w14:textId="77777777" w:rsidR="0022206F" w:rsidRPr="0022206F" w:rsidRDefault="0022206F" w:rsidP="00ED5568">
            <w:pPr>
              <w:spacing w:before="10"/>
              <w:rPr>
                <w:rFonts w:ascii="Times New Roman" w:eastAsia="Times New Roman" w:hAnsi="Times New Roman" w:cs="Times New Roman"/>
                <w:noProof/>
                <w:sz w:val="23"/>
                <w:szCs w:val="23"/>
              </w:rPr>
            </w:pPr>
          </w:p>
          <w:p w14:paraId="03F80221" w14:textId="77777777" w:rsidR="0022206F" w:rsidRPr="0022206F" w:rsidRDefault="0022206F" w:rsidP="00ED5568">
            <w:pPr>
              <w:ind w:right="103"/>
              <w:jc w:val="both"/>
              <w:rPr>
                <w:rFonts w:ascii="Times New Roman" w:eastAsia="Times New Roman" w:hAnsi="Times New Roman" w:cs="Times New Roman"/>
                <w:noProof/>
                <w:sz w:val="24"/>
                <w:szCs w:val="24"/>
              </w:rPr>
            </w:pPr>
            <w:r>
              <w:rPr>
                <w:rFonts w:ascii="Times New Roman"/>
                <w:i/>
                <w:iCs/>
                <w:sz w:val="24"/>
              </w:rPr>
              <w:t>Nor</w:t>
            </w:r>
            <w:r>
              <w:rPr>
                <w:rFonts w:ascii="Times New Roman"/>
                <w:i/>
                <w:iCs/>
                <w:sz w:val="24"/>
              </w:rPr>
              <w:t>ā</w:t>
            </w:r>
            <w:r>
              <w:rPr>
                <w:rFonts w:ascii="Times New Roman"/>
                <w:i/>
                <w:iCs/>
                <w:sz w:val="24"/>
              </w:rPr>
              <w:t>dei, ka p</w:t>
            </w:r>
            <w:r>
              <w:rPr>
                <w:rFonts w:ascii="Times New Roman"/>
                <w:i/>
                <w:iCs/>
                <w:sz w:val="24"/>
              </w:rPr>
              <w:t>ā</w:t>
            </w:r>
            <w:r>
              <w:rPr>
                <w:rFonts w:ascii="Times New Roman"/>
                <w:i/>
                <w:iCs/>
                <w:sz w:val="24"/>
              </w:rPr>
              <w:t xml:space="preserve">rtikas produkts ir </w:t>
            </w:r>
            <w:r>
              <w:rPr>
                <w:rFonts w:ascii="Times New Roman"/>
                <w:i/>
                <w:iCs/>
                <w:sz w:val="24"/>
              </w:rPr>
              <w:t>“</w:t>
            </w:r>
            <w:r>
              <w:rPr>
                <w:rFonts w:ascii="Times New Roman"/>
                <w:i/>
                <w:iCs/>
                <w:sz w:val="24"/>
              </w:rPr>
              <w:t>viegls</w:t>
            </w:r>
            <w:r>
              <w:rPr>
                <w:rFonts w:ascii="Times New Roman"/>
                <w:i/>
                <w:iCs/>
                <w:sz w:val="24"/>
              </w:rPr>
              <w:t>”</w:t>
            </w:r>
            <w:r>
              <w:rPr>
                <w:rFonts w:ascii="Times New Roman"/>
                <w:i/>
                <w:iCs/>
                <w:sz w:val="24"/>
              </w:rPr>
              <w:t>, k</w:t>
            </w:r>
            <w:r>
              <w:rPr>
                <w:rFonts w:ascii="Times New Roman"/>
                <w:i/>
                <w:iCs/>
                <w:sz w:val="24"/>
              </w:rPr>
              <w:t>ā</w:t>
            </w:r>
            <w:r>
              <w:rPr>
                <w:rFonts w:ascii="Times New Roman"/>
                <w:i/>
                <w:iCs/>
                <w:sz w:val="24"/>
              </w:rPr>
              <w:t xml:space="preserve"> ar</w:t>
            </w:r>
            <w:r>
              <w:rPr>
                <w:rFonts w:ascii="Times New Roman"/>
                <w:i/>
                <w:iCs/>
                <w:sz w:val="24"/>
              </w:rPr>
              <w:t>ī</w:t>
            </w:r>
            <w:r>
              <w:rPr>
                <w:rFonts w:ascii="Times New Roman"/>
                <w:i/>
                <w:iCs/>
                <w:sz w:val="24"/>
              </w:rPr>
              <w:t xml:space="preserve"> jebkurai citai nor</w:t>
            </w:r>
            <w:r>
              <w:rPr>
                <w:rFonts w:ascii="Times New Roman"/>
                <w:i/>
                <w:iCs/>
                <w:sz w:val="24"/>
              </w:rPr>
              <w:t>ā</w:t>
            </w:r>
            <w:r>
              <w:rPr>
                <w:rFonts w:ascii="Times New Roman"/>
                <w:i/>
                <w:iCs/>
                <w:sz w:val="24"/>
              </w:rPr>
              <w:t>dei, ko pat</w:t>
            </w:r>
            <w:r>
              <w:rPr>
                <w:rFonts w:ascii="Times New Roman"/>
                <w:i/>
                <w:iCs/>
                <w:sz w:val="24"/>
              </w:rPr>
              <w:t>ē</w:t>
            </w:r>
            <w:r>
              <w:rPr>
                <w:rFonts w:ascii="Times New Roman"/>
                <w:i/>
                <w:iCs/>
                <w:sz w:val="24"/>
              </w:rPr>
              <w:t>r</w:t>
            </w:r>
            <w:r>
              <w:rPr>
                <w:rFonts w:ascii="Times New Roman"/>
                <w:i/>
                <w:iCs/>
                <w:sz w:val="24"/>
              </w:rPr>
              <w:t>ē</w:t>
            </w:r>
            <w:r>
              <w:rPr>
                <w:rFonts w:ascii="Times New Roman"/>
                <w:i/>
                <w:iCs/>
                <w:sz w:val="24"/>
              </w:rPr>
              <w:t>t</w:t>
            </w:r>
            <w:r>
              <w:rPr>
                <w:rFonts w:ascii="Times New Roman"/>
                <w:i/>
                <w:iCs/>
                <w:sz w:val="24"/>
              </w:rPr>
              <w:t>ā</w:t>
            </w:r>
            <w:r>
              <w:rPr>
                <w:rFonts w:ascii="Times New Roman"/>
                <w:i/>
                <w:iCs/>
                <w:sz w:val="24"/>
              </w:rPr>
              <w:t>js t</w:t>
            </w:r>
            <w:r>
              <w:rPr>
                <w:rFonts w:ascii="Times New Roman"/>
                <w:i/>
                <w:iCs/>
                <w:sz w:val="24"/>
              </w:rPr>
              <w:t>ā</w:t>
            </w:r>
            <w:r>
              <w:rPr>
                <w:rFonts w:ascii="Times New Roman"/>
                <w:i/>
                <w:iCs/>
                <w:sz w:val="24"/>
              </w:rPr>
              <w:t xml:space="preserve"> var</w:t>
            </w:r>
            <w:r>
              <w:rPr>
                <w:rFonts w:ascii="Times New Roman"/>
                <w:i/>
                <w:iCs/>
                <w:sz w:val="24"/>
              </w:rPr>
              <w:t>ē</w:t>
            </w:r>
            <w:r>
              <w:rPr>
                <w:rFonts w:ascii="Times New Roman"/>
                <w:i/>
                <w:iCs/>
                <w:sz w:val="24"/>
              </w:rPr>
              <w:t>tu saprast, piem</w:t>
            </w:r>
            <w:r>
              <w:rPr>
                <w:rFonts w:ascii="Times New Roman"/>
                <w:i/>
                <w:iCs/>
                <w:sz w:val="24"/>
              </w:rPr>
              <w:t>ē</w:t>
            </w:r>
            <w:r>
              <w:rPr>
                <w:rFonts w:ascii="Times New Roman"/>
                <w:i/>
                <w:iCs/>
                <w:sz w:val="24"/>
              </w:rPr>
              <w:t>ro tos pa</w:t>
            </w:r>
            <w:r>
              <w:rPr>
                <w:rFonts w:ascii="Times New Roman"/>
                <w:i/>
                <w:iCs/>
                <w:sz w:val="24"/>
              </w:rPr>
              <w:t>š</w:t>
            </w:r>
            <w:r>
              <w:rPr>
                <w:rFonts w:ascii="Times New Roman"/>
                <w:i/>
                <w:iCs/>
                <w:sz w:val="24"/>
              </w:rPr>
              <w:t>us nosac</w:t>
            </w:r>
            <w:r>
              <w:rPr>
                <w:rFonts w:ascii="Times New Roman"/>
                <w:i/>
                <w:iCs/>
                <w:sz w:val="24"/>
              </w:rPr>
              <w:t>ī</w:t>
            </w:r>
            <w:r>
              <w:rPr>
                <w:rFonts w:ascii="Times New Roman"/>
                <w:i/>
                <w:iCs/>
                <w:sz w:val="24"/>
              </w:rPr>
              <w:t>jumus k</w:t>
            </w:r>
            <w:r>
              <w:rPr>
                <w:rFonts w:ascii="Times New Roman"/>
                <w:i/>
                <w:iCs/>
                <w:sz w:val="24"/>
              </w:rPr>
              <w:t>ā</w:t>
            </w:r>
            <w:r>
              <w:rPr>
                <w:rFonts w:ascii="Times New Roman"/>
                <w:i/>
                <w:iCs/>
                <w:sz w:val="24"/>
              </w:rPr>
              <w:t xml:space="preserve"> nor</w:t>
            </w:r>
            <w:r>
              <w:rPr>
                <w:rFonts w:ascii="Times New Roman"/>
                <w:i/>
                <w:iCs/>
                <w:sz w:val="24"/>
              </w:rPr>
              <w:t>ā</w:t>
            </w:r>
            <w:r>
              <w:rPr>
                <w:rFonts w:ascii="Times New Roman"/>
                <w:i/>
                <w:iCs/>
                <w:sz w:val="24"/>
              </w:rPr>
              <w:t>dei ar v</w:t>
            </w:r>
            <w:r>
              <w:rPr>
                <w:rFonts w:ascii="Times New Roman"/>
                <w:i/>
                <w:iCs/>
                <w:sz w:val="24"/>
              </w:rPr>
              <w:t>ā</w:t>
            </w:r>
            <w:r>
              <w:rPr>
                <w:rFonts w:ascii="Times New Roman"/>
                <w:i/>
                <w:iCs/>
                <w:sz w:val="24"/>
              </w:rPr>
              <w:t xml:space="preserve">rdu </w:t>
            </w:r>
            <w:r>
              <w:rPr>
                <w:rFonts w:ascii="Times New Roman"/>
                <w:i/>
                <w:iCs/>
                <w:sz w:val="24"/>
              </w:rPr>
              <w:t>“</w:t>
            </w:r>
            <w:r>
              <w:rPr>
                <w:rFonts w:ascii="Times New Roman"/>
                <w:i/>
                <w:iCs/>
                <w:sz w:val="24"/>
              </w:rPr>
              <w:t>samazin</w:t>
            </w:r>
            <w:r>
              <w:rPr>
                <w:rFonts w:ascii="Times New Roman"/>
                <w:i/>
                <w:iCs/>
                <w:sz w:val="24"/>
              </w:rPr>
              <w:t>ā</w:t>
            </w:r>
            <w:r>
              <w:rPr>
                <w:rFonts w:ascii="Times New Roman"/>
                <w:i/>
                <w:iCs/>
                <w:sz w:val="24"/>
              </w:rPr>
              <w:t>ts</w:t>
            </w:r>
            <w:r>
              <w:rPr>
                <w:rFonts w:ascii="Times New Roman"/>
                <w:i/>
                <w:iCs/>
                <w:sz w:val="24"/>
              </w:rPr>
              <w:t>”</w:t>
            </w:r>
            <w:r>
              <w:rPr>
                <w:rFonts w:ascii="Times New Roman"/>
                <w:i/>
                <w:iCs/>
                <w:sz w:val="24"/>
              </w:rPr>
              <w:t>; nor</w:t>
            </w:r>
            <w:r>
              <w:rPr>
                <w:rFonts w:ascii="Times New Roman"/>
                <w:i/>
                <w:iCs/>
                <w:sz w:val="24"/>
              </w:rPr>
              <w:t>ā</w:t>
            </w:r>
            <w:r>
              <w:rPr>
                <w:rFonts w:ascii="Times New Roman"/>
                <w:i/>
                <w:iCs/>
                <w:sz w:val="24"/>
              </w:rPr>
              <w:t>dei pievieno ar</w:t>
            </w:r>
            <w:r>
              <w:rPr>
                <w:rFonts w:ascii="Times New Roman"/>
                <w:i/>
                <w:iCs/>
                <w:sz w:val="24"/>
              </w:rPr>
              <w:t>ī</w:t>
            </w:r>
            <w:r>
              <w:rPr>
                <w:rFonts w:ascii="Times New Roman"/>
                <w:i/>
                <w:iCs/>
                <w:sz w:val="24"/>
              </w:rPr>
              <w:t xml:space="preserve"> t</w:t>
            </w:r>
            <w:r>
              <w:rPr>
                <w:rFonts w:ascii="Times New Roman"/>
                <w:i/>
                <w:iCs/>
                <w:sz w:val="24"/>
              </w:rPr>
              <w:t>ā</w:t>
            </w:r>
            <w:r>
              <w:rPr>
                <w:rFonts w:ascii="Times New Roman"/>
                <w:i/>
                <w:iCs/>
                <w:sz w:val="24"/>
              </w:rPr>
              <w:t xml:space="preserve">s </w:t>
            </w:r>
            <w:r>
              <w:rPr>
                <w:rFonts w:ascii="Times New Roman"/>
                <w:i/>
                <w:iCs/>
                <w:sz w:val="24"/>
              </w:rPr>
              <w:t>ī</w:t>
            </w:r>
            <w:r>
              <w:rPr>
                <w:rFonts w:ascii="Times New Roman"/>
                <w:i/>
                <w:iCs/>
                <w:sz w:val="24"/>
              </w:rPr>
              <w:t>pa</w:t>
            </w:r>
            <w:r>
              <w:rPr>
                <w:rFonts w:ascii="Times New Roman"/>
                <w:i/>
                <w:iCs/>
                <w:sz w:val="24"/>
              </w:rPr>
              <w:t>šī</w:t>
            </w:r>
            <w:r>
              <w:rPr>
                <w:rFonts w:ascii="Times New Roman"/>
                <w:i/>
                <w:iCs/>
                <w:sz w:val="24"/>
              </w:rPr>
              <w:t xml:space="preserve">bas / to </w:t>
            </w:r>
            <w:r>
              <w:rPr>
                <w:rFonts w:ascii="Times New Roman"/>
                <w:i/>
                <w:iCs/>
                <w:sz w:val="24"/>
              </w:rPr>
              <w:t>ī</w:t>
            </w:r>
            <w:r>
              <w:rPr>
                <w:rFonts w:ascii="Times New Roman"/>
                <w:i/>
                <w:iCs/>
                <w:sz w:val="24"/>
              </w:rPr>
              <w:t>pa</w:t>
            </w:r>
            <w:r>
              <w:rPr>
                <w:rFonts w:ascii="Times New Roman"/>
                <w:i/>
                <w:iCs/>
                <w:sz w:val="24"/>
              </w:rPr>
              <w:t>šī</w:t>
            </w:r>
            <w:r>
              <w:rPr>
                <w:rFonts w:ascii="Times New Roman"/>
                <w:i/>
                <w:iCs/>
                <w:sz w:val="24"/>
              </w:rPr>
              <w:t>bu nor</w:t>
            </w:r>
            <w:r>
              <w:rPr>
                <w:rFonts w:ascii="Times New Roman"/>
                <w:i/>
                <w:iCs/>
                <w:sz w:val="24"/>
              </w:rPr>
              <w:t>ā</w:t>
            </w:r>
            <w:r>
              <w:rPr>
                <w:rFonts w:ascii="Times New Roman"/>
                <w:i/>
                <w:iCs/>
                <w:sz w:val="24"/>
              </w:rPr>
              <w:t>di, kas p</w:t>
            </w:r>
            <w:r>
              <w:rPr>
                <w:rFonts w:ascii="Times New Roman"/>
                <w:i/>
                <w:iCs/>
                <w:sz w:val="24"/>
              </w:rPr>
              <w:t>ā</w:t>
            </w:r>
            <w:r>
              <w:rPr>
                <w:rFonts w:ascii="Times New Roman"/>
                <w:i/>
                <w:iCs/>
                <w:sz w:val="24"/>
              </w:rPr>
              <w:t xml:space="preserve">rtikas produktu padara </w:t>
            </w:r>
            <w:r>
              <w:rPr>
                <w:rFonts w:ascii="Times New Roman"/>
                <w:i/>
                <w:iCs/>
                <w:sz w:val="24"/>
              </w:rPr>
              <w:t>“</w:t>
            </w:r>
            <w:r>
              <w:rPr>
                <w:rFonts w:ascii="Times New Roman"/>
                <w:i/>
                <w:iCs/>
                <w:sz w:val="24"/>
              </w:rPr>
              <w:t>vieglu</w:t>
            </w:r>
            <w:r>
              <w:rPr>
                <w:rFonts w:ascii="Times New Roman"/>
                <w:i/>
                <w:iCs/>
                <w:sz w:val="24"/>
              </w:rPr>
              <w:t>”</w:t>
            </w:r>
            <w:r>
              <w:rPr>
                <w:rFonts w:ascii="Times New Roman"/>
                <w:i/>
                <w:iCs/>
                <w:sz w:val="24"/>
              </w:rPr>
              <w:t>.</w:t>
            </w:r>
          </w:p>
        </w:tc>
      </w:tr>
    </w:tbl>
    <w:p w14:paraId="469D6E5B" w14:textId="77777777" w:rsidR="0022206F" w:rsidRPr="0022206F" w:rsidRDefault="0022206F" w:rsidP="0022206F">
      <w:pPr>
        <w:jc w:val="both"/>
        <w:rPr>
          <w:rFonts w:ascii="Times New Roman" w:eastAsia="Times New Roman" w:hAnsi="Times New Roman" w:cs="Times New Roman"/>
          <w:noProof/>
          <w:sz w:val="24"/>
          <w:szCs w:val="24"/>
        </w:rPr>
      </w:pPr>
    </w:p>
    <w:p w14:paraId="209F7705" w14:textId="77777777" w:rsidR="0022206F" w:rsidRPr="0022206F" w:rsidRDefault="0022206F" w:rsidP="0022206F">
      <w:pPr>
        <w:pStyle w:val="Virsraksts2"/>
        <w:tabs>
          <w:tab w:val="left" w:pos="684"/>
        </w:tabs>
        <w:ind w:left="0" w:firstLine="0"/>
        <w:jc w:val="both"/>
        <w:rPr>
          <w:rFonts w:cs="Times New Roman"/>
          <w:noProof/>
          <w:sz w:val="24"/>
          <w:szCs w:val="24"/>
        </w:rPr>
      </w:pPr>
      <w:bookmarkStart w:id="13" w:name="_TOC_250010"/>
      <w:bookmarkStart w:id="14" w:name="_Toc64303282"/>
      <w:r>
        <w:rPr>
          <w:sz w:val="24"/>
        </w:rPr>
        <w:t>II.2. Pamatnostādnes par salīdzinošo norāžu lietošanu</w:t>
      </w:r>
      <w:bookmarkEnd w:id="13"/>
      <w:bookmarkEnd w:id="14"/>
    </w:p>
    <w:p w14:paraId="20A5CC1E" w14:textId="77777777" w:rsidR="0022206F" w:rsidRPr="0022206F" w:rsidRDefault="0022206F" w:rsidP="0022206F">
      <w:pPr>
        <w:jc w:val="both"/>
        <w:rPr>
          <w:rFonts w:ascii="Times New Roman" w:eastAsia="Times New Roman" w:hAnsi="Times New Roman" w:cs="Times New Roman"/>
          <w:b/>
          <w:bCs/>
          <w:noProof/>
          <w:sz w:val="24"/>
          <w:szCs w:val="24"/>
        </w:rPr>
      </w:pPr>
    </w:p>
    <w:p w14:paraId="13945173" w14:textId="77777777" w:rsidR="0022206F" w:rsidRPr="0022206F" w:rsidRDefault="0022206F" w:rsidP="0022206F">
      <w:pPr>
        <w:pStyle w:val="Pamatteksts"/>
        <w:ind w:left="0"/>
        <w:jc w:val="both"/>
        <w:rPr>
          <w:rFonts w:cs="Times New Roman"/>
          <w:noProof/>
        </w:rPr>
      </w:pPr>
      <w:r>
        <w:t>Salīdzinošās norādes ir uzturvērtības norādes.</w:t>
      </w:r>
    </w:p>
    <w:p w14:paraId="3C05653F" w14:textId="77777777" w:rsidR="0022206F" w:rsidRPr="0022206F" w:rsidRDefault="0022206F" w:rsidP="0022206F">
      <w:pPr>
        <w:jc w:val="both"/>
        <w:rPr>
          <w:rFonts w:ascii="Times New Roman" w:eastAsia="Times New Roman" w:hAnsi="Times New Roman" w:cs="Times New Roman"/>
          <w:noProof/>
          <w:sz w:val="24"/>
          <w:szCs w:val="24"/>
        </w:rPr>
      </w:pPr>
    </w:p>
    <w:p w14:paraId="3609EBC4" w14:textId="77777777" w:rsidR="0022206F" w:rsidRPr="0022206F" w:rsidRDefault="0022206F" w:rsidP="0022206F">
      <w:pPr>
        <w:pStyle w:val="Pamatteksts"/>
        <w:ind w:left="0"/>
        <w:jc w:val="both"/>
        <w:rPr>
          <w:rFonts w:cs="Times New Roman"/>
          <w:noProof/>
        </w:rPr>
      </w:pPr>
      <w:r>
        <w:t xml:space="preserve">Jāatzīmē, ka norādes par “tikpat lielu daudzumu” vai jebkuras citas norādes, ko šādā nozīmē varētu saprast, neuzskata par salīdzinošām norādēm, jo 9. pantā ir paskaidrots, ka salīdzinošā norādē jāpauž </w:t>
      </w:r>
      <w:r>
        <w:rPr>
          <w:b/>
          <w:bCs/>
        </w:rPr>
        <w:t>atšķirība</w:t>
      </w:r>
      <w:r>
        <w:t xml:space="preserve"> uzturvielas daudzumā vai enerģētiskajā vērtībā. Turklāt norādes par “tikpat lielu daudzumu” Regulas pielikumā nav, un tātad tā nav atļauta.</w:t>
      </w:r>
    </w:p>
    <w:p w14:paraId="35A69BCA" w14:textId="77777777" w:rsidR="0022206F" w:rsidRPr="0022206F" w:rsidRDefault="0022206F" w:rsidP="0022206F">
      <w:pPr>
        <w:jc w:val="both"/>
        <w:rPr>
          <w:rFonts w:cs="Times New Roman"/>
          <w:noProof/>
        </w:rPr>
      </w:pPr>
    </w:p>
    <w:p w14:paraId="53B36933" w14:textId="77777777" w:rsidR="0022206F" w:rsidRPr="0022206F" w:rsidRDefault="0022206F" w:rsidP="0022206F">
      <w:pPr>
        <w:pStyle w:val="Pamatteksts"/>
        <w:ind w:left="0"/>
        <w:jc w:val="both"/>
        <w:rPr>
          <w:rFonts w:cs="Times New Roman"/>
          <w:noProof/>
        </w:rPr>
      </w:pPr>
      <w:r>
        <w:t>Norādes “īpaši viegls” Regulas pielikumā arī nav, un attiecīgi tā nav atļauta.</w:t>
      </w:r>
    </w:p>
    <w:p w14:paraId="24D7BB0C" w14:textId="77777777" w:rsidR="0022206F" w:rsidRPr="0022206F" w:rsidRDefault="0022206F" w:rsidP="0022206F">
      <w:pPr>
        <w:jc w:val="both"/>
        <w:rPr>
          <w:rFonts w:ascii="Times New Roman" w:eastAsia="Times New Roman" w:hAnsi="Times New Roman" w:cs="Times New Roman"/>
          <w:noProof/>
          <w:sz w:val="24"/>
          <w:szCs w:val="24"/>
        </w:rPr>
      </w:pPr>
    </w:p>
    <w:p w14:paraId="032F75F5" w14:textId="77777777" w:rsidR="0022206F" w:rsidRPr="0022206F" w:rsidRDefault="0022206F" w:rsidP="0022206F">
      <w:pPr>
        <w:pStyle w:val="Virsraksts3"/>
        <w:tabs>
          <w:tab w:val="left" w:pos="785"/>
        </w:tabs>
        <w:ind w:left="0"/>
        <w:jc w:val="both"/>
        <w:rPr>
          <w:rFonts w:cs="Times New Roman"/>
          <w:noProof/>
        </w:rPr>
      </w:pPr>
      <w:bookmarkStart w:id="15" w:name="_TOC_250009"/>
      <w:bookmarkStart w:id="16" w:name="_Toc64303283"/>
      <w:r>
        <w:t>II.2.1. Pārtikas produktu kategorija</w:t>
      </w:r>
      <w:bookmarkEnd w:id="15"/>
      <w:bookmarkEnd w:id="16"/>
    </w:p>
    <w:p w14:paraId="4ECCED21" w14:textId="77777777" w:rsidR="0022206F" w:rsidRPr="0022206F" w:rsidRDefault="0022206F" w:rsidP="0022206F">
      <w:pPr>
        <w:jc w:val="both"/>
        <w:rPr>
          <w:rFonts w:ascii="Times New Roman" w:eastAsia="Times New Roman" w:hAnsi="Times New Roman" w:cs="Times New Roman"/>
          <w:b/>
          <w:bCs/>
          <w:noProof/>
          <w:sz w:val="24"/>
          <w:szCs w:val="24"/>
        </w:rPr>
      </w:pPr>
    </w:p>
    <w:p w14:paraId="26B1DC84" w14:textId="77777777" w:rsidR="0022206F" w:rsidRPr="0022206F" w:rsidRDefault="0022206F" w:rsidP="0022206F">
      <w:pPr>
        <w:pStyle w:val="Pamatteksts"/>
        <w:ind w:left="0"/>
        <w:jc w:val="both"/>
        <w:rPr>
          <w:rFonts w:cs="Times New Roman"/>
          <w:noProof/>
        </w:rPr>
      </w:pPr>
      <w:r>
        <w:t>Regulas 9. panta 1. punktā ir noteikts, ka salīdzinošo norāžu lietošana ir pieļaujama tikai starp vienas un tās pašas kategorijas pārtikas produktiem, lai izvairītos no tā, ka tiek salīdzināti produkti ar dažādu uzturvielu saturu (piemēram, piens un sviests). Tomēr pārtikas produktu kategorijas Regulā nav definētas.</w:t>
      </w:r>
    </w:p>
    <w:p w14:paraId="1065700D" w14:textId="77777777" w:rsidR="0022206F" w:rsidRPr="0022206F" w:rsidRDefault="0022206F" w:rsidP="0022206F">
      <w:pPr>
        <w:jc w:val="both"/>
        <w:rPr>
          <w:rFonts w:ascii="Times New Roman" w:eastAsia="Times New Roman" w:hAnsi="Times New Roman" w:cs="Times New Roman"/>
          <w:noProof/>
          <w:sz w:val="24"/>
          <w:szCs w:val="24"/>
        </w:rPr>
      </w:pPr>
    </w:p>
    <w:p w14:paraId="1E8849C3" w14:textId="77777777" w:rsidR="0022206F" w:rsidRPr="0022206F" w:rsidRDefault="0022206F" w:rsidP="0022206F">
      <w:pPr>
        <w:pStyle w:val="Pamatteksts"/>
        <w:ind w:left="0"/>
        <w:jc w:val="both"/>
        <w:rPr>
          <w:rFonts w:cs="Times New Roman"/>
          <w:noProof/>
        </w:rPr>
      </w:pPr>
      <w:r>
        <w:t xml:space="preserve">Tāpēc produktiem, kurus salīdzina, jābūt piederīgiem pārtikas produktu grupai, kurā ir </w:t>
      </w:r>
      <w:r>
        <w:rPr>
          <w:u w:val="single"/>
        </w:rPr>
        <w:t>uzturvērtības ziņā līdzīgi produkti</w:t>
      </w:r>
      <w:r>
        <w:t>.</w:t>
      </w:r>
    </w:p>
    <w:p w14:paraId="6D8289AA" w14:textId="77777777" w:rsidR="0022206F" w:rsidRPr="0022206F" w:rsidRDefault="0022206F" w:rsidP="0022206F">
      <w:pPr>
        <w:pStyle w:val="Pamatteksts"/>
        <w:ind w:left="0"/>
        <w:jc w:val="both"/>
        <w:rPr>
          <w:rFonts w:cs="Times New Roman"/>
          <w:noProof/>
        </w:rPr>
      </w:pPr>
    </w:p>
    <w:p w14:paraId="43E83811" w14:textId="77777777" w:rsidR="0022206F" w:rsidRPr="0022206F" w:rsidRDefault="0022206F" w:rsidP="0022206F">
      <w:pPr>
        <w:pStyle w:val="Pamatteksts"/>
        <w:ind w:left="0"/>
        <w:jc w:val="both"/>
        <w:rPr>
          <w:rFonts w:cs="Times New Roman"/>
          <w:noProof/>
        </w:rPr>
      </w:pPr>
      <w:r>
        <w:t>Dažas pārtikas produktu grupas ir pārāk plašas, lai tās šā noteikuma piemērošanas vajadzībām uzskatītu par pārtikas produktu kategorijām, un daži salīdzinājumi varētu būt maldinoši. Piemēram, “piena produktu” kategorija būtu pārāk plaša un ļautu neatbilstoši salīdzināt siera tauku saturu ar tauku saturu pienā. Tāpēc attiecīgajā piemērā šā noteikuma piemērošanas vajadzībām par “kategorijām” būtu jāuzskata tikai tādas kategorijas kā “piens” vai “sieri”.</w:t>
      </w:r>
    </w:p>
    <w:p w14:paraId="3EBBC103" w14:textId="77777777" w:rsidR="0022206F" w:rsidRPr="0022206F" w:rsidRDefault="0022206F" w:rsidP="0022206F">
      <w:pPr>
        <w:jc w:val="both"/>
        <w:rPr>
          <w:rFonts w:ascii="Times New Roman" w:eastAsia="Times New Roman" w:hAnsi="Times New Roman" w:cs="Times New Roman"/>
          <w:noProof/>
          <w:sz w:val="24"/>
          <w:szCs w:val="24"/>
        </w:rPr>
      </w:pPr>
    </w:p>
    <w:p w14:paraId="43E86BF4" w14:textId="77777777" w:rsidR="0022206F" w:rsidRPr="0022206F" w:rsidRDefault="0022206F" w:rsidP="0022206F">
      <w:pPr>
        <w:pStyle w:val="Pamatteksts"/>
        <w:ind w:left="0"/>
        <w:jc w:val="both"/>
        <w:rPr>
          <w:rFonts w:cs="Times New Roman"/>
          <w:noProof/>
        </w:rPr>
      </w:pPr>
      <w:r>
        <w:t>Pārtikas produkti, kuru vispārējais uzturvielu saturs ir līdzīgs, var savstarpēji būt arī alternatīvas izvēles patēriņa ziņā, piemēram, margarīns un sviests, kas abos gadījumos ir produkti ar augstu tauku saturu. Tāpēc pārtikas kategorijas jēdzienā būtu jāņem vērā arī patēriņa situācija un/vai patēriņa mērķis. Patērētājus var interesēt noteiktu produktu un to alternatīvu salīdzināšana. Šajos gadījumos, lai, ņemot vērā Regulas 21. apsvērumā sniegto skaidrojumu, izvairītos no patērētāju maldināšanas, saskaņā ar 3. pantu atsauces produktam vajadzētu būt skaidri minētam.</w:t>
      </w:r>
    </w:p>
    <w:p w14:paraId="46823DA4" w14:textId="77777777" w:rsidR="0022206F" w:rsidRPr="0022206F" w:rsidRDefault="0022206F" w:rsidP="0022206F">
      <w:pPr>
        <w:jc w:val="both"/>
        <w:rPr>
          <w:rFonts w:ascii="Times New Roman" w:eastAsia="Times New Roman" w:hAnsi="Times New Roman" w:cs="Times New Roman"/>
          <w:noProof/>
          <w:sz w:val="24"/>
          <w:szCs w:val="24"/>
        </w:rPr>
      </w:pPr>
    </w:p>
    <w:p w14:paraId="0D8399CB" w14:textId="77777777" w:rsidR="0022206F" w:rsidRPr="0022206F" w:rsidRDefault="0022206F" w:rsidP="0022206F">
      <w:pPr>
        <w:pStyle w:val="Virsraksts3"/>
        <w:tabs>
          <w:tab w:val="left" w:pos="785"/>
        </w:tabs>
        <w:ind w:left="0"/>
        <w:jc w:val="both"/>
        <w:rPr>
          <w:rFonts w:cs="Times New Roman"/>
          <w:noProof/>
        </w:rPr>
      </w:pPr>
      <w:bookmarkStart w:id="17" w:name="_TOC_250008"/>
      <w:bookmarkStart w:id="18" w:name="_Toc64303284"/>
      <w:r>
        <w:t>II.2.2. Atsauces produkts</w:t>
      </w:r>
      <w:bookmarkEnd w:id="17"/>
      <w:bookmarkEnd w:id="18"/>
    </w:p>
    <w:p w14:paraId="0CAFB2BA" w14:textId="77777777" w:rsidR="0022206F" w:rsidRPr="0022206F" w:rsidRDefault="0022206F" w:rsidP="0022206F">
      <w:pPr>
        <w:jc w:val="both"/>
        <w:rPr>
          <w:rFonts w:ascii="Times New Roman" w:eastAsia="Times New Roman" w:hAnsi="Times New Roman" w:cs="Times New Roman"/>
          <w:b/>
          <w:bCs/>
          <w:noProof/>
          <w:sz w:val="24"/>
          <w:szCs w:val="24"/>
        </w:rPr>
      </w:pPr>
    </w:p>
    <w:p w14:paraId="4B6842F7" w14:textId="77777777" w:rsidR="0022206F" w:rsidRPr="0022206F" w:rsidRDefault="0022206F" w:rsidP="0022206F">
      <w:pPr>
        <w:pStyle w:val="Pamatteksts"/>
        <w:ind w:left="0"/>
        <w:jc w:val="both"/>
        <w:rPr>
          <w:rFonts w:cs="Times New Roman"/>
          <w:noProof/>
        </w:rPr>
      </w:pPr>
      <w:r>
        <w:t xml:space="preserve">Regulas 9. panta 2. punktā ir precizēts, ka salīdzināšanai jāņem vērā vairāki vienas un tās pašas kategorijas pārtikas produkti, tostarp citu zīmolu pārtikas produkti. Tas vajadzīgs, lai izvairītos no situācijas, ka salīdzinājums ar vienu atsevišķu produktu varētu maldināt patērētāju, jo šis atsevišķais produkts var nebūt reprezentatīvs attiecībā uz konkrēto produktu kategoriju. </w:t>
      </w:r>
      <w:r>
        <w:lastRenderedPageBreak/>
        <w:t>Piemēram, pārtikas uzņēmums par atsauces produktu varētu izvēlēties produktu, kurā ir vairāk kaloriju nekā vidēji šīs pašas pārtikas produktu kategorijas produktā. Vieglajā variantā varētu būt par 30 % mazāk kaloriju nekā šādā atsauces produktā, bet salīdzinājums varētu būt maldinošs, jo pēdējais no minētajiem varētu nebūt reprezentatīvs attiecībā uz konkrētās kategorijas produktiem tirgū.</w:t>
      </w:r>
    </w:p>
    <w:p w14:paraId="79DDDCD0" w14:textId="77777777" w:rsidR="0022206F" w:rsidRPr="0022206F" w:rsidRDefault="0022206F" w:rsidP="0022206F">
      <w:pPr>
        <w:jc w:val="both"/>
        <w:rPr>
          <w:rFonts w:ascii="Times New Roman" w:eastAsia="Times New Roman" w:hAnsi="Times New Roman" w:cs="Times New Roman"/>
          <w:noProof/>
          <w:sz w:val="24"/>
          <w:szCs w:val="24"/>
        </w:rPr>
      </w:pPr>
    </w:p>
    <w:p w14:paraId="4F6D04A8" w14:textId="77777777" w:rsidR="0022206F" w:rsidRPr="0022206F" w:rsidRDefault="0022206F" w:rsidP="0022206F">
      <w:pPr>
        <w:pStyle w:val="Pamatteksts"/>
        <w:ind w:left="0"/>
        <w:jc w:val="both"/>
        <w:rPr>
          <w:rFonts w:cs="Times New Roman"/>
          <w:noProof/>
        </w:rPr>
      </w:pPr>
      <w:r>
        <w:t>Salīdzināšanai var izmantot konkrēta zīmola produktu, ja vien produkts tiešām ir reprezentatīvs attiecībā uz kategoriju, kuru tas pārstāv. Citiem vārdiem sakot, ja konkrētā zīmola produkta saturs reprezentatīvi atspoguļo tirgu, par atsauci salīdzinājumam var izmantot paša produkta nosaukumu, tam pievienojot norādi “viegls”. Piemēram, norāde “vieglais X”, ja X ir standarta produkts, sniedz informāciju par atsauces produktu.</w:t>
      </w:r>
    </w:p>
    <w:p w14:paraId="24588CDB" w14:textId="77777777" w:rsidR="0022206F" w:rsidRPr="0022206F" w:rsidRDefault="0022206F" w:rsidP="0022206F">
      <w:pPr>
        <w:jc w:val="both"/>
        <w:rPr>
          <w:rFonts w:ascii="Times New Roman" w:eastAsia="Times New Roman" w:hAnsi="Times New Roman" w:cs="Times New Roman"/>
          <w:noProof/>
          <w:sz w:val="24"/>
          <w:szCs w:val="24"/>
        </w:rPr>
      </w:pPr>
    </w:p>
    <w:p w14:paraId="74206FA4" w14:textId="77777777" w:rsidR="0022206F" w:rsidRPr="0022206F" w:rsidRDefault="0022206F" w:rsidP="0022206F">
      <w:pPr>
        <w:pStyle w:val="Virsraksts3"/>
        <w:tabs>
          <w:tab w:val="left" w:pos="785"/>
        </w:tabs>
        <w:ind w:left="0"/>
        <w:jc w:val="both"/>
        <w:rPr>
          <w:rFonts w:cs="Times New Roman"/>
          <w:noProof/>
        </w:rPr>
      </w:pPr>
      <w:bookmarkStart w:id="19" w:name="_TOC_250007"/>
      <w:bookmarkStart w:id="20" w:name="_Toc64303285"/>
      <w:r>
        <w:t>II.2.3. Nozīmīgs salīdzinājums</w:t>
      </w:r>
      <w:bookmarkEnd w:id="19"/>
      <w:bookmarkEnd w:id="20"/>
    </w:p>
    <w:p w14:paraId="1B67EEBA" w14:textId="77777777" w:rsidR="0022206F" w:rsidRPr="0022206F" w:rsidRDefault="0022206F" w:rsidP="0022206F">
      <w:pPr>
        <w:jc w:val="both"/>
        <w:rPr>
          <w:rFonts w:ascii="Times New Roman" w:eastAsia="Times New Roman" w:hAnsi="Times New Roman" w:cs="Times New Roman"/>
          <w:b/>
          <w:bCs/>
          <w:noProof/>
          <w:sz w:val="24"/>
          <w:szCs w:val="24"/>
        </w:rPr>
      </w:pPr>
    </w:p>
    <w:p w14:paraId="7D3E0AB1" w14:textId="77777777" w:rsidR="0022206F" w:rsidRPr="0022206F" w:rsidRDefault="0022206F" w:rsidP="0022206F">
      <w:pPr>
        <w:pStyle w:val="Pamatteksts"/>
        <w:ind w:left="0"/>
        <w:jc w:val="both"/>
        <w:rPr>
          <w:rFonts w:cs="Times New Roman"/>
          <w:noProof/>
        </w:rPr>
      </w:pPr>
      <w:r>
        <w:t>Pamatojoties uz 9. panta 2. punktu un lai izvairītos no patērētāju maldināšanas, tirgus dalībniekiem nebūs iespējams lietot norādi ar vārdu “samazināts” gadījumos, kad sasniegtais samazinājums gan ir 30 %, bet atšķirība starp standarta un vieglo versiju, ņemot vērā kopējo uzņemto uzturvielas daudzumu, nav nozīmīga. Piemēram, norāde par “samazinātu tauku saturu” attiecībā uz maizi nebūs iespējama. Līdzīgu, ar nozīmīgu daudzumu saistītu iemeslu dēļ nosacījumi, kas reglamentē norādes “</w:t>
      </w:r>
      <w:r>
        <w:rPr>
          <w:i/>
          <w:iCs/>
        </w:rPr>
        <w:t>palielināts [uzturvielas nosaukums] saturs</w:t>
      </w:r>
      <w:r>
        <w:t>” lietošanu, ir tādi, ka pārtikas produktam ar norādi “</w:t>
      </w:r>
      <w:r>
        <w:rPr>
          <w:i/>
          <w:iCs/>
        </w:rPr>
        <w:t>palielināts [uzturvielas nosaukums] saturs</w:t>
      </w:r>
      <w:r>
        <w:t xml:space="preserve">” jāatbilst norādes </w:t>
      </w:r>
      <w:r>
        <w:rPr>
          <w:i/>
          <w:iCs/>
        </w:rPr>
        <w:t>“avots”</w:t>
      </w:r>
      <w:r>
        <w:t xml:space="preserve"> nosacījumiem.</w:t>
      </w:r>
    </w:p>
    <w:p w14:paraId="502D202F" w14:textId="77777777" w:rsidR="0022206F" w:rsidRPr="0022206F" w:rsidRDefault="0022206F" w:rsidP="0022206F">
      <w:pPr>
        <w:pStyle w:val="Pamatteksts"/>
        <w:ind w:left="0"/>
        <w:jc w:val="both"/>
        <w:rPr>
          <w:rFonts w:cs="Times New Roman"/>
          <w:noProof/>
        </w:rPr>
      </w:pPr>
    </w:p>
    <w:p w14:paraId="6E389CE3" w14:textId="77777777" w:rsidR="0022206F" w:rsidRPr="0022206F" w:rsidRDefault="0022206F" w:rsidP="0022206F">
      <w:pPr>
        <w:pStyle w:val="Virsraksts3"/>
        <w:tabs>
          <w:tab w:val="left" w:pos="785"/>
        </w:tabs>
        <w:ind w:left="0"/>
        <w:jc w:val="both"/>
        <w:rPr>
          <w:rFonts w:cs="Times New Roman"/>
          <w:noProof/>
        </w:rPr>
      </w:pPr>
      <w:bookmarkStart w:id="21" w:name="_TOC_250006"/>
      <w:bookmarkStart w:id="22" w:name="_Toc64303286"/>
      <w:r>
        <w:t>II.2.4. Norāde par atšķirībām uzturvielas daudzumā un/vai enerģētiskajā vērtībā</w:t>
      </w:r>
      <w:bookmarkEnd w:id="21"/>
      <w:bookmarkEnd w:id="22"/>
    </w:p>
    <w:p w14:paraId="0CE7AD4D" w14:textId="77777777" w:rsidR="0022206F" w:rsidRPr="0022206F" w:rsidRDefault="0022206F" w:rsidP="0022206F">
      <w:pPr>
        <w:jc w:val="both"/>
        <w:rPr>
          <w:rFonts w:ascii="Times New Roman" w:eastAsia="Times New Roman" w:hAnsi="Times New Roman" w:cs="Times New Roman"/>
          <w:b/>
          <w:bCs/>
          <w:noProof/>
          <w:sz w:val="24"/>
          <w:szCs w:val="24"/>
        </w:rPr>
      </w:pPr>
    </w:p>
    <w:p w14:paraId="2EF007C4" w14:textId="77777777" w:rsidR="0022206F" w:rsidRPr="0022206F" w:rsidRDefault="0022206F" w:rsidP="0022206F">
      <w:pPr>
        <w:pStyle w:val="Pamatteksts"/>
        <w:ind w:left="0"/>
        <w:jc w:val="both"/>
        <w:rPr>
          <w:rFonts w:cs="Times New Roman"/>
          <w:noProof/>
        </w:rPr>
      </w:pPr>
      <w:r>
        <w:t>Regulas 9. pantā prasīts norādīt atšķirību uzturvielas daudzumā un/vai enerģētiskajā vērtībā. Atšķirības var būt izteiktas procentos vai absolūtos skaitļos.</w:t>
      </w:r>
    </w:p>
    <w:p w14:paraId="4966A4CC" w14:textId="77777777" w:rsidR="0022206F" w:rsidRPr="0022206F" w:rsidRDefault="0022206F" w:rsidP="0022206F">
      <w:pPr>
        <w:pStyle w:val="Pamatteksts"/>
        <w:ind w:left="0"/>
        <w:jc w:val="both"/>
        <w:rPr>
          <w:rFonts w:cs="Times New Roman"/>
          <w:noProof/>
        </w:rPr>
      </w:pPr>
      <w:r>
        <w:t>Ja lieto norādi “</w:t>
      </w:r>
      <w:r>
        <w:rPr>
          <w:i/>
          <w:iCs/>
        </w:rPr>
        <w:t>viegls</w:t>
      </w:r>
      <w:r>
        <w:t xml:space="preserve">” vai </w:t>
      </w:r>
      <w:r>
        <w:rPr>
          <w:i/>
          <w:iCs/>
        </w:rPr>
        <w:t>“samazināts kaloriju daudzums”</w:t>
      </w:r>
      <w:r>
        <w:t xml:space="preserve">, jānorāda tā īpašība vai īpašības, kuru dēļ pārtikas produkts ir </w:t>
      </w:r>
      <w:r>
        <w:rPr>
          <w:i/>
          <w:iCs/>
        </w:rPr>
        <w:t>“viegls”</w:t>
      </w:r>
      <w:r>
        <w:t xml:space="preserve"> vai </w:t>
      </w:r>
      <w:r>
        <w:rPr>
          <w:i/>
          <w:iCs/>
        </w:rPr>
        <w:t>“ar samazinātu kaloriju daudzumu”.</w:t>
      </w:r>
      <w:r>
        <w:t xml:space="preserve"> Ar vienu un to pašu norādi var izpildīt gan 9. panta prasības, gan norādes </w:t>
      </w:r>
      <w:r>
        <w:rPr>
          <w:i/>
          <w:iCs/>
        </w:rPr>
        <w:t>“viegls”</w:t>
      </w:r>
      <w:r>
        <w:t xml:space="preserve"> vai </w:t>
      </w:r>
      <w:r>
        <w:rPr>
          <w:i/>
          <w:iCs/>
        </w:rPr>
        <w:t>“ar samazinātu kaloriju daudzumu”</w:t>
      </w:r>
      <w:r>
        <w:t xml:space="preserve"> izmantošanas nosacījumus. Piemērs ir marķējums ar norādi “viegls – par 50 % mazāk cukura”.</w:t>
      </w:r>
    </w:p>
    <w:p w14:paraId="01CD019A" w14:textId="77777777" w:rsidR="0022206F" w:rsidRPr="0022206F" w:rsidRDefault="0022206F" w:rsidP="0022206F">
      <w:pPr>
        <w:pStyle w:val="Pamatteksts"/>
        <w:ind w:left="0"/>
        <w:jc w:val="both"/>
        <w:rPr>
          <w:rFonts w:cs="Times New Roman"/>
          <w:noProof/>
        </w:rPr>
      </w:pPr>
      <w:r>
        <w:t>Kad no produkta satura uzturvielu izņem, to var paziņot ar norādi par šās uzturvielas neesību. Piemēram, “viegls – bez cukura”.</w:t>
      </w:r>
    </w:p>
    <w:p w14:paraId="30C31C1B" w14:textId="77777777" w:rsidR="0022206F" w:rsidRPr="0022206F" w:rsidRDefault="0022206F" w:rsidP="0022206F">
      <w:pPr>
        <w:pStyle w:val="Virsraksts1"/>
        <w:numPr>
          <w:ilvl w:val="0"/>
          <w:numId w:val="7"/>
        </w:numPr>
        <w:tabs>
          <w:tab w:val="left" w:pos="718"/>
        </w:tabs>
        <w:spacing w:before="0"/>
        <w:ind w:left="0" w:hanging="600"/>
        <w:jc w:val="both"/>
        <w:rPr>
          <w:rFonts w:cs="Times New Roman"/>
          <w:noProof/>
          <w:sz w:val="24"/>
          <w:szCs w:val="24"/>
        </w:rPr>
      </w:pPr>
      <w:bookmarkStart w:id="23" w:name="_TOC_250005"/>
      <w:r>
        <w:br w:type="page"/>
      </w:r>
    </w:p>
    <w:p w14:paraId="481A0343" w14:textId="77777777" w:rsidR="0022206F" w:rsidRPr="0022206F" w:rsidRDefault="0022206F" w:rsidP="0022206F">
      <w:pPr>
        <w:pStyle w:val="Virsraksts1"/>
        <w:tabs>
          <w:tab w:val="left" w:pos="718"/>
        </w:tabs>
        <w:spacing w:before="0"/>
        <w:ind w:left="0"/>
        <w:jc w:val="both"/>
        <w:rPr>
          <w:rFonts w:cs="Times New Roman"/>
          <w:noProof/>
          <w:sz w:val="24"/>
          <w:szCs w:val="24"/>
        </w:rPr>
      </w:pPr>
      <w:bookmarkStart w:id="24" w:name="_Toc64303287"/>
      <w:r>
        <w:rPr>
          <w:sz w:val="24"/>
        </w:rPr>
        <w:lastRenderedPageBreak/>
        <w:t>III. NORĀŽU KLASIFIKĀCIJA</w:t>
      </w:r>
      <w:bookmarkEnd w:id="23"/>
      <w:bookmarkEnd w:id="24"/>
    </w:p>
    <w:p w14:paraId="28FC0ED0" w14:textId="77777777" w:rsidR="0022206F" w:rsidRPr="0022206F" w:rsidRDefault="0022206F" w:rsidP="0022206F">
      <w:pPr>
        <w:pStyle w:val="Pamatteksts"/>
        <w:ind w:left="0"/>
        <w:jc w:val="both"/>
        <w:rPr>
          <w:rFonts w:cs="Times New Roman"/>
          <w:noProof/>
        </w:rPr>
      </w:pPr>
    </w:p>
    <w:p w14:paraId="68D1037F" w14:textId="77777777" w:rsidR="0022206F" w:rsidRPr="0022206F" w:rsidRDefault="0022206F" w:rsidP="0022206F">
      <w:pPr>
        <w:pStyle w:val="Pamatteksts"/>
        <w:ind w:left="0"/>
        <w:jc w:val="both"/>
        <w:rPr>
          <w:rFonts w:cs="Times New Roman"/>
          <w:noProof/>
        </w:rPr>
      </w:pPr>
      <w:r>
        <w:t>Turpmāk sniegtas definīcijas no Regulas 2. panta.</w:t>
      </w:r>
    </w:p>
    <w:p w14:paraId="35801959" w14:textId="77777777" w:rsidR="0022206F" w:rsidRPr="0022206F" w:rsidRDefault="0022206F" w:rsidP="0022206F">
      <w:pPr>
        <w:jc w:val="both"/>
        <w:rPr>
          <w:rFonts w:ascii="Times New Roman" w:eastAsia="Times New Roman" w:hAnsi="Times New Roman" w:cs="Times New Roman"/>
          <w:noProof/>
          <w:sz w:val="24"/>
          <w:szCs w:val="24"/>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9007"/>
      </w:tblGrid>
      <w:tr w:rsidR="0022206F" w:rsidRPr="0022206F" w14:paraId="404264A5" w14:textId="77777777" w:rsidTr="00ED5568">
        <w:tc>
          <w:tcPr>
            <w:tcW w:w="9007" w:type="dxa"/>
          </w:tcPr>
          <w:p w14:paraId="0E5928A0" w14:textId="77777777" w:rsidR="0022206F" w:rsidRPr="0022206F" w:rsidRDefault="0022206F" w:rsidP="00ED5568">
            <w:pPr>
              <w:spacing w:before="17"/>
              <w:ind w:right="108"/>
              <w:jc w:val="both"/>
              <w:rPr>
                <w:rFonts w:ascii="Times New Roman" w:eastAsia="Times New Roman" w:hAnsi="Times New Roman" w:cs="Times New Roman"/>
                <w:noProof/>
                <w:sz w:val="24"/>
                <w:szCs w:val="24"/>
              </w:rPr>
            </w:pPr>
            <w:r>
              <w:rPr>
                <w:rFonts w:ascii="Times New Roman" w:hAnsi="Times New Roman"/>
                <w:b/>
                <w:bCs/>
                <w:i/>
                <w:sz w:val="24"/>
              </w:rPr>
              <w:t>“Uzturvērtības norāde”</w:t>
            </w:r>
            <w:r>
              <w:rPr>
                <w:rFonts w:ascii="Times New Roman" w:hAnsi="Times New Roman"/>
                <w:i/>
                <w:sz w:val="24"/>
              </w:rPr>
              <w:t xml:space="preserve"> ir jebkura norāde, kas pauž, liek domāt vai netieši norāda, ka pārtikas produktam ir sevišķi labvēlīgas uzturīpašības, ko rada:</w:t>
            </w:r>
          </w:p>
          <w:p w14:paraId="0D784BEF" w14:textId="77777777" w:rsidR="0022206F" w:rsidRPr="0022206F" w:rsidRDefault="0022206F" w:rsidP="00ED5568">
            <w:pPr>
              <w:rPr>
                <w:rFonts w:ascii="Times New Roman" w:eastAsia="Times New Roman" w:hAnsi="Times New Roman" w:cs="Times New Roman"/>
                <w:noProof/>
                <w:sz w:val="24"/>
                <w:szCs w:val="24"/>
              </w:rPr>
            </w:pPr>
          </w:p>
          <w:p w14:paraId="5B05C014" w14:textId="77777777" w:rsidR="0022206F" w:rsidRPr="0022206F" w:rsidRDefault="0022206F" w:rsidP="00ED5568">
            <w:pPr>
              <w:tabs>
                <w:tab w:val="left" w:pos="447"/>
              </w:tabs>
              <w:rPr>
                <w:rFonts w:ascii="Times New Roman"/>
                <w:i/>
                <w:noProof/>
                <w:sz w:val="24"/>
              </w:rPr>
            </w:pPr>
            <w:r>
              <w:rPr>
                <w:rFonts w:ascii="Times New Roman"/>
                <w:i/>
                <w:sz w:val="24"/>
              </w:rPr>
              <w:t>a)</w:t>
            </w:r>
            <w:r>
              <w:rPr>
                <w:rFonts w:ascii="Times New Roman"/>
                <w:i/>
                <w:sz w:val="24"/>
              </w:rPr>
              <w:t> </w:t>
            </w:r>
            <w:r>
              <w:rPr>
                <w:rFonts w:ascii="Times New Roman"/>
                <w:i/>
                <w:sz w:val="24"/>
              </w:rPr>
              <w:t>ener</w:t>
            </w:r>
            <w:r>
              <w:rPr>
                <w:rFonts w:ascii="Times New Roman"/>
                <w:i/>
                <w:sz w:val="24"/>
              </w:rPr>
              <w:t>ģē</w:t>
            </w:r>
            <w:r>
              <w:rPr>
                <w:rFonts w:ascii="Times New Roman"/>
                <w:i/>
                <w:sz w:val="24"/>
              </w:rPr>
              <w:t>tisk</w:t>
            </w:r>
            <w:r>
              <w:rPr>
                <w:rFonts w:ascii="Times New Roman"/>
                <w:i/>
                <w:sz w:val="24"/>
              </w:rPr>
              <w:t>ā</w:t>
            </w:r>
            <w:r>
              <w:rPr>
                <w:rFonts w:ascii="Times New Roman"/>
                <w:i/>
                <w:sz w:val="24"/>
              </w:rPr>
              <w:t xml:space="preserve"> v</w:t>
            </w:r>
            <w:r>
              <w:rPr>
                <w:rFonts w:ascii="Times New Roman"/>
                <w:i/>
                <w:sz w:val="24"/>
              </w:rPr>
              <w:t>ē</w:t>
            </w:r>
            <w:r>
              <w:rPr>
                <w:rFonts w:ascii="Times New Roman"/>
                <w:i/>
                <w:sz w:val="24"/>
              </w:rPr>
              <w:t>rt</w:t>
            </w:r>
            <w:r>
              <w:rPr>
                <w:rFonts w:ascii="Times New Roman"/>
                <w:i/>
                <w:sz w:val="24"/>
              </w:rPr>
              <w:t>ī</w:t>
            </w:r>
            <w:r>
              <w:rPr>
                <w:rFonts w:ascii="Times New Roman"/>
                <w:i/>
                <w:sz w:val="24"/>
              </w:rPr>
              <w:t>ba (v</w:t>
            </w:r>
            <w:r>
              <w:rPr>
                <w:rFonts w:ascii="Times New Roman"/>
                <w:i/>
                <w:sz w:val="24"/>
              </w:rPr>
              <w:t>ē</w:t>
            </w:r>
            <w:r>
              <w:rPr>
                <w:rFonts w:ascii="Times New Roman"/>
                <w:i/>
                <w:sz w:val="24"/>
              </w:rPr>
              <w:t>rt</w:t>
            </w:r>
            <w:r>
              <w:rPr>
                <w:rFonts w:ascii="Times New Roman"/>
                <w:i/>
                <w:sz w:val="24"/>
              </w:rPr>
              <w:t>ī</w:t>
            </w:r>
            <w:r>
              <w:rPr>
                <w:rFonts w:ascii="Times New Roman"/>
                <w:i/>
                <w:sz w:val="24"/>
              </w:rPr>
              <w:t>ba kalorij</w:t>
            </w:r>
            <w:r>
              <w:rPr>
                <w:rFonts w:ascii="Times New Roman"/>
                <w:i/>
                <w:sz w:val="24"/>
              </w:rPr>
              <w:t>ā</w:t>
            </w:r>
            <w:r>
              <w:rPr>
                <w:rFonts w:ascii="Times New Roman"/>
                <w:i/>
                <w:sz w:val="24"/>
              </w:rPr>
              <w:t>s), kuru tas:</w:t>
            </w:r>
          </w:p>
          <w:p w14:paraId="06A69836" w14:textId="77777777" w:rsidR="0022206F" w:rsidRPr="0022206F" w:rsidRDefault="0022206F" w:rsidP="00ED5568">
            <w:pPr>
              <w:tabs>
                <w:tab w:val="left" w:pos="1115"/>
              </w:tabs>
              <w:ind w:left="260"/>
              <w:rPr>
                <w:rFonts w:ascii="Times New Roman"/>
                <w:i/>
                <w:noProof/>
                <w:sz w:val="24"/>
              </w:rPr>
            </w:pPr>
            <w:r>
              <w:rPr>
                <w:rFonts w:ascii="Times New Roman"/>
                <w:i/>
                <w:sz w:val="24"/>
              </w:rPr>
              <w:t>i)</w:t>
            </w:r>
            <w:r>
              <w:rPr>
                <w:rFonts w:ascii="Times New Roman"/>
                <w:i/>
                <w:sz w:val="24"/>
              </w:rPr>
              <w:t> </w:t>
            </w:r>
            <w:r>
              <w:rPr>
                <w:rFonts w:ascii="Times New Roman"/>
                <w:i/>
                <w:sz w:val="24"/>
              </w:rPr>
              <w:t>nodro</w:t>
            </w:r>
            <w:r>
              <w:rPr>
                <w:rFonts w:ascii="Times New Roman"/>
                <w:i/>
                <w:sz w:val="24"/>
              </w:rPr>
              <w:t>š</w:t>
            </w:r>
            <w:r>
              <w:rPr>
                <w:rFonts w:ascii="Times New Roman"/>
                <w:i/>
                <w:sz w:val="24"/>
              </w:rPr>
              <w:t>ina;</w:t>
            </w:r>
          </w:p>
          <w:p w14:paraId="4029F408" w14:textId="77777777" w:rsidR="0022206F" w:rsidRPr="0022206F" w:rsidRDefault="0022206F" w:rsidP="00ED5568">
            <w:pPr>
              <w:tabs>
                <w:tab w:val="left" w:pos="1180"/>
              </w:tabs>
              <w:ind w:left="260"/>
              <w:rPr>
                <w:rFonts w:ascii="Times New Roman"/>
                <w:i/>
                <w:noProof/>
                <w:sz w:val="24"/>
              </w:rPr>
            </w:pPr>
            <w:r>
              <w:rPr>
                <w:rFonts w:ascii="Times New Roman"/>
                <w:i/>
                <w:sz w:val="24"/>
              </w:rPr>
              <w:t>ii)</w:t>
            </w:r>
            <w:r>
              <w:rPr>
                <w:rFonts w:ascii="Times New Roman"/>
                <w:i/>
                <w:sz w:val="24"/>
              </w:rPr>
              <w:t> </w:t>
            </w:r>
            <w:r>
              <w:rPr>
                <w:rFonts w:ascii="Times New Roman"/>
                <w:i/>
                <w:sz w:val="24"/>
              </w:rPr>
              <w:t>nodro</w:t>
            </w:r>
            <w:r>
              <w:rPr>
                <w:rFonts w:ascii="Times New Roman"/>
                <w:i/>
                <w:sz w:val="24"/>
              </w:rPr>
              <w:t>š</w:t>
            </w:r>
            <w:r>
              <w:rPr>
                <w:rFonts w:ascii="Times New Roman"/>
                <w:i/>
                <w:sz w:val="24"/>
              </w:rPr>
              <w:t>ina samazin</w:t>
            </w:r>
            <w:r>
              <w:rPr>
                <w:rFonts w:ascii="Times New Roman"/>
                <w:i/>
                <w:sz w:val="24"/>
              </w:rPr>
              <w:t>ā</w:t>
            </w:r>
            <w:r>
              <w:rPr>
                <w:rFonts w:ascii="Times New Roman"/>
                <w:i/>
                <w:sz w:val="24"/>
              </w:rPr>
              <w:t>t</w:t>
            </w:r>
            <w:r>
              <w:rPr>
                <w:rFonts w:ascii="Times New Roman"/>
                <w:i/>
                <w:sz w:val="24"/>
              </w:rPr>
              <w:t>ā</w:t>
            </w:r>
            <w:r>
              <w:rPr>
                <w:rFonts w:ascii="Times New Roman"/>
                <w:i/>
                <w:sz w:val="24"/>
              </w:rPr>
              <w:t xml:space="preserve"> vai palielin</w:t>
            </w:r>
            <w:r>
              <w:rPr>
                <w:rFonts w:ascii="Times New Roman"/>
                <w:i/>
                <w:sz w:val="24"/>
              </w:rPr>
              <w:t>ā</w:t>
            </w:r>
            <w:r>
              <w:rPr>
                <w:rFonts w:ascii="Times New Roman"/>
                <w:i/>
                <w:sz w:val="24"/>
              </w:rPr>
              <w:t>t</w:t>
            </w:r>
            <w:r>
              <w:rPr>
                <w:rFonts w:ascii="Times New Roman"/>
                <w:i/>
                <w:sz w:val="24"/>
              </w:rPr>
              <w:t>ā</w:t>
            </w:r>
            <w:r>
              <w:rPr>
                <w:rFonts w:ascii="Times New Roman"/>
                <w:i/>
                <w:sz w:val="24"/>
              </w:rPr>
              <w:t xml:space="preserve"> dev</w:t>
            </w:r>
            <w:r>
              <w:rPr>
                <w:rFonts w:ascii="Times New Roman"/>
                <w:i/>
                <w:sz w:val="24"/>
              </w:rPr>
              <w:t>ā</w:t>
            </w:r>
            <w:r>
              <w:rPr>
                <w:rFonts w:ascii="Times New Roman"/>
                <w:i/>
                <w:sz w:val="24"/>
              </w:rPr>
              <w:t xml:space="preserve"> vai</w:t>
            </w:r>
          </w:p>
          <w:p w14:paraId="2483BB63" w14:textId="77777777" w:rsidR="0022206F" w:rsidRPr="0022206F" w:rsidRDefault="0022206F" w:rsidP="00ED5568">
            <w:pPr>
              <w:tabs>
                <w:tab w:val="left" w:pos="1247"/>
              </w:tabs>
              <w:ind w:left="260"/>
              <w:rPr>
                <w:rFonts w:ascii="Times New Roman"/>
                <w:i/>
                <w:noProof/>
                <w:sz w:val="24"/>
              </w:rPr>
            </w:pPr>
            <w:r>
              <w:rPr>
                <w:rFonts w:ascii="Times New Roman"/>
                <w:i/>
                <w:sz w:val="24"/>
              </w:rPr>
              <w:t>iii)</w:t>
            </w:r>
            <w:r>
              <w:rPr>
                <w:rFonts w:ascii="Times New Roman"/>
                <w:i/>
                <w:sz w:val="24"/>
              </w:rPr>
              <w:t> </w:t>
            </w:r>
            <w:r>
              <w:rPr>
                <w:rFonts w:ascii="Times New Roman"/>
                <w:i/>
                <w:sz w:val="24"/>
              </w:rPr>
              <w:t>nenodro</w:t>
            </w:r>
            <w:r>
              <w:rPr>
                <w:rFonts w:ascii="Times New Roman"/>
                <w:i/>
                <w:sz w:val="24"/>
              </w:rPr>
              <w:t>š</w:t>
            </w:r>
            <w:r>
              <w:rPr>
                <w:rFonts w:ascii="Times New Roman"/>
                <w:i/>
                <w:sz w:val="24"/>
              </w:rPr>
              <w:t>ina, un/vai</w:t>
            </w:r>
          </w:p>
          <w:p w14:paraId="6CB88EB1" w14:textId="77777777" w:rsidR="0022206F" w:rsidRPr="0022206F" w:rsidRDefault="0022206F" w:rsidP="00ED5568">
            <w:pPr>
              <w:rPr>
                <w:rFonts w:ascii="Times New Roman" w:eastAsia="Times New Roman" w:hAnsi="Times New Roman" w:cs="Times New Roman"/>
                <w:noProof/>
                <w:sz w:val="24"/>
                <w:szCs w:val="24"/>
              </w:rPr>
            </w:pPr>
          </w:p>
          <w:p w14:paraId="7F47124F" w14:textId="77777777" w:rsidR="0022206F" w:rsidRPr="0022206F" w:rsidRDefault="0022206F" w:rsidP="00ED5568">
            <w:pPr>
              <w:tabs>
                <w:tab w:val="left" w:pos="447"/>
              </w:tabs>
              <w:rPr>
                <w:rFonts w:ascii="Times New Roman"/>
                <w:i/>
                <w:noProof/>
                <w:sz w:val="24"/>
              </w:rPr>
            </w:pPr>
            <w:r>
              <w:rPr>
                <w:rFonts w:ascii="Times New Roman"/>
                <w:i/>
                <w:sz w:val="24"/>
              </w:rPr>
              <w:t>b)</w:t>
            </w:r>
            <w:r>
              <w:rPr>
                <w:rFonts w:ascii="Times New Roman"/>
                <w:i/>
                <w:sz w:val="24"/>
              </w:rPr>
              <w:t> </w:t>
            </w:r>
            <w:r>
              <w:rPr>
                <w:rFonts w:ascii="Times New Roman"/>
                <w:i/>
                <w:sz w:val="24"/>
              </w:rPr>
              <w:t>uzturvielas vai citas vielas, ko tas:</w:t>
            </w:r>
          </w:p>
          <w:p w14:paraId="64966432" w14:textId="77777777" w:rsidR="0022206F" w:rsidRPr="0022206F" w:rsidRDefault="0022206F" w:rsidP="00ED5568">
            <w:pPr>
              <w:tabs>
                <w:tab w:val="left" w:pos="1115"/>
              </w:tabs>
              <w:ind w:left="260"/>
              <w:rPr>
                <w:rFonts w:ascii="Times New Roman"/>
                <w:i/>
                <w:noProof/>
                <w:sz w:val="24"/>
              </w:rPr>
            </w:pPr>
            <w:r>
              <w:rPr>
                <w:rFonts w:ascii="Times New Roman"/>
                <w:i/>
                <w:sz w:val="24"/>
              </w:rPr>
              <w:t>i)</w:t>
            </w:r>
            <w:r>
              <w:rPr>
                <w:rFonts w:ascii="Times New Roman"/>
                <w:i/>
                <w:sz w:val="24"/>
              </w:rPr>
              <w:t> </w:t>
            </w:r>
            <w:r>
              <w:rPr>
                <w:rFonts w:ascii="Times New Roman"/>
                <w:i/>
                <w:sz w:val="24"/>
              </w:rPr>
              <w:t>satur,</w:t>
            </w:r>
          </w:p>
          <w:p w14:paraId="788EC9F9" w14:textId="77777777" w:rsidR="0022206F" w:rsidRPr="0022206F" w:rsidRDefault="0022206F" w:rsidP="00ED5568">
            <w:pPr>
              <w:tabs>
                <w:tab w:val="left" w:pos="1180"/>
              </w:tabs>
              <w:ind w:left="260"/>
              <w:rPr>
                <w:rFonts w:ascii="Times New Roman"/>
                <w:i/>
                <w:noProof/>
                <w:sz w:val="24"/>
              </w:rPr>
            </w:pPr>
            <w:r>
              <w:rPr>
                <w:rFonts w:ascii="Times New Roman"/>
                <w:i/>
                <w:sz w:val="24"/>
              </w:rPr>
              <w:t>ii)</w:t>
            </w:r>
            <w:r>
              <w:rPr>
                <w:rFonts w:ascii="Times New Roman"/>
                <w:i/>
                <w:sz w:val="24"/>
              </w:rPr>
              <w:t> </w:t>
            </w:r>
            <w:r>
              <w:rPr>
                <w:rFonts w:ascii="Times New Roman"/>
                <w:i/>
                <w:sz w:val="24"/>
              </w:rPr>
              <w:t>satur maz</w:t>
            </w:r>
            <w:r>
              <w:rPr>
                <w:rFonts w:ascii="Times New Roman"/>
                <w:i/>
                <w:sz w:val="24"/>
              </w:rPr>
              <w:t>ā</w:t>
            </w:r>
            <w:r>
              <w:rPr>
                <w:rFonts w:ascii="Times New Roman"/>
                <w:i/>
                <w:sz w:val="24"/>
              </w:rPr>
              <w:t>k</w:t>
            </w:r>
            <w:r>
              <w:rPr>
                <w:rFonts w:ascii="Times New Roman"/>
                <w:i/>
                <w:sz w:val="24"/>
              </w:rPr>
              <w:t>ā</w:t>
            </w:r>
            <w:r>
              <w:rPr>
                <w:rFonts w:ascii="Times New Roman"/>
                <w:i/>
                <w:sz w:val="24"/>
              </w:rPr>
              <w:t xml:space="preserve"> vai liel</w:t>
            </w:r>
            <w:r>
              <w:rPr>
                <w:rFonts w:ascii="Times New Roman"/>
                <w:i/>
                <w:sz w:val="24"/>
              </w:rPr>
              <w:t>ā</w:t>
            </w:r>
            <w:r>
              <w:rPr>
                <w:rFonts w:ascii="Times New Roman"/>
                <w:i/>
                <w:sz w:val="24"/>
              </w:rPr>
              <w:t>k</w:t>
            </w:r>
            <w:r>
              <w:rPr>
                <w:rFonts w:ascii="Times New Roman"/>
                <w:i/>
                <w:sz w:val="24"/>
              </w:rPr>
              <w:t>ā</w:t>
            </w:r>
            <w:r>
              <w:rPr>
                <w:rFonts w:ascii="Times New Roman"/>
                <w:i/>
                <w:sz w:val="24"/>
              </w:rPr>
              <w:t xml:space="preserve"> attiec</w:t>
            </w:r>
            <w:r>
              <w:rPr>
                <w:rFonts w:ascii="Times New Roman"/>
                <w:i/>
                <w:sz w:val="24"/>
              </w:rPr>
              <w:t>ī</w:t>
            </w:r>
            <w:r>
              <w:rPr>
                <w:rFonts w:ascii="Times New Roman"/>
                <w:i/>
                <w:sz w:val="24"/>
              </w:rPr>
              <w:t>b</w:t>
            </w:r>
            <w:r>
              <w:rPr>
                <w:rFonts w:ascii="Times New Roman"/>
                <w:i/>
                <w:sz w:val="24"/>
              </w:rPr>
              <w:t>ā</w:t>
            </w:r>
            <w:r>
              <w:rPr>
                <w:rFonts w:ascii="Times New Roman"/>
                <w:i/>
                <w:sz w:val="24"/>
              </w:rPr>
              <w:t xml:space="preserve"> vai</w:t>
            </w:r>
          </w:p>
          <w:p w14:paraId="18E7404F" w14:textId="77777777" w:rsidR="0022206F" w:rsidRPr="0022206F" w:rsidRDefault="0022206F" w:rsidP="00ED5568">
            <w:pPr>
              <w:tabs>
                <w:tab w:val="left" w:pos="1247"/>
              </w:tabs>
              <w:ind w:left="260"/>
              <w:rPr>
                <w:rFonts w:ascii="Times New Roman"/>
                <w:i/>
                <w:noProof/>
                <w:sz w:val="24"/>
              </w:rPr>
            </w:pPr>
            <w:r>
              <w:rPr>
                <w:rFonts w:ascii="Times New Roman"/>
                <w:i/>
                <w:sz w:val="24"/>
              </w:rPr>
              <w:t>iii)</w:t>
            </w:r>
            <w:r>
              <w:rPr>
                <w:rFonts w:ascii="Times New Roman"/>
                <w:i/>
                <w:sz w:val="24"/>
              </w:rPr>
              <w:t> </w:t>
            </w:r>
            <w:r>
              <w:rPr>
                <w:rFonts w:ascii="Times New Roman"/>
                <w:i/>
                <w:sz w:val="24"/>
              </w:rPr>
              <w:t>nesatur.</w:t>
            </w:r>
          </w:p>
          <w:p w14:paraId="7A9ACB12" w14:textId="77777777" w:rsidR="0022206F" w:rsidRPr="0022206F" w:rsidRDefault="0022206F" w:rsidP="00ED5568">
            <w:pPr>
              <w:spacing w:before="10"/>
              <w:rPr>
                <w:rFonts w:ascii="Times New Roman" w:eastAsia="Times New Roman" w:hAnsi="Times New Roman" w:cs="Times New Roman"/>
                <w:noProof/>
                <w:sz w:val="23"/>
                <w:szCs w:val="23"/>
              </w:rPr>
            </w:pPr>
          </w:p>
          <w:p w14:paraId="1F6D7078" w14:textId="77777777" w:rsidR="0022206F" w:rsidRPr="0022206F" w:rsidRDefault="0022206F" w:rsidP="00ED5568">
            <w:pPr>
              <w:ind w:right="105"/>
              <w:jc w:val="both"/>
              <w:rPr>
                <w:rFonts w:ascii="Times New Roman" w:eastAsia="Times New Roman" w:hAnsi="Times New Roman" w:cs="Times New Roman"/>
                <w:noProof/>
                <w:sz w:val="24"/>
                <w:szCs w:val="24"/>
              </w:rPr>
            </w:pPr>
            <w:r>
              <w:rPr>
                <w:rFonts w:ascii="Times New Roman" w:hAnsi="Times New Roman"/>
                <w:b/>
                <w:bCs/>
                <w:i/>
                <w:sz w:val="24"/>
              </w:rPr>
              <w:t>“Veselīguma norāde”</w:t>
            </w:r>
            <w:r>
              <w:rPr>
                <w:rFonts w:ascii="Times New Roman" w:hAnsi="Times New Roman"/>
                <w:i/>
                <w:sz w:val="24"/>
              </w:rPr>
              <w:t xml:space="preserve"> ir jebkura norāde, kas pauž, liek domāt vai netieši norāda, ka pastāv saikne starp pārtikas produktu kategoriju, pārtikas produktu vai kādu tā sastāvdaļu un veselību.</w:t>
            </w:r>
          </w:p>
          <w:p w14:paraId="44807A0B" w14:textId="77777777" w:rsidR="0022206F" w:rsidRPr="0022206F" w:rsidRDefault="0022206F" w:rsidP="00ED5568">
            <w:pPr>
              <w:rPr>
                <w:rFonts w:ascii="Times New Roman" w:eastAsia="Times New Roman" w:hAnsi="Times New Roman" w:cs="Times New Roman"/>
                <w:noProof/>
                <w:sz w:val="24"/>
                <w:szCs w:val="24"/>
              </w:rPr>
            </w:pPr>
          </w:p>
          <w:p w14:paraId="0FD6D8A8" w14:textId="77777777" w:rsidR="0022206F" w:rsidRPr="0022206F" w:rsidRDefault="0022206F" w:rsidP="00ED5568">
            <w:pPr>
              <w:ind w:right="106"/>
              <w:jc w:val="both"/>
              <w:rPr>
                <w:rFonts w:ascii="Times New Roman" w:eastAsia="Times New Roman" w:hAnsi="Times New Roman" w:cs="Times New Roman"/>
                <w:noProof/>
                <w:sz w:val="24"/>
                <w:szCs w:val="24"/>
              </w:rPr>
            </w:pPr>
            <w:r>
              <w:rPr>
                <w:rFonts w:ascii="Times New Roman" w:hAnsi="Times New Roman"/>
                <w:b/>
                <w:bCs/>
                <w:i/>
                <w:sz w:val="24"/>
              </w:rPr>
              <w:t>“Samazināta slimības riska norāde”</w:t>
            </w:r>
            <w:r>
              <w:rPr>
                <w:rFonts w:ascii="Times New Roman" w:hAnsi="Times New Roman"/>
                <w:i/>
                <w:sz w:val="24"/>
              </w:rPr>
              <w:t xml:space="preserve"> ir jebkura veselīguma norāde, kas pauž, liek domāt vai netieši norāda, ka attiecīgās pārtikas produktu kategorijas, pārtikas produkta vai kādas tā sastāvdaļas lietošana būtiski mazina kādas cilvēka saslimšanas riska faktoru.</w:t>
            </w:r>
          </w:p>
        </w:tc>
      </w:tr>
    </w:tbl>
    <w:p w14:paraId="4E1BEFF2" w14:textId="77777777" w:rsidR="0022206F" w:rsidRPr="0022206F" w:rsidRDefault="0022206F" w:rsidP="0022206F">
      <w:pPr>
        <w:jc w:val="both"/>
        <w:rPr>
          <w:rFonts w:ascii="Times New Roman" w:eastAsia="Times New Roman" w:hAnsi="Times New Roman" w:cs="Times New Roman"/>
          <w:noProof/>
          <w:sz w:val="24"/>
          <w:szCs w:val="24"/>
        </w:rPr>
      </w:pPr>
    </w:p>
    <w:p w14:paraId="20D1073C" w14:textId="77777777" w:rsidR="0022206F" w:rsidRPr="0022206F" w:rsidRDefault="0022206F" w:rsidP="0022206F">
      <w:pPr>
        <w:pStyle w:val="Virsraksts2"/>
        <w:tabs>
          <w:tab w:val="left" w:pos="795"/>
        </w:tabs>
        <w:ind w:left="0" w:firstLine="0"/>
        <w:jc w:val="both"/>
        <w:rPr>
          <w:rFonts w:cs="Times New Roman"/>
          <w:noProof/>
          <w:sz w:val="24"/>
          <w:szCs w:val="24"/>
        </w:rPr>
      </w:pPr>
      <w:bookmarkStart w:id="25" w:name="_TOC_250004"/>
      <w:bookmarkStart w:id="26" w:name="_Toc64303288"/>
      <w:r>
        <w:rPr>
          <w:sz w:val="24"/>
        </w:rPr>
        <w:t>III.1. Uzturvērtības norādes / veselīguma norādes</w:t>
      </w:r>
      <w:bookmarkEnd w:id="25"/>
      <w:bookmarkEnd w:id="26"/>
    </w:p>
    <w:p w14:paraId="0E0F46FE" w14:textId="77777777" w:rsidR="0022206F" w:rsidRPr="0022206F" w:rsidRDefault="0022206F" w:rsidP="0022206F">
      <w:pPr>
        <w:jc w:val="both"/>
        <w:rPr>
          <w:rFonts w:ascii="Times New Roman" w:eastAsia="Times New Roman" w:hAnsi="Times New Roman" w:cs="Times New Roman"/>
          <w:b/>
          <w:bCs/>
          <w:noProof/>
          <w:sz w:val="24"/>
          <w:szCs w:val="24"/>
        </w:rPr>
      </w:pPr>
    </w:p>
    <w:p w14:paraId="7B23289B" w14:textId="77777777" w:rsidR="0022206F" w:rsidRPr="0022206F" w:rsidRDefault="0022206F" w:rsidP="0022206F">
      <w:pPr>
        <w:jc w:val="both"/>
        <w:rPr>
          <w:rFonts w:ascii="Times New Roman" w:eastAsia="Times New Roman" w:hAnsi="Times New Roman" w:cs="Times New Roman"/>
          <w:noProof/>
          <w:sz w:val="24"/>
          <w:szCs w:val="24"/>
        </w:rPr>
      </w:pPr>
      <w:r>
        <w:rPr>
          <w:rFonts w:ascii="Times New Roman" w:hAnsi="Times New Roman"/>
          <w:sz w:val="24"/>
        </w:rPr>
        <w:t xml:space="preserve">Pirmā ar klasifikāciju saistītā problēma attiecas uz norādi </w:t>
      </w:r>
      <w:r>
        <w:rPr>
          <w:rFonts w:ascii="Times New Roman" w:hAnsi="Times New Roman"/>
          <w:i/>
          <w:iCs/>
          <w:sz w:val="24"/>
        </w:rPr>
        <w:t>“satur [uzturvielas vai citas vielas nosaukums]</w:t>
      </w:r>
      <w:r>
        <w:rPr>
          <w:rFonts w:ascii="Times New Roman" w:hAnsi="Times New Roman"/>
          <w:sz w:val="24"/>
        </w:rPr>
        <w:t>”.</w:t>
      </w:r>
    </w:p>
    <w:p w14:paraId="0ED9B434" w14:textId="77777777" w:rsidR="0022206F" w:rsidRPr="0022206F" w:rsidRDefault="0022206F" w:rsidP="0022206F">
      <w:pPr>
        <w:jc w:val="both"/>
        <w:rPr>
          <w:rFonts w:ascii="Times New Roman" w:eastAsia="Times New Roman" w:hAnsi="Times New Roman" w:cs="Times New Roman"/>
          <w:noProof/>
          <w:sz w:val="24"/>
          <w:szCs w:val="24"/>
        </w:rPr>
      </w:pPr>
    </w:p>
    <w:p w14:paraId="50E2E5F6" w14:textId="77777777" w:rsidR="0022206F" w:rsidRPr="0022206F" w:rsidRDefault="0022206F" w:rsidP="0022206F">
      <w:pPr>
        <w:pStyle w:val="Pamatteksts"/>
        <w:ind w:left="0"/>
        <w:jc w:val="both"/>
        <w:rPr>
          <w:rFonts w:cs="Times New Roman"/>
          <w:noProof/>
        </w:rPr>
      </w:pPr>
      <w:r>
        <w:t>Saskaņā ar Regulas pielikuma noteikumiem piemēro šādus nosacījumus:</w:t>
      </w:r>
    </w:p>
    <w:p w14:paraId="2B9CFB9D" w14:textId="77777777" w:rsidR="0022206F" w:rsidRPr="0022206F" w:rsidRDefault="0022206F" w:rsidP="0022206F">
      <w:pPr>
        <w:jc w:val="both"/>
        <w:rPr>
          <w:rFonts w:ascii="Times New Roman" w:eastAsia="Times New Roman" w:hAnsi="Times New Roman" w:cs="Times New Roman"/>
          <w:noProof/>
          <w:sz w:val="24"/>
          <w:szCs w:val="24"/>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9007"/>
      </w:tblGrid>
      <w:tr w:rsidR="0022206F" w:rsidRPr="0022206F" w14:paraId="7B8B5126" w14:textId="77777777" w:rsidTr="00ED5568">
        <w:tc>
          <w:tcPr>
            <w:tcW w:w="9007" w:type="dxa"/>
          </w:tcPr>
          <w:p w14:paraId="406D896E" w14:textId="77777777" w:rsidR="0022206F" w:rsidRPr="0022206F" w:rsidRDefault="0022206F" w:rsidP="00ED5568">
            <w:pPr>
              <w:spacing w:before="17"/>
              <w:jc w:val="both"/>
              <w:rPr>
                <w:rFonts w:ascii="Times New Roman"/>
                <w:i/>
                <w:noProof/>
                <w:sz w:val="24"/>
              </w:rPr>
            </w:pPr>
            <w:r>
              <w:rPr>
                <w:rFonts w:ascii="Times New Roman"/>
                <w:i/>
                <w:sz w:val="24"/>
              </w:rPr>
              <w:t>SATUR [UZTURVIELAS VAI CITAS VIELAS NOSAUKUMS]</w:t>
            </w:r>
          </w:p>
          <w:p w14:paraId="453E212B" w14:textId="77777777" w:rsidR="0022206F" w:rsidRPr="0022206F" w:rsidRDefault="0022206F" w:rsidP="00ED5568">
            <w:pPr>
              <w:ind w:right="104"/>
              <w:jc w:val="both"/>
              <w:rPr>
                <w:rFonts w:ascii="Times New Roman" w:eastAsia="Times New Roman" w:hAnsi="Times New Roman" w:cs="Times New Roman"/>
                <w:i/>
                <w:noProof/>
                <w:sz w:val="24"/>
                <w:szCs w:val="24"/>
              </w:rPr>
            </w:pPr>
            <w:r>
              <w:rPr>
                <w:rFonts w:ascii="Times New Roman" w:hAnsi="Times New Roman"/>
                <w:i/>
                <w:sz w:val="24"/>
              </w:rPr>
              <w:t>Norādi, ka pārtikas produkts satur kādu uzturvielu vai citu vielu, kurai Regula neparedz īpašus noteikumus, kā arī jebkuru citu norādi, ko patērētājs tā varētu saprast, drīkst izmantot tikai tad, ja produkts atbilst visiem piemērojamiem šīs regulas noteikumiem, jo īpaši 5. pantam. Vitamīniem un minerālvielām piemēro norādes “avots” nosacījumus.</w:t>
            </w:r>
          </w:p>
        </w:tc>
      </w:tr>
    </w:tbl>
    <w:p w14:paraId="2AB5198A" w14:textId="77777777" w:rsidR="0022206F" w:rsidRPr="0022206F" w:rsidRDefault="0022206F" w:rsidP="0022206F">
      <w:pPr>
        <w:jc w:val="both"/>
        <w:rPr>
          <w:rFonts w:ascii="Times New Roman" w:eastAsia="Times New Roman" w:hAnsi="Times New Roman" w:cs="Times New Roman"/>
          <w:noProof/>
          <w:sz w:val="24"/>
          <w:szCs w:val="24"/>
        </w:rPr>
      </w:pPr>
    </w:p>
    <w:p w14:paraId="00A18AFE" w14:textId="77777777" w:rsidR="0022206F" w:rsidRPr="0022206F" w:rsidRDefault="0022206F" w:rsidP="0022206F">
      <w:pPr>
        <w:pStyle w:val="Pamatteksts"/>
        <w:ind w:left="0"/>
        <w:jc w:val="both"/>
        <w:rPr>
          <w:rFonts w:cs="Times New Roman"/>
          <w:noProof/>
        </w:rPr>
      </w:pPr>
      <w:r>
        <w:t>Lai gan norāde “</w:t>
      </w:r>
      <w:r>
        <w:rPr>
          <w:i/>
          <w:iCs/>
        </w:rPr>
        <w:t>satur</w:t>
      </w:r>
      <w:r>
        <w:t>” parasti ir uzturvērtības norāde, dažos gadījumos vārda “</w:t>
      </w:r>
      <w:r>
        <w:rPr>
          <w:i/>
          <w:iCs/>
        </w:rPr>
        <w:t>satur</w:t>
      </w:r>
      <w:r>
        <w:t>” izmantošana norādē attiecas uz vielu grupām ar īpašu funkcionālu iedarbību. Šādos gadījumos norādes ar vārdu “</w:t>
      </w:r>
      <w:r>
        <w:rPr>
          <w:i/>
          <w:iCs/>
        </w:rPr>
        <w:t>satur</w:t>
      </w:r>
      <w:r>
        <w:t>” ir veselīguma norādes un to lietošanai vajadzīga attiecīga atļauja.</w:t>
      </w:r>
    </w:p>
    <w:p w14:paraId="505DED2B" w14:textId="77777777" w:rsidR="0022206F" w:rsidRPr="0022206F" w:rsidRDefault="0022206F" w:rsidP="0022206F">
      <w:pPr>
        <w:jc w:val="both"/>
        <w:rPr>
          <w:rFonts w:ascii="Times New Roman" w:eastAsia="Times New Roman" w:hAnsi="Times New Roman" w:cs="Times New Roman"/>
          <w:noProof/>
          <w:sz w:val="24"/>
          <w:szCs w:val="24"/>
        </w:rPr>
      </w:pPr>
    </w:p>
    <w:p w14:paraId="3E605B9F" w14:textId="77777777" w:rsidR="0022206F" w:rsidRPr="0022206F" w:rsidRDefault="0022206F" w:rsidP="0022206F">
      <w:pPr>
        <w:pStyle w:val="Pamatteksts"/>
        <w:ind w:left="0"/>
        <w:jc w:val="both"/>
        <w:rPr>
          <w:rFonts w:cs="Times New Roman"/>
          <w:noProof/>
        </w:rPr>
      </w:pPr>
      <w:r>
        <w:t>Turpmāko piemēru mērķis ir labāk izskaidrot atšķirību starp divām norāžu kategorijām, kurās izmantots vārds “</w:t>
      </w:r>
      <w:r>
        <w:rPr>
          <w:i/>
          <w:iCs/>
        </w:rPr>
        <w:t>satur</w:t>
      </w:r>
      <w:r>
        <w:t>”.</w:t>
      </w:r>
    </w:p>
    <w:p w14:paraId="11A7AF44" w14:textId="77777777" w:rsidR="0022206F" w:rsidRPr="0022206F" w:rsidRDefault="0022206F" w:rsidP="0022206F">
      <w:pPr>
        <w:jc w:val="both"/>
        <w:rPr>
          <w:rFonts w:ascii="Times New Roman" w:eastAsia="Times New Roman" w:hAnsi="Times New Roman" w:cs="Times New Roman"/>
          <w:noProof/>
          <w:sz w:val="24"/>
          <w:szCs w:val="24"/>
        </w:rPr>
      </w:pPr>
    </w:p>
    <w:p w14:paraId="68FB88A3" w14:textId="77777777" w:rsidR="0022206F" w:rsidRPr="0022206F" w:rsidRDefault="0022206F" w:rsidP="0022206F">
      <w:pPr>
        <w:ind w:left="426"/>
        <w:jc w:val="both"/>
        <w:rPr>
          <w:rFonts w:ascii="Times New Roman" w:eastAsia="Times New Roman" w:hAnsi="Times New Roman" w:cs="Times New Roman"/>
          <w:noProof/>
          <w:sz w:val="24"/>
          <w:szCs w:val="24"/>
        </w:rPr>
      </w:pPr>
      <w:r>
        <w:rPr>
          <w:rFonts w:ascii="Times New Roman" w:hAnsi="Times New Roman"/>
          <w:b/>
          <w:bCs/>
          <w:sz w:val="24"/>
        </w:rPr>
        <w:t>Norāde ir uzturvērtības norāde</w:t>
      </w:r>
      <w:r>
        <w:rPr>
          <w:rFonts w:ascii="Times New Roman" w:hAnsi="Times New Roman"/>
          <w:sz w:val="24"/>
        </w:rPr>
        <w:t xml:space="preserve">, ja, nosaucot vielu vai vielu kategoriju, tiek sniegta tikai </w:t>
      </w:r>
      <w:r>
        <w:rPr>
          <w:rFonts w:ascii="Times New Roman" w:hAnsi="Times New Roman"/>
          <w:sz w:val="24"/>
        </w:rPr>
        <w:lastRenderedPageBreak/>
        <w:t>faktiskā informācija.</w:t>
      </w:r>
    </w:p>
    <w:p w14:paraId="14B5B341" w14:textId="77777777" w:rsidR="0022206F" w:rsidRPr="0022206F" w:rsidRDefault="0022206F" w:rsidP="0022206F">
      <w:pPr>
        <w:ind w:left="426"/>
        <w:jc w:val="both"/>
        <w:rPr>
          <w:rFonts w:ascii="Times New Roman" w:eastAsia="Times New Roman" w:hAnsi="Times New Roman" w:cs="Times New Roman"/>
          <w:noProof/>
          <w:sz w:val="24"/>
          <w:szCs w:val="24"/>
        </w:rPr>
      </w:pPr>
    </w:p>
    <w:p w14:paraId="19AA7685" w14:textId="77777777" w:rsidR="0022206F" w:rsidRPr="0022206F" w:rsidRDefault="0022206F" w:rsidP="0022206F">
      <w:pPr>
        <w:pStyle w:val="Pamatteksts"/>
        <w:ind w:left="426"/>
        <w:jc w:val="both"/>
        <w:rPr>
          <w:rFonts w:cs="Times New Roman"/>
          <w:noProof/>
        </w:rPr>
      </w:pPr>
      <w:r>
        <w:t>Piemēri: “satur likopēnu”; “satur luteīnu”.</w:t>
      </w:r>
    </w:p>
    <w:p w14:paraId="3B917EBE" w14:textId="77777777" w:rsidR="0022206F" w:rsidRPr="0022206F" w:rsidRDefault="0022206F" w:rsidP="0022206F">
      <w:pPr>
        <w:ind w:left="426"/>
        <w:jc w:val="both"/>
        <w:rPr>
          <w:rFonts w:ascii="Times New Roman" w:eastAsia="Times New Roman" w:hAnsi="Times New Roman" w:cs="Times New Roman"/>
          <w:noProof/>
          <w:sz w:val="24"/>
          <w:szCs w:val="24"/>
        </w:rPr>
      </w:pPr>
    </w:p>
    <w:p w14:paraId="57B8223A" w14:textId="77777777" w:rsidR="0022206F" w:rsidRPr="0022206F" w:rsidRDefault="0022206F" w:rsidP="0022206F">
      <w:pPr>
        <w:pStyle w:val="Pamatteksts"/>
        <w:ind w:left="426"/>
        <w:jc w:val="both"/>
        <w:rPr>
          <w:rFonts w:cs="Times New Roman"/>
          <w:noProof/>
        </w:rPr>
      </w:pPr>
      <w:r>
        <w:rPr>
          <w:b/>
          <w:bCs/>
        </w:rPr>
        <w:t>Norāde ir veselīguma norāde</w:t>
      </w:r>
      <w:r>
        <w:t>, ja, nosaucot vielu vai vielu kategoriju, tiek raksturota vai norādīta funkcija vai ietverta netieša norāde par ietekmi uz veselību.</w:t>
      </w:r>
    </w:p>
    <w:p w14:paraId="4E05F7CA" w14:textId="77777777" w:rsidR="0022206F" w:rsidRPr="0022206F" w:rsidRDefault="0022206F" w:rsidP="0022206F">
      <w:pPr>
        <w:ind w:left="426"/>
        <w:jc w:val="both"/>
        <w:rPr>
          <w:rFonts w:ascii="Times New Roman" w:eastAsia="Times New Roman" w:hAnsi="Times New Roman" w:cs="Times New Roman"/>
          <w:noProof/>
          <w:sz w:val="24"/>
          <w:szCs w:val="24"/>
        </w:rPr>
      </w:pPr>
    </w:p>
    <w:p w14:paraId="55FFEFBA" w14:textId="77777777" w:rsidR="0022206F" w:rsidRPr="0022206F" w:rsidRDefault="0022206F" w:rsidP="0022206F">
      <w:pPr>
        <w:pStyle w:val="Pamatteksts"/>
        <w:ind w:left="426"/>
        <w:jc w:val="both"/>
        <w:rPr>
          <w:rFonts w:cs="Times New Roman"/>
          <w:noProof/>
        </w:rPr>
      </w:pPr>
      <w:r>
        <w:t>Piemēri: “satur antioksidantus” (funkcija ir antioksidanta radītā iedarbība); “satur probiotikas/prebiotikas” (atsaukšanās uz probiotikām/prebiotikām nozīmē labvēlīgu ietekmi uz veselību).</w:t>
      </w:r>
    </w:p>
    <w:p w14:paraId="569C8943" w14:textId="77777777" w:rsidR="0022206F" w:rsidRPr="0022206F" w:rsidRDefault="0022206F" w:rsidP="0022206F">
      <w:pPr>
        <w:ind w:left="426"/>
        <w:jc w:val="both"/>
        <w:rPr>
          <w:rFonts w:ascii="Times New Roman" w:eastAsia="Times New Roman" w:hAnsi="Times New Roman" w:cs="Times New Roman"/>
          <w:noProof/>
          <w:sz w:val="24"/>
          <w:szCs w:val="24"/>
        </w:rPr>
      </w:pPr>
    </w:p>
    <w:p w14:paraId="4E4AAF3F" w14:textId="77777777" w:rsidR="0022206F" w:rsidRPr="0022206F" w:rsidRDefault="0022206F" w:rsidP="0022206F">
      <w:pPr>
        <w:pStyle w:val="Pamatteksts"/>
        <w:ind w:left="426"/>
        <w:jc w:val="both"/>
        <w:rPr>
          <w:rFonts w:cs="Times New Roman"/>
          <w:noProof/>
        </w:rPr>
      </w:pPr>
      <w:r>
        <w:t>Tāpat norādes, kurās uzturvielas vai vielas aprakstā minēta funkcija (piemēram, kas izteikta kā vielas apzīmējumam pievienots īpašības vārds), arī jāklasificē kā veselīguma norādes.</w:t>
      </w:r>
    </w:p>
    <w:p w14:paraId="2231F0E9" w14:textId="77777777" w:rsidR="0022206F" w:rsidRPr="0022206F" w:rsidRDefault="0022206F" w:rsidP="0022206F">
      <w:pPr>
        <w:ind w:left="426"/>
        <w:jc w:val="both"/>
        <w:rPr>
          <w:rFonts w:ascii="Times New Roman" w:eastAsia="Times New Roman" w:hAnsi="Times New Roman" w:cs="Times New Roman"/>
          <w:noProof/>
          <w:sz w:val="24"/>
          <w:szCs w:val="24"/>
        </w:rPr>
      </w:pPr>
    </w:p>
    <w:p w14:paraId="70F3D922" w14:textId="77777777" w:rsidR="0022206F" w:rsidRPr="0022206F" w:rsidRDefault="0022206F" w:rsidP="0022206F">
      <w:pPr>
        <w:pStyle w:val="Pamatteksts"/>
        <w:ind w:left="426"/>
        <w:jc w:val="both"/>
        <w:rPr>
          <w:rFonts w:cs="Times New Roman"/>
          <w:noProof/>
        </w:rPr>
      </w:pPr>
      <w:r>
        <w:t>Piemēri: “ar prebiotiskām šķiedrām” vai “satur prebiotiskas šķiedras”.</w:t>
      </w:r>
    </w:p>
    <w:p w14:paraId="55DDD9EC" w14:textId="77777777" w:rsidR="0022206F" w:rsidRPr="0022206F" w:rsidRDefault="0022206F" w:rsidP="0022206F">
      <w:pPr>
        <w:jc w:val="both"/>
        <w:rPr>
          <w:rFonts w:ascii="Times New Roman" w:eastAsia="Times New Roman" w:hAnsi="Times New Roman" w:cs="Times New Roman"/>
          <w:noProof/>
          <w:sz w:val="24"/>
          <w:szCs w:val="24"/>
        </w:rPr>
      </w:pPr>
    </w:p>
    <w:p w14:paraId="3AFE1437" w14:textId="77777777" w:rsidR="0022206F" w:rsidRPr="0022206F" w:rsidRDefault="0022206F" w:rsidP="0022206F">
      <w:pPr>
        <w:pStyle w:val="Pamatteksts"/>
        <w:ind w:left="0"/>
        <w:jc w:val="both"/>
        <w:rPr>
          <w:rFonts w:cs="Times New Roman"/>
          <w:noProof/>
        </w:rPr>
      </w:pPr>
      <w:r>
        <w:t>Jāatzīmē, ka uz visām norādēm attiecas vispārējie principi, kas noteikti 3. un 5. pantā. Norādes “satur” gadījumā tas nozīmē, ka viela, uz kuru attiecas norāde, ir nozīmīgā daudzumā un ir pierādīts, ka tās iedarbība no uzturvērtības vai fizioloģijas viedokļa ir labvēlīga. Turklāt veselīguma un uzturvērtības norāžu lietošana rada pienākumu sniegt informāciju par uzturvērtību saskaņā ar Regulas 7. pantu atbilstoši Direktīvai 90/496/EEK.</w:t>
      </w:r>
      <w:bookmarkStart w:id="27" w:name="_TOC_250003"/>
    </w:p>
    <w:p w14:paraId="405A67E2" w14:textId="77777777" w:rsidR="0022206F" w:rsidRPr="0022206F" w:rsidRDefault="0022206F" w:rsidP="0022206F">
      <w:pPr>
        <w:pStyle w:val="Pamatteksts"/>
        <w:ind w:left="0"/>
        <w:jc w:val="both"/>
        <w:rPr>
          <w:rFonts w:cs="Times New Roman"/>
          <w:b/>
          <w:bCs/>
          <w:noProof/>
        </w:rPr>
      </w:pPr>
      <w:r>
        <w:br w:type="page"/>
      </w:r>
    </w:p>
    <w:p w14:paraId="67502423" w14:textId="77777777" w:rsidR="0022206F" w:rsidRPr="006079AA" w:rsidRDefault="0022206F" w:rsidP="006079AA">
      <w:pPr>
        <w:pStyle w:val="Virsraksts2"/>
        <w:ind w:left="0" w:firstLine="0"/>
        <w:rPr>
          <w:rFonts w:cs="Times New Roman"/>
          <w:noProof/>
          <w:sz w:val="24"/>
          <w:szCs w:val="24"/>
        </w:rPr>
      </w:pPr>
      <w:bookmarkStart w:id="28" w:name="_Toc64303289"/>
      <w:r w:rsidRPr="006079AA">
        <w:rPr>
          <w:sz w:val="24"/>
          <w:szCs w:val="24"/>
        </w:rPr>
        <w:lastRenderedPageBreak/>
        <w:t>III.2. Veselīguma norāžu klasifikācija</w:t>
      </w:r>
      <w:bookmarkEnd w:id="27"/>
      <w:bookmarkEnd w:id="28"/>
    </w:p>
    <w:p w14:paraId="08874728" w14:textId="77777777" w:rsidR="0022206F" w:rsidRPr="0022206F" w:rsidRDefault="0022206F" w:rsidP="0022206F">
      <w:pPr>
        <w:jc w:val="both"/>
        <w:rPr>
          <w:rFonts w:ascii="Times New Roman" w:eastAsia="Times New Roman" w:hAnsi="Times New Roman" w:cs="Times New Roman"/>
          <w:b/>
          <w:bCs/>
          <w:noProof/>
          <w:sz w:val="24"/>
          <w:szCs w:val="24"/>
        </w:rPr>
      </w:pPr>
    </w:p>
    <w:p w14:paraId="48C18759" w14:textId="77777777" w:rsidR="0022206F" w:rsidRPr="0022206F" w:rsidRDefault="0022206F" w:rsidP="0022206F">
      <w:pPr>
        <w:pStyle w:val="Pamatteksts"/>
        <w:ind w:left="0"/>
        <w:jc w:val="both"/>
        <w:rPr>
          <w:rFonts w:cs="Times New Roman"/>
          <w:noProof/>
        </w:rPr>
      </w:pPr>
      <w:r>
        <w:t>Regulā ir sniegta šāda veselīguma norāžu definīcija:</w:t>
      </w:r>
    </w:p>
    <w:p w14:paraId="4372358D" w14:textId="77777777" w:rsidR="0022206F" w:rsidRPr="0022206F" w:rsidRDefault="0022206F" w:rsidP="0022206F">
      <w:pPr>
        <w:jc w:val="both"/>
        <w:rPr>
          <w:rFonts w:ascii="Times New Roman" w:eastAsia="Times New Roman" w:hAnsi="Times New Roman" w:cs="Times New Roman"/>
          <w:noProof/>
          <w:sz w:val="24"/>
          <w:szCs w:val="24"/>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9007"/>
      </w:tblGrid>
      <w:tr w:rsidR="0022206F" w:rsidRPr="0022206F" w14:paraId="5367789F" w14:textId="77777777" w:rsidTr="00ED5568">
        <w:tc>
          <w:tcPr>
            <w:tcW w:w="9007" w:type="dxa"/>
          </w:tcPr>
          <w:p w14:paraId="0F7D425C" w14:textId="77777777" w:rsidR="0022206F" w:rsidRPr="0022206F" w:rsidRDefault="0022206F" w:rsidP="00ED5568">
            <w:pPr>
              <w:spacing w:before="17"/>
              <w:ind w:right="105"/>
              <w:rPr>
                <w:rFonts w:ascii="Times New Roman" w:eastAsia="Times New Roman" w:hAnsi="Times New Roman" w:cs="Times New Roman"/>
                <w:noProof/>
                <w:sz w:val="24"/>
                <w:szCs w:val="24"/>
              </w:rPr>
            </w:pPr>
            <w:r>
              <w:rPr>
                <w:rFonts w:ascii="Times New Roman" w:hAnsi="Times New Roman"/>
                <w:b/>
                <w:i/>
                <w:sz w:val="24"/>
              </w:rPr>
              <w:t>“veselīguma norāde”</w:t>
            </w:r>
            <w:r>
              <w:rPr>
                <w:rFonts w:ascii="Times New Roman" w:hAnsi="Times New Roman"/>
                <w:i/>
                <w:sz w:val="24"/>
              </w:rPr>
              <w:t xml:space="preserve"> ir jebkura norāde, kas pauž, liek domāt vai netieši norāda, ka pastāv saikne starp pārtikas produktu kategoriju, pārtikas produktu vai kādu tā sastāvdaļu un veselību.</w:t>
            </w:r>
          </w:p>
        </w:tc>
      </w:tr>
    </w:tbl>
    <w:p w14:paraId="438B4441" w14:textId="77777777" w:rsidR="0022206F" w:rsidRPr="0022206F" w:rsidRDefault="0022206F" w:rsidP="0022206F">
      <w:pPr>
        <w:jc w:val="both"/>
        <w:rPr>
          <w:rFonts w:ascii="Times New Roman" w:eastAsia="Times New Roman" w:hAnsi="Times New Roman" w:cs="Times New Roman"/>
          <w:noProof/>
          <w:sz w:val="24"/>
          <w:szCs w:val="24"/>
        </w:rPr>
      </w:pPr>
    </w:p>
    <w:p w14:paraId="50C638F2" w14:textId="77777777" w:rsidR="0022206F" w:rsidRPr="0022206F" w:rsidRDefault="0022206F" w:rsidP="0022206F">
      <w:pPr>
        <w:pStyle w:val="Pamatteksts"/>
        <w:ind w:left="0"/>
        <w:jc w:val="both"/>
        <w:rPr>
          <w:rFonts w:cs="Times New Roman"/>
          <w:noProof/>
        </w:rPr>
      </w:pPr>
      <w:r>
        <w:t>Regulā ir nošķirti dažādi veselīguma norāžu veidi un dotas atšķirīgas procedūras, kas jāievēro, veicot izvērtēšanu un piešķirot atļaujas.</w:t>
      </w:r>
    </w:p>
    <w:p w14:paraId="5F8372C1" w14:textId="77777777" w:rsidR="0022206F" w:rsidRPr="0022206F" w:rsidRDefault="0022206F" w:rsidP="0022206F">
      <w:pPr>
        <w:jc w:val="both"/>
        <w:rPr>
          <w:rFonts w:ascii="Times New Roman" w:eastAsia="Times New Roman" w:hAnsi="Times New Roman" w:cs="Times New Roman"/>
          <w:noProof/>
          <w:sz w:val="24"/>
          <w:szCs w:val="24"/>
        </w:rPr>
      </w:pPr>
    </w:p>
    <w:p w14:paraId="50D643F5" w14:textId="77777777" w:rsidR="0022206F" w:rsidRPr="0022206F" w:rsidRDefault="0022206F" w:rsidP="0022206F">
      <w:pPr>
        <w:jc w:val="both"/>
        <w:rPr>
          <w:rFonts w:ascii="Times New Roman" w:eastAsia="Times New Roman" w:hAnsi="Times New Roman" w:cs="Times New Roman"/>
          <w:noProof/>
          <w:sz w:val="24"/>
          <w:szCs w:val="24"/>
        </w:rPr>
      </w:pPr>
      <w:r>
        <w:rPr>
          <w:rFonts w:ascii="Times New Roman" w:hAnsi="Times New Roman"/>
          <w:b/>
          <w:bCs/>
          <w:sz w:val="24"/>
        </w:rPr>
        <w:t>“13. panta norādes”</w:t>
      </w:r>
      <w:r>
        <w:rPr>
          <w:rFonts w:ascii="Times New Roman" w:hAnsi="Times New Roman"/>
          <w:sz w:val="24"/>
        </w:rPr>
        <w:t xml:space="preserve"> ir veselīguma norādes, kurās aprakstīta vai minēta:</w:t>
      </w:r>
    </w:p>
    <w:p w14:paraId="46F9F2C8" w14:textId="77777777" w:rsidR="0022206F" w:rsidRPr="0022206F" w:rsidRDefault="0022206F" w:rsidP="0022206F">
      <w:pPr>
        <w:pStyle w:val="Pamatteksts"/>
        <w:tabs>
          <w:tab w:val="left" w:pos="1165"/>
        </w:tabs>
        <w:ind w:left="426"/>
        <w:jc w:val="both"/>
        <w:rPr>
          <w:rFonts w:cs="Times New Roman"/>
          <w:noProof/>
        </w:rPr>
      </w:pPr>
      <w:r>
        <w:t>a) uzturvielu vai citu vielu nozīme augšanā, attīstībā un organisma funkcijās vai</w:t>
      </w:r>
    </w:p>
    <w:p w14:paraId="7DE3C841" w14:textId="77777777" w:rsidR="0022206F" w:rsidRPr="0022206F" w:rsidRDefault="0022206F" w:rsidP="0022206F">
      <w:pPr>
        <w:pStyle w:val="Pamatteksts"/>
        <w:tabs>
          <w:tab w:val="left" w:pos="1177"/>
        </w:tabs>
        <w:ind w:left="426"/>
        <w:jc w:val="both"/>
        <w:rPr>
          <w:rFonts w:cs="Times New Roman"/>
          <w:noProof/>
        </w:rPr>
      </w:pPr>
      <w:r>
        <w:t>b) psihes un uzvedības funkcijās, vai,</w:t>
      </w:r>
    </w:p>
    <w:p w14:paraId="26867182" w14:textId="77777777" w:rsidR="0022206F" w:rsidRPr="0022206F" w:rsidRDefault="0022206F" w:rsidP="0022206F">
      <w:pPr>
        <w:pStyle w:val="Pamatteksts"/>
        <w:tabs>
          <w:tab w:val="left" w:pos="1164"/>
        </w:tabs>
        <w:ind w:left="426"/>
        <w:jc w:val="both"/>
        <w:rPr>
          <w:rFonts w:cs="Times New Roman"/>
          <w:noProof/>
        </w:rPr>
      </w:pPr>
      <w:r>
        <w:t>c) neskarot Direktīvu 96/8/EK, novājēšanā vai svara kontrolē, vai svara samazināšanā, vai izsalkuma sajūtas samazināšanā, vai sāta sajūtas pieaugumā, vai arī ar uzturu uzņemto kaloriju daudzuma samazināšanā.</w:t>
      </w:r>
    </w:p>
    <w:p w14:paraId="0EBD4080" w14:textId="77777777" w:rsidR="0022206F" w:rsidRPr="0022206F" w:rsidRDefault="0022206F" w:rsidP="0022206F">
      <w:pPr>
        <w:jc w:val="both"/>
        <w:rPr>
          <w:rFonts w:ascii="Times New Roman" w:eastAsia="Times New Roman" w:hAnsi="Times New Roman" w:cs="Times New Roman"/>
          <w:noProof/>
          <w:sz w:val="24"/>
          <w:szCs w:val="24"/>
        </w:rPr>
      </w:pPr>
    </w:p>
    <w:p w14:paraId="0D6031CA" w14:textId="77777777" w:rsidR="0022206F" w:rsidRPr="0022206F" w:rsidRDefault="0022206F" w:rsidP="0022206F">
      <w:pPr>
        <w:pStyle w:val="Pamatteksts"/>
        <w:ind w:left="0"/>
        <w:jc w:val="both"/>
        <w:rPr>
          <w:rFonts w:cs="Times New Roman"/>
          <w:noProof/>
        </w:rPr>
      </w:pPr>
      <w:r>
        <w:t>Turpmāk tās min kā “norādes par funkcijām organismā”.</w:t>
      </w:r>
    </w:p>
    <w:p w14:paraId="3E62CA34" w14:textId="77777777" w:rsidR="0022206F" w:rsidRPr="0022206F" w:rsidRDefault="0022206F" w:rsidP="0022206F">
      <w:pPr>
        <w:pStyle w:val="Pamatteksts"/>
        <w:ind w:left="0"/>
        <w:jc w:val="both"/>
        <w:rPr>
          <w:rFonts w:cs="Times New Roman"/>
          <w:noProof/>
        </w:rPr>
      </w:pPr>
    </w:p>
    <w:p w14:paraId="6EF41317" w14:textId="77777777" w:rsidR="0022206F" w:rsidRPr="0022206F" w:rsidRDefault="0022206F" w:rsidP="0022206F">
      <w:pPr>
        <w:pStyle w:val="Pamatteksts"/>
        <w:ind w:left="0"/>
        <w:jc w:val="both"/>
        <w:rPr>
          <w:rFonts w:cs="Times New Roman"/>
          <w:noProof/>
        </w:rPr>
      </w:pPr>
      <w:r>
        <w:t xml:space="preserve">Pamatojoties uz valstu sarakstiem, kuri dalībvalstīm jāsniedz līdz 2008. gada 31. janvārim, Komisija apspriedīsies ar </w:t>
      </w:r>
      <w:r>
        <w:rPr>
          <w:i/>
          <w:iCs/>
        </w:rPr>
        <w:t>EFSA</w:t>
      </w:r>
      <w:r>
        <w:t xml:space="preserve"> un vēlākais līdz 2010. gada 31. janvārim pieņems Kopienā atļauto norāžu sarakstu.</w:t>
      </w:r>
    </w:p>
    <w:p w14:paraId="248D5045" w14:textId="77777777" w:rsidR="0022206F" w:rsidRPr="0022206F" w:rsidRDefault="0022206F" w:rsidP="0022206F">
      <w:pPr>
        <w:pStyle w:val="Pamatteksts"/>
        <w:ind w:left="0"/>
        <w:jc w:val="both"/>
        <w:rPr>
          <w:rFonts w:cs="Times New Roman"/>
          <w:noProof/>
        </w:rPr>
      </w:pPr>
    </w:p>
    <w:p w14:paraId="5C4D24BB" w14:textId="77777777" w:rsidR="0022206F" w:rsidRPr="0022206F" w:rsidRDefault="0022206F" w:rsidP="0022206F">
      <w:pPr>
        <w:pStyle w:val="Pamatteksts"/>
        <w:ind w:left="0"/>
        <w:jc w:val="both"/>
        <w:rPr>
          <w:rFonts w:cs="Times New Roman"/>
          <w:noProof/>
        </w:rPr>
      </w:pPr>
      <w:r>
        <w:t xml:space="preserve">Norādēm, kuru pamatā ir jaunākie izstrādāti zinātniski pierādījumi un/vai kurās ir ietverts lūgums par īpašumtiesību aizsardzību, piemēro 18. pantā noteikto atļauju piešķiršanas procedūru. No 2008. gada 1. februāra dalībvalstis var nosūtīt </w:t>
      </w:r>
      <w:r>
        <w:rPr>
          <w:i/>
          <w:iCs/>
        </w:rPr>
        <w:t>EFSA</w:t>
      </w:r>
      <w:r>
        <w:t xml:space="preserve"> derīgus pieteikumus zinātniskam novērtējumam* saskaņā ar 18. panta 3. punktu.</w:t>
      </w:r>
    </w:p>
    <w:p w14:paraId="16870695" w14:textId="77777777" w:rsidR="0022206F" w:rsidRPr="0022206F" w:rsidRDefault="0022206F" w:rsidP="0022206F">
      <w:pPr>
        <w:jc w:val="both"/>
        <w:rPr>
          <w:rFonts w:ascii="Times New Roman" w:eastAsia="Times New Roman" w:hAnsi="Times New Roman" w:cs="Times New Roman"/>
          <w:noProof/>
          <w:sz w:val="24"/>
          <w:szCs w:val="24"/>
        </w:rPr>
      </w:pPr>
    </w:p>
    <w:p w14:paraId="55144424" w14:textId="77777777" w:rsidR="0022206F" w:rsidRPr="0022206F" w:rsidRDefault="0022206F" w:rsidP="0022206F">
      <w:pPr>
        <w:pStyle w:val="Virsraksts3"/>
        <w:ind w:left="0"/>
        <w:jc w:val="both"/>
        <w:rPr>
          <w:rFonts w:cs="Times New Roman"/>
          <w:b w:val="0"/>
          <w:bCs w:val="0"/>
          <w:noProof/>
        </w:rPr>
      </w:pPr>
      <w:bookmarkStart w:id="29" w:name="_Toc64303290"/>
      <w:r>
        <w:t xml:space="preserve">“14. panta norādes” </w:t>
      </w:r>
      <w:r>
        <w:rPr>
          <w:b w:val="0"/>
        </w:rPr>
        <w:t>ir:</w:t>
      </w:r>
      <w:bookmarkEnd w:id="29"/>
    </w:p>
    <w:p w14:paraId="0586F3E5" w14:textId="77777777" w:rsidR="0022206F" w:rsidRPr="0022206F" w:rsidRDefault="0022206F" w:rsidP="0022206F">
      <w:pPr>
        <w:pStyle w:val="Pamatteksts"/>
        <w:tabs>
          <w:tab w:val="left" w:pos="978"/>
        </w:tabs>
        <w:ind w:left="426"/>
        <w:jc w:val="both"/>
        <w:rPr>
          <w:rFonts w:cs="Times New Roman"/>
          <w:noProof/>
        </w:rPr>
      </w:pPr>
      <w:r>
        <w:t>- norādes, kurās minēta bērnu attīstība un veselība,</w:t>
      </w:r>
    </w:p>
    <w:p w14:paraId="2547515D" w14:textId="77777777" w:rsidR="0022206F" w:rsidRPr="0022206F" w:rsidRDefault="0022206F" w:rsidP="0022206F">
      <w:pPr>
        <w:pStyle w:val="Pamatteksts"/>
        <w:tabs>
          <w:tab w:val="left" w:pos="977"/>
        </w:tabs>
        <w:ind w:left="426"/>
        <w:jc w:val="both"/>
        <w:rPr>
          <w:rFonts w:cs="Times New Roman"/>
          <w:noProof/>
        </w:rPr>
      </w:pPr>
      <w:r>
        <w:t>- norādes par samazinātu slimības risku.</w:t>
      </w:r>
    </w:p>
    <w:p w14:paraId="3C0926F7" w14:textId="77777777" w:rsidR="0022206F" w:rsidRPr="0022206F" w:rsidRDefault="0022206F" w:rsidP="0022206F">
      <w:pPr>
        <w:jc w:val="both"/>
        <w:rPr>
          <w:rFonts w:ascii="Times New Roman" w:eastAsia="Times New Roman" w:hAnsi="Times New Roman" w:cs="Times New Roman"/>
          <w:noProof/>
          <w:sz w:val="24"/>
          <w:szCs w:val="24"/>
        </w:rPr>
      </w:pPr>
    </w:p>
    <w:p w14:paraId="4628A4D3" w14:textId="77777777" w:rsidR="0022206F" w:rsidRPr="0022206F" w:rsidRDefault="0022206F" w:rsidP="0022206F">
      <w:pPr>
        <w:pStyle w:val="Pamatteksts"/>
        <w:ind w:left="0"/>
        <w:jc w:val="both"/>
        <w:rPr>
          <w:rFonts w:cs="Times New Roman"/>
          <w:noProof/>
        </w:rPr>
      </w:pPr>
      <w:r>
        <w:t>Iesniegumus par veselības norādēm, kurās minēts samazināts slimības risks vai bērnu attīstība un veselība, var iesniegt no 2007. gada 1. jūlija, proti, Regulas piemērošanas dienas</w:t>
      </w:r>
      <w:r>
        <w:rPr>
          <w:rStyle w:val="Vresatsauce"/>
          <w:rFonts w:cs="Times New Roman"/>
          <w:noProof/>
        </w:rPr>
        <w:footnoteReference w:customMarkFollows="1" w:id="2"/>
        <w:t>*</w:t>
      </w:r>
      <w:r>
        <w:t>.</w:t>
      </w:r>
    </w:p>
    <w:p w14:paraId="20481D5A" w14:textId="77777777" w:rsidR="0022206F" w:rsidRPr="0022206F" w:rsidRDefault="0022206F" w:rsidP="0022206F">
      <w:pPr>
        <w:jc w:val="both"/>
        <w:rPr>
          <w:rFonts w:ascii="Times New Roman" w:eastAsia="Times New Roman" w:hAnsi="Times New Roman" w:cs="Times New Roman"/>
          <w:noProof/>
          <w:sz w:val="24"/>
          <w:szCs w:val="24"/>
        </w:rPr>
      </w:pPr>
    </w:p>
    <w:p w14:paraId="099AD25A" w14:textId="77777777" w:rsidR="0022206F" w:rsidRPr="0022206F" w:rsidRDefault="0022206F" w:rsidP="0022206F">
      <w:pPr>
        <w:pStyle w:val="Virsraksts3"/>
        <w:tabs>
          <w:tab w:val="left" w:pos="818"/>
        </w:tabs>
        <w:ind w:left="0"/>
        <w:jc w:val="both"/>
        <w:rPr>
          <w:rFonts w:cs="Times New Roman"/>
          <w:noProof/>
        </w:rPr>
      </w:pPr>
      <w:bookmarkStart w:id="30" w:name="_TOC_250002"/>
      <w:bookmarkStart w:id="31" w:name="_Toc64303291"/>
      <w:r>
        <w:t>III.2.1. Robežgadījumi starp “norādēm par funkcijām organismā” un “samazināta slimības riska norādēm”</w:t>
      </w:r>
      <w:bookmarkEnd w:id="30"/>
      <w:bookmarkEnd w:id="31"/>
    </w:p>
    <w:p w14:paraId="13847335" w14:textId="77777777" w:rsidR="0022206F" w:rsidRPr="0022206F" w:rsidRDefault="0022206F" w:rsidP="0022206F">
      <w:pPr>
        <w:jc w:val="both"/>
        <w:rPr>
          <w:rFonts w:ascii="Times New Roman" w:eastAsia="Times New Roman" w:hAnsi="Times New Roman" w:cs="Times New Roman"/>
          <w:b/>
          <w:bCs/>
          <w:noProof/>
          <w:sz w:val="24"/>
          <w:szCs w:val="24"/>
        </w:rPr>
      </w:pPr>
    </w:p>
    <w:p w14:paraId="5B4467AF" w14:textId="77777777" w:rsidR="0022206F" w:rsidRPr="0022206F" w:rsidRDefault="0022206F" w:rsidP="0022206F">
      <w:pPr>
        <w:pStyle w:val="Pamatteksts"/>
        <w:ind w:left="0"/>
        <w:jc w:val="both"/>
        <w:rPr>
          <w:rFonts w:cs="Times New Roman"/>
          <w:noProof/>
        </w:rPr>
      </w:pPr>
      <w:r>
        <w:t>Regulā ir sniegta šāda definīcija:</w:t>
      </w:r>
    </w:p>
    <w:p w14:paraId="6A4A7D96" w14:textId="77777777" w:rsidR="0022206F" w:rsidRPr="0022206F" w:rsidRDefault="0022206F" w:rsidP="0022206F">
      <w:pPr>
        <w:jc w:val="both"/>
        <w:rPr>
          <w:rFonts w:ascii="Times New Roman" w:eastAsia="Times New Roman" w:hAnsi="Times New Roman" w:cs="Times New Roman"/>
          <w:noProof/>
          <w:sz w:val="24"/>
          <w:szCs w:val="24"/>
        </w:rPr>
      </w:pPr>
    </w:p>
    <w:tbl>
      <w:tblPr>
        <w:tblStyle w:val="Reatabula"/>
        <w:tblW w:w="0" w:type="auto"/>
        <w:tblInd w:w="454" w:type="dxa"/>
        <w:tblCellMar>
          <w:top w:w="28" w:type="dxa"/>
          <w:left w:w="28" w:type="dxa"/>
          <w:bottom w:w="28" w:type="dxa"/>
          <w:right w:w="28" w:type="dxa"/>
        </w:tblCellMar>
        <w:tblLook w:val="04A0" w:firstRow="1" w:lastRow="0" w:firstColumn="1" w:lastColumn="0" w:noHBand="0" w:noVBand="1"/>
      </w:tblPr>
      <w:tblGrid>
        <w:gridCol w:w="9007"/>
      </w:tblGrid>
      <w:tr w:rsidR="0022206F" w:rsidRPr="0022206F" w14:paraId="6FB5834D" w14:textId="77777777" w:rsidTr="00ED5568">
        <w:tc>
          <w:tcPr>
            <w:tcW w:w="9007" w:type="dxa"/>
          </w:tcPr>
          <w:p w14:paraId="46C0DB9A" w14:textId="77777777" w:rsidR="0022206F" w:rsidRPr="0022206F" w:rsidRDefault="0022206F" w:rsidP="00ED5568">
            <w:pPr>
              <w:spacing w:before="17"/>
              <w:ind w:right="106"/>
              <w:jc w:val="both"/>
              <w:rPr>
                <w:rFonts w:ascii="Times New Roman" w:eastAsia="Times New Roman" w:hAnsi="Times New Roman" w:cs="Times New Roman"/>
                <w:noProof/>
                <w:sz w:val="24"/>
                <w:szCs w:val="24"/>
              </w:rPr>
            </w:pPr>
            <w:r>
              <w:rPr>
                <w:rFonts w:ascii="Times New Roman"/>
                <w:b/>
                <w:bCs/>
                <w:i/>
                <w:sz w:val="24"/>
              </w:rPr>
              <w:lastRenderedPageBreak/>
              <w:t>“</w:t>
            </w:r>
            <w:r>
              <w:rPr>
                <w:rFonts w:ascii="Times New Roman"/>
                <w:b/>
                <w:bCs/>
                <w:i/>
                <w:sz w:val="24"/>
              </w:rPr>
              <w:t>samazin</w:t>
            </w:r>
            <w:r>
              <w:rPr>
                <w:rFonts w:ascii="Times New Roman"/>
                <w:b/>
                <w:bCs/>
                <w:i/>
                <w:sz w:val="24"/>
              </w:rPr>
              <w:t>ā</w:t>
            </w:r>
            <w:r>
              <w:rPr>
                <w:rFonts w:ascii="Times New Roman"/>
                <w:b/>
                <w:bCs/>
                <w:i/>
                <w:sz w:val="24"/>
              </w:rPr>
              <w:t>ta slim</w:t>
            </w:r>
            <w:r>
              <w:rPr>
                <w:rFonts w:ascii="Times New Roman"/>
                <w:b/>
                <w:bCs/>
                <w:i/>
                <w:sz w:val="24"/>
              </w:rPr>
              <w:t>ī</w:t>
            </w:r>
            <w:r>
              <w:rPr>
                <w:rFonts w:ascii="Times New Roman"/>
                <w:b/>
                <w:bCs/>
                <w:i/>
                <w:sz w:val="24"/>
              </w:rPr>
              <w:t>bas riska nor</w:t>
            </w:r>
            <w:r>
              <w:rPr>
                <w:rFonts w:ascii="Times New Roman"/>
                <w:b/>
                <w:bCs/>
                <w:i/>
                <w:sz w:val="24"/>
              </w:rPr>
              <w:t>ā</w:t>
            </w:r>
            <w:r>
              <w:rPr>
                <w:rFonts w:ascii="Times New Roman"/>
                <w:b/>
                <w:bCs/>
                <w:i/>
                <w:sz w:val="24"/>
              </w:rPr>
              <w:t>de</w:t>
            </w:r>
            <w:r>
              <w:rPr>
                <w:rFonts w:ascii="Times New Roman"/>
                <w:b/>
                <w:bCs/>
                <w:i/>
                <w:sz w:val="24"/>
              </w:rPr>
              <w:t>”</w:t>
            </w:r>
            <w:r>
              <w:rPr>
                <w:rFonts w:ascii="Times New Roman"/>
                <w:i/>
                <w:sz w:val="24"/>
              </w:rPr>
              <w:t xml:space="preserve"> ir jebkura vesel</w:t>
            </w:r>
            <w:r>
              <w:rPr>
                <w:rFonts w:ascii="Times New Roman"/>
                <w:i/>
                <w:sz w:val="24"/>
              </w:rPr>
              <w:t>ī</w:t>
            </w:r>
            <w:r>
              <w:rPr>
                <w:rFonts w:ascii="Times New Roman"/>
                <w:i/>
                <w:sz w:val="24"/>
              </w:rPr>
              <w:t>guma nor</w:t>
            </w:r>
            <w:r>
              <w:rPr>
                <w:rFonts w:ascii="Times New Roman"/>
                <w:i/>
                <w:sz w:val="24"/>
              </w:rPr>
              <w:t>ā</w:t>
            </w:r>
            <w:r>
              <w:rPr>
                <w:rFonts w:ascii="Times New Roman"/>
                <w:i/>
                <w:sz w:val="24"/>
              </w:rPr>
              <w:t>de, kas pau</w:t>
            </w:r>
            <w:r>
              <w:rPr>
                <w:rFonts w:ascii="Times New Roman"/>
                <w:i/>
                <w:sz w:val="24"/>
              </w:rPr>
              <w:t>ž</w:t>
            </w:r>
            <w:r>
              <w:rPr>
                <w:rFonts w:ascii="Times New Roman"/>
                <w:i/>
                <w:sz w:val="24"/>
              </w:rPr>
              <w:t>, liek dom</w:t>
            </w:r>
            <w:r>
              <w:rPr>
                <w:rFonts w:ascii="Times New Roman"/>
                <w:i/>
                <w:sz w:val="24"/>
              </w:rPr>
              <w:t>ā</w:t>
            </w:r>
            <w:r>
              <w:rPr>
                <w:rFonts w:ascii="Times New Roman"/>
                <w:i/>
                <w:sz w:val="24"/>
              </w:rPr>
              <w:t>t vai netie</w:t>
            </w:r>
            <w:r>
              <w:rPr>
                <w:rFonts w:ascii="Times New Roman"/>
                <w:i/>
                <w:sz w:val="24"/>
              </w:rPr>
              <w:t>š</w:t>
            </w:r>
            <w:r>
              <w:rPr>
                <w:rFonts w:ascii="Times New Roman"/>
                <w:i/>
                <w:sz w:val="24"/>
              </w:rPr>
              <w:t>i nor</w:t>
            </w:r>
            <w:r>
              <w:rPr>
                <w:rFonts w:ascii="Times New Roman"/>
                <w:i/>
                <w:sz w:val="24"/>
              </w:rPr>
              <w:t>ā</w:t>
            </w:r>
            <w:r>
              <w:rPr>
                <w:rFonts w:ascii="Times New Roman"/>
                <w:i/>
                <w:sz w:val="24"/>
              </w:rPr>
              <w:t>da, ka attiec</w:t>
            </w:r>
            <w:r>
              <w:rPr>
                <w:rFonts w:ascii="Times New Roman"/>
                <w:i/>
                <w:sz w:val="24"/>
              </w:rPr>
              <w:t>ī</w:t>
            </w:r>
            <w:r>
              <w:rPr>
                <w:rFonts w:ascii="Times New Roman"/>
                <w:i/>
                <w:sz w:val="24"/>
              </w:rPr>
              <w:t>g</w:t>
            </w:r>
            <w:r>
              <w:rPr>
                <w:rFonts w:ascii="Times New Roman"/>
                <w:i/>
                <w:sz w:val="24"/>
              </w:rPr>
              <w:t>ā</w:t>
            </w:r>
            <w:r>
              <w:rPr>
                <w:rFonts w:ascii="Times New Roman"/>
                <w:i/>
                <w:sz w:val="24"/>
              </w:rPr>
              <w:t>s p</w:t>
            </w:r>
            <w:r>
              <w:rPr>
                <w:rFonts w:ascii="Times New Roman"/>
                <w:i/>
                <w:sz w:val="24"/>
              </w:rPr>
              <w:t>ā</w:t>
            </w:r>
            <w:r>
              <w:rPr>
                <w:rFonts w:ascii="Times New Roman"/>
                <w:i/>
                <w:sz w:val="24"/>
              </w:rPr>
              <w:t>rtikas produktu kategorijas, p</w:t>
            </w:r>
            <w:r>
              <w:rPr>
                <w:rFonts w:ascii="Times New Roman"/>
                <w:i/>
                <w:sz w:val="24"/>
              </w:rPr>
              <w:t>ā</w:t>
            </w:r>
            <w:r>
              <w:rPr>
                <w:rFonts w:ascii="Times New Roman"/>
                <w:i/>
                <w:sz w:val="24"/>
              </w:rPr>
              <w:t>rtikas produkta vai k</w:t>
            </w:r>
            <w:r>
              <w:rPr>
                <w:rFonts w:ascii="Times New Roman"/>
                <w:i/>
                <w:sz w:val="24"/>
              </w:rPr>
              <w:t>ā</w:t>
            </w:r>
            <w:r>
              <w:rPr>
                <w:rFonts w:ascii="Times New Roman"/>
                <w:i/>
                <w:sz w:val="24"/>
              </w:rPr>
              <w:t>das t</w:t>
            </w:r>
            <w:r>
              <w:rPr>
                <w:rFonts w:ascii="Times New Roman"/>
                <w:i/>
                <w:sz w:val="24"/>
              </w:rPr>
              <w:t>ā</w:t>
            </w:r>
            <w:r>
              <w:rPr>
                <w:rFonts w:ascii="Times New Roman"/>
                <w:i/>
                <w:sz w:val="24"/>
              </w:rPr>
              <w:t xml:space="preserve"> sast</w:t>
            </w:r>
            <w:r>
              <w:rPr>
                <w:rFonts w:ascii="Times New Roman"/>
                <w:i/>
                <w:sz w:val="24"/>
              </w:rPr>
              <w:t>ā</w:t>
            </w:r>
            <w:r>
              <w:rPr>
                <w:rFonts w:ascii="Times New Roman"/>
                <w:i/>
                <w:sz w:val="24"/>
              </w:rPr>
              <w:t>vda</w:t>
            </w:r>
            <w:r>
              <w:rPr>
                <w:rFonts w:ascii="Times New Roman"/>
                <w:i/>
                <w:sz w:val="24"/>
              </w:rPr>
              <w:t>ļ</w:t>
            </w:r>
            <w:r>
              <w:rPr>
                <w:rFonts w:ascii="Times New Roman"/>
                <w:i/>
                <w:sz w:val="24"/>
              </w:rPr>
              <w:t>as lieto</w:t>
            </w:r>
            <w:r>
              <w:rPr>
                <w:rFonts w:ascii="Times New Roman"/>
                <w:i/>
                <w:sz w:val="24"/>
              </w:rPr>
              <w:t>š</w:t>
            </w:r>
            <w:r>
              <w:rPr>
                <w:rFonts w:ascii="Times New Roman"/>
                <w:i/>
                <w:sz w:val="24"/>
              </w:rPr>
              <w:t>ana b</w:t>
            </w:r>
            <w:r>
              <w:rPr>
                <w:rFonts w:ascii="Times New Roman"/>
                <w:i/>
                <w:sz w:val="24"/>
              </w:rPr>
              <w:t>ū</w:t>
            </w:r>
            <w:r>
              <w:rPr>
                <w:rFonts w:ascii="Times New Roman"/>
                <w:i/>
                <w:sz w:val="24"/>
              </w:rPr>
              <w:t>tiski mazina k</w:t>
            </w:r>
            <w:r>
              <w:rPr>
                <w:rFonts w:ascii="Times New Roman"/>
                <w:i/>
                <w:sz w:val="24"/>
              </w:rPr>
              <w:t>ā</w:t>
            </w:r>
            <w:r>
              <w:rPr>
                <w:rFonts w:ascii="Times New Roman"/>
                <w:i/>
                <w:sz w:val="24"/>
              </w:rPr>
              <w:t>das cilv</w:t>
            </w:r>
            <w:r>
              <w:rPr>
                <w:rFonts w:ascii="Times New Roman"/>
                <w:i/>
                <w:sz w:val="24"/>
              </w:rPr>
              <w:t>ē</w:t>
            </w:r>
            <w:r>
              <w:rPr>
                <w:rFonts w:ascii="Times New Roman"/>
                <w:i/>
                <w:sz w:val="24"/>
              </w:rPr>
              <w:t>ka saslim</w:t>
            </w:r>
            <w:r>
              <w:rPr>
                <w:rFonts w:ascii="Times New Roman"/>
                <w:i/>
                <w:sz w:val="24"/>
              </w:rPr>
              <w:t>š</w:t>
            </w:r>
            <w:r>
              <w:rPr>
                <w:rFonts w:ascii="Times New Roman"/>
                <w:i/>
                <w:sz w:val="24"/>
              </w:rPr>
              <w:t>anas riska faktoru.</w:t>
            </w:r>
          </w:p>
        </w:tc>
      </w:tr>
    </w:tbl>
    <w:p w14:paraId="217B1171" w14:textId="77777777" w:rsidR="0022206F" w:rsidRPr="0022206F" w:rsidRDefault="0022206F" w:rsidP="0022206F">
      <w:pPr>
        <w:jc w:val="both"/>
        <w:rPr>
          <w:rFonts w:ascii="Times New Roman" w:eastAsia="Times New Roman" w:hAnsi="Times New Roman" w:cs="Times New Roman"/>
          <w:noProof/>
          <w:sz w:val="24"/>
          <w:szCs w:val="24"/>
        </w:rPr>
      </w:pPr>
    </w:p>
    <w:p w14:paraId="0958E842" w14:textId="77777777" w:rsidR="0022206F" w:rsidRPr="0022206F" w:rsidRDefault="0022206F" w:rsidP="0022206F">
      <w:pPr>
        <w:pStyle w:val="Pamatteksts"/>
        <w:ind w:left="0"/>
        <w:jc w:val="both"/>
        <w:rPr>
          <w:rFonts w:cs="Times New Roman"/>
          <w:noProof/>
        </w:rPr>
      </w:pPr>
      <w:r>
        <w:t xml:space="preserve">Ja norādē ir minēts kāds slimības riska faktors, kas, pamatojoties uz zinātniskiem pierādījumiem, ir vispāratzīts, tā jāuzskata par 14. panta norādi </w:t>
      </w:r>
      <w:r>
        <w:rPr>
          <w:u w:val="single"/>
        </w:rPr>
        <w:t>tikai tad, ja šā riska faktora samazinājums ir pausts, par to likts domāt vai tas netieši norādīts</w:t>
      </w:r>
      <w:r>
        <w:t>. Citos gadījumos jāapsver “norādes par funkcijām organismā”, t. i., norādes vienā no kategorijām, kas uzskaitītas Regulas 13. pantā.</w:t>
      </w:r>
    </w:p>
    <w:p w14:paraId="32D2D50A" w14:textId="77777777" w:rsidR="0022206F" w:rsidRPr="0022206F" w:rsidRDefault="0022206F" w:rsidP="0022206F">
      <w:pPr>
        <w:jc w:val="both"/>
        <w:rPr>
          <w:rFonts w:cs="Times New Roman"/>
          <w:noProof/>
        </w:rPr>
      </w:pPr>
    </w:p>
    <w:p w14:paraId="5D43A8CA" w14:textId="77777777" w:rsidR="0022206F" w:rsidRPr="0022206F" w:rsidRDefault="0022206F" w:rsidP="0022206F">
      <w:pPr>
        <w:pStyle w:val="Pamatteksts"/>
        <w:ind w:left="0"/>
        <w:jc w:val="both"/>
        <w:rPr>
          <w:rFonts w:cs="Times New Roman"/>
          <w:noProof/>
        </w:rPr>
      </w:pPr>
      <w:r>
        <w:t>Turpmākajā tabulā ir kopsavilkums par kritērijiem atšķirības noteikšanai gadījumos, kad minēti slimības riska faktori.</w:t>
      </w:r>
    </w:p>
    <w:p w14:paraId="07AF2427" w14:textId="77777777" w:rsidR="0022206F" w:rsidRPr="0022206F" w:rsidRDefault="0022206F" w:rsidP="0022206F">
      <w:pPr>
        <w:jc w:val="both"/>
        <w:rPr>
          <w:rFonts w:ascii="Times New Roman" w:eastAsia="Times New Roman" w:hAnsi="Times New Roman" w:cs="Times New Roman"/>
          <w:noProof/>
          <w:sz w:val="24"/>
          <w:szCs w:val="24"/>
        </w:rPr>
      </w:pPr>
    </w:p>
    <w:tbl>
      <w:tblPr>
        <w:tblW w:w="3895" w:type="pct"/>
        <w:tblInd w:w="1162" w:type="dxa"/>
        <w:tblCellMar>
          <w:top w:w="28" w:type="dxa"/>
          <w:left w:w="28" w:type="dxa"/>
          <w:bottom w:w="28" w:type="dxa"/>
          <w:right w:w="28" w:type="dxa"/>
        </w:tblCellMar>
        <w:tblLook w:val="01E0" w:firstRow="1" w:lastRow="1" w:firstColumn="1" w:lastColumn="1" w:noHBand="0" w:noVBand="0"/>
      </w:tblPr>
      <w:tblGrid>
        <w:gridCol w:w="5387"/>
        <w:gridCol w:w="1983"/>
      </w:tblGrid>
      <w:tr w:rsidR="0022206F" w:rsidRPr="0022206F" w14:paraId="4BFFAF66" w14:textId="77777777" w:rsidTr="00ED5568">
        <w:tc>
          <w:tcPr>
            <w:tcW w:w="3655" w:type="pct"/>
            <w:tcBorders>
              <w:top w:val="single" w:sz="5" w:space="0" w:color="000000"/>
              <w:left w:val="single" w:sz="5" w:space="0" w:color="000000"/>
              <w:bottom w:val="single" w:sz="5" w:space="0" w:color="000000"/>
              <w:right w:val="single" w:sz="5" w:space="0" w:color="000000"/>
            </w:tcBorders>
          </w:tcPr>
          <w:p w14:paraId="650AACAE" w14:textId="77777777" w:rsidR="0022206F" w:rsidRPr="0022206F" w:rsidRDefault="0022206F" w:rsidP="00ED5568">
            <w:pPr>
              <w:pStyle w:val="TableParagraph"/>
              <w:jc w:val="both"/>
              <w:rPr>
                <w:rFonts w:ascii="Times New Roman" w:hAnsi="Times New Roman" w:cs="Times New Roman"/>
                <w:b/>
                <w:noProof/>
                <w:sz w:val="24"/>
                <w:szCs w:val="24"/>
              </w:rPr>
            </w:pPr>
            <w:r>
              <w:rPr>
                <w:rFonts w:ascii="Times New Roman" w:hAnsi="Times New Roman"/>
                <w:b/>
                <w:sz w:val="24"/>
              </w:rPr>
              <w:t>Norāde attiecas uz</w:t>
            </w:r>
          </w:p>
        </w:tc>
        <w:tc>
          <w:tcPr>
            <w:tcW w:w="1345" w:type="pct"/>
            <w:tcBorders>
              <w:top w:val="single" w:sz="5" w:space="0" w:color="000000"/>
              <w:left w:val="single" w:sz="5" w:space="0" w:color="000000"/>
              <w:bottom w:val="single" w:sz="5" w:space="0" w:color="000000"/>
              <w:right w:val="single" w:sz="5" w:space="0" w:color="000000"/>
            </w:tcBorders>
          </w:tcPr>
          <w:p w14:paraId="658F781C" w14:textId="77777777" w:rsidR="0022206F" w:rsidRPr="0022206F" w:rsidRDefault="0022206F" w:rsidP="00ED5568">
            <w:pPr>
              <w:pStyle w:val="TableParagraph"/>
              <w:jc w:val="both"/>
              <w:rPr>
                <w:rFonts w:ascii="Times New Roman" w:hAnsi="Times New Roman" w:cs="Times New Roman"/>
                <w:b/>
                <w:noProof/>
                <w:sz w:val="24"/>
                <w:szCs w:val="24"/>
              </w:rPr>
            </w:pPr>
            <w:r>
              <w:rPr>
                <w:rFonts w:ascii="Times New Roman" w:hAnsi="Times New Roman"/>
                <w:b/>
                <w:sz w:val="24"/>
              </w:rPr>
              <w:t>Klasifikācija</w:t>
            </w:r>
          </w:p>
        </w:tc>
      </w:tr>
      <w:tr w:rsidR="0022206F" w:rsidRPr="0022206F" w14:paraId="07543AF8" w14:textId="77777777" w:rsidTr="00ED5568">
        <w:tc>
          <w:tcPr>
            <w:tcW w:w="3655" w:type="pct"/>
            <w:tcBorders>
              <w:top w:val="single" w:sz="5" w:space="0" w:color="000000"/>
              <w:left w:val="single" w:sz="5" w:space="0" w:color="000000"/>
              <w:bottom w:val="single" w:sz="5" w:space="0" w:color="000000"/>
              <w:right w:val="single" w:sz="5" w:space="0" w:color="000000"/>
            </w:tcBorders>
          </w:tcPr>
          <w:p w14:paraId="2AF8C51B" w14:textId="77777777" w:rsidR="0022206F" w:rsidRPr="0022206F" w:rsidRDefault="0022206F" w:rsidP="00ED5568">
            <w:pPr>
              <w:pStyle w:val="Sarakstarindkopa"/>
              <w:tabs>
                <w:tab w:val="left" w:pos="243"/>
              </w:tabs>
              <w:jc w:val="both"/>
              <w:rPr>
                <w:rFonts w:ascii="Times New Roman" w:hAnsi="Times New Roman" w:cs="Times New Roman"/>
                <w:noProof/>
                <w:sz w:val="24"/>
                <w:szCs w:val="24"/>
              </w:rPr>
            </w:pPr>
            <w:r>
              <w:rPr>
                <w:rFonts w:ascii="Times New Roman" w:hAnsi="Times New Roman"/>
                <w:sz w:val="24"/>
              </w:rPr>
              <w:t>- normālu organisma funkciju</w:t>
            </w:r>
          </w:p>
          <w:p w14:paraId="24AE699D" w14:textId="77777777" w:rsidR="0022206F" w:rsidRPr="0022206F" w:rsidRDefault="0022206F" w:rsidP="00ED5568">
            <w:pPr>
              <w:pStyle w:val="TableParagraph"/>
              <w:jc w:val="both"/>
              <w:rPr>
                <w:rFonts w:ascii="Times New Roman" w:eastAsia="Times New Roman" w:hAnsi="Times New Roman" w:cs="Times New Roman"/>
                <w:noProof/>
                <w:sz w:val="24"/>
                <w:szCs w:val="24"/>
              </w:rPr>
            </w:pPr>
          </w:p>
          <w:p w14:paraId="5216667A" w14:textId="77777777" w:rsidR="0022206F" w:rsidRPr="0022206F" w:rsidRDefault="0022206F" w:rsidP="00ED5568">
            <w:pPr>
              <w:pStyle w:val="Sarakstarindkopa"/>
              <w:tabs>
                <w:tab w:val="left" w:pos="243"/>
              </w:tabs>
              <w:jc w:val="both"/>
              <w:rPr>
                <w:rFonts w:ascii="Times New Roman" w:hAnsi="Times New Roman" w:cs="Times New Roman"/>
                <w:noProof/>
                <w:sz w:val="24"/>
                <w:szCs w:val="24"/>
              </w:rPr>
            </w:pPr>
            <w:r>
              <w:rPr>
                <w:rFonts w:ascii="Times New Roman" w:hAnsi="Times New Roman"/>
                <w:sz w:val="24"/>
              </w:rPr>
              <w:t>- slimības riska faktoru, kura samazinājums nav pausts, par to nav likts domāt vai tas nav netieši norādīts</w:t>
            </w:r>
          </w:p>
          <w:p w14:paraId="40664A3C" w14:textId="77777777" w:rsidR="0022206F" w:rsidRPr="0022206F" w:rsidRDefault="0022206F" w:rsidP="00ED5568">
            <w:pPr>
              <w:pStyle w:val="TableParagraph"/>
              <w:jc w:val="both"/>
              <w:rPr>
                <w:rFonts w:ascii="Times New Roman" w:eastAsia="Times New Roman" w:hAnsi="Times New Roman" w:cs="Times New Roman"/>
                <w:noProof/>
                <w:sz w:val="24"/>
                <w:szCs w:val="24"/>
              </w:rPr>
            </w:pPr>
          </w:p>
          <w:p w14:paraId="2F3AB990" w14:textId="77777777" w:rsidR="0022206F" w:rsidRPr="0022206F" w:rsidRDefault="0022206F" w:rsidP="00ED5568">
            <w:pPr>
              <w:pStyle w:val="TableParagraph"/>
              <w:jc w:val="both"/>
              <w:rPr>
                <w:rFonts w:ascii="Times New Roman" w:hAnsi="Times New Roman" w:cs="Times New Roman"/>
                <w:noProof/>
                <w:sz w:val="24"/>
                <w:szCs w:val="24"/>
              </w:rPr>
            </w:pPr>
            <w:r>
              <w:rPr>
                <w:rFonts w:ascii="Times New Roman" w:hAnsi="Times New Roman"/>
                <w:sz w:val="24"/>
              </w:rPr>
              <w:t>Piemērs: saglabā [normālas dzīvībai svarīgas organisma funkcijas apzīmējums].</w:t>
            </w:r>
          </w:p>
        </w:tc>
        <w:tc>
          <w:tcPr>
            <w:tcW w:w="1345" w:type="pct"/>
            <w:tcBorders>
              <w:top w:val="single" w:sz="5" w:space="0" w:color="000000"/>
              <w:left w:val="single" w:sz="5" w:space="0" w:color="000000"/>
              <w:bottom w:val="single" w:sz="5" w:space="0" w:color="000000"/>
              <w:right w:val="single" w:sz="5" w:space="0" w:color="000000"/>
            </w:tcBorders>
          </w:tcPr>
          <w:p w14:paraId="7AED9403" w14:textId="77777777" w:rsidR="0022206F" w:rsidRPr="0022206F" w:rsidRDefault="0022206F" w:rsidP="00ED5568">
            <w:pPr>
              <w:pStyle w:val="TableParagraph"/>
              <w:jc w:val="both"/>
              <w:rPr>
                <w:rFonts w:ascii="Times New Roman" w:hAnsi="Times New Roman" w:cs="Times New Roman"/>
                <w:noProof/>
                <w:sz w:val="24"/>
                <w:szCs w:val="24"/>
              </w:rPr>
            </w:pPr>
            <w:r>
              <w:rPr>
                <w:rFonts w:ascii="Times New Roman" w:hAnsi="Times New Roman"/>
                <w:sz w:val="24"/>
              </w:rPr>
              <w:t>13. pants</w:t>
            </w:r>
          </w:p>
        </w:tc>
      </w:tr>
      <w:tr w:rsidR="0022206F" w:rsidRPr="0022206F" w14:paraId="7A7B07DA" w14:textId="77777777" w:rsidTr="00ED5568">
        <w:tc>
          <w:tcPr>
            <w:tcW w:w="3655" w:type="pct"/>
            <w:tcBorders>
              <w:top w:val="single" w:sz="5" w:space="0" w:color="000000"/>
              <w:left w:val="single" w:sz="5" w:space="0" w:color="000000"/>
              <w:bottom w:val="single" w:sz="5" w:space="0" w:color="000000"/>
              <w:right w:val="single" w:sz="5" w:space="0" w:color="000000"/>
            </w:tcBorders>
          </w:tcPr>
          <w:p w14:paraId="4566E395" w14:textId="77777777" w:rsidR="0022206F" w:rsidRPr="0022206F" w:rsidRDefault="0022206F" w:rsidP="00ED5568">
            <w:pPr>
              <w:pStyle w:val="TableParagraph"/>
              <w:jc w:val="both"/>
              <w:rPr>
                <w:rFonts w:ascii="Times New Roman" w:hAnsi="Times New Roman" w:cs="Times New Roman"/>
                <w:noProof/>
                <w:sz w:val="24"/>
                <w:szCs w:val="24"/>
              </w:rPr>
            </w:pPr>
            <w:r>
              <w:rPr>
                <w:rFonts w:ascii="Times New Roman" w:hAnsi="Times New Roman"/>
                <w:sz w:val="24"/>
              </w:rPr>
              <w:t>- slimības riska faktora samazinājumu, vai nu norādot, vai arī nenorādot slimības nosaukumu</w:t>
            </w:r>
          </w:p>
          <w:p w14:paraId="17359A68" w14:textId="77777777" w:rsidR="0022206F" w:rsidRPr="0022206F" w:rsidRDefault="0022206F" w:rsidP="00ED5568">
            <w:pPr>
              <w:pStyle w:val="TableParagraph"/>
              <w:jc w:val="both"/>
              <w:rPr>
                <w:rFonts w:ascii="Times New Roman" w:eastAsia="Times New Roman" w:hAnsi="Times New Roman" w:cs="Times New Roman"/>
                <w:noProof/>
                <w:sz w:val="24"/>
                <w:szCs w:val="24"/>
              </w:rPr>
            </w:pPr>
          </w:p>
          <w:p w14:paraId="7E7141FF" w14:textId="77777777" w:rsidR="0022206F" w:rsidRPr="0022206F" w:rsidRDefault="0022206F" w:rsidP="00ED5568">
            <w:pPr>
              <w:pStyle w:val="TableParagraph"/>
              <w:jc w:val="both"/>
              <w:rPr>
                <w:rFonts w:ascii="Times New Roman" w:hAnsi="Times New Roman" w:cs="Times New Roman"/>
                <w:noProof/>
                <w:sz w:val="24"/>
                <w:szCs w:val="24"/>
              </w:rPr>
            </w:pPr>
            <w:r>
              <w:rPr>
                <w:rFonts w:ascii="Times New Roman" w:hAnsi="Times New Roman"/>
                <w:sz w:val="24"/>
              </w:rPr>
              <w:t>Piemērs: pazemina [riska faktora apzīmējums].</w:t>
            </w:r>
          </w:p>
        </w:tc>
        <w:tc>
          <w:tcPr>
            <w:tcW w:w="1345" w:type="pct"/>
            <w:tcBorders>
              <w:top w:val="single" w:sz="5" w:space="0" w:color="000000"/>
              <w:left w:val="single" w:sz="5" w:space="0" w:color="000000"/>
              <w:bottom w:val="single" w:sz="5" w:space="0" w:color="000000"/>
              <w:right w:val="single" w:sz="5" w:space="0" w:color="000000"/>
            </w:tcBorders>
          </w:tcPr>
          <w:p w14:paraId="59FDD902" w14:textId="77777777" w:rsidR="0022206F" w:rsidRPr="0022206F" w:rsidRDefault="0022206F" w:rsidP="00ED5568">
            <w:pPr>
              <w:pStyle w:val="TableParagraph"/>
              <w:jc w:val="both"/>
              <w:rPr>
                <w:rFonts w:ascii="Times New Roman" w:hAnsi="Times New Roman" w:cs="Times New Roman"/>
                <w:noProof/>
                <w:sz w:val="24"/>
                <w:szCs w:val="24"/>
              </w:rPr>
            </w:pPr>
            <w:r>
              <w:rPr>
                <w:rFonts w:ascii="Times New Roman" w:hAnsi="Times New Roman"/>
                <w:sz w:val="24"/>
              </w:rPr>
              <w:t>14. pants</w:t>
            </w:r>
          </w:p>
        </w:tc>
      </w:tr>
    </w:tbl>
    <w:p w14:paraId="5CE92623" w14:textId="77777777" w:rsidR="0022206F" w:rsidRPr="0022206F" w:rsidRDefault="0022206F" w:rsidP="0022206F">
      <w:pPr>
        <w:jc w:val="both"/>
        <w:rPr>
          <w:rFonts w:ascii="Times New Roman" w:eastAsia="Times New Roman" w:hAnsi="Times New Roman" w:cs="Times New Roman"/>
          <w:noProof/>
          <w:sz w:val="24"/>
          <w:szCs w:val="24"/>
        </w:rPr>
      </w:pPr>
    </w:p>
    <w:p w14:paraId="7768F4F0" w14:textId="77777777" w:rsidR="0022206F" w:rsidRPr="0022206F" w:rsidRDefault="0022206F" w:rsidP="0022206F">
      <w:pPr>
        <w:pStyle w:val="Virsraksts3"/>
        <w:tabs>
          <w:tab w:val="left" w:pos="825"/>
        </w:tabs>
        <w:ind w:left="0"/>
        <w:jc w:val="both"/>
        <w:rPr>
          <w:rFonts w:cs="Times New Roman"/>
          <w:noProof/>
        </w:rPr>
      </w:pPr>
      <w:bookmarkStart w:id="32" w:name="_TOC_250001"/>
      <w:bookmarkStart w:id="33" w:name="_Toc64303292"/>
      <w:r>
        <w:t>III.2.2. Robežgadījumi starp norādēm, kurās minēta bērnu attīstība un veselība, un citām veselīguma norādēm</w:t>
      </w:r>
      <w:bookmarkEnd w:id="32"/>
      <w:bookmarkEnd w:id="33"/>
    </w:p>
    <w:p w14:paraId="10898E6E" w14:textId="77777777" w:rsidR="0022206F" w:rsidRPr="0022206F" w:rsidRDefault="0022206F" w:rsidP="0022206F">
      <w:pPr>
        <w:jc w:val="both"/>
        <w:rPr>
          <w:rFonts w:ascii="Times New Roman" w:eastAsia="Times New Roman" w:hAnsi="Times New Roman" w:cs="Times New Roman"/>
          <w:b/>
          <w:bCs/>
          <w:noProof/>
          <w:sz w:val="24"/>
          <w:szCs w:val="24"/>
        </w:rPr>
      </w:pPr>
    </w:p>
    <w:p w14:paraId="0829D387" w14:textId="77777777" w:rsidR="0022206F" w:rsidRPr="0022206F" w:rsidRDefault="0022206F" w:rsidP="0022206F">
      <w:pPr>
        <w:pStyle w:val="Pamatteksts"/>
        <w:ind w:left="0"/>
        <w:jc w:val="both"/>
        <w:rPr>
          <w:rFonts w:cs="Times New Roman"/>
          <w:noProof/>
        </w:rPr>
      </w:pPr>
      <w:r>
        <w:t xml:space="preserve">Regulas 14. pants attiecas uz norādēm, kurās minēta </w:t>
      </w:r>
      <w:r>
        <w:rPr>
          <w:i/>
          <w:iCs/>
        </w:rPr>
        <w:t>“bērnu attīstība un veselība”.</w:t>
      </w:r>
      <w:r>
        <w:t xml:space="preserve"> Apzīmējums “bērns”, kas Regulā nav definēts, jāsaprot saistībā ar augšanas perioda beigšanos. Var minēt orientējošu 18 gadu vecuma robežu, bet šis orientējošais skaitlis nav paredzēts jēdziena “bērns” definēšanai saskaņā ar Regulu.</w:t>
      </w:r>
    </w:p>
    <w:p w14:paraId="47A4930C" w14:textId="77777777" w:rsidR="0022206F" w:rsidRPr="0022206F" w:rsidRDefault="0022206F" w:rsidP="0022206F">
      <w:pPr>
        <w:jc w:val="both"/>
        <w:rPr>
          <w:rFonts w:cs="Times New Roman"/>
          <w:noProof/>
        </w:rPr>
      </w:pPr>
    </w:p>
    <w:p w14:paraId="0FAA0542" w14:textId="77777777" w:rsidR="0022206F" w:rsidRPr="0022206F" w:rsidRDefault="0022206F" w:rsidP="0022206F">
      <w:pPr>
        <w:pStyle w:val="Pamatteksts"/>
        <w:ind w:left="0"/>
        <w:jc w:val="both"/>
        <w:rPr>
          <w:rFonts w:cs="Times New Roman"/>
          <w:noProof/>
        </w:rPr>
      </w:pPr>
      <w:r>
        <w:t>Kopienas pārtikas aprites tiesību aktos, proti, Komisijas Direktīvas 2006/141/EK par mākslīgajiem maisījumiem zīdaiņiem un mākslīgajiem papildu ēdināšanas maisījumiem zīdaiņiem 2. pantā, ir definēti zīdaiņi un mazi bērni:</w:t>
      </w:r>
    </w:p>
    <w:p w14:paraId="08987CE9" w14:textId="77777777" w:rsidR="0022206F" w:rsidRPr="0022206F" w:rsidRDefault="0022206F" w:rsidP="0022206F">
      <w:pPr>
        <w:jc w:val="both"/>
        <w:rPr>
          <w:rFonts w:ascii="Times New Roman" w:eastAsia="Times New Roman" w:hAnsi="Times New Roman" w:cs="Times New Roman"/>
          <w:noProof/>
          <w:sz w:val="24"/>
          <w:szCs w:val="24"/>
        </w:rPr>
      </w:pPr>
    </w:p>
    <w:p w14:paraId="5CFCB881" w14:textId="77777777" w:rsidR="0022206F" w:rsidRPr="0022206F" w:rsidRDefault="0022206F" w:rsidP="0022206F">
      <w:pPr>
        <w:pStyle w:val="Pamatteksts"/>
        <w:ind w:left="426"/>
        <w:jc w:val="both"/>
        <w:rPr>
          <w:rFonts w:cs="Times New Roman"/>
          <w:noProof/>
        </w:rPr>
      </w:pPr>
      <w:r>
        <w:t>- “</w:t>
      </w:r>
      <w:r>
        <w:rPr>
          <w:i/>
          <w:iCs/>
        </w:rPr>
        <w:t>zīdaiņi</w:t>
      </w:r>
      <w:r>
        <w:t>” ir bērni līdz divpadsmit mēnešu vecumam;</w:t>
      </w:r>
    </w:p>
    <w:p w14:paraId="663F201A" w14:textId="77777777" w:rsidR="0022206F" w:rsidRPr="0022206F" w:rsidRDefault="0022206F" w:rsidP="0022206F">
      <w:pPr>
        <w:ind w:left="426"/>
        <w:rPr>
          <w:rFonts w:ascii="Times New Roman" w:eastAsia="Times New Roman" w:hAnsi="Times New Roman" w:cs="Times New Roman"/>
          <w:noProof/>
          <w:sz w:val="24"/>
          <w:szCs w:val="24"/>
        </w:rPr>
      </w:pPr>
      <w:r>
        <w:rPr>
          <w:rFonts w:ascii="Times New Roman" w:hAnsi="Times New Roman"/>
          <w:sz w:val="24"/>
        </w:rPr>
        <w:t>- “</w:t>
      </w:r>
      <w:r>
        <w:rPr>
          <w:rFonts w:ascii="Times New Roman" w:hAnsi="Times New Roman"/>
          <w:i/>
          <w:iCs/>
          <w:sz w:val="24"/>
        </w:rPr>
        <w:t>mazi bērni</w:t>
      </w:r>
      <w:r>
        <w:rPr>
          <w:rFonts w:ascii="Times New Roman" w:hAnsi="Times New Roman"/>
          <w:sz w:val="24"/>
        </w:rPr>
        <w:t>” ir bērni vecumā no viena līdz trim gadiem.</w:t>
      </w:r>
    </w:p>
    <w:p w14:paraId="1EBF6D39" w14:textId="77777777" w:rsidR="0022206F" w:rsidRPr="0022206F" w:rsidRDefault="0022206F" w:rsidP="0022206F">
      <w:pPr>
        <w:tabs>
          <w:tab w:val="left" w:pos="978"/>
        </w:tabs>
        <w:jc w:val="both"/>
        <w:rPr>
          <w:rFonts w:ascii="Times New Roman" w:eastAsia="Times New Roman" w:hAnsi="Times New Roman" w:cs="Times New Roman"/>
          <w:noProof/>
          <w:sz w:val="24"/>
          <w:szCs w:val="24"/>
        </w:rPr>
      </w:pPr>
    </w:p>
    <w:p w14:paraId="30CDED23" w14:textId="77777777" w:rsidR="0022206F" w:rsidRPr="0022206F" w:rsidRDefault="0022206F" w:rsidP="0022206F">
      <w:pPr>
        <w:pStyle w:val="Pamatteksts"/>
        <w:ind w:left="0"/>
        <w:jc w:val="both"/>
        <w:rPr>
          <w:rFonts w:cs="Times New Roman"/>
          <w:noProof/>
        </w:rPr>
      </w:pPr>
      <w:r>
        <w:t>Zīdaiņi un mazi bērni ir Regulas 14. pantā minētās bērnu apakšgrupas.</w:t>
      </w:r>
    </w:p>
    <w:p w14:paraId="670F31DA" w14:textId="77777777" w:rsidR="0022206F" w:rsidRPr="0022206F" w:rsidRDefault="0022206F" w:rsidP="0022206F">
      <w:pPr>
        <w:jc w:val="both"/>
        <w:rPr>
          <w:rFonts w:ascii="Times New Roman" w:eastAsia="Times New Roman" w:hAnsi="Times New Roman" w:cs="Times New Roman"/>
          <w:noProof/>
          <w:sz w:val="24"/>
          <w:szCs w:val="24"/>
        </w:rPr>
      </w:pPr>
    </w:p>
    <w:p w14:paraId="4CF865BD" w14:textId="77777777" w:rsidR="0022206F" w:rsidRPr="0022206F" w:rsidRDefault="0022206F" w:rsidP="0022206F">
      <w:pPr>
        <w:jc w:val="both"/>
        <w:rPr>
          <w:rFonts w:ascii="Times New Roman" w:eastAsia="Times New Roman" w:hAnsi="Times New Roman" w:cs="Times New Roman"/>
          <w:noProof/>
          <w:sz w:val="24"/>
          <w:szCs w:val="24"/>
        </w:rPr>
      </w:pPr>
    </w:p>
    <w:p w14:paraId="7063F2ED" w14:textId="77777777" w:rsidR="0022206F" w:rsidRPr="0022206F" w:rsidRDefault="0022206F" w:rsidP="0022206F">
      <w:pPr>
        <w:pStyle w:val="Virsraksts3"/>
        <w:ind w:left="0"/>
        <w:jc w:val="both"/>
        <w:rPr>
          <w:rFonts w:cs="Times New Roman"/>
          <w:noProof/>
        </w:rPr>
      </w:pPr>
      <w:bookmarkStart w:id="34" w:name="_Toc64303293"/>
      <w:r>
        <w:t>Turpmākās norādes jāuzskata par 14. panta norādēm</w:t>
      </w:r>
      <w:bookmarkEnd w:id="34"/>
    </w:p>
    <w:p w14:paraId="456B642F" w14:textId="77777777" w:rsidR="0022206F" w:rsidRPr="0022206F" w:rsidRDefault="0022206F" w:rsidP="0022206F">
      <w:pPr>
        <w:jc w:val="both"/>
        <w:rPr>
          <w:rFonts w:ascii="Times New Roman" w:eastAsia="Times New Roman" w:hAnsi="Times New Roman" w:cs="Times New Roman"/>
          <w:b/>
          <w:bCs/>
          <w:noProof/>
          <w:sz w:val="24"/>
          <w:szCs w:val="24"/>
        </w:rPr>
      </w:pPr>
    </w:p>
    <w:p w14:paraId="43EF431B" w14:textId="77777777" w:rsidR="0022206F" w:rsidRPr="0022206F" w:rsidRDefault="0022206F" w:rsidP="0022206F">
      <w:pPr>
        <w:pStyle w:val="Pamatteksts"/>
        <w:tabs>
          <w:tab w:val="left" w:pos="1198"/>
        </w:tabs>
        <w:ind w:left="426"/>
        <w:jc w:val="both"/>
        <w:rPr>
          <w:rFonts w:cs="Times New Roman"/>
          <w:noProof/>
        </w:rPr>
      </w:pPr>
      <w:r>
        <w:t xml:space="preserve">- Veselīguma norādes, kuras attiecas </w:t>
      </w:r>
      <w:r>
        <w:rPr>
          <w:u w:val="single" w:color="000000"/>
        </w:rPr>
        <w:t>tikai un vienīgi</w:t>
      </w:r>
      <w:r>
        <w:t xml:space="preserve"> uz bērnu veselību un attīstību un kurās </w:t>
      </w:r>
      <w:r>
        <w:lastRenderedPageBreak/>
        <w:t>zinātniskais pamatojums ir attiecināms tikai uz bērniem. Šajā gadījumā zinātniskais pamatojums ir dati, kuri iegūti pētījumos, kas veikti attiecībā uz bērniem.</w:t>
      </w:r>
    </w:p>
    <w:p w14:paraId="4CEE2917" w14:textId="77777777" w:rsidR="0022206F" w:rsidRPr="00D333FC" w:rsidRDefault="0022206F" w:rsidP="0022206F">
      <w:pPr>
        <w:ind w:left="426"/>
        <w:jc w:val="both"/>
        <w:rPr>
          <w:rFonts w:ascii="Times New Roman" w:hAnsi="Times New Roman" w:cs="Times New Roman"/>
          <w:noProof/>
          <w:sz w:val="24"/>
          <w:szCs w:val="24"/>
        </w:rPr>
      </w:pPr>
    </w:p>
    <w:p w14:paraId="67AB3FBA" w14:textId="77777777" w:rsidR="0022206F" w:rsidRPr="0022206F" w:rsidRDefault="0022206F" w:rsidP="0022206F">
      <w:pPr>
        <w:pStyle w:val="Pamatteksts"/>
        <w:ind w:left="709"/>
        <w:jc w:val="both"/>
        <w:rPr>
          <w:rFonts w:cs="Times New Roman"/>
          <w:noProof/>
        </w:rPr>
      </w:pPr>
      <w:r>
        <w:t>Piemērs: “kalcijs ir labs bērnu augšanai”.</w:t>
      </w:r>
    </w:p>
    <w:p w14:paraId="2FB8C3BF" w14:textId="77777777" w:rsidR="0022206F" w:rsidRPr="0022206F" w:rsidRDefault="0022206F" w:rsidP="0022206F">
      <w:pPr>
        <w:ind w:left="426"/>
        <w:jc w:val="both"/>
        <w:rPr>
          <w:rFonts w:ascii="Times New Roman" w:eastAsia="Times New Roman" w:hAnsi="Times New Roman" w:cs="Times New Roman"/>
          <w:noProof/>
          <w:sz w:val="24"/>
          <w:szCs w:val="24"/>
        </w:rPr>
      </w:pPr>
    </w:p>
    <w:p w14:paraId="5E3A55EB" w14:textId="77777777" w:rsidR="0022206F" w:rsidRPr="0022206F" w:rsidRDefault="0022206F" w:rsidP="0022206F">
      <w:pPr>
        <w:pStyle w:val="Pamatteksts"/>
        <w:tabs>
          <w:tab w:val="left" w:pos="1198"/>
        </w:tabs>
        <w:ind w:left="426"/>
        <w:jc w:val="both"/>
        <w:rPr>
          <w:rFonts w:cs="Times New Roman"/>
          <w:noProof/>
        </w:rPr>
      </w:pPr>
      <w:r>
        <w:t>- Veselīguma norādes uz produktiem, kuri paredzēti tikai bērniem, piemēram, uz papildu ēdināšanas maisījumiem zīdaiņiem, apstrādātas graudaugu pārtikas un bērnu pārtikas zīdaiņiem un maziem bērniem, ir definētas Direktīvā 2006/141/EK un Direktīvā 2006/125/EK un jāuzskata par 14. panta norādēm.</w:t>
      </w:r>
    </w:p>
    <w:p w14:paraId="7EFF08E9" w14:textId="77777777" w:rsidR="0022206F" w:rsidRPr="0022206F" w:rsidRDefault="0022206F" w:rsidP="0022206F">
      <w:pPr>
        <w:jc w:val="both"/>
        <w:rPr>
          <w:rFonts w:ascii="Times New Roman" w:eastAsia="Times New Roman" w:hAnsi="Times New Roman" w:cs="Times New Roman"/>
          <w:noProof/>
          <w:sz w:val="24"/>
          <w:szCs w:val="24"/>
        </w:rPr>
      </w:pPr>
    </w:p>
    <w:p w14:paraId="1905CC1B" w14:textId="77777777" w:rsidR="0022206F" w:rsidRPr="0022206F" w:rsidRDefault="0022206F" w:rsidP="0022206F">
      <w:pPr>
        <w:pStyle w:val="Virsraksts3"/>
        <w:ind w:left="0"/>
        <w:jc w:val="both"/>
        <w:rPr>
          <w:rFonts w:cs="Times New Roman"/>
          <w:noProof/>
        </w:rPr>
      </w:pPr>
      <w:bookmarkStart w:id="35" w:name="_Toc64303294"/>
      <w:r>
        <w:t>Turpmākās norādes jāuzskata par 13. panta norādēm</w:t>
      </w:r>
      <w:bookmarkEnd w:id="35"/>
    </w:p>
    <w:p w14:paraId="0E73EC39" w14:textId="77777777" w:rsidR="0022206F" w:rsidRPr="0022206F" w:rsidRDefault="0022206F" w:rsidP="0022206F">
      <w:pPr>
        <w:jc w:val="both"/>
        <w:rPr>
          <w:rFonts w:ascii="Times New Roman" w:eastAsia="Times New Roman" w:hAnsi="Times New Roman" w:cs="Times New Roman"/>
          <w:b/>
          <w:bCs/>
          <w:noProof/>
          <w:sz w:val="24"/>
          <w:szCs w:val="24"/>
        </w:rPr>
      </w:pPr>
    </w:p>
    <w:p w14:paraId="1039F3F8" w14:textId="77777777" w:rsidR="0022206F" w:rsidRPr="0022206F" w:rsidRDefault="0022206F" w:rsidP="0022206F">
      <w:pPr>
        <w:pStyle w:val="Pamatteksts"/>
        <w:tabs>
          <w:tab w:val="left" w:pos="1198"/>
        </w:tabs>
        <w:ind w:left="426"/>
        <w:jc w:val="both"/>
        <w:rPr>
          <w:rFonts w:cs="Times New Roman"/>
          <w:noProof/>
        </w:rPr>
      </w:pPr>
      <w:r>
        <w:t xml:space="preserve">- Norādes par uzturvielu vai citu vielu nozīmi augšanā, attīstībā un organisma funkcijās, ja zinātniskais pamatojums aptver visu dzīves ilgumu vai plašāku iedzīvotāju grupu nekā bērnus. Šajā gadījumā pieteikumos, </w:t>
      </w:r>
      <w:r>
        <w:rPr>
          <w:i/>
          <w:iCs/>
        </w:rPr>
        <w:t>EFSA</w:t>
      </w:r>
      <w:r>
        <w:t xml:space="preserve"> atzinumos un norādes izmantošanas nosacījumos precīzi jānorāda patērētāju grupa, attiecībā uz kuru norāde ir zinātniski pamatota un derīga.</w:t>
      </w:r>
    </w:p>
    <w:p w14:paraId="1A51197C" w14:textId="77777777" w:rsidR="0022206F" w:rsidRPr="0022206F" w:rsidRDefault="0022206F" w:rsidP="0022206F">
      <w:pPr>
        <w:ind w:left="426"/>
        <w:jc w:val="both"/>
        <w:rPr>
          <w:rFonts w:ascii="Times New Roman" w:eastAsia="Times New Roman" w:hAnsi="Times New Roman" w:cs="Times New Roman"/>
          <w:noProof/>
          <w:sz w:val="24"/>
          <w:szCs w:val="24"/>
        </w:rPr>
      </w:pPr>
    </w:p>
    <w:p w14:paraId="344B59DA" w14:textId="77777777" w:rsidR="0022206F" w:rsidRPr="0022206F" w:rsidRDefault="0022206F" w:rsidP="0022206F">
      <w:pPr>
        <w:pStyle w:val="Pamatteksts"/>
        <w:ind w:left="426"/>
        <w:jc w:val="both"/>
        <w:rPr>
          <w:rFonts w:cs="Times New Roman"/>
          <w:noProof/>
        </w:rPr>
      </w:pPr>
      <w:r>
        <w:t>Piemērs: attiecībā uz “bērniem un grūtniecēm” 13. panta norāde ir iespējama tikai tad, ja zinātniskais pamatojums attiecas uz iedzīvotāju grupu, kas ietver gan bērnus, gan grūtnieces.</w:t>
      </w:r>
    </w:p>
    <w:p w14:paraId="49C2D5B0" w14:textId="77777777" w:rsidR="0022206F" w:rsidRPr="0022206F" w:rsidRDefault="0022206F" w:rsidP="0022206F">
      <w:pPr>
        <w:jc w:val="both"/>
        <w:rPr>
          <w:rFonts w:ascii="Times New Roman" w:eastAsia="Times New Roman" w:hAnsi="Times New Roman" w:cs="Times New Roman"/>
          <w:noProof/>
          <w:sz w:val="24"/>
          <w:szCs w:val="24"/>
        </w:rPr>
      </w:pPr>
    </w:p>
    <w:p w14:paraId="528CA471" w14:textId="77777777" w:rsidR="0022206F" w:rsidRPr="0022206F" w:rsidRDefault="0022206F" w:rsidP="0022206F">
      <w:pPr>
        <w:pStyle w:val="Virsraksts3"/>
        <w:tabs>
          <w:tab w:val="left" w:pos="818"/>
        </w:tabs>
        <w:ind w:left="0"/>
        <w:jc w:val="both"/>
        <w:rPr>
          <w:rFonts w:cs="Times New Roman"/>
          <w:noProof/>
        </w:rPr>
      </w:pPr>
      <w:bookmarkStart w:id="36" w:name="_TOC_250000"/>
      <w:bookmarkStart w:id="37" w:name="_Toc64303295"/>
      <w:r>
        <w:t>III.2.3. Ietekme, ko rada klasifikācija atbilstoši 13. un 14. pantam</w:t>
      </w:r>
      <w:bookmarkEnd w:id="36"/>
      <w:bookmarkEnd w:id="37"/>
    </w:p>
    <w:p w14:paraId="788D6547" w14:textId="77777777" w:rsidR="0022206F" w:rsidRPr="0022206F" w:rsidRDefault="0022206F" w:rsidP="0022206F">
      <w:pPr>
        <w:jc w:val="both"/>
        <w:rPr>
          <w:rFonts w:ascii="Times New Roman" w:eastAsia="Times New Roman" w:hAnsi="Times New Roman" w:cs="Times New Roman"/>
          <w:b/>
          <w:bCs/>
          <w:noProof/>
          <w:sz w:val="24"/>
          <w:szCs w:val="24"/>
        </w:rPr>
      </w:pPr>
    </w:p>
    <w:p w14:paraId="63735A03" w14:textId="77777777" w:rsidR="0022206F" w:rsidRPr="0022206F" w:rsidRDefault="0022206F" w:rsidP="0022206F">
      <w:pPr>
        <w:pStyle w:val="Pamatteksts"/>
        <w:ind w:left="0"/>
        <w:jc w:val="both"/>
        <w:rPr>
          <w:rFonts w:cs="Times New Roman"/>
          <w:noProof/>
        </w:rPr>
      </w:pPr>
      <w:r>
        <w:t>Iepriekšminēto klasifikāciju galvenokārt veic atbilstoši zinātniskajiem pierādījumiem, kas iesniegti tās pamatošanai. Pieteikuma iesniedzējam jāsniedz priekšlikums par to, kā norādes klasificēt, pamatojoties uz pieteikumā ietvertajiem datiem. Klasifikācijas jautājumu risināšanā var palīdzēt sazināšanās ar dalībvalstu iestādēm.</w:t>
      </w:r>
    </w:p>
    <w:p w14:paraId="5B5123CB" w14:textId="77777777" w:rsidR="0022206F" w:rsidRPr="0022206F" w:rsidRDefault="0022206F" w:rsidP="0022206F">
      <w:pPr>
        <w:jc w:val="both"/>
        <w:rPr>
          <w:rFonts w:ascii="Times New Roman" w:eastAsia="Times New Roman" w:hAnsi="Times New Roman" w:cs="Times New Roman"/>
          <w:noProof/>
          <w:sz w:val="24"/>
          <w:szCs w:val="24"/>
        </w:rPr>
      </w:pPr>
    </w:p>
    <w:p w14:paraId="52D70281" w14:textId="77777777" w:rsidR="0022206F" w:rsidRPr="0022206F" w:rsidRDefault="0022206F" w:rsidP="0022206F">
      <w:pPr>
        <w:pStyle w:val="Pamatteksts"/>
        <w:ind w:left="0"/>
        <w:jc w:val="both"/>
        <w:rPr>
          <w:rFonts w:cs="Times New Roman"/>
          <w:noProof/>
        </w:rPr>
      </w:pPr>
      <w:r>
        <w:t>Klasifikācija nekādi neietekmē atļaujai vajadzīgo pamatojuma līmeni. Zinātniskās dokumentācijas saturs un noformējums ir viens un tas pats abu veidu norāžu gadījumā.</w:t>
      </w:r>
    </w:p>
    <w:p w14:paraId="1D87EDF3" w14:textId="77777777" w:rsidR="0022206F" w:rsidRPr="0022206F" w:rsidRDefault="0022206F" w:rsidP="0022206F">
      <w:pPr>
        <w:jc w:val="both"/>
        <w:rPr>
          <w:rFonts w:ascii="Times New Roman" w:eastAsia="Times New Roman" w:hAnsi="Times New Roman" w:cs="Times New Roman"/>
          <w:noProof/>
          <w:sz w:val="24"/>
          <w:szCs w:val="24"/>
        </w:rPr>
      </w:pPr>
    </w:p>
    <w:p w14:paraId="02C04A04" w14:textId="77777777" w:rsidR="0022206F" w:rsidRPr="0022206F" w:rsidRDefault="0022206F" w:rsidP="0022206F">
      <w:pPr>
        <w:pStyle w:val="Pamatteksts"/>
        <w:ind w:left="0"/>
        <w:jc w:val="both"/>
        <w:rPr>
          <w:rFonts w:cs="Times New Roman"/>
          <w:noProof/>
        </w:rPr>
      </w:pPr>
      <w:r>
        <w:t xml:space="preserve">Izņēmuma gadījumos klasifikācija var būt atkarīga no </w:t>
      </w:r>
      <w:r>
        <w:rPr>
          <w:i/>
          <w:iCs/>
        </w:rPr>
        <w:t>EFSA</w:t>
      </w:r>
      <w:r>
        <w:t xml:space="preserve"> zinātniskā novērtējuma. Piemēram, norādot zinātnisko pamatojumu, kas gūts klīniskajos pētījumos, kuri veikti tikai ar bērniem, vienmēr iegūst 14. panta norādi, turpretim, ja tiek norādīts zinātniskais pamatojums, kas gūts klīniskajos pētījumos ar bērniem un klīniskajos pētījumos ar citām iedzīvotāju grupām, norāde automātiski nekļūst par 13. panta norādi. Ja </w:t>
      </w:r>
      <w:r>
        <w:rPr>
          <w:i/>
          <w:iCs/>
        </w:rPr>
        <w:t>EFSA</w:t>
      </w:r>
      <w:r>
        <w:t xml:space="preserve"> secina, ka norāde ir zinātniski pamatota tikai attiecībā uz bērniem, norāde uzskatāma par 14. panta norādi.</w:t>
      </w:r>
    </w:p>
    <w:sectPr w:rsidR="0022206F" w:rsidRPr="0022206F" w:rsidSect="00F02F5A">
      <w:headerReference w:type="default" r:id="rId8"/>
      <w:footerReference w:type="default" r:id="rId9"/>
      <w:headerReference w:type="first" r:id="rId10"/>
      <w:footerReference w:type="first" r:id="rId11"/>
      <w:pgSz w:w="12240" w:h="15840" w:code="1"/>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24A11" w14:textId="77777777" w:rsidR="0032383C" w:rsidRPr="0022206F" w:rsidRDefault="00242411">
      <w:pPr>
        <w:rPr>
          <w:noProof/>
        </w:rPr>
      </w:pPr>
      <w:r w:rsidRPr="0022206F">
        <w:rPr>
          <w:noProof/>
        </w:rPr>
        <w:separator/>
      </w:r>
    </w:p>
  </w:endnote>
  <w:endnote w:type="continuationSeparator" w:id="0">
    <w:p w14:paraId="7AB6A4C4" w14:textId="77777777" w:rsidR="0032383C" w:rsidRPr="0022206F" w:rsidRDefault="00242411">
      <w:pPr>
        <w:rPr>
          <w:noProof/>
        </w:rPr>
      </w:pPr>
      <w:r w:rsidRPr="0022206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9B38B" w14:textId="77777777" w:rsidR="00631D48" w:rsidRPr="00022AEA" w:rsidRDefault="00631D48" w:rsidP="00631D48">
    <w:pPr>
      <w:pStyle w:val="Galvene"/>
      <w:tabs>
        <w:tab w:val="left" w:pos="9072"/>
      </w:tabs>
      <w:rPr>
        <w:rStyle w:val="Lappusesnumurs"/>
        <w:rFonts w:ascii="Times New Roman" w:hAnsi="Times New Roman" w:cs="Times New Roman"/>
        <w:sz w:val="20"/>
        <w:szCs w:val="20"/>
      </w:rPr>
    </w:pPr>
  </w:p>
  <w:p w14:paraId="4C89BE8D" w14:textId="77777777" w:rsidR="00631D48" w:rsidRPr="00022AEA" w:rsidRDefault="00631D48" w:rsidP="00631D48">
    <w:pPr>
      <w:pStyle w:val="Galvene"/>
      <w:tabs>
        <w:tab w:val="clear" w:pos="4513"/>
        <w:tab w:val="clear" w:pos="9026"/>
        <w:tab w:val="right" w:leader="underscore" w:pos="9356"/>
      </w:tabs>
      <w:rPr>
        <w:rStyle w:val="Lappusesnumurs"/>
        <w:rFonts w:ascii="Times New Roman" w:hAnsi="Times New Roman" w:cs="Times New Roman"/>
        <w:sz w:val="20"/>
        <w:szCs w:val="20"/>
      </w:rPr>
    </w:pPr>
    <w:r w:rsidRPr="00022AEA">
      <w:rPr>
        <w:rStyle w:val="Lappusesnumurs"/>
        <w:rFonts w:ascii="Times New Roman" w:hAnsi="Times New Roman" w:cs="Times New Roman"/>
        <w:sz w:val="20"/>
        <w:szCs w:val="20"/>
      </w:rPr>
      <w:tab/>
    </w:r>
  </w:p>
  <w:p w14:paraId="5B600601" w14:textId="77777777" w:rsidR="00631D48" w:rsidRPr="00022AEA" w:rsidRDefault="00631D48" w:rsidP="00631D48">
    <w:pPr>
      <w:pStyle w:val="Galvene"/>
      <w:tabs>
        <w:tab w:val="right" w:pos="9072"/>
      </w:tabs>
      <w:rPr>
        <w:rStyle w:val="Lappusesnumurs"/>
        <w:rFonts w:ascii="Times New Roman" w:hAnsi="Times New Roman" w:cs="Times New Roman"/>
        <w:sz w:val="20"/>
        <w:szCs w:val="20"/>
      </w:rPr>
    </w:pPr>
  </w:p>
  <w:p w14:paraId="0DD34BF4" w14:textId="6947B062" w:rsidR="00631D48" w:rsidRPr="00022AEA" w:rsidRDefault="00631D48" w:rsidP="00631D48">
    <w:pPr>
      <w:pStyle w:val="Kjene"/>
      <w:tabs>
        <w:tab w:val="clear" w:pos="4513"/>
        <w:tab w:val="clear" w:pos="9026"/>
        <w:tab w:val="center" w:pos="9356"/>
      </w:tabs>
      <w:rPr>
        <w:rFonts w:ascii="Times New Roman" w:hAnsi="Times New Roman" w:cs="Times New Roman"/>
        <w:sz w:val="20"/>
        <w:szCs w:val="20"/>
      </w:rPr>
    </w:pPr>
    <w:r w:rsidRPr="00022AEA">
      <w:rPr>
        <w:rFonts w:ascii="Times New Roman" w:hAnsi="Times New Roman" w:cs="Times New Roman"/>
        <w:noProof/>
        <w:sz w:val="20"/>
        <w:szCs w:val="20"/>
      </w:rPr>
      <w:t xml:space="preserve">Tulkojums </w:t>
    </w:r>
    <w:r w:rsidRPr="00022AEA">
      <w:rPr>
        <w:rFonts w:ascii="Times New Roman" w:hAnsi="Times New Roman" w:cs="Times New Roman"/>
        <w:noProof/>
        <w:sz w:val="20"/>
        <w:szCs w:val="20"/>
      </w:rPr>
      <w:fldChar w:fldCharType="begin"/>
    </w:r>
    <w:r w:rsidRPr="00022AEA">
      <w:rPr>
        <w:rFonts w:ascii="Times New Roman" w:hAnsi="Times New Roman" w:cs="Times New Roman"/>
        <w:noProof/>
        <w:sz w:val="20"/>
        <w:szCs w:val="20"/>
      </w:rPr>
      <w:instrText>symbol 211 \f "Symbol" \s 9</w:instrText>
    </w:r>
    <w:r w:rsidRPr="00022AEA">
      <w:rPr>
        <w:rFonts w:ascii="Times New Roman" w:hAnsi="Times New Roman" w:cs="Times New Roman"/>
        <w:noProof/>
        <w:sz w:val="20"/>
        <w:szCs w:val="20"/>
      </w:rPr>
      <w:fldChar w:fldCharType="separate"/>
    </w:r>
    <w:r w:rsidRPr="00022AEA">
      <w:rPr>
        <w:rFonts w:ascii="Times New Roman" w:hAnsi="Times New Roman" w:cs="Times New Roman"/>
        <w:noProof/>
        <w:sz w:val="20"/>
        <w:szCs w:val="20"/>
      </w:rPr>
      <w:t>Ó</w:t>
    </w:r>
    <w:r w:rsidRPr="00022AEA">
      <w:rPr>
        <w:rFonts w:ascii="Times New Roman" w:hAnsi="Times New Roman" w:cs="Times New Roman"/>
        <w:noProof/>
        <w:sz w:val="20"/>
        <w:szCs w:val="20"/>
      </w:rPr>
      <w:fldChar w:fldCharType="end"/>
    </w:r>
    <w:r w:rsidRPr="00022AEA">
      <w:rPr>
        <w:rFonts w:ascii="Times New Roman" w:hAnsi="Times New Roman" w:cs="Times New Roman"/>
        <w:noProof/>
        <w:sz w:val="20"/>
        <w:szCs w:val="20"/>
      </w:rPr>
      <w:t xml:space="preserve"> Valsts valodas centrs, 202</w:t>
    </w:r>
    <w:r>
      <w:rPr>
        <w:rFonts w:ascii="Times New Roman" w:hAnsi="Times New Roman" w:cs="Times New Roman"/>
        <w:noProof/>
        <w:sz w:val="20"/>
        <w:szCs w:val="20"/>
      </w:rPr>
      <w:t>1</w:t>
    </w:r>
    <w:r w:rsidRPr="00022AEA">
      <w:rPr>
        <w:rFonts w:ascii="Times New Roman" w:hAnsi="Times New Roman" w:cs="Times New Roman"/>
        <w:sz w:val="20"/>
        <w:szCs w:val="20"/>
      </w:rPr>
      <w:tab/>
    </w:r>
    <w:r w:rsidRPr="00022AEA">
      <w:rPr>
        <w:rStyle w:val="Lappusesnumurs"/>
        <w:rFonts w:ascii="Times New Roman" w:hAnsi="Times New Roman" w:cs="Times New Roman"/>
        <w:sz w:val="20"/>
        <w:szCs w:val="20"/>
      </w:rPr>
      <w:fldChar w:fldCharType="begin"/>
    </w:r>
    <w:r w:rsidRPr="00022AEA">
      <w:rPr>
        <w:rStyle w:val="Lappusesnumurs"/>
        <w:rFonts w:ascii="Times New Roman" w:hAnsi="Times New Roman" w:cs="Times New Roman"/>
        <w:sz w:val="20"/>
        <w:szCs w:val="20"/>
      </w:rPr>
      <w:instrText xml:space="preserve">page </w:instrText>
    </w:r>
    <w:r w:rsidRPr="00022AEA">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022AEA">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DA4AD" w14:textId="77777777" w:rsidR="00631D48" w:rsidRPr="00022AEA" w:rsidRDefault="00631D48" w:rsidP="00631D48">
    <w:pPr>
      <w:pStyle w:val="Galvene"/>
      <w:tabs>
        <w:tab w:val="left" w:pos="9072"/>
      </w:tabs>
      <w:rPr>
        <w:rStyle w:val="Lappusesnumurs"/>
        <w:rFonts w:ascii="Times New Roman" w:hAnsi="Times New Roman" w:cs="Times New Roman"/>
        <w:szCs w:val="18"/>
      </w:rPr>
    </w:pPr>
    <w:bookmarkStart w:id="52" w:name="_Hlk496261764"/>
    <w:bookmarkStart w:id="53" w:name="_Hlk496261765"/>
    <w:bookmarkStart w:id="54" w:name="_Hlk496261766"/>
    <w:bookmarkStart w:id="55" w:name="_Hlk30491075"/>
    <w:bookmarkStart w:id="56" w:name="_Hlk30491076"/>
  </w:p>
  <w:p w14:paraId="7A336865" w14:textId="77777777" w:rsidR="00631D48" w:rsidRPr="00022AEA" w:rsidRDefault="00631D48" w:rsidP="00631D48">
    <w:pPr>
      <w:pStyle w:val="Galvene"/>
      <w:tabs>
        <w:tab w:val="clear" w:pos="4513"/>
        <w:tab w:val="clear" w:pos="9026"/>
        <w:tab w:val="left" w:leader="underscore" w:pos="9072"/>
      </w:tabs>
      <w:rPr>
        <w:rStyle w:val="Lappusesnumurs"/>
        <w:rFonts w:ascii="Times New Roman" w:hAnsi="Times New Roman" w:cs="Times New Roman"/>
        <w:szCs w:val="18"/>
      </w:rPr>
    </w:pPr>
    <w:r w:rsidRPr="00022AEA">
      <w:rPr>
        <w:rStyle w:val="Lappusesnumurs"/>
        <w:rFonts w:ascii="Times New Roman" w:hAnsi="Times New Roman" w:cs="Times New Roman"/>
        <w:szCs w:val="18"/>
      </w:rPr>
      <w:tab/>
    </w:r>
  </w:p>
  <w:p w14:paraId="2138EBF2" w14:textId="77777777" w:rsidR="00631D48" w:rsidRPr="00022AEA" w:rsidRDefault="00631D48" w:rsidP="00631D48">
    <w:pPr>
      <w:pStyle w:val="Galvene"/>
      <w:tabs>
        <w:tab w:val="left" w:pos="9072"/>
      </w:tabs>
      <w:rPr>
        <w:rStyle w:val="Lappusesnumurs"/>
        <w:rFonts w:ascii="Times New Roman" w:hAnsi="Times New Roman" w:cs="Times New Roman"/>
        <w:szCs w:val="18"/>
      </w:rPr>
    </w:pPr>
  </w:p>
  <w:p w14:paraId="1FC06321" w14:textId="66FE86CD" w:rsidR="00631D48" w:rsidRPr="00022AEA" w:rsidRDefault="00631D48" w:rsidP="00631D48">
    <w:pPr>
      <w:pStyle w:val="Kjene"/>
      <w:rPr>
        <w:rFonts w:ascii="Times New Roman" w:hAnsi="Times New Roman" w:cs="Times New Roman"/>
        <w:sz w:val="20"/>
        <w:szCs w:val="18"/>
      </w:rPr>
    </w:pPr>
    <w:r w:rsidRPr="00022AEA">
      <w:rPr>
        <w:rFonts w:ascii="Times New Roman" w:hAnsi="Times New Roman" w:cs="Times New Roman"/>
        <w:noProof/>
        <w:sz w:val="20"/>
        <w:szCs w:val="18"/>
      </w:rPr>
      <w:t xml:space="preserve">Tulkojums </w:t>
    </w:r>
    <w:r w:rsidRPr="00022AEA">
      <w:rPr>
        <w:rFonts w:ascii="Times New Roman" w:hAnsi="Times New Roman" w:cs="Times New Roman"/>
        <w:noProof/>
        <w:sz w:val="20"/>
        <w:szCs w:val="18"/>
      </w:rPr>
      <w:fldChar w:fldCharType="begin"/>
    </w:r>
    <w:r w:rsidRPr="00022AEA">
      <w:rPr>
        <w:rFonts w:ascii="Times New Roman" w:hAnsi="Times New Roman" w:cs="Times New Roman"/>
        <w:noProof/>
        <w:sz w:val="20"/>
        <w:szCs w:val="18"/>
      </w:rPr>
      <w:instrText>symbol 211 \f "Symbol" \s 9</w:instrText>
    </w:r>
    <w:r w:rsidRPr="00022AEA">
      <w:rPr>
        <w:rFonts w:ascii="Times New Roman" w:hAnsi="Times New Roman" w:cs="Times New Roman"/>
        <w:noProof/>
        <w:sz w:val="20"/>
        <w:szCs w:val="18"/>
      </w:rPr>
      <w:fldChar w:fldCharType="separate"/>
    </w:r>
    <w:r w:rsidRPr="00022AEA">
      <w:rPr>
        <w:rFonts w:ascii="Times New Roman" w:hAnsi="Times New Roman" w:cs="Times New Roman"/>
        <w:noProof/>
        <w:sz w:val="20"/>
        <w:szCs w:val="18"/>
      </w:rPr>
      <w:t>Ó</w:t>
    </w:r>
    <w:r w:rsidRPr="00022AEA">
      <w:rPr>
        <w:rFonts w:ascii="Times New Roman" w:hAnsi="Times New Roman" w:cs="Times New Roman"/>
        <w:noProof/>
        <w:sz w:val="20"/>
        <w:szCs w:val="18"/>
      </w:rPr>
      <w:fldChar w:fldCharType="end"/>
    </w:r>
    <w:r w:rsidRPr="00022AEA">
      <w:rPr>
        <w:rFonts w:ascii="Times New Roman" w:hAnsi="Times New Roman" w:cs="Times New Roman"/>
        <w:noProof/>
        <w:sz w:val="20"/>
        <w:szCs w:val="18"/>
      </w:rPr>
      <w:t xml:space="preserve"> Valsts valodas centrs, 20</w:t>
    </w:r>
    <w:bookmarkEnd w:id="52"/>
    <w:bookmarkEnd w:id="53"/>
    <w:bookmarkEnd w:id="54"/>
    <w:r w:rsidRPr="00022AEA">
      <w:rPr>
        <w:rFonts w:ascii="Times New Roman" w:hAnsi="Times New Roman" w:cs="Times New Roman"/>
        <w:noProof/>
        <w:sz w:val="20"/>
        <w:szCs w:val="18"/>
      </w:rPr>
      <w:t>2</w:t>
    </w:r>
    <w:bookmarkEnd w:id="55"/>
    <w:bookmarkEnd w:id="56"/>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5C5EE" w14:textId="77777777" w:rsidR="0032383C" w:rsidRPr="0022206F" w:rsidRDefault="00242411">
      <w:pPr>
        <w:rPr>
          <w:noProof/>
        </w:rPr>
      </w:pPr>
      <w:r w:rsidRPr="0022206F">
        <w:rPr>
          <w:noProof/>
        </w:rPr>
        <w:separator/>
      </w:r>
    </w:p>
  </w:footnote>
  <w:footnote w:type="continuationSeparator" w:id="0">
    <w:p w14:paraId="63B29503" w14:textId="77777777" w:rsidR="0032383C" w:rsidRPr="0022206F" w:rsidRDefault="00242411">
      <w:pPr>
        <w:rPr>
          <w:noProof/>
        </w:rPr>
      </w:pPr>
      <w:r w:rsidRPr="0022206F">
        <w:rPr>
          <w:noProof/>
        </w:rPr>
        <w:continuationSeparator/>
      </w:r>
    </w:p>
  </w:footnote>
  <w:footnote w:id="1">
    <w:p w14:paraId="25E41A8D" w14:textId="77777777" w:rsidR="0022206F" w:rsidRPr="0022206F" w:rsidRDefault="0022206F" w:rsidP="0022206F">
      <w:pPr>
        <w:spacing w:before="62"/>
        <w:rPr>
          <w:rFonts w:ascii="Times New Roman" w:hAnsi="Times New Roman" w:cs="Times New Roman"/>
          <w:noProof/>
          <w:sz w:val="20"/>
          <w:szCs w:val="20"/>
        </w:rPr>
      </w:pPr>
      <w:r>
        <w:rPr>
          <w:rStyle w:val="Vresatsauce"/>
          <w:rFonts w:ascii="Times New Roman" w:hAnsi="Times New Roman"/>
          <w:sz w:val="20"/>
        </w:rPr>
        <w:t>*</w:t>
      </w:r>
      <w:r>
        <w:rPr>
          <w:rFonts w:ascii="Times New Roman" w:hAnsi="Times New Roman"/>
          <w:sz w:val="20"/>
        </w:rPr>
        <w:t xml:space="preserve"> OV L 12, 18.01.2007., 3. lpp.</w:t>
      </w:r>
    </w:p>
  </w:footnote>
  <w:footnote w:id="2">
    <w:p w14:paraId="3ADB5550" w14:textId="77777777" w:rsidR="0022206F" w:rsidRPr="00D333FC" w:rsidRDefault="0022206F" w:rsidP="0022206F">
      <w:pPr>
        <w:jc w:val="both"/>
        <w:rPr>
          <w:rFonts w:ascii="Times New Roman" w:hAnsi="Times New Roman" w:cs="Times New Roman"/>
          <w:noProof/>
          <w:sz w:val="20"/>
          <w:szCs w:val="20"/>
          <w:u w:val="single" w:color="0000FF"/>
        </w:rPr>
      </w:pPr>
      <w:r>
        <w:rPr>
          <w:rStyle w:val="Vresatsauce"/>
        </w:rPr>
        <w:t>*</w:t>
      </w:r>
      <w:r>
        <w:t xml:space="preserve"> </w:t>
      </w:r>
      <w:r>
        <w:rPr>
          <w:rFonts w:ascii="Times New Roman" w:hAnsi="Times New Roman"/>
          <w:sz w:val="20"/>
        </w:rPr>
        <w:t xml:space="preserve">Iesniegumos jāievēro </w:t>
      </w:r>
      <w:r>
        <w:rPr>
          <w:rFonts w:ascii="Times New Roman" w:hAnsi="Times New Roman"/>
          <w:i/>
          <w:iCs/>
          <w:sz w:val="20"/>
        </w:rPr>
        <w:t>EFSA</w:t>
      </w:r>
      <w:r>
        <w:rPr>
          <w:rFonts w:ascii="Times New Roman" w:hAnsi="Times New Roman"/>
          <w:sz w:val="20"/>
        </w:rPr>
        <w:t xml:space="preserve"> norādījumi, kas atrodami dokumentā “Opinion of the Panel on dietetic products, nutrition and allergies (NDA) on a request from the Commission related to scientific and technical guidance for the preparation and presentation of the application for authorisation of a health claim” [Pēc Komisijas pieprasījuma Diētisko produktu, uztura un alerģiju ekspertu grupas (</w:t>
      </w:r>
      <w:r>
        <w:rPr>
          <w:rFonts w:ascii="Times New Roman" w:hAnsi="Times New Roman"/>
          <w:i/>
          <w:iCs/>
          <w:sz w:val="20"/>
        </w:rPr>
        <w:t>NDA</w:t>
      </w:r>
      <w:r>
        <w:rPr>
          <w:rFonts w:ascii="Times New Roman" w:hAnsi="Times New Roman"/>
          <w:sz w:val="20"/>
        </w:rPr>
        <w:t xml:space="preserve">) sagatavots ziņojums par zinātniskajiem un tehniskajiem norādījumiem veselīguma norādes atļaujas pieteikuma sagatavošanai un noformēšanai] </w:t>
      </w:r>
      <w:hyperlink r:id="rId1" w:history="1">
        <w:r>
          <w:rPr>
            <w:rStyle w:val="Hipersaite"/>
            <w:rFonts w:ascii="Times New Roman" w:hAnsi="Times New Roman"/>
            <w:color w:val="000000" w:themeColor="text1"/>
            <w:sz w:val="20"/>
          </w:rPr>
          <w:t>http://www.efsa.europa.eu/EFSA/Scientific_Opinion/nda_op_ej530_guidance_%20health_claim_en.pdf.pdf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85245" w14:textId="77777777" w:rsidR="00631D48" w:rsidRPr="00022AEA" w:rsidRDefault="00631D48" w:rsidP="00631D48">
    <w:pPr>
      <w:pStyle w:val="Galvene"/>
      <w:rPr>
        <w:rStyle w:val="Lappusesnumurs"/>
        <w:rFonts w:ascii="Times New Roman" w:hAnsi="Times New Roman" w:cs="Times New Roman"/>
        <w:sz w:val="20"/>
        <w:szCs w:val="20"/>
      </w:rPr>
    </w:pPr>
    <w:bookmarkStart w:id="38" w:name="_Hlk496261784"/>
    <w:bookmarkStart w:id="39" w:name="_Hlk496261785"/>
    <w:bookmarkStart w:id="40" w:name="_Hlk496261786"/>
    <w:bookmarkStart w:id="41" w:name="_Hlk502757728"/>
    <w:bookmarkStart w:id="42" w:name="_Hlk502757729"/>
    <w:bookmarkStart w:id="43" w:name="_Hlk502757738"/>
    <w:bookmarkStart w:id="44" w:name="_Hlk502757739"/>
    <w:bookmarkStart w:id="45" w:name="_Hlk30491084"/>
    <w:bookmarkStart w:id="46" w:name="_Hlk30491085"/>
  </w:p>
  <w:p w14:paraId="5DC8F489" w14:textId="77777777" w:rsidR="00631D48" w:rsidRPr="00022AEA" w:rsidRDefault="00631D48" w:rsidP="00631D48">
    <w:pPr>
      <w:pStyle w:val="Galvene"/>
      <w:tabs>
        <w:tab w:val="clear" w:pos="4513"/>
        <w:tab w:val="clear" w:pos="9026"/>
        <w:tab w:val="right" w:leader="underscore" w:pos="9072"/>
      </w:tabs>
      <w:rPr>
        <w:rStyle w:val="Lappusesnumurs"/>
        <w:rFonts w:ascii="Times New Roman" w:hAnsi="Times New Roman" w:cs="Times New Roman"/>
        <w:sz w:val="20"/>
        <w:szCs w:val="20"/>
      </w:rPr>
    </w:pPr>
    <w:r w:rsidRPr="00022AEA">
      <w:rPr>
        <w:rStyle w:val="Lappusesnumurs"/>
        <w:rFonts w:ascii="Times New Roman" w:hAnsi="Times New Roman" w:cs="Times New Roman"/>
        <w:sz w:val="20"/>
        <w:szCs w:val="20"/>
      </w:rPr>
      <w:tab/>
    </w:r>
  </w:p>
  <w:bookmarkEnd w:id="38"/>
  <w:bookmarkEnd w:id="39"/>
  <w:bookmarkEnd w:id="40"/>
  <w:bookmarkEnd w:id="41"/>
  <w:bookmarkEnd w:id="42"/>
  <w:bookmarkEnd w:id="43"/>
  <w:bookmarkEnd w:id="44"/>
  <w:bookmarkEnd w:id="45"/>
  <w:bookmarkEnd w:id="46"/>
  <w:p w14:paraId="015A12F3" w14:textId="77777777" w:rsidR="00631D48" w:rsidRPr="00022AEA" w:rsidRDefault="00631D48" w:rsidP="00631D48">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6D36F" w14:textId="77777777" w:rsidR="00631D48" w:rsidRPr="00022AEA" w:rsidRDefault="00631D48" w:rsidP="00631D48">
    <w:pPr>
      <w:pBdr>
        <w:bottom w:val="single" w:sz="12" w:space="5" w:color="auto"/>
      </w:pBdr>
      <w:rPr>
        <w:rFonts w:ascii="Times New Roman" w:hAnsi="Times New Roman" w:cs="Times New Roman"/>
        <w:spacing w:val="-2"/>
        <w:sz w:val="20"/>
        <w:szCs w:val="20"/>
      </w:rPr>
    </w:pPr>
    <w:bookmarkStart w:id="47" w:name="_Hlk496261745"/>
    <w:bookmarkStart w:id="48" w:name="_Hlk496261746"/>
    <w:bookmarkStart w:id="49" w:name="_Hlk496261747"/>
    <w:bookmarkStart w:id="50" w:name="_Hlk30491063"/>
    <w:bookmarkStart w:id="51" w:name="_Hlk30491064"/>
  </w:p>
  <w:bookmarkEnd w:id="47"/>
  <w:bookmarkEnd w:id="48"/>
  <w:bookmarkEnd w:id="49"/>
  <w:bookmarkEnd w:id="50"/>
  <w:bookmarkEnd w:id="51"/>
  <w:p w14:paraId="4B79EFC3" w14:textId="77777777" w:rsidR="00631D48" w:rsidRPr="00022AEA" w:rsidRDefault="00631D48" w:rsidP="00631D48">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CC3"/>
    <w:multiLevelType w:val="hybridMultilevel"/>
    <w:tmpl w:val="0C7A1916"/>
    <w:lvl w:ilvl="0" w:tplc="BBA098A2">
      <w:start w:val="1"/>
      <w:numFmt w:val="upperRoman"/>
      <w:lvlText w:val="%1."/>
      <w:lvlJc w:val="left"/>
      <w:pPr>
        <w:ind w:left="330" w:hanging="214"/>
      </w:pPr>
      <w:rPr>
        <w:rFonts w:ascii="Times New Roman" w:eastAsia="Times New Roman" w:hAnsi="Times New Roman" w:hint="default"/>
        <w:b/>
        <w:bCs/>
        <w:spacing w:val="-1"/>
        <w:sz w:val="24"/>
        <w:szCs w:val="24"/>
      </w:rPr>
    </w:lvl>
    <w:lvl w:ilvl="1" w:tplc="EEB0602E">
      <w:start w:val="1"/>
      <w:numFmt w:val="decimal"/>
      <w:lvlText w:val="%1.%2."/>
      <w:lvlJc w:val="left"/>
      <w:pPr>
        <w:ind w:left="357" w:hanging="394"/>
      </w:pPr>
      <w:rPr>
        <w:rFonts w:ascii="Times New Roman" w:eastAsia="Times New Roman" w:hAnsi="Times New Roman" w:hint="default"/>
        <w:b/>
        <w:bCs/>
        <w:sz w:val="24"/>
        <w:szCs w:val="24"/>
      </w:rPr>
    </w:lvl>
    <w:lvl w:ilvl="2" w:tplc="46BCF1D0">
      <w:start w:val="1"/>
      <w:numFmt w:val="decimal"/>
      <w:lvlText w:val="%1.%2.%3."/>
      <w:lvlJc w:val="left"/>
      <w:pPr>
        <w:ind w:left="1263" w:hanging="667"/>
      </w:pPr>
      <w:rPr>
        <w:rFonts w:ascii="Times New Roman" w:eastAsia="Times New Roman" w:hAnsi="Times New Roman" w:hint="default"/>
        <w:b/>
        <w:bCs/>
        <w:spacing w:val="-1"/>
        <w:sz w:val="24"/>
        <w:szCs w:val="24"/>
      </w:rPr>
    </w:lvl>
    <w:lvl w:ilvl="3" w:tplc="6C5EEE20">
      <w:start w:val="1"/>
      <w:numFmt w:val="bullet"/>
      <w:lvlText w:val="•"/>
      <w:lvlJc w:val="left"/>
      <w:pPr>
        <w:ind w:left="937" w:hanging="667"/>
      </w:pPr>
      <w:rPr>
        <w:rFonts w:hint="default"/>
      </w:rPr>
    </w:lvl>
    <w:lvl w:ilvl="4" w:tplc="0254C160">
      <w:start w:val="1"/>
      <w:numFmt w:val="bullet"/>
      <w:lvlText w:val="•"/>
      <w:lvlJc w:val="left"/>
      <w:pPr>
        <w:ind w:left="1263" w:hanging="667"/>
      </w:pPr>
      <w:rPr>
        <w:rFonts w:hint="default"/>
      </w:rPr>
    </w:lvl>
    <w:lvl w:ilvl="5" w:tplc="186ADF00">
      <w:start w:val="1"/>
      <w:numFmt w:val="bullet"/>
      <w:lvlText w:val="•"/>
      <w:lvlJc w:val="left"/>
      <w:pPr>
        <w:ind w:left="2659" w:hanging="667"/>
      </w:pPr>
      <w:rPr>
        <w:rFonts w:hint="default"/>
      </w:rPr>
    </w:lvl>
    <w:lvl w:ilvl="6" w:tplc="A5DEDF68">
      <w:start w:val="1"/>
      <w:numFmt w:val="bullet"/>
      <w:lvlText w:val="•"/>
      <w:lvlJc w:val="left"/>
      <w:pPr>
        <w:ind w:left="4055" w:hanging="667"/>
      </w:pPr>
      <w:rPr>
        <w:rFonts w:hint="default"/>
      </w:rPr>
    </w:lvl>
    <w:lvl w:ilvl="7" w:tplc="3E78EEC4">
      <w:start w:val="1"/>
      <w:numFmt w:val="bullet"/>
      <w:lvlText w:val="•"/>
      <w:lvlJc w:val="left"/>
      <w:pPr>
        <w:ind w:left="5451" w:hanging="667"/>
      </w:pPr>
      <w:rPr>
        <w:rFonts w:hint="default"/>
      </w:rPr>
    </w:lvl>
    <w:lvl w:ilvl="8" w:tplc="99D4D286">
      <w:start w:val="1"/>
      <w:numFmt w:val="bullet"/>
      <w:lvlText w:val="•"/>
      <w:lvlJc w:val="left"/>
      <w:pPr>
        <w:ind w:left="6847" w:hanging="667"/>
      </w:pPr>
      <w:rPr>
        <w:rFonts w:hint="default"/>
      </w:rPr>
    </w:lvl>
  </w:abstractNum>
  <w:abstractNum w:abstractNumId="1" w15:restartNumberingAfterBreak="0">
    <w:nsid w:val="02CB6668"/>
    <w:multiLevelType w:val="hybridMultilevel"/>
    <w:tmpl w:val="E68ADB62"/>
    <w:lvl w:ilvl="0" w:tplc="D0D8AA5E">
      <w:start w:val="3"/>
      <w:numFmt w:val="upperRoman"/>
      <w:lvlText w:val="%1"/>
      <w:lvlJc w:val="left"/>
      <w:pPr>
        <w:ind w:left="117" w:hanging="701"/>
      </w:pPr>
      <w:rPr>
        <w:rFonts w:hint="default"/>
      </w:rPr>
    </w:lvl>
    <w:lvl w:ilvl="1" w:tplc="4510F864">
      <w:start w:val="2"/>
      <w:numFmt w:val="decimal"/>
      <w:lvlText w:val="%1.%2"/>
      <w:lvlJc w:val="left"/>
      <w:pPr>
        <w:ind w:left="117" w:hanging="701"/>
      </w:pPr>
      <w:rPr>
        <w:rFonts w:hint="default"/>
      </w:rPr>
    </w:lvl>
    <w:lvl w:ilvl="2" w:tplc="E08A9C18">
      <w:start w:val="1"/>
      <w:numFmt w:val="decimal"/>
      <w:lvlText w:val="%1.%2.%3"/>
      <w:lvlJc w:val="left"/>
      <w:pPr>
        <w:ind w:left="117" w:hanging="701"/>
      </w:pPr>
      <w:rPr>
        <w:rFonts w:ascii="Times New Roman" w:eastAsia="Times New Roman" w:hAnsi="Times New Roman" w:hint="default"/>
        <w:b/>
        <w:bCs/>
        <w:sz w:val="24"/>
        <w:szCs w:val="24"/>
      </w:rPr>
    </w:lvl>
    <w:lvl w:ilvl="3" w:tplc="B362503A">
      <w:start w:val="1"/>
      <w:numFmt w:val="bullet"/>
      <w:lvlText w:val="-"/>
      <w:lvlJc w:val="left"/>
      <w:pPr>
        <w:ind w:left="1197" w:hanging="141"/>
      </w:pPr>
      <w:rPr>
        <w:rFonts w:ascii="Times New Roman" w:eastAsia="Times New Roman" w:hAnsi="Times New Roman" w:hint="default"/>
        <w:sz w:val="24"/>
        <w:szCs w:val="24"/>
      </w:rPr>
    </w:lvl>
    <w:lvl w:ilvl="4" w:tplc="50C4E038">
      <w:start w:val="1"/>
      <w:numFmt w:val="bullet"/>
      <w:lvlText w:val="•"/>
      <w:lvlJc w:val="left"/>
      <w:pPr>
        <w:ind w:left="4044" w:hanging="141"/>
      </w:pPr>
      <w:rPr>
        <w:rFonts w:hint="default"/>
      </w:rPr>
    </w:lvl>
    <w:lvl w:ilvl="5" w:tplc="5FF4946E">
      <w:start w:val="1"/>
      <w:numFmt w:val="bullet"/>
      <w:lvlText w:val="•"/>
      <w:lvlJc w:val="left"/>
      <w:pPr>
        <w:ind w:left="4994" w:hanging="141"/>
      </w:pPr>
      <w:rPr>
        <w:rFonts w:hint="default"/>
      </w:rPr>
    </w:lvl>
    <w:lvl w:ilvl="6" w:tplc="EEF259C0">
      <w:start w:val="1"/>
      <w:numFmt w:val="bullet"/>
      <w:lvlText w:val="•"/>
      <w:lvlJc w:val="left"/>
      <w:pPr>
        <w:ind w:left="5943" w:hanging="141"/>
      </w:pPr>
      <w:rPr>
        <w:rFonts w:hint="default"/>
      </w:rPr>
    </w:lvl>
    <w:lvl w:ilvl="7" w:tplc="79CCFC38">
      <w:start w:val="1"/>
      <w:numFmt w:val="bullet"/>
      <w:lvlText w:val="•"/>
      <w:lvlJc w:val="left"/>
      <w:pPr>
        <w:ind w:left="6892" w:hanging="141"/>
      </w:pPr>
      <w:rPr>
        <w:rFonts w:hint="default"/>
      </w:rPr>
    </w:lvl>
    <w:lvl w:ilvl="8" w:tplc="99D27C2C">
      <w:start w:val="1"/>
      <w:numFmt w:val="bullet"/>
      <w:lvlText w:val="•"/>
      <w:lvlJc w:val="left"/>
      <w:pPr>
        <w:ind w:left="7841" w:hanging="141"/>
      </w:pPr>
      <w:rPr>
        <w:rFonts w:hint="default"/>
      </w:rPr>
    </w:lvl>
  </w:abstractNum>
  <w:abstractNum w:abstractNumId="2" w15:restartNumberingAfterBreak="0">
    <w:nsid w:val="0561023B"/>
    <w:multiLevelType w:val="hybridMultilevel"/>
    <w:tmpl w:val="777AE5D6"/>
    <w:lvl w:ilvl="0" w:tplc="F3BC0B94">
      <w:start w:val="1"/>
      <w:numFmt w:val="decimal"/>
      <w:lvlText w:val="%1."/>
      <w:lvlJc w:val="left"/>
      <w:pPr>
        <w:ind w:left="108" w:hanging="257"/>
      </w:pPr>
      <w:rPr>
        <w:rFonts w:ascii="Times New Roman" w:eastAsia="Times New Roman" w:hAnsi="Times New Roman" w:hint="default"/>
        <w:i/>
        <w:sz w:val="24"/>
        <w:szCs w:val="24"/>
      </w:rPr>
    </w:lvl>
    <w:lvl w:ilvl="1" w:tplc="A5D43AA6">
      <w:start w:val="1"/>
      <w:numFmt w:val="bullet"/>
      <w:lvlText w:val="•"/>
      <w:lvlJc w:val="left"/>
      <w:pPr>
        <w:ind w:left="987" w:hanging="257"/>
      </w:pPr>
      <w:rPr>
        <w:rFonts w:hint="default"/>
      </w:rPr>
    </w:lvl>
    <w:lvl w:ilvl="2" w:tplc="42844098">
      <w:start w:val="1"/>
      <w:numFmt w:val="bullet"/>
      <w:lvlText w:val="•"/>
      <w:lvlJc w:val="left"/>
      <w:pPr>
        <w:ind w:left="1866" w:hanging="257"/>
      </w:pPr>
      <w:rPr>
        <w:rFonts w:hint="default"/>
      </w:rPr>
    </w:lvl>
    <w:lvl w:ilvl="3" w:tplc="6032FACE">
      <w:start w:val="1"/>
      <w:numFmt w:val="bullet"/>
      <w:lvlText w:val="•"/>
      <w:lvlJc w:val="left"/>
      <w:pPr>
        <w:ind w:left="2746" w:hanging="257"/>
      </w:pPr>
      <w:rPr>
        <w:rFonts w:hint="default"/>
      </w:rPr>
    </w:lvl>
    <w:lvl w:ilvl="4" w:tplc="7D883344">
      <w:start w:val="1"/>
      <w:numFmt w:val="bullet"/>
      <w:lvlText w:val="•"/>
      <w:lvlJc w:val="left"/>
      <w:pPr>
        <w:ind w:left="3625" w:hanging="257"/>
      </w:pPr>
      <w:rPr>
        <w:rFonts w:hint="default"/>
      </w:rPr>
    </w:lvl>
    <w:lvl w:ilvl="5" w:tplc="0F384C52">
      <w:start w:val="1"/>
      <w:numFmt w:val="bullet"/>
      <w:lvlText w:val="•"/>
      <w:lvlJc w:val="left"/>
      <w:pPr>
        <w:ind w:left="4505" w:hanging="257"/>
      </w:pPr>
      <w:rPr>
        <w:rFonts w:hint="default"/>
      </w:rPr>
    </w:lvl>
    <w:lvl w:ilvl="6" w:tplc="4198BD2C">
      <w:start w:val="1"/>
      <w:numFmt w:val="bullet"/>
      <w:lvlText w:val="•"/>
      <w:lvlJc w:val="left"/>
      <w:pPr>
        <w:ind w:left="5384" w:hanging="257"/>
      </w:pPr>
      <w:rPr>
        <w:rFonts w:hint="default"/>
      </w:rPr>
    </w:lvl>
    <w:lvl w:ilvl="7" w:tplc="DAD80FBA">
      <w:start w:val="1"/>
      <w:numFmt w:val="bullet"/>
      <w:lvlText w:val="•"/>
      <w:lvlJc w:val="left"/>
      <w:pPr>
        <w:ind w:left="6263" w:hanging="257"/>
      </w:pPr>
      <w:rPr>
        <w:rFonts w:hint="default"/>
      </w:rPr>
    </w:lvl>
    <w:lvl w:ilvl="8" w:tplc="B74EC888">
      <w:start w:val="1"/>
      <w:numFmt w:val="bullet"/>
      <w:lvlText w:val="•"/>
      <w:lvlJc w:val="left"/>
      <w:pPr>
        <w:ind w:left="7143" w:hanging="257"/>
      </w:pPr>
      <w:rPr>
        <w:rFonts w:hint="default"/>
      </w:rPr>
    </w:lvl>
  </w:abstractNum>
  <w:abstractNum w:abstractNumId="3" w15:restartNumberingAfterBreak="0">
    <w:nsid w:val="0D260B03"/>
    <w:multiLevelType w:val="hybridMultilevel"/>
    <w:tmpl w:val="44804692"/>
    <w:lvl w:ilvl="0" w:tplc="DF4642D4">
      <w:start w:val="1"/>
      <w:numFmt w:val="bullet"/>
      <w:lvlText w:val="-"/>
      <w:lvlJc w:val="left"/>
      <w:pPr>
        <w:ind w:left="977" w:hanging="140"/>
      </w:pPr>
      <w:rPr>
        <w:rFonts w:ascii="Times New Roman" w:eastAsia="Times New Roman" w:hAnsi="Times New Roman" w:hint="default"/>
        <w:sz w:val="24"/>
        <w:szCs w:val="24"/>
      </w:rPr>
    </w:lvl>
    <w:lvl w:ilvl="1" w:tplc="0A20C786">
      <w:start w:val="1"/>
      <w:numFmt w:val="bullet"/>
      <w:lvlText w:val="•"/>
      <w:lvlJc w:val="left"/>
      <w:pPr>
        <w:ind w:left="1853" w:hanging="140"/>
      </w:pPr>
      <w:rPr>
        <w:rFonts w:hint="default"/>
      </w:rPr>
    </w:lvl>
    <w:lvl w:ilvl="2" w:tplc="D7742650">
      <w:start w:val="1"/>
      <w:numFmt w:val="bullet"/>
      <w:lvlText w:val="•"/>
      <w:lvlJc w:val="left"/>
      <w:pPr>
        <w:ind w:left="2729" w:hanging="140"/>
      </w:pPr>
      <w:rPr>
        <w:rFonts w:hint="default"/>
      </w:rPr>
    </w:lvl>
    <w:lvl w:ilvl="3" w:tplc="18C47562">
      <w:start w:val="1"/>
      <w:numFmt w:val="bullet"/>
      <w:lvlText w:val="•"/>
      <w:lvlJc w:val="left"/>
      <w:pPr>
        <w:ind w:left="3605" w:hanging="140"/>
      </w:pPr>
      <w:rPr>
        <w:rFonts w:hint="default"/>
      </w:rPr>
    </w:lvl>
    <w:lvl w:ilvl="4" w:tplc="B1D4C9E6">
      <w:start w:val="1"/>
      <w:numFmt w:val="bullet"/>
      <w:lvlText w:val="•"/>
      <w:lvlJc w:val="left"/>
      <w:pPr>
        <w:ind w:left="4482" w:hanging="140"/>
      </w:pPr>
      <w:rPr>
        <w:rFonts w:hint="default"/>
      </w:rPr>
    </w:lvl>
    <w:lvl w:ilvl="5" w:tplc="3A9E512E">
      <w:start w:val="1"/>
      <w:numFmt w:val="bullet"/>
      <w:lvlText w:val="•"/>
      <w:lvlJc w:val="left"/>
      <w:pPr>
        <w:ind w:left="5358" w:hanging="140"/>
      </w:pPr>
      <w:rPr>
        <w:rFonts w:hint="default"/>
      </w:rPr>
    </w:lvl>
    <w:lvl w:ilvl="6" w:tplc="D8AA6A24">
      <w:start w:val="1"/>
      <w:numFmt w:val="bullet"/>
      <w:lvlText w:val="•"/>
      <w:lvlJc w:val="left"/>
      <w:pPr>
        <w:ind w:left="6234" w:hanging="140"/>
      </w:pPr>
      <w:rPr>
        <w:rFonts w:hint="default"/>
      </w:rPr>
    </w:lvl>
    <w:lvl w:ilvl="7" w:tplc="471682DC">
      <w:start w:val="1"/>
      <w:numFmt w:val="bullet"/>
      <w:lvlText w:val="•"/>
      <w:lvlJc w:val="left"/>
      <w:pPr>
        <w:ind w:left="7111" w:hanging="140"/>
      </w:pPr>
      <w:rPr>
        <w:rFonts w:hint="default"/>
      </w:rPr>
    </w:lvl>
    <w:lvl w:ilvl="8" w:tplc="9AFE9B72">
      <w:start w:val="1"/>
      <w:numFmt w:val="bullet"/>
      <w:lvlText w:val="•"/>
      <w:lvlJc w:val="left"/>
      <w:pPr>
        <w:ind w:left="7987" w:hanging="140"/>
      </w:pPr>
      <w:rPr>
        <w:rFonts w:hint="default"/>
      </w:rPr>
    </w:lvl>
  </w:abstractNum>
  <w:abstractNum w:abstractNumId="4" w15:restartNumberingAfterBreak="0">
    <w:nsid w:val="1F61032A"/>
    <w:multiLevelType w:val="hybridMultilevel"/>
    <w:tmpl w:val="36025E02"/>
    <w:lvl w:ilvl="0" w:tplc="E6562184">
      <w:start w:val="1"/>
      <w:numFmt w:val="upperRoman"/>
      <w:lvlText w:val="%1."/>
      <w:lvlJc w:val="left"/>
      <w:pPr>
        <w:ind w:left="837" w:hanging="72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5" w15:restartNumberingAfterBreak="0">
    <w:nsid w:val="2639158A"/>
    <w:multiLevelType w:val="hybridMultilevel"/>
    <w:tmpl w:val="76DC49C8"/>
    <w:lvl w:ilvl="0" w:tplc="128E47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F24D6"/>
    <w:multiLevelType w:val="hybridMultilevel"/>
    <w:tmpl w:val="9C3C2234"/>
    <w:lvl w:ilvl="0" w:tplc="A7CCD22A">
      <w:start w:val="1"/>
      <w:numFmt w:val="lowerLetter"/>
      <w:lvlText w:val="(%1)"/>
      <w:lvlJc w:val="left"/>
      <w:pPr>
        <w:ind w:left="446" w:hanging="339"/>
      </w:pPr>
      <w:rPr>
        <w:rFonts w:ascii="Times New Roman" w:eastAsia="Times New Roman" w:hAnsi="Times New Roman" w:hint="default"/>
        <w:i/>
        <w:spacing w:val="-1"/>
        <w:sz w:val="24"/>
        <w:szCs w:val="24"/>
      </w:rPr>
    </w:lvl>
    <w:lvl w:ilvl="1" w:tplc="28B62232">
      <w:start w:val="1"/>
      <w:numFmt w:val="lowerRoman"/>
      <w:lvlText w:val="(%2)"/>
      <w:lvlJc w:val="left"/>
      <w:pPr>
        <w:ind w:left="1114" w:hanging="287"/>
      </w:pPr>
      <w:rPr>
        <w:rFonts w:ascii="Times New Roman" w:eastAsia="Times New Roman" w:hAnsi="Times New Roman" w:hint="default"/>
        <w:i/>
        <w:spacing w:val="-1"/>
        <w:w w:val="99"/>
        <w:sz w:val="24"/>
        <w:szCs w:val="24"/>
      </w:rPr>
    </w:lvl>
    <w:lvl w:ilvl="2" w:tplc="495E1F10">
      <w:start w:val="1"/>
      <w:numFmt w:val="bullet"/>
      <w:lvlText w:val="•"/>
      <w:lvlJc w:val="left"/>
      <w:pPr>
        <w:ind w:left="1979" w:hanging="287"/>
      </w:pPr>
      <w:rPr>
        <w:rFonts w:hint="default"/>
      </w:rPr>
    </w:lvl>
    <w:lvl w:ilvl="3" w:tplc="EEDAC7C0">
      <w:start w:val="1"/>
      <w:numFmt w:val="bullet"/>
      <w:lvlText w:val="•"/>
      <w:lvlJc w:val="left"/>
      <w:pPr>
        <w:ind w:left="2845" w:hanging="287"/>
      </w:pPr>
      <w:rPr>
        <w:rFonts w:hint="default"/>
      </w:rPr>
    </w:lvl>
    <w:lvl w:ilvl="4" w:tplc="AAC851AA">
      <w:start w:val="1"/>
      <w:numFmt w:val="bullet"/>
      <w:lvlText w:val="•"/>
      <w:lvlJc w:val="left"/>
      <w:pPr>
        <w:ind w:left="3710" w:hanging="287"/>
      </w:pPr>
      <w:rPr>
        <w:rFonts w:hint="default"/>
      </w:rPr>
    </w:lvl>
    <w:lvl w:ilvl="5" w:tplc="7AF8F54E">
      <w:start w:val="1"/>
      <w:numFmt w:val="bullet"/>
      <w:lvlText w:val="•"/>
      <w:lvlJc w:val="left"/>
      <w:pPr>
        <w:ind w:left="4575" w:hanging="287"/>
      </w:pPr>
      <w:rPr>
        <w:rFonts w:hint="default"/>
      </w:rPr>
    </w:lvl>
    <w:lvl w:ilvl="6" w:tplc="5B8C9282">
      <w:start w:val="1"/>
      <w:numFmt w:val="bullet"/>
      <w:lvlText w:val="•"/>
      <w:lvlJc w:val="left"/>
      <w:pPr>
        <w:ind w:left="5440" w:hanging="287"/>
      </w:pPr>
      <w:rPr>
        <w:rFonts w:hint="default"/>
      </w:rPr>
    </w:lvl>
    <w:lvl w:ilvl="7" w:tplc="2F74023E">
      <w:start w:val="1"/>
      <w:numFmt w:val="bullet"/>
      <w:lvlText w:val="•"/>
      <w:lvlJc w:val="left"/>
      <w:pPr>
        <w:ind w:left="6306" w:hanging="287"/>
      </w:pPr>
      <w:rPr>
        <w:rFonts w:hint="default"/>
      </w:rPr>
    </w:lvl>
    <w:lvl w:ilvl="8" w:tplc="41409300">
      <w:start w:val="1"/>
      <w:numFmt w:val="bullet"/>
      <w:lvlText w:val="•"/>
      <w:lvlJc w:val="left"/>
      <w:pPr>
        <w:ind w:left="7171" w:hanging="287"/>
      </w:pPr>
      <w:rPr>
        <w:rFonts w:hint="default"/>
      </w:rPr>
    </w:lvl>
  </w:abstractNum>
  <w:abstractNum w:abstractNumId="7" w15:restartNumberingAfterBreak="0">
    <w:nsid w:val="4CAA5F65"/>
    <w:multiLevelType w:val="hybridMultilevel"/>
    <w:tmpl w:val="C3FAE240"/>
    <w:lvl w:ilvl="0" w:tplc="C98A59C8">
      <w:start w:val="1"/>
      <w:numFmt w:val="upperRoman"/>
      <w:lvlText w:val="%1."/>
      <w:lvlJc w:val="left"/>
      <w:pPr>
        <w:ind w:left="837" w:hanging="72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8" w15:restartNumberingAfterBreak="0">
    <w:nsid w:val="52AD0069"/>
    <w:multiLevelType w:val="hybridMultilevel"/>
    <w:tmpl w:val="E3B8CEC6"/>
    <w:lvl w:ilvl="0" w:tplc="3EBACB0C">
      <w:start w:val="1"/>
      <w:numFmt w:val="upperRoman"/>
      <w:lvlText w:val="%1."/>
      <w:lvlJc w:val="left"/>
      <w:pPr>
        <w:ind w:left="117" w:hanging="704"/>
      </w:pPr>
      <w:rPr>
        <w:rFonts w:ascii="Times New Roman" w:eastAsia="Times New Roman" w:hAnsi="Times New Roman" w:hint="default"/>
        <w:b/>
        <w:bCs/>
        <w:spacing w:val="-1"/>
        <w:sz w:val="36"/>
        <w:szCs w:val="36"/>
      </w:rPr>
    </w:lvl>
    <w:lvl w:ilvl="1" w:tplc="2DC443E8">
      <w:start w:val="1"/>
      <w:numFmt w:val="decimal"/>
      <w:lvlText w:val="%1.%2."/>
      <w:lvlJc w:val="left"/>
      <w:pPr>
        <w:ind w:left="117" w:hanging="461"/>
      </w:pPr>
      <w:rPr>
        <w:rFonts w:ascii="Times New Roman" w:eastAsia="Times New Roman" w:hAnsi="Times New Roman" w:hint="default"/>
        <w:b/>
        <w:bCs/>
        <w:w w:val="99"/>
        <w:sz w:val="28"/>
        <w:szCs w:val="28"/>
      </w:rPr>
    </w:lvl>
    <w:lvl w:ilvl="2" w:tplc="882A24CC">
      <w:start w:val="1"/>
      <w:numFmt w:val="decimal"/>
      <w:lvlText w:val="%1.%2.%3."/>
      <w:lvlJc w:val="left"/>
      <w:pPr>
        <w:ind w:left="784" w:hanging="668"/>
      </w:pPr>
      <w:rPr>
        <w:rFonts w:ascii="Times New Roman" w:eastAsia="Times New Roman" w:hAnsi="Times New Roman" w:hint="default"/>
        <w:b/>
        <w:bCs/>
        <w:spacing w:val="-1"/>
        <w:sz w:val="24"/>
        <w:szCs w:val="24"/>
      </w:rPr>
    </w:lvl>
    <w:lvl w:ilvl="3" w:tplc="1D28EFD6">
      <w:start w:val="1"/>
      <w:numFmt w:val="bullet"/>
      <w:lvlText w:val="•"/>
      <w:lvlJc w:val="left"/>
      <w:pPr>
        <w:ind w:left="784" w:hanging="668"/>
      </w:pPr>
      <w:rPr>
        <w:rFonts w:hint="default"/>
      </w:rPr>
    </w:lvl>
    <w:lvl w:ilvl="4" w:tplc="7D603D76">
      <w:start w:val="1"/>
      <w:numFmt w:val="bullet"/>
      <w:lvlText w:val="•"/>
      <w:lvlJc w:val="left"/>
      <w:pPr>
        <w:ind w:left="794" w:hanging="668"/>
      </w:pPr>
      <w:rPr>
        <w:rFonts w:hint="default"/>
      </w:rPr>
    </w:lvl>
    <w:lvl w:ilvl="5" w:tplc="493276CC">
      <w:start w:val="1"/>
      <w:numFmt w:val="bullet"/>
      <w:lvlText w:val="•"/>
      <w:lvlJc w:val="left"/>
      <w:pPr>
        <w:ind w:left="2268" w:hanging="668"/>
      </w:pPr>
      <w:rPr>
        <w:rFonts w:hint="default"/>
      </w:rPr>
    </w:lvl>
    <w:lvl w:ilvl="6" w:tplc="0C7C43C4">
      <w:start w:val="1"/>
      <w:numFmt w:val="bullet"/>
      <w:lvlText w:val="•"/>
      <w:lvlJc w:val="left"/>
      <w:pPr>
        <w:ind w:left="3742" w:hanging="668"/>
      </w:pPr>
      <w:rPr>
        <w:rFonts w:hint="default"/>
      </w:rPr>
    </w:lvl>
    <w:lvl w:ilvl="7" w:tplc="198461AE">
      <w:start w:val="1"/>
      <w:numFmt w:val="bullet"/>
      <w:lvlText w:val="•"/>
      <w:lvlJc w:val="left"/>
      <w:pPr>
        <w:ind w:left="5217" w:hanging="668"/>
      </w:pPr>
      <w:rPr>
        <w:rFonts w:hint="default"/>
      </w:rPr>
    </w:lvl>
    <w:lvl w:ilvl="8" w:tplc="CA2456F2">
      <w:start w:val="1"/>
      <w:numFmt w:val="bullet"/>
      <w:lvlText w:val="•"/>
      <w:lvlJc w:val="left"/>
      <w:pPr>
        <w:ind w:left="6691" w:hanging="668"/>
      </w:pPr>
      <w:rPr>
        <w:rFonts w:hint="default"/>
      </w:rPr>
    </w:lvl>
  </w:abstractNum>
  <w:abstractNum w:abstractNumId="9" w15:restartNumberingAfterBreak="0">
    <w:nsid w:val="5A984EF9"/>
    <w:multiLevelType w:val="hybridMultilevel"/>
    <w:tmpl w:val="CEDC5296"/>
    <w:lvl w:ilvl="0" w:tplc="97F8ABD0">
      <w:start w:val="1"/>
      <w:numFmt w:val="bullet"/>
      <w:lvlText w:val="-"/>
      <w:lvlJc w:val="left"/>
      <w:pPr>
        <w:ind w:left="102" w:hanging="140"/>
      </w:pPr>
      <w:rPr>
        <w:rFonts w:ascii="Times New Roman" w:eastAsia="Times New Roman" w:hAnsi="Times New Roman" w:hint="default"/>
        <w:sz w:val="24"/>
        <w:szCs w:val="24"/>
      </w:rPr>
    </w:lvl>
    <w:lvl w:ilvl="1" w:tplc="FA681300">
      <w:start w:val="1"/>
      <w:numFmt w:val="bullet"/>
      <w:lvlText w:val="•"/>
      <w:lvlJc w:val="left"/>
      <w:pPr>
        <w:ind w:left="648" w:hanging="140"/>
      </w:pPr>
      <w:rPr>
        <w:rFonts w:hint="default"/>
      </w:rPr>
    </w:lvl>
    <w:lvl w:ilvl="2" w:tplc="59F44016">
      <w:start w:val="1"/>
      <w:numFmt w:val="bullet"/>
      <w:lvlText w:val="•"/>
      <w:lvlJc w:val="left"/>
      <w:pPr>
        <w:ind w:left="1195" w:hanging="140"/>
      </w:pPr>
      <w:rPr>
        <w:rFonts w:hint="default"/>
      </w:rPr>
    </w:lvl>
    <w:lvl w:ilvl="3" w:tplc="E9CE2E1A">
      <w:start w:val="1"/>
      <w:numFmt w:val="bullet"/>
      <w:lvlText w:val="•"/>
      <w:lvlJc w:val="left"/>
      <w:pPr>
        <w:ind w:left="1742" w:hanging="140"/>
      </w:pPr>
      <w:rPr>
        <w:rFonts w:hint="default"/>
      </w:rPr>
    </w:lvl>
    <w:lvl w:ilvl="4" w:tplc="1F72D468">
      <w:start w:val="1"/>
      <w:numFmt w:val="bullet"/>
      <w:lvlText w:val="•"/>
      <w:lvlJc w:val="left"/>
      <w:pPr>
        <w:ind w:left="2288" w:hanging="140"/>
      </w:pPr>
      <w:rPr>
        <w:rFonts w:hint="default"/>
      </w:rPr>
    </w:lvl>
    <w:lvl w:ilvl="5" w:tplc="2770513A">
      <w:start w:val="1"/>
      <w:numFmt w:val="bullet"/>
      <w:lvlText w:val="•"/>
      <w:lvlJc w:val="left"/>
      <w:pPr>
        <w:ind w:left="2835" w:hanging="140"/>
      </w:pPr>
      <w:rPr>
        <w:rFonts w:hint="default"/>
      </w:rPr>
    </w:lvl>
    <w:lvl w:ilvl="6" w:tplc="B3C4EA04">
      <w:start w:val="1"/>
      <w:numFmt w:val="bullet"/>
      <w:lvlText w:val="•"/>
      <w:lvlJc w:val="left"/>
      <w:pPr>
        <w:ind w:left="3381" w:hanging="140"/>
      </w:pPr>
      <w:rPr>
        <w:rFonts w:hint="default"/>
      </w:rPr>
    </w:lvl>
    <w:lvl w:ilvl="7" w:tplc="24DEAC88">
      <w:start w:val="1"/>
      <w:numFmt w:val="bullet"/>
      <w:lvlText w:val="•"/>
      <w:lvlJc w:val="left"/>
      <w:pPr>
        <w:ind w:left="3928" w:hanging="140"/>
      </w:pPr>
      <w:rPr>
        <w:rFonts w:hint="default"/>
      </w:rPr>
    </w:lvl>
    <w:lvl w:ilvl="8" w:tplc="6DF6EC70">
      <w:start w:val="1"/>
      <w:numFmt w:val="bullet"/>
      <w:lvlText w:val="•"/>
      <w:lvlJc w:val="left"/>
      <w:pPr>
        <w:ind w:left="4475" w:hanging="140"/>
      </w:pPr>
      <w:rPr>
        <w:rFonts w:hint="default"/>
      </w:rPr>
    </w:lvl>
  </w:abstractNum>
  <w:abstractNum w:abstractNumId="10" w15:restartNumberingAfterBreak="0">
    <w:nsid w:val="62116A7A"/>
    <w:multiLevelType w:val="hybridMultilevel"/>
    <w:tmpl w:val="6480E65A"/>
    <w:lvl w:ilvl="0" w:tplc="9D94A4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104ED7"/>
    <w:multiLevelType w:val="hybridMultilevel"/>
    <w:tmpl w:val="98E40A72"/>
    <w:lvl w:ilvl="0" w:tplc="33E8A352">
      <w:start w:val="3"/>
      <w:numFmt w:val="upperRoman"/>
      <w:lvlText w:val="%1"/>
      <w:lvlJc w:val="left"/>
      <w:pPr>
        <w:ind w:left="597" w:hanging="701"/>
      </w:pPr>
      <w:rPr>
        <w:rFonts w:hint="default"/>
      </w:rPr>
    </w:lvl>
    <w:lvl w:ilvl="1" w:tplc="FA842F68">
      <w:start w:val="2"/>
      <w:numFmt w:val="decimal"/>
      <w:lvlText w:val="%1.%2"/>
      <w:lvlJc w:val="left"/>
      <w:pPr>
        <w:ind w:left="597" w:hanging="701"/>
      </w:pPr>
      <w:rPr>
        <w:rFonts w:hint="default"/>
      </w:rPr>
    </w:lvl>
    <w:lvl w:ilvl="2" w:tplc="F23EB9A4">
      <w:start w:val="1"/>
      <w:numFmt w:val="decimal"/>
      <w:lvlText w:val="%1.%2.%3"/>
      <w:lvlJc w:val="left"/>
      <w:pPr>
        <w:ind w:left="597" w:hanging="701"/>
      </w:pPr>
      <w:rPr>
        <w:rFonts w:ascii="Times New Roman" w:eastAsia="Times New Roman" w:hAnsi="Times New Roman" w:hint="default"/>
        <w:b/>
        <w:bCs/>
        <w:sz w:val="24"/>
        <w:szCs w:val="24"/>
      </w:rPr>
    </w:lvl>
    <w:lvl w:ilvl="3" w:tplc="63DC5E3A">
      <w:start w:val="1"/>
      <w:numFmt w:val="bullet"/>
      <w:lvlText w:val="•"/>
      <w:lvlJc w:val="left"/>
      <w:pPr>
        <w:ind w:left="3310" w:hanging="701"/>
      </w:pPr>
      <w:rPr>
        <w:rFonts w:hint="default"/>
      </w:rPr>
    </w:lvl>
    <w:lvl w:ilvl="4" w:tplc="56DEF95C">
      <w:start w:val="1"/>
      <w:numFmt w:val="bullet"/>
      <w:lvlText w:val="•"/>
      <w:lvlJc w:val="left"/>
      <w:pPr>
        <w:ind w:left="4214" w:hanging="701"/>
      </w:pPr>
      <w:rPr>
        <w:rFonts w:hint="default"/>
      </w:rPr>
    </w:lvl>
    <w:lvl w:ilvl="5" w:tplc="EEEC69F8">
      <w:start w:val="1"/>
      <w:numFmt w:val="bullet"/>
      <w:lvlText w:val="•"/>
      <w:lvlJc w:val="left"/>
      <w:pPr>
        <w:ind w:left="5118" w:hanging="701"/>
      </w:pPr>
      <w:rPr>
        <w:rFonts w:hint="default"/>
      </w:rPr>
    </w:lvl>
    <w:lvl w:ilvl="6" w:tplc="C12E7C30">
      <w:start w:val="1"/>
      <w:numFmt w:val="bullet"/>
      <w:lvlText w:val="•"/>
      <w:lvlJc w:val="left"/>
      <w:pPr>
        <w:ind w:left="6022" w:hanging="701"/>
      </w:pPr>
      <w:rPr>
        <w:rFonts w:hint="default"/>
      </w:rPr>
    </w:lvl>
    <w:lvl w:ilvl="7" w:tplc="DD9A0196">
      <w:start w:val="1"/>
      <w:numFmt w:val="bullet"/>
      <w:lvlText w:val="•"/>
      <w:lvlJc w:val="left"/>
      <w:pPr>
        <w:ind w:left="6927" w:hanging="701"/>
      </w:pPr>
      <w:rPr>
        <w:rFonts w:hint="default"/>
      </w:rPr>
    </w:lvl>
    <w:lvl w:ilvl="8" w:tplc="21D43F12">
      <w:start w:val="1"/>
      <w:numFmt w:val="bullet"/>
      <w:lvlText w:val="•"/>
      <w:lvlJc w:val="left"/>
      <w:pPr>
        <w:ind w:left="7831" w:hanging="701"/>
      </w:pPr>
      <w:rPr>
        <w:rFonts w:hint="default"/>
      </w:rPr>
    </w:lvl>
  </w:abstractNum>
  <w:abstractNum w:abstractNumId="12" w15:restartNumberingAfterBreak="0">
    <w:nsid w:val="7832613A"/>
    <w:multiLevelType w:val="hybridMultilevel"/>
    <w:tmpl w:val="BC1C0B76"/>
    <w:lvl w:ilvl="0" w:tplc="854069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C64E6"/>
    <w:multiLevelType w:val="hybridMultilevel"/>
    <w:tmpl w:val="D2DCD4DA"/>
    <w:lvl w:ilvl="0" w:tplc="85CC8334">
      <w:start w:val="1"/>
      <w:numFmt w:val="upperRoman"/>
      <w:lvlText w:val="%1."/>
      <w:lvlJc w:val="left"/>
      <w:pPr>
        <w:ind w:left="837" w:hanging="72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14" w15:restartNumberingAfterBreak="0">
    <w:nsid w:val="7CD9523E"/>
    <w:multiLevelType w:val="hybridMultilevel"/>
    <w:tmpl w:val="B276E29A"/>
    <w:lvl w:ilvl="0" w:tplc="C1705D8A">
      <w:start w:val="1"/>
      <w:numFmt w:val="lowerLetter"/>
      <w:lvlText w:val="(%1)"/>
      <w:lvlJc w:val="left"/>
      <w:pPr>
        <w:ind w:left="837" w:hanging="328"/>
      </w:pPr>
      <w:rPr>
        <w:rFonts w:ascii="Times New Roman" w:eastAsia="Times New Roman" w:hAnsi="Times New Roman" w:hint="default"/>
        <w:w w:val="99"/>
        <w:sz w:val="24"/>
        <w:szCs w:val="24"/>
      </w:rPr>
    </w:lvl>
    <w:lvl w:ilvl="1" w:tplc="ED5EADA0">
      <w:start w:val="1"/>
      <w:numFmt w:val="bullet"/>
      <w:lvlText w:val="•"/>
      <w:lvlJc w:val="left"/>
      <w:pPr>
        <w:ind w:left="1727" w:hanging="328"/>
      </w:pPr>
      <w:rPr>
        <w:rFonts w:hint="default"/>
      </w:rPr>
    </w:lvl>
    <w:lvl w:ilvl="2" w:tplc="88E4F88A">
      <w:start w:val="1"/>
      <w:numFmt w:val="bullet"/>
      <w:lvlText w:val="•"/>
      <w:lvlJc w:val="left"/>
      <w:pPr>
        <w:ind w:left="2617" w:hanging="328"/>
      </w:pPr>
      <w:rPr>
        <w:rFonts w:hint="default"/>
      </w:rPr>
    </w:lvl>
    <w:lvl w:ilvl="3" w:tplc="4CF60C04">
      <w:start w:val="1"/>
      <w:numFmt w:val="bullet"/>
      <w:lvlText w:val="•"/>
      <w:lvlJc w:val="left"/>
      <w:pPr>
        <w:ind w:left="3508" w:hanging="328"/>
      </w:pPr>
      <w:rPr>
        <w:rFonts w:hint="default"/>
      </w:rPr>
    </w:lvl>
    <w:lvl w:ilvl="4" w:tplc="57689F54">
      <w:start w:val="1"/>
      <w:numFmt w:val="bullet"/>
      <w:lvlText w:val="•"/>
      <w:lvlJc w:val="left"/>
      <w:pPr>
        <w:ind w:left="4398" w:hanging="328"/>
      </w:pPr>
      <w:rPr>
        <w:rFonts w:hint="default"/>
      </w:rPr>
    </w:lvl>
    <w:lvl w:ilvl="5" w:tplc="EC284DD6">
      <w:start w:val="1"/>
      <w:numFmt w:val="bullet"/>
      <w:lvlText w:val="•"/>
      <w:lvlJc w:val="left"/>
      <w:pPr>
        <w:ind w:left="5288" w:hanging="328"/>
      </w:pPr>
      <w:rPr>
        <w:rFonts w:hint="default"/>
      </w:rPr>
    </w:lvl>
    <w:lvl w:ilvl="6" w:tplc="78969428">
      <w:start w:val="1"/>
      <w:numFmt w:val="bullet"/>
      <w:lvlText w:val="•"/>
      <w:lvlJc w:val="left"/>
      <w:pPr>
        <w:ind w:left="6178" w:hanging="328"/>
      </w:pPr>
      <w:rPr>
        <w:rFonts w:hint="default"/>
      </w:rPr>
    </w:lvl>
    <w:lvl w:ilvl="7" w:tplc="53A66C7C">
      <w:start w:val="1"/>
      <w:numFmt w:val="bullet"/>
      <w:lvlText w:val="•"/>
      <w:lvlJc w:val="left"/>
      <w:pPr>
        <w:ind w:left="7069" w:hanging="328"/>
      </w:pPr>
      <w:rPr>
        <w:rFonts w:hint="default"/>
      </w:rPr>
    </w:lvl>
    <w:lvl w:ilvl="8" w:tplc="3D7C4DBA">
      <w:start w:val="1"/>
      <w:numFmt w:val="bullet"/>
      <w:lvlText w:val="•"/>
      <w:lvlJc w:val="left"/>
      <w:pPr>
        <w:ind w:left="7959" w:hanging="328"/>
      </w:pPr>
      <w:rPr>
        <w:rFonts w:hint="default"/>
      </w:rPr>
    </w:lvl>
  </w:abstractNum>
  <w:abstractNum w:abstractNumId="15" w15:restartNumberingAfterBreak="0">
    <w:nsid w:val="7E293DB5"/>
    <w:multiLevelType w:val="hybridMultilevel"/>
    <w:tmpl w:val="EB74701C"/>
    <w:lvl w:ilvl="0" w:tplc="E3EC660A">
      <w:start w:val="1"/>
      <w:numFmt w:val="upperRoman"/>
      <w:lvlText w:val="%1."/>
      <w:lvlJc w:val="left"/>
      <w:pPr>
        <w:ind w:left="837" w:hanging="72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num w:numId="1">
    <w:abstractNumId w:val="9"/>
  </w:num>
  <w:num w:numId="2">
    <w:abstractNumId w:val="1"/>
  </w:num>
  <w:num w:numId="3">
    <w:abstractNumId w:val="3"/>
  </w:num>
  <w:num w:numId="4">
    <w:abstractNumId w:val="14"/>
  </w:num>
  <w:num w:numId="5">
    <w:abstractNumId w:val="6"/>
  </w:num>
  <w:num w:numId="6">
    <w:abstractNumId w:val="2"/>
  </w:num>
  <w:num w:numId="7">
    <w:abstractNumId w:val="8"/>
  </w:num>
  <w:num w:numId="8">
    <w:abstractNumId w:val="11"/>
  </w:num>
  <w:num w:numId="9">
    <w:abstractNumId w:val="0"/>
  </w:num>
  <w:num w:numId="10">
    <w:abstractNumId w:val="5"/>
  </w:num>
  <w:num w:numId="11">
    <w:abstractNumId w:val="15"/>
  </w:num>
  <w:num w:numId="12">
    <w:abstractNumId w:val="13"/>
  </w:num>
  <w:num w:numId="13">
    <w:abstractNumId w:val="7"/>
  </w:num>
  <w:num w:numId="14">
    <w:abstractNumId w:val="4"/>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D57BB"/>
    <w:rsid w:val="00004E91"/>
    <w:rsid w:val="000C7E2E"/>
    <w:rsid w:val="00196DCA"/>
    <w:rsid w:val="001F0577"/>
    <w:rsid w:val="0020431E"/>
    <w:rsid w:val="0022206F"/>
    <w:rsid w:val="00242411"/>
    <w:rsid w:val="00315E30"/>
    <w:rsid w:val="0032383C"/>
    <w:rsid w:val="00432A4D"/>
    <w:rsid w:val="004B1C82"/>
    <w:rsid w:val="004D54C9"/>
    <w:rsid w:val="00525213"/>
    <w:rsid w:val="00593F59"/>
    <w:rsid w:val="006079AA"/>
    <w:rsid w:val="00631D48"/>
    <w:rsid w:val="00660CD2"/>
    <w:rsid w:val="006C2ED4"/>
    <w:rsid w:val="006F1EDB"/>
    <w:rsid w:val="0084085B"/>
    <w:rsid w:val="008D57BB"/>
    <w:rsid w:val="008E38CD"/>
    <w:rsid w:val="00922300"/>
    <w:rsid w:val="00934A44"/>
    <w:rsid w:val="00B24334"/>
    <w:rsid w:val="00B35D34"/>
    <w:rsid w:val="00CE1CBD"/>
    <w:rsid w:val="00D333FC"/>
    <w:rsid w:val="00F02F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D5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spacing w:before="36"/>
      <w:ind w:left="117"/>
      <w:outlineLvl w:val="0"/>
    </w:pPr>
    <w:rPr>
      <w:rFonts w:ascii="Times New Roman" w:eastAsia="Times New Roman" w:hAnsi="Times New Roman"/>
      <w:b/>
      <w:bCs/>
      <w:sz w:val="36"/>
      <w:szCs w:val="36"/>
    </w:rPr>
  </w:style>
  <w:style w:type="paragraph" w:styleId="Virsraksts2">
    <w:name w:val="heading 2"/>
    <w:basedOn w:val="Parasts"/>
    <w:uiPriority w:val="9"/>
    <w:unhideWhenUsed/>
    <w:qFormat/>
    <w:pPr>
      <w:ind w:left="117" w:hanging="677"/>
      <w:outlineLvl w:val="1"/>
    </w:pPr>
    <w:rPr>
      <w:rFonts w:ascii="Times New Roman" w:eastAsia="Times New Roman" w:hAnsi="Times New Roman"/>
      <w:b/>
      <w:bCs/>
      <w:sz w:val="28"/>
      <w:szCs w:val="28"/>
    </w:rPr>
  </w:style>
  <w:style w:type="paragraph" w:styleId="Virsraksts3">
    <w:name w:val="heading 3"/>
    <w:basedOn w:val="Parasts"/>
    <w:uiPriority w:val="9"/>
    <w:unhideWhenUsed/>
    <w:qFormat/>
    <w:pPr>
      <w:ind w:left="117"/>
      <w:outlineLvl w:val="2"/>
    </w:pPr>
    <w:rPr>
      <w:rFonts w:ascii="Times New Roman" w:eastAsia="Times New Roman" w:hAnsi="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ind w:left="117" w:hanging="400"/>
    </w:pPr>
    <w:rPr>
      <w:rFonts w:ascii="Times New Roman" w:eastAsia="Times New Roman" w:hAnsi="Times New Roman"/>
      <w:b/>
      <w:bCs/>
      <w:sz w:val="24"/>
      <w:szCs w:val="24"/>
    </w:rPr>
  </w:style>
  <w:style w:type="paragraph" w:styleId="Saturs2">
    <w:name w:val="toc 2"/>
    <w:basedOn w:val="Parasts"/>
    <w:uiPriority w:val="39"/>
    <w:qFormat/>
    <w:pPr>
      <w:ind w:left="357" w:hanging="580"/>
    </w:pPr>
    <w:rPr>
      <w:rFonts w:ascii="Times New Roman" w:eastAsia="Times New Roman" w:hAnsi="Times New Roman"/>
      <w:b/>
      <w:bCs/>
      <w:sz w:val="24"/>
      <w:szCs w:val="24"/>
    </w:rPr>
  </w:style>
  <w:style w:type="paragraph" w:styleId="Saturs3">
    <w:name w:val="toc 3"/>
    <w:basedOn w:val="Parasts"/>
    <w:uiPriority w:val="39"/>
    <w:qFormat/>
    <w:pPr>
      <w:ind w:left="500"/>
    </w:pPr>
    <w:rPr>
      <w:rFonts w:ascii="Times New Roman" w:eastAsia="Times New Roman" w:hAnsi="Times New Roman"/>
      <w:b/>
      <w:bCs/>
      <w:sz w:val="24"/>
      <w:szCs w:val="24"/>
    </w:rPr>
  </w:style>
  <w:style w:type="paragraph" w:styleId="Saturs4">
    <w:name w:val="toc 4"/>
    <w:basedOn w:val="Parasts"/>
    <w:uiPriority w:val="1"/>
    <w:qFormat/>
    <w:pPr>
      <w:ind w:left="597"/>
    </w:pPr>
    <w:rPr>
      <w:rFonts w:ascii="Times New Roman" w:eastAsia="Times New Roman" w:hAnsi="Times New Roman"/>
      <w:b/>
      <w:bCs/>
      <w:sz w:val="24"/>
      <w:szCs w:val="24"/>
    </w:rPr>
  </w:style>
  <w:style w:type="paragraph" w:styleId="Pamatteksts">
    <w:name w:val="Body Text"/>
    <w:basedOn w:val="Parasts"/>
    <w:uiPriority w:val="1"/>
    <w:qFormat/>
    <w:pPr>
      <w:ind w:left="117"/>
    </w:pPr>
    <w:rPr>
      <w:rFonts w:ascii="Times New Roman" w:eastAsia="Times New Roman" w:hAnsi="Times New Roman"/>
      <w:sz w:val="24"/>
      <w:szCs w:val="24"/>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242411"/>
    <w:pPr>
      <w:tabs>
        <w:tab w:val="center" w:pos="4513"/>
        <w:tab w:val="right" w:pos="9026"/>
      </w:tabs>
    </w:pPr>
  </w:style>
  <w:style w:type="character" w:customStyle="1" w:styleId="GalveneRakstz">
    <w:name w:val="Galvene Rakstz."/>
    <w:basedOn w:val="Noklusjumarindkopasfonts"/>
    <w:link w:val="Galvene"/>
    <w:uiPriority w:val="99"/>
    <w:rsid w:val="00242411"/>
  </w:style>
  <w:style w:type="paragraph" w:styleId="Kjene">
    <w:name w:val="footer"/>
    <w:basedOn w:val="Parasts"/>
    <w:link w:val="KjeneRakstz"/>
    <w:unhideWhenUsed/>
    <w:rsid w:val="00242411"/>
    <w:pPr>
      <w:tabs>
        <w:tab w:val="center" w:pos="4513"/>
        <w:tab w:val="right" w:pos="9026"/>
      </w:tabs>
    </w:pPr>
  </w:style>
  <w:style w:type="character" w:customStyle="1" w:styleId="KjeneRakstz">
    <w:name w:val="Kājene Rakstz."/>
    <w:basedOn w:val="Noklusjumarindkopasfonts"/>
    <w:link w:val="Kjene"/>
    <w:uiPriority w:val="99"/>
    <w:rsid w:val="00242411"/>
  </w:style>
  <w:style w:type="character" w:styleId="Hipersaite">
    <w:name w:val="Hyperlink"/>
    <w:basedOn w:val="Noklusjumarindkopasfonts"/>
    <w:uiPriority w:val="99"/>
    <w:unhideWhenUsed/>
    <w:rsid w:val="00B24334"/>
    <w:rPr>
      <w:color w:val="0000FF" w:themeColor="hyperlink"/>
      <w:u w:val="single"/>
    </w:rPr>
  </w:style>
  <w:style w:type="character" w:styleId="Neatrisintapieminana">
    <w:name w:val="Unresolved Mention"/>
    <w:basedOn w:val="Noklusjumarindkopasfonts"/>
    <w:uiPriority w:val="99"/>
    <w:semiHidden/>
    <w:unhideWhenUsed/>
    <w:rsid w:val="00B24334"/>
    <w:rPr>
      <w:color w:val="605E5C"/>
      <w:shd w:val="clear" w:color="auto" w:fill="E1DFDD"/>
    </w:rPr>
  </w:style>
  <w:style w:type="paragraph" w:styleId="Vresteksts">
    <w:name w:val="footnote text"/>
    <w:basedOn w:val="Parasts"/>
    <w:link w:val="VrestekstsRakstz"/>
    <w:uiPriority w:val="99"/>
    <w:semiHidden/>
    <w:unhideWhenUsed/>
    <w:rsid w:val="00593F59"/>
    <w:rPr>
      <w:sz w:val="20"/>
      <w:szCs w:val="20"/>
    </w:rPr>
  </w:style>
  <w:style w:type="character" w:customStyle="1" w:styleId="VrestekstsRakstz">
    <w:name w:val="Vēres teksts Rakstz."/>
    <w:basedOn w:val="Noklusjumarindkopasfonts"/>
    <w:link w:val="Vresteksts"/>
    <w:uiPriority w:val="99"/>
    <w:semiHidden/>
    <w:rsid w:val="00593F59"/>
    <w:rPr>
      <w:sz w:val="20"/>
      <w:szCs w:val="20"/>
    </w:rPr>
  </w:style>
  <w:style w:type="character" w:styleId="Vresatsauce">
    <w:name w:val="footnote reference"/>
    <w:basedOn w:val="Noklusjumarindkopasfonts"/>
    <w:uiPriority w:val="99"/>
    <w:semiHidden/>
    <w:unhideWhenUsed/>
    <w:rsid w:val="00593F59"/>
    <w:rPr>
      <w:vertAlign w:val="superscript"/>
    </w:rPr>
  </w:style>
  <w:style w:type="table" w:styleId="Reatabula">
    <w:name w:val="Table Grid"/>
    <w:basedOn w:val="Parastatabula"/>
    <w:uiPriority w:val="39"/>
    <w:rsid w:val="00840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631D48"/>
  </w:style>
  <w:style w:type="paragraph" w:styleId="Saturardtjavirsraksts">
    <w:name w:val="TOC Heading"/>
    <w:basedOn w:val="Virsraksts1"/>
    <w:next w:val="Parasts"/>
    <w:uiPriority w:val="39"/>
    <w:unhideWhenUsed/>
    <w:qFormat/>
    <w:rsid w:val="006079AA"/>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efsa.europa.eu/EFSA/Scientific_Opinion/nda_op_ej530_guidance_%20health_claim_en.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70B79-28BB-41D3-86C1-CF279EF3580F}">
  <ds:schemaRefs>
    <ds:schemaRef ds:uri="http://schemas.openxmlformats.org/officeDocument/2006/bibliography"/>
  </ds:schemaRefs>
</ds:datastoreItem>
</file>

<file path=customXml/itemProps2.xml><?xml version="1.0" encoding="utf-8"?>
<ds:datastoreItem xmlns:ds="http://schemas.openxmlformats.org/officeDocument/2006/customXml" ds:itemID="{0531BD05-F236-49F6-BEA7-A370BA58752F}"/>
</file>

<file path=customXml/itemProps3.xml><?xml version="1.0" encoding="utf-8"?>
<ds:datastoreItem xmlns:ds="http://schemas.openxmlformats.org/officeDocument/2006/customXml" ds:itemID="{E8FB64A2-0BD5-4231-BEBA-EA00B4387EC1}"/>
</file>

<file path=customXml/itemProps4.xml><?xml version="1.0" encoding="utf-8"?>
<ds:datastoreItem xmlns:ds="http://schemas.openxmlformats.org/officeDocument/2006/customXml" ds:itemID="{B6C943BF-44A7-402E-BEB8-3DA1BF477F32}"/>
</file>

<file path=docProps/app.xml><?xml version="1.0" encoding="utf-8"?>
<Properties xmlns="http://schemas.openxmlformats.org/officeDocument/2006/extended-properties" xmlns:vt="http://schemas.openxmlformats.org/officeDocument/2006/docPropsVTypes">
  <Template>Normal.dotm</Template>
  <TotalTime>0</TotalTime>
  <Pages>13</Pages>
  <Words>15819</Words>
  <Characters>9017</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2020-10-15T10:22:00Z</dcterms:created>
  <dcterms:modified xsi:type="dcterms:W3CDTF">2021-02-15T15:58:00Z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384800</vt:r8>
  </property>
</Properties>
</file>