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C671C" w14:textId="39FC6FE2" w:rsidR="00672FC0" w:rsidRDefault="00672FC0" w:rsidP="00154588">
      <w:pPr>
        <w:jc w:val="both"/>
        <w:rPr>
          <w:rFonts w:ascii="Times New Roman" w:eastAsia="Times New Roman" w:hAnsi="Times New Roman" w:cs="Times New Roman"/>
          <w:noProof/>
          <w:sz w:val="24"/>
          <w:szCs w:val="24"/>
        </w:rPr>
      </w:pPr>
    </w:p>
    <w:p w14:paraId="245CF297" w14:textId="0D4398C7" w:rsidR="00383519" w:rsidRDefault="004014A0" w:rsidP="00154588">
      <w:pPr>
        <w:jc w:val="both"/>
        <w:rPr>
          <w:rFonts w:ascii="Times New Roman" w:eastAsia="Times New Roman" w:hAnsi="Times New Roman" w:cs="Times New Roman"/>
          <w:noProof/>
          <w:sz w:val="24"/>
          <w:szCs w:val="24"/>
        </w:rPr>
      </w:pPr>
      <w:r w:rsidRPr="004014A0">
        <w:rPr>
          <w:rFonts w:ascii="Times New Roman" w:eastAsia="Times New Roman" w:hAnsi="Times New Roman" w:cs="Times New Roman"/>
          <w:noProof/>
          <w:sz w:val="24"/>
          <w:szCs w:val="24"/>
        </w:rPr>
        <w:drawing>
          <wp:inline distT="0" distB="0" distL="0" distR="0" wp14:anchorId="7406EAE3" wp14:editId="43F585BD">
            <wp:extent cx="5760720" cy="82048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204835"/>
                    </a:xfrm>
                    <a:prstGeom prst="rect">
                      <a:avLst/>
                    </a:prstGeom>
                    <a:noFill/>
                    <a:ln>
                      <a:noFill/>
                    </a:ln>
                  </pic:spPr>
                </pic:pic>
              </a:graphicData>
            </a:graphic>
          </wp:inline>
        </w:drawing>
      </w:r>
    </w:p>
    <w:p w14:paraId="7360A2A1" w14:textId="5D4BE868" w:rsidR="00383519" w:rsidRDefault="00383519" w:rsidP="00154588">
      <w:pPr>
        <w:jc w:val="both"/>
        <w:rPr>
          <w:rFonts w:ascii="Times New Roman" w:eastAsia="Times New Roman" w:hAnsi="Times New Roman" w:cs="Times New Roman"/>
          <w:noProof/>
          <w:sz w:val="24"/>
          <w:szCs w:val="24"/>
        </w:rPr>
      </w:pPr>
    </w:p>
    <w:p w14:paraId="275A8406" w14:textId="66DEA798" w:rsidR="00154588" w:rsidRDefault="00154588">
      <w:pPr>
        <w:rPr>
          <w:rFonts w:ascii="Times New Roman" w:eastAsia="Calibri" w:hAnsi="Times New Roman" w:cs="Calibri"/>
          <w:i/>
          <w:noProof/>
          <w:sz w:val="24"/>
          <w:szCs w:val="20"/>
        </w:rPr>
      </w:pPr>
      <w:r>
        <w:br w:type="page"/>
      </w:r>
    </w:p>
    <w:p w14:paraId="60103D64" w14:textId="77777777" w:rsidR="00154588" w:rsidRPr="00154588" w:rsidRDefault="00154588" w:rsidP="00154588">
      <w:pPr>
        <w:jc w:val="both"/>
        <w:rPr>
          <w:rFonts w:ascii="Times New Roman" w:eastAsia="Calibri" w:hAnsi="Times New Roman" w:cs="Calibri"/>
          <w:noProof/>
          <w:sz w:val="24"/>
        </w:rPr>
      </w:pPr>
    </w:p>
    <w:p w14:paraId="16E25E92" w14:textId="6C8FD10A" w:rsidR="00154588" w:rsidRPr="00DF2DBA" w:rsidRDefault="00672FC0" w:rsidP="00DF2DBA">
      <w:pPr>
        <w:pStyle w:val="Heading1"/>
        <w:rPr>
          <w:noProof/>
          <w:sz w:val="28"/>
          <w:szCs w:val="32"/>
        </w:rPr>
      </w:pPr>
      <w:bookmarkStart w:id="0" w:name="_Toc46997531"/>
      <w:bookmarkStart w:id="1" w:name="_Toc47003054"/>
      <w:r w:rsidRPr="00780F03">
        <w:rPr>
          <w:sz w:val="28"/>
          <w:szCs w:val="32"/>
        </w:rPr>
        <w:t>Saturs</w:t>
      </w:r>
      <w:bookmarkEnd w:id="0"/>
      <w:bookmarkEnd w:id="1"/>
    </w:p>
    <w:sdt>
      <w:sdtPr>
        <w:rPr>
          <w:rFonts w:ascii="Times New Roman" w:eastAsiaTheme="minorHAnsi" w:hAnsi="Times New Roman" w:cs="Times New Roman"/>
          <w:color w:val="auto"/>
          <w:sz w:val="24"/>
          <w:szCs w:val="24"/>
          <w:lang w:val="lv-LV"/>
        </w:rPr>
        <w:id w:val="1296801013"/>
        <w:docPartObj>
          <w:docPartGallery w:val="Table of Contents"/>
          <w:docPartUnique/>
        </w:docPartObj>
      </w:sdtPr>
      <w:sdtEndPr>
        <w:rPr>
          <w:b/>
          <w:bCs/>
          <w:noProof/>
          <w:sz w:val="20"/>
          <w:szCs w:val="20"/>
        </w:rPr>
      </w:sdtEndPr>
      <w:sdtContent>
        <w:p w14:paraId="4959FFDE" w14:textId="7B74C5D5" w:rsidR="00780F03" w:rsidRPr="00DF2DBA" w:rsidRDefault="00780F03" w:rsidP="00780F03">
          <w:pPr>
            <w:pStyle w:val="TOCHeading"/>
            <w:keepNext w:val="0"/>
            <w:keepLines w:val="0"/>
            <w:widowControl w:val="0"/>
            <w:spacing w:before="0" w:line="240" w:lineRule="auto"/>
            <w:rPr>
              <w:rFonts w:ascii="Times New Roman" w:eastAsiaTheme="minorEastAsia" w:hAnsi="Times New Roman" w:cs="Times New Roman"/>
              <w:noProof/>
              <w:color w:val="auto"/>
              <w:sz w:val="20"/>
              <w:szCs w:val="20"/>
              <w:lang w:eastAsia="lv-LV"/>
            </w:rPr>
          </w:pPr>
          <w:r w:rsidRPr="00DF2DBA">
            <w:rPr>
              <w:rFonts w:ascii="Times New Roman" w:hAnsi="Times New Roman" w:cs="Times New Roman"/>
              <w:color w:val="auto"/>
              <w:sz w:val="20"/>
              <w:szCs w:val="20"/>
            </w:rPr>
            <w:fldChar w:fldCharType="begin"/>
          </w:r>
          <w:r w:rsidRPr="00DF2DBA">
            <w:rPr>
              <w:rFonts w:ascii="Times New Roman" w:hAnsi="Times New Roman" w:cs="Times New Roman"/>
              <w:color w:val="auto"/>
              <w:sz w:val="20"/>
              <w:szCs w:val="20"/>
            </w:rPr>
            <w:instrText xml:space="preserve"> TOC \o "1-3" \h \z \u </w:instrText>
          </w:r>
          <w:r w:rsidRPr="00DF2DBA">
            <w:rPr>
              <w:rFonts w:ascii="Times New Roman" w:hAnsi="Times New Roman" w:cs="Times New Roman"/>
              <w:color w:val="auto"/>
              <w:sz w:val="20"/>
              <w:szCs w:val="20"/>
            </w:rPr>
            <w:fldChar w:fldCharType="separate"/>
          </w:r>
        </w:p>
        <w:p w14:paraId="1CB9B5BB" w14:textId="248E4767"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55" w:history="1">
            <w:r w:rsidR="00780F03" w:rsidRPr="00DF2DBA">
              <w:rPr>
                <w:rStyle w:val="Hyperlink"/>
                <w:rFonts w:ascii="Times New Roman" w:hAnsi="Times New Roman" w:cs="Times New Roman"/>
                <w:noProof/>
                <w:color w:val="auto"/>
                <w:sz w:val="20"/>
                <w:szCs w:val="20"/>
              </w:rPr>
              <w:t>Ievads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_Toc47003055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w:t>
            </w:r>
            <w:r w:rsidR="00780F03" w:rsidRPr="00DF2DBA">
              <w:rPr>
                <w:rFonts w:ascii="Times New Roman" w:hAnsi="Times New Roman" w:cs="Times New Roman"/>
                <w:noProof/>
                <w:webHidden/>
                <w:sz w:val="20"/>
                <w:szCs w:val="20"/>
              </w:rPr>
              <w:fldChar w:fldCharType="end"/>
            </w:r>
          </w:hyperlink>
        </w:p>
        <w:p w14:paraId="1B7D7564" w14:textId="0CFB0FB5"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56" w:history="1">
            <w:r w:rsidR="00780F03" w:rsidRPr="00DF2DBA">
              <w:rPr>
                <w:rStyle w:val="Hyperlink"/>
                <w:rFonts w:ascii="Times New Roman" w:hAnsi="Times New Roman" w:cs="Times New Roman"/>
                <w:noProof/>
                <w:color w:val="auto"/>
                <w:sz w:val="20"/>
                <w:szCs w:val="20"/>
              </w:rPr>
              <w:t>Anti</w:t>
            </w:r>
            <w:r w:rsidR="004D53BD">
              <w:rPr>
                <w:rStyle w:val="Hyperlink"/>
                <w:rFonts w:ascii="Times New Roman" w:hAnsi="Times New Roman" w:cs="Times New Roman"/>
                <w:noProof/>
                <w:color w:val="auto"/>
                <w:sz w:val="20"/>
                <w:szCs w:val="20"/>
              </w:rPr>
              <w:t>mikrobiālo</w:t>
            </w:r>
            <w:r w:rsidR="00780F03" w:rsidRPr="00DF2DBA">
              <w:rPr>
                <w:rStyle w:val="Hyperlink"/>
                <w:rFonts w:ascii="Times New Roman" w:hAnsi="Times New Roman" w:cs="Times New Roman"/>
                <w:noProof/>
                <w:color w:val="auto"/>
                <w:sz w:val="20"/>
                <w:szCs w:val="20"/>
              </w:rPr>
              <w:t xml:space="preserve"> līdzekļu lietošanas vispārējie principi</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_Toc47003056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w:t>
            </w:r>
            <w:r w:rsidR="00780F03" w:rsidRPr="00DF2DBA">
              <w:rPr>
                <w:rFonts w:ascii="Times New Roman" w:hAnsi="Times New Roman" w:cs="Times New Roman"/>
                <w:noProof/>
                <w:webHidden/>
                <w:sz w:val="20"/>
                <w:szCs w:val="20"/>
              </w:rPr>
              <w:fldChar w:fldCharType="end"/>
            </w:r>
          </w:hyperlink>
        </w:p>
        <w:p w14:paraId="5CA80226" w14:textId="0282C7B6" w:rsidR="00780F03" w:rsidRPr="00DF2DBA" w:rsidRDefault="004014A0" w:rsidP="00796380">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57" w:history="1">
            <w:r w:rsidR="00780F03" w:rsidRPr="00DF2DBA">
              <w:rPr>
                <w:rStyle w:val="Hyperlink"/>
                <w:rFonts w:ascii="Times New Roman" w:hAnsi="Times New Roman" w:cs="Times New Roman"/>
                <w:noProof/>
                <w:color w:val="auto"/>
                <w:sz w:val="20"/>
                <w:szCs w:val="20"/>
              </w:rPr>
              <w:t>Apsvērumi pirms ant</w:t>
            </w:r>
            <w:r w:rsidR="00780F03" w:rsidRPr="00DF2DBA">
              <w:rPr>
                <w:rStyle w:val="Hyperlink"/>
                <w:rFonts w:ascii="Times New Roman" w:hAnsi="Times New Roman" w:cs="Times New Roman"/>
                <w:noProof/>
                <w:color w:val="auto"/>
                <w:sz w:val="20"/>
                <w:szCs w:val="20"/>
              </w:rPr>
              <w:t>i</w:t>
            </w:r>
            <w:r w:rsidR="004D53BD">
              <w:rPr>
                <w:rStyle w:val="Hyperlink"/>
                <w:rFonts w:ascii="Times New Roman" w:hAnsi="Times New Roman" w:cs="Times New Roman"/>
                <w:noProof/>
                <w:color w:val="auto"/>
                <w:sz w:val="20"/>
                <w:szCs w:val="20"/>
              </w:rPr>
              <w:t>mikrobiālās</w:t>
            </w:r>
            <w:r w:rsidR="00780F03" w:rsidRPr="00DF2DBA">
              <w:rPr>
                <w:rStyle w:val="Hyperlink"/>
                <w:rFonts w:ascii="Times New Roman" w:hAnsi="Times New Roman" w:cs="Times New Roman"/>
                <w:noProof/>
                <w:color w:val="auto"/>
                <w:sz w:val="20"/>
                <w:szCs w:val="20"/>
              </w:rPr>
              <w:t xml:space="preserve"> ārstēšanas uzsākšanas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_Toc47003057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5</w:t>
            </w:r>
            <w:r w:rsidR="00780F03" w:rsidRPr="00DF2DBA">
              <w:rPr>
                <w:rFonts w:ascii="Times New Roman" w:hAnsi="Times New Roman" w:cs="Times New Roman"/>
                <w:noProof/>
                <w:webHidden/>
                <w:sz w:val="20"/>
                <w:szCs w:val="20"/>
              </w:rPr>
              <w:fldChar w:fldCharType="end"/>
            </w:r>
          </w:hyperlink>
        </w:p>
        <w:p w14:paraId="34675D2C" w14:textId="4711AAAF" w:rsidR="00780F03" w:rsidRPr="00DF2DBA" w:rsidRDefault="004014A0" w:rsidP="00780F03">
          <w:pPr>
            <w:pStyle w:val="TOC3"/>
            <w:tabs>
              <w:tab w:val="right" w:leader="dot" w:pos="9062"/>
            </w:tabs>
            <w:spacing w:before="0"/>
            <w:ind w:left="0"/>
            <w:jc w:val="both"/>
            <w:rPr>
              <w:rStyle w:val="Hyperlink"/>
              <w:rFonts w:ascii="Times New Roman" w:hAnsi="Times New Roman" w:cs="Times New Roman"/>
              <w:noProof/>
              <w:color w:val="auto"/>
              <w:sz w:val="20"/>
              <w:szCs w:val="20"/>
            </w:rPr>
          </w:pPr>
          <w:hyperlink w:anchor="_Toc47003063" w:history="1">
            <w:r w:rsidR="00780F03" w:rsidRPr="00DF2DBA">
              <w:rPr>
                <w:rStyle w:val="Hyperlink"/>
                <w:rFonts w:ascii="Times New Roman" w:hAnsi="Times New Roman" w:cs="Times New Roman"/>
                <w:noProof/>
                <w:color w:val="auto"/>
                <w:sz w:val="20"/>
                <w:szCs w:val="20"/>
              </w:rPr>
              <w:t>Antibiotiku atliek</w:t>
            </w:r>
            <w:r w:rsidR="00611F97">
              <w:rPr>
                <w:rStyle w:val="Hyperlink"/>
                <w:rFonts w:ascii="Times New Roman" w:hAnsi="Times New Roman" w:cs="Times New Roman"/>
                <w:noProof/>
                <w:color w:val="auto"/>
                <w:sz w:val="20"/>
                <w:szCs w:val="20"/>
              </w:rPr>
              <w:t>viel</w:t>
            </w:r>
            <w:r w:rsidR="00780F03" w:rsidRPr="00DF2DBA">
              <w:rPr>
                <w:rStyle w:val="Hyperlink"/>
                <w:rFonts w:ascii="Times New Roman" w:hAnsi="Times New Roman" w:cs="Times New Roman"/>
                <w:noProof/>
                <w:color w:val="auto"/>
                <w:sz w:val="20"/>
                <w:szCs w:val="20"/>
              </w:rPr>
              <w:t>u risks pā</w:t>
            </w:r>
            <w:r w:rsidR="00780F03" w:rsidRPr="00DF2DBA">
              <w:rPr>
                <w:rStyle w:val="Hyperlink"/>
                <w:rFonts w:ascii="Times New Roman" w:hAnsi="Times New Roman" w:cs="Times New Roman"/>
                <w:noProof/>
                <w:color w:val="auto"/>
                <w:sz w:val="20"/>
                <w:szCs w:val="20"/>
              </w:rPr>
              <w:t>r</w:t>
            </w:r>
            <w:r w:rsidR="00780F03" w:rsidRPr="00DF2DBA">
              <w:rPr>
                <w:rStyle w:val="Hyperlink"/>
                <w:rFonts w:ascii="Times New Roman" w:hAnsi="Times New Roman" w:cs="Times New Roman"/>
                <w:noProof/>
                <w:color w:val="auto"/>
                <w:sz w:val="20"/>
                <w:szCs w:val="20"/>
              </w:rPr>
              <w:t>tikā</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_Toc47003063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6</w:t>
            </w:r>
            <w:r w:rsidR="00780F03" w:rsidRPr="00DF2DBA">
              <w:rPr>
                <w:rFonts w:ascii="Times New Roman" w:hAnsi="Times New Roman" w:cs="Times New Roman"/>
                <w:noProof/>
                <w:webHidden/>
                <w:sz w:val="20"/>
                <w:szCs w:val="20"/>
              </w:rPr>
              <w:fldChar w:fldCharType="end"/>
            </w:r>
          </w:hyperlink>
        </w:p>
        <w:p w14:paraId="6175E89E" w14:textId="577DFF04" w:rsidR="00780F03" w:rsidRPr="00DF2DBA" w:rsidRDefault="00780F03" w:rsidP="00796380">
          <w:pPr>
            <w:pStyle w:val="TOC3"/>
            <w:tabs>
              <w:tab w:val="right" w:leader="dot" w:pos="9062"/>
            </w:tabs>
            <w:spacing w:before="0"/>
            <w:ind w:left="0"/>
            <w:jc w:val="both"/>
            <w:rPr>
              <w:rFonts w:ascii="Times New Roman" w:eastAsiaTheme="minorEastAsia" w:hAnsi="Times New Roman" w:cs="Times New Roman"/>
              <w:noProof/>
              <w:sz w:val="20"/>
              <w:szCs w:val="20"/>
              <w:lang w:eastAsia="lv-LV"/>
            </w:rPr>
          </w:pPr>
        </w:p>
        <w:p w14:paraId="648F49B0" w14:textId="6A3157FF" w:rsidR="00DF2DBA" w:rsidRPr="00DF2DBA" w:rsidRDefault="004014A0" w:rsidP="00780F03">
          <w:pPr>
            <w:pStyle w:val="TOC1"/>
            <w:tabs>
              <w:tab w:val="right" w:leader="dot" w:pos="9062"/>
            </w:tabs>
            <w:spacing w:before="0"/>
            <w:ind w:left="0"/>
            <w:jc w:val="both"/>
            <w:rPr>
              <w:rFonts w:ascii="Times New Roman" w:hAnsi="Times New Roman" w:cs="Times New Roman"/>
              <w:noProof/>
              <w:sz w:val="22"/>
              <w:szCs w:val="22"/>
              <w:u w:val="single"/>
            </w:rPr>
          </w:pPr>
          <w:hyperlink w:anchor="_Toc47003072" w:history="1">
            <w:r w:rsidR="00780F03" w:rsidRPr="00DF2DBA">
              <w:rPr>
                <w:rStyle w:val="Hyperlink"/>
                <w:rFonts w:ascii="Times New Roman" w:hAnsi="Times New Roman" w:cs="Times New Roman"/>
                <w:noProof/>
                <w:color w:val="auto"/>
                <w:sz w:val="22"/>
                <w:szCs w:val="22"/>
              </w:rPr>
              <w:t>Liellopu slimības</w:t>
            </w:r>
          </w:hyperlink>
        </w:p>
        <w:p w14:paraId="0F1D535E" w14:textId="4934058C"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73" w:history="1">
            <w:r w:rsidR="00780F03" w:rsidRPr="00DF2DBA">
              <w:rPr>
                <w:rStyle w:val="Hyperlink"/>
                <w:rFonts w:ascii="Times New Roman" w:hAnsi="Times New Roman" w:cs="Times New Roman"/>
                <w:noProof/>
                <w:color w:val="auto"/>
                <w:sz w:val="20"/>
                <w:szCs w:val="20"/>
              </w:rPr>
              <w:t>Tesmeņa infekcijas un pupu ievainojumi</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_Toc47003073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11</w:t>
            </w:r>
            <w:r w:rsidR="00780F03" w:rsidRPr="00DF2DBA">
              <w:rPr>
                <w:rFonts w:ascii="Times New Roman" w:hAnsi="Times New Roman" w:cs="Times New Roman"/>
                <w:noProof/>
                <w:webHidden/>
                <w:sz w:val="20"/>
                <w:szCs w:val="20"/>
              </w:rPr>
              <w:fldChar w:fldCharType="end"/>
            </w:r>
          </w:hyperlink>
        </w:p>
        <w:p w14:paraId="6F6912AD" w14:textId="17FF9AE0"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83" w:history="1">
            <w:r w:rsidR="00780F03" w:rsidRPr="00DF2DBA">
              <w:rPr>
                <w:rStyle w:val="Hyperlink"/>
                <w:rFonts w:ascii="Times New Roman" w:hAnsi="Times New Roman" w:cs="Times New Roman"/>
                <w:noProof/>
                <w:color w:val="auto"/>
                <w:sz w:val="20"/>
                <w:szCs w:val="20"/>
              </w:rPr>
              <w:t>Reproduktīvās sistēmas orgānu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_Toc47003083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16</w:t>
            </w:r>
            <w:r w:rsidR="00780F03" w:rsidRPr="00DF2DBA">
              <w:rPr>
                <w:rFonts w:ascii="Times New Roman" w:hAnsi="Times New Roman" w:cs="Times New Roman"/>
                <w:noProof/>
                <w:webHidden/>
                <w:sz w:val="20"/>
                <w:szCs w:val="20"/>
              </w:rPr>
              <w:fldChar w:fldCharType="end"/>
            </w:r>
          </w:hyperlink>
        </w:p>
        <w:p w14:paraId="055B3718" w14:textId="4D1F87BA"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091" w:history="1">
            <w:r w:rsidR="00780F03" w:rsidRPr="00DF2DBA">
              <w:rPr>
                <w:rStyle w:val="Hyperlink"/>
                <w:rFonts w:ascii="Times New Roman" w:hAnsi="Times New Roman" w:cs="Times New Roman"/>
                <w:noProof/>
                <w:color w:val="auto"/>
                <w:sz w:val="20"/>
                <w:szCs w:val="20"/>
              </w:rPr>
              <w:t>Balsta un kustību orgānu sistēmas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_Toc47003091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19</w:t>
            </w:r>
            <w:r w:rsidR="00780F03" w:rsidRPr="00DF2DBA">
              <w:rPr>
                <w:rFonts w:ascii="Times New Roman" w:hAnsi="Times New Roman" w:cs="Times New Roman"/>
                <w:noProof/>
                <w:webHidden/>
                <w:sz w:val="20"/>
                <w:szCs w:val="20"/>
              </w:rPr>
              <w:fldChar w:fldCharType="end"/>
            </w:r>
          </w:hyperlink>
        </w:p>
        <w:p w14:paraId="6F255FA4" w14:textId="124DFBDF"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01" w:history="1">
            <w:r w:rsidR="00780F03" w:rsidRPr="00DF2DBA">
              <w:rPr>
                <w:rStyle w:val="Hyperlink"/>
                <w:rFonts w:ascii="Times New Roman" w:hAnsi="Times New Roman" w:cs="Times New Roman"/>
                <w:noProof/>
                <w:color w:val="auto"/>
                <w:sz w:val="20"/>
                <w:szCs w:val="20"/>
              </w:rPr>
              <w:t>Teļi un jaunpienācēji</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_Toc47003101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22</w:t>
            </w:r>
            <w:r w:rsidR="00780F03" w:rsidRPr="00DF2DBA">
              <w:rPr>
                <w:rFonts w:ascii="Times New Roman" w:hAnsi="Times New Roman" w:cs="Times New Roman"/>
                <w:noProof/>
                <w:webHidden/>
                <w:sz w:val="20"/>
                <w:szCs w:val="20"/>
              </w:rPr>
              <w:fldChar w:fldCharType="end"/>
            </w:r>
          </w:hyperlink>
        </w:p>
        <w:p w14:paraId="68D22F2C" w14:textId="77777777" w:rsidR="00796380" w:rsidRPr="00DF2DBA" w:rsidRDefault="00796380" w:rsidP="00780F03">
          <w:pPr>
            <w:pStyle w:val="TOC3"/>
            <w:tabs>
              <w:tab w:val="right" w:leader="dot" w:pos="9062"/>
            </w:tabs>
            <w:spacing w:before="0"/>
            <w:ind w:left="0"/>
            <w:jc w:val="both"/>
            <w:rPr>
              <w:rFonts w:ascii="Times New Roman" w:eastAsiaTheme="minorEastAsia" w:hAnsi="Times New Roman" w:cs="Times New Roman"/>
              <w:noProof/>
              <w:sz w:val="20"/>
              <w:szCs w:val="20"/>
              <w:lang w:eastAsia="lv-LV"/>
            </w:rPr>
          </w:pPr>
        </w:p>
        <w:p w14:paraId="002B9F9F" w14:textId="0209D165" w:rsidR="00DF2DBA" w:rsidRPr="00DF2DBA" w:rsidRDefault="004014A0" w:rsidP="00780F03">
          <w:pPr>
            <w:pStyle w:val="TOC1"/>
            <w:tabs>
              <w:tab w:val="right" w:leader="dot" w:pos="9062"/>
            </w:tabs>
            <w:spacing w:before="0"/>
            <w:ind w:left="0"/>
            <w:jc w:val="both"/>
            <w:rPr>
              <w:rFonts w:ascii="Times New Roman" w:hAnsi="Times New Roman" w:cs="Times New Roman"/>
              <w:noProof/>
              <w:sz w:val="22"/>
              <w:szCs w:val="22"/>
              <w:u w:val="single"/>
            </w:rPr>
          </w:pPr>
          <w:hyperlink w:anchor="_Toc47003113" w:history="1">
            <w:r w:rsidR="00780F03" w:rsidRPr="00DF2DBA">
              <w:rPr>
                <w:rStyle w:val="Hyperlink"/>
                <w:rFonts w:ascii="Times New Roman" w:hAnsi="Times New Roman" w:cs="Times New Roman"/>
                <w:noProof/>
                <w:color w:val="auto"/>
                <w:sz w:val="22"/>
                <w:szCs w:val="22"/>
              </w:rPr>
              <w:t>Cūku slimības</w:t>
            </w:r>
          </w:hyperlink>
        </w:p>
        <w:p w14:paraId="6F67A1C2" w14:textId="0A2282FB"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14" w:history="1">
            <w:r w:rsidR="00780F03" w:rsidRPr="00DF2DBA">
              <w:rPr>
                <w:rStyle w:val="Hyperlink"/>
                <w:rFonts w:ascii="Times New Roman" w:hAnsi="Times New Roman" w:cs="Times New Roman"/>
                <w:noProof/>
                <w:color w:val="auto"/>
                <w:sz w:val="20"/>
                <w:szCs w:val="20"/>
              </w:rPr>
              <w:t>Kuņģa-zarnu trakta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_Toc47003114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25</w:t>
            </w:r>
            <w:r w:rsidR="00780F03" w:rsidRPr="00DF2DBA">
              <w:rPr>
                <w:rFonts w:ascii="Times New Roman" w:hAnsi="Times New Roman" w:cs="Times New Roman"/>
                <w:noProof/>
                <w:webHidden/>
                <w:sz w:val="20"/>
                <w:szCs w:val="20"/>
              </w:rPr>
              <w:fldChar w:fldCharType="end"/>
            </w:r>
          </w:hyperlink>
        </w:p>
        <w:p w14:paraId="250D27D6" w14:textId="63BAEBE8"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28" w:history="1">
            <w:r w:rsidR="00780F03" w:rsidRPr="00DF2DBA">
              <w:rPr>
                <w:rStyle w:val="Hyperlink"/>
                <w:rFonts w:ascii="Times New Roman" w:hAnsi="Times New Roman" w:cs="Times New Roman"/>
                <w:noProof/>
                <w:color w:val="auto"/>
                <w:sz w:val="20"/>
                <w:szCs w:val="20"/>
              </w:rPr>
              <w:t>Elpceļu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_Toc47003128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29</w:t>
            </w:r>
            <w:r w:rsidR="00780F03" w:rsidRPr="00DF2DBA">
              <w:rPr>
                <w:rFonts w:ascii="Times New Roman" w:hAnsi="Times New Roman" w:cs="Times New Roman"/>
                <w:noProof/>
                <w:webHidden/>
                <w:sz w:val="20"/>
                <w:szCs w:val="20"/>
              </w:rPr>
              <w:fldChar w:fldCharType="end"/>
            </w:r>
          </w:hyperlink>
        </w:p>
        <w:p w14:paraId="5050C987" w14:textId="318BC37C"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34" w:history="1">
            <w:r w:rsidR="00780F03" w:rsidRPr="00DF2DBA">
              <w:rPr>
                <w:rStyle w:val="Hyperlink"/>
                <w:rFonts w:ascii="Times New Roman" w:hAnsi="Times New Roman" w:cs="Times New Roman"/>
                <w:noProof/>
                <w:color w:val="auto"/>
                <w:sz w:val="20"/>
                <w:szCs w:val="20"/>
              </w:rPr>
              <w:t>Mastīts sivēnmātēm</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_Toc47003134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32</w:t>
            </w:r>
            <w:r w:rsidR="00780F03" w:rsidRPr="00DF2DBA">
              <w:rPr>
                <w:rFonts w:ascii="Times New Roman" w:hAnsi="Times New Roman" w:cs="Times New Roman"/>
                <w:noProof/>
                <w:webHidden/>
                <w:sz w:val="20"/>
                <w:szCs w:val="20"/>
              </w:rPr>
              <w:fldChar w:fldCharType="end"/>
            </w:r>
          </w:hyperlink>
        </w:p>
        <w:p w14:paraId="209B1AD7" w14:textId="2EEC51D1"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38" w:history="1">
            <w:r w:rsidR="00780F03" w:rsidRPr="00DF2DBA">
              <w:rPr>
                <w:rStyle w:val="Hyperlink"/>
                <w:rFonts w:ascii="Times New Roman" w:hAnsi="Times New Roman" w:cs="Times New Roman"/>
                <w:noProof/>
                <w:color w:val="auto"/>
                <w:sz w:val="20"/>
                <w:szCs w:val="20"/>
              </w:rPr>
              <w:t>Balsta un kustību sistēmas infekcijas – artrīts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_Toc47003138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34</w:t>
            </w:r>
            <w:r w:rsidR="00780F03" w:rsidRPr="00DF2DBA">
              <w:rPr>
                <w:rFonts w:ascii="Times New Roman" w:hAnsi="Times New Roman" w:cs="Times New Roman"/>
                <w:noProof/>
                <w:webHidden/>
                <w:sz w:val="20"/>
                <w:szCs w:val="20"/>
              </w:rPr>
              <w:fldChar w:fldCharType="end"/>
            </w:r>
          </w:hyperlink>
        </w:p>
        <w:p w14:paraId="3D55B391" w14:textId="43B48E1F"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42" w:history="1">
            <w:r w:rsidR="00780F03" w:rsidRPr="00DF2DBA">
              <w:rPr>
                <w:rStyle w:val="Hyperlink"/>
                <w:rFonts w:ascii="Times New Roman" w:hAnsi="Times New Roman" w:cs="Times New Roman"/>
                <w:noProof/>
                <w:color w:val="auto"/>
                <w:sz w:val="20"/>
                <w:szCs w:val="20"/>
              </w:rPr>
              <w:t>Stratēģijas dzīvnieku grupas terapijai</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_Toc47003142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35</w:t>
            </w:r>
            <w:r w:rsidR="00780F03" w:rsidRPr="00DF2DBA">
              <w:rPr>
                <w:rFonts w:ascii="Times New Roman" w:hAnsi="Times New Roman" w:cs="Times New Roman"/>
                <w:noProof/>
                <w:webHidden/>
                <w:sz w:val="20"/>
                <w:szCs w:val="20"/>
              </w:rPr>
              <w:fldChar w:fldCharType="end"/>
            </w:r>
          </w:hyperlink>
        </w:p>
        <w:p w14:paraId="22D2C8EC" w14:textId="77777777" w:rsidR="00796380" w:rsidRPr="00DF2DBA" w:rsidRDefault="00796380" w:rsidP="00780F03">
          <w:pPr>
            <w:pStyle w:val="TOC3"/>
            <w:tabs>
              <w:tab w:val="right" w:leader="dot" w:pos="9062"/>
            </w:tabs>
            <w:spacing w:before="0"/>
            <w:ind w:left="0"/>
            <w:jc w:val="both"/>
            <w:rPr>
              <w:rFonts w:ascii="Times New Roman" w:eastAsiaTheme="minorEastAsia" w:hAnsi="Times New Roman" w:cs="Times New Roman"/>
              <w:noProof/>
              <w:sz w:val="20"/>
              <w:szCs w:val="20"/>
              <w:lang w:eastAsia="lv-LV"/>
            </w:rPr>
          </w:pPr>
        </w:p>
        <w:p w14:paraId="5D4C7DB5" w14:textId="4DB2B78E" w:rsidR="00DF2DBA" w:rsidRPr="00DF2DBA" w:rsidRDefault="004014A0" w:rsidP="00780F03">
          <w:pPr>
            <w:pStyle w:val="TOC1"/>
            <w:tabs>
              <w:tab w:val="right" w:leader="dot" w:pos="9062"/>
            </w:tabs>
            <w:spacing w:before="0"/>
            <w:ind w:left="0"/>
            <w:jc w:val="both"/>
            <w:rPr>
              <w:rFonts w:ascii="Times New Roman" w:hAnsi="Times New Roman" w:cs="Times New Roman"/>
              <w:noProof/>
              <w:sz w:val="22"/>
              <w:szCs w:val="22"/>
              <w:u w:val="single"/>
            </w:rPr>
          </w:pPr>
          <w:hyperlink w:anchor="_Toc47003145" w:history="1">
            <w:r w:rsidR="00780F03" w:rsidRPr="00DF2DBA">
              <w:rPr>
                <w:rStyle w:val="Hyperlink"/>
                <w:rFonts w:ascii="Times New Roman" w:hAnsi="Times New Roman" w:cs="Times New Roman"/>
                <w:noProof/>
                <w:color w:val="auto"/>
                <w:sz w:val="22"/>
                <w:szCs w:val="22"/>
              </w:rPr>
              <w:t>Aitu slimības</w:t>
            </w:r>
          </w:hyperlink>
        </w:p>
        <w:p w14:paraId="3C2D1E44" w14:textId="70721D07" w:rsidR="00780F03" w:rsidRPr="00DF2DBA" w:rsidRDefault="004014A0" w:rsidP="00DF2DBA">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46" w:history="1">
            <w:r w:rsidR="00780F03" w:rsidRPr="00DF2DBA">
              <w:rPr>
                <w:rStyle w:val="Hyperlink"/>
                <w:rFonts w:ascii="Times New Roman" w:hAnsi="Times New Roman" w:cs="Times New Roman"/>
                <w:noProof/>
                <w:color w:val="auto"/>
                <w:sz w:val="20"/>
                <w:szCs w:val="20"/>
              </w:rPr>
              <w:t>Mastīts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_Toc47003146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36</w:t>
            </w:r>
            <w:r w:rsidR="00780F03" w:rsidRPr="00DF2DBA">
              <w:rPr>
                <w:rFonts w:ascii="Times New Roman" w:hAnsi="Times New Roman" w:cs="Times New Roman"/>
                <w:noProof/>
                <w:webHidden/>
                <w:sz w:val="20"/>
                <w:szCs w:val="20"/>
              </w:rPr>
              <w:fldChar w:fldCharType="end"/>
            </w:r>
          </w:hyperlink>
        </w:p>
        <w:p w14:paraId="782232E2" w14:textId="31751905" w:rsidR="00780F03" w:rsidRPr="00DF2DBA" w:rsidRDefault="004014A0" w:rsidP="00DF2DBA">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49" w:history="1">
            <w:r w:rsidR="00780F03" w:rsidRPr="00DF2DBA">
              <w:rPr>
                <w:rStyle w:val="Hyperlink"/>
                <w:rFonts w:ascii="Times New Roman" w:hAnsi="Times New Roman" w:cs="Times New Roman"/>
                <w:noProof/>
                <w:color w:val="auto"/>
                <w:sz w:val="20"/>
                <w:szCs w:val="20"/>
              </w:rPr>
              <w:t>Metrīts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_Toc47003149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36</w:t>
            </w:r>
            <w:r w:rsidR="00780F03" w:rsidRPr="00DF2DBA">
              <w:rPr>
                <w:rFonts w:ascii="Times New Roman" w:hAnsi="Times New Roman" w:cs="Times New Roman"/>
                <w:noProof/>
                <w:webHidden/>
                <w:sz w:val="20"/>
                <w:szCs w:val="20"/>
              </w:rPr>
              <w:fldChar w:fldCharType="end"/>
            </w:r>
          </w:hyperlink>
        </w:p>
        <w:p w14:paraId="480F5C73" w14:textId="5F07C4AE" w:rsidR="00780F03" w:rsidRPr="00DF2DBA" w:rsidRDefault="004014A0" w:rsidP="00DF2DBA">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52" w:history="1">
            <w:r w:rsidR="00780F03" w:rsidRPr="00DF2DBA">
              <w:rPr>
                <w:rStyle w:val="Hyperlink"/>
                <w:rFonts w:ascii="Times New Roman" w:hAnsi="Times New Roman" w:cs="Times New Roman"/>
                <w:noProof/>
                <w:color w:val="auto"/>
                <w:sz w:val="20"/>
                <w:szCs w:val="20"/>
              </w:rPr>
              <w:t>Septicēmija un “ūdeņainās mutes” sindroms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_Toc47003152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37</w:t>
            </w:r>
            <w:r w:rsidR="00780F03" w:rsidRPr="00DF2DBA">
              <w:rPr>
                <w:rFonts w:ascii="Times New Roman" w:hAnsi="Times New Roman" w:cs="Times New Roman"/>
                <w:noProof/>
                <w:webHidden/>
                <w:sz w:val="20"/>
                <w:szCs w:val="20"/>
              </w:rPr>
              <w:fldChar w:fldCharType="end"/>
            </w:r>
          </w:hyperlink>
        </w:p>
        <w:p w14:paraId="105A7E79" w14:textId="59078986"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55" w:history="1">
            <w:r w:rsidR="00780F03" w:rsidRPr="00DF2DBA">
              <w:rPr>
                <w:rStyle w:val="Hyperlink"/>
                <w:rFonts w:ascii="Times New Roman" w:hAnsi="Times New Roman" w:cs="Times New Roman"/>
                <w:noProof/>
                <w:color w:val="auto"/>
                <w:sz w:val="20"/>
                <w:szCs w:val="20"/>
              </w:rPr>
              <w:t>Enterīts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_Toc47003155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37</w:t>
            </w:r>
            <w:r w:rsidR="00780F03" w:rsidRPr="00DF2DBA">
              <w:rPr>
                <w:rFonts w:ascii="Times New Roman" w:hAnsi="Times New Roman" w:cs="Times New Roman"/>
                <w:noProof/>
                <w:webHidden/>
                <w:sz w:val="20"/>
                <w:szCs w:val="20"/>
              </w:rPr>
              <w:fldChar w:fldCharType="end"/>
            </w:r>
          </w:hyperlink>
        </w:p>
        <w:p w14:paraId="0FEA0B40" w14:textId="0AD36074"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58" w:history="1">
            <w:r w:rsidR="00780F03" w:rsidRPr="00DF2DBA">
              <w:rPr>
                <w:rStyle w:val="Hyperlink"/>
                <w:rFonts w:ascii="Times New Roman" w:hAnsi="Times New Roman" w:cs="Times New Roman"/>
                <w:noProof/>
                <w:color w:val="auto"/>
                <w:sz w:val="20"/>
                <w:szCs w:val="20"/>
              </w:rPr>
              <w:t>Artrīts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_Toc47003158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38</w:t>
            </w:r>
            <w:r w:rsidR="00780F03" w:rsidRPr="00DF2DBA">
              <w:rPr>
                <w:rFonts w:ascii="Times New Roman" w:hAnsi="Times New Roman" w:cs="Times New Roman"/>
                <w:noProof/>
                <w:webHidden/>
                <w:sz w:val="20"/>
                <w:szCs w:val="20"/>
              </w:rPr>
              <w:fldChar w:fldCharType="end"/>
            </w:r>
          </w:hyperlink>
        </w:p>
        <w:p w14:paraId="5EF4DA64" w14:textId="19E401A0"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61" w:history="1">
            <w:r w:rsidR="00780F03" w:rsidRPr="00DF2DBA">
              <w:rPr>
                <w:rStyle w:val="Hyperlink"/>
                <w:rFonts w:ascii="Times New Roman" w:hAnsi="Times New Roman" w:cs="Times New Roman"/>
                <w:noProof/>
                <w:color w:val="auto"/>
                <w:sz w:val="20"/>
                <w:szCs w:val="20"/>
              </w:rPr>
              <w:t>Zoles abscess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_Toc47003161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39</w:t>
            </w:r>
            <w:r w:rsidR="00780F03" w:rsidRPr="00DF2DBA">
              <w:rPr>
                <w:rFonts w:ascii="Times New Roman" w:hAnsi="Times New Roman" w:cs="Times New Roman"/>
                <w:noProof/>
                <w:webHidden/>
                <w:sz w:val="20"/>
                <w:szCs w:val="20"/>
              </w:rPr>
              <w:fldChar w:fldCharType="end"/>
            </w:r>
          </w:hyperlink>
        </w:p>
        <w:p w14:paraId="7694A329" w14:textId="527EB541"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64" w:history="1">
            <w:r w:rsidR="00780F03" w:rsidRPr="00DF2DBA">
              <w:rPr>
                <w:rStyle w:val="Hyperlink"/>
                <w:rFonts w:ascii="Times New Roman" w:hAnsi="Times New Roman" w:cs="Times New Roman"/>
                <w:noProof/>
                <w:color w:val="auto"/>
                <w:sz w:val="20"/>
                <w:szCs w:val="20"/>
              </w:rPr>
              <w:t>Pēdu puve</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_Toc47003164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39</w:t>
            </w:r>
            <w:r w:rsidR="00780F03" w:rsidRPr="00DF2DBA">
              <w:rPr>
                <w:rFonts w:ascii="Times New Roman" w:hAnsi="Times New Roman" w:cs="Times New Roman"/>
                <w:noProof/>
                <w:webHidden/>
                <w:sz w:val="20"/>
                <w:szCs w:val="20"/>
              </w:rPr>
              <w:fldChar w:fldCharType="end"/>
            </w:r>
          </w:hyperlink>
        </w:p>
        <w:p w14:paraId="2CE0BEB7" w14:textId="27533D67"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67" w:history="1">
            <w:r w:rsidR="00780F03" w:rsidRPr="00DF2DBA">
              <w:rPr>
                <w:rStyle w:val="Hyperlink"/>
                <w:rFonts w:ascii="Times New Roman" w:hAnsi="Times New Roman" w:cs="Times New Roman"/>
                <w:noProof/>
                <w:color w:val="auto"/>
                <w:sz w:val="20"/>
                <w:szCs w:val="20"/>
              </w:rPr>
              <w:t>Pneimonija</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_Toc47003167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39</w:t>
            </w:r>
            <w:r w:rsidR="00780F03" w:rsidRPr="00DF2DBA">
              <w:rPr>
                <w:rFonts w:ascii="Times New Roman" w:hAnsi="Times New Roman" w:cs="Times New Roman"/>
                <w:noProof/>
                <w:webHidden/>
                <w:sz w:val="20"/>
                <w:szCs w:val="20"/>
              </w:rPr>
              <w:fldChar w:fldCharType="end"/>
            </w:r>
          </w:hyperlink>
        </w:p>
        <w:p w14:paraId="0A52E9AA" w14:textId="7C46FA49"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70" w:history="1">
            <w:r w:rsidR="00780F03" w:rsidRPr="00DF2DBA">
              <w:rPr>
                <w:rStyle w:val="Hyperlink"/>
                <w:rFonts w:ascii="Times New Roman" w:hAnsi="Times New Roman" w:cs="Times New Roman"/>
                <w:noProof/>
                <w:color w:val="auto"/>
                <w:sz w:val="20"/>
                <w:szCs w:val="20"/>
              </w:rPr>
              <w:t>Listerioze</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_Toc47003170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40</w:t>
            </w:r>
            <w:r w:rsidR="00780F03" w:rsidRPr="00DF2DBA">
              <w:rPr>
                <w:rFonts w:ascii="Times New Roman" w:hAnsi="Times New Roman" w:cs="Times New Roman"/>
                <w:noProof/>
                <w:webHidden/>
                <w:sz w:val="20"/>
                <w:szCs w:val="20"/>
              </w:rPr>
              <w:fldChar w:fldCharType="end"/>
            </w:r>
          </w:hyperlink>
        </w:p>
        <w:p w14:paraId="2C8E14FA" w14:textId="01737D33"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73" w:history="1">
            <w:r w:rsidR="00780F03" w:rsidRPr="00DF2DBA">
              <w:rPr>
                <w:rStyle w:val="Hyperlink"/>
                <w:rFonts w:ascii="Times New Roman" w:hAnsi="Times New Roman" w:cs="Times New Roman"/>
                <w:noProof/>
                <w:color w:val="auto"/>
                <w:sz w:val="20"/>
                <w:szCs w:val="20"/>
              </w:rPr>
              <w:t>Acu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_Toc47003173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41</w:t>
            </w:r>
            <w:r w:rsidR="00780F03" w:rsidRPr="00DF2DBA">
              <w:rPr>
                <w:rFonts w:ascii="Times New Roman" w:hAnsi="Times New Roman" w:cs="Times New Roman"/>
                <w:noProof/>
                <w:webHidden/>
                <w:sz w:val="20"/>
                <w:szCs w:val="20"/>
              </w:rPr>
              <w:fldChar w:fldCharType="end"/>
            </w:r>
          </w:hyperlink>
        </w:p>
        <w:p w14:paraId="605A51B3" w14:textId="77777777" w:rsidR="00796380" w:rsidRPr="00DF2DBA" w:rsidRDefault="00796380" w:rsidP="00780F03">
          <w:pPr>
            <w:pStyle w:val="TOC3"/>
            <w:tabs>
              <w:tab w:val="right" w:leader="dot" w:pos="9062"/>
            </w:tabs>
            <w:spacing w:before="0"/>
            <w:ind w:left="0"/>
            <w:jc w:val="both"/>
            <w:rPr>
              <w:rFonts w:ascii="Times New Roman" w:eastAsiaTheme="minorEastAsia" w:hAnsi="Times New Roman" w:cs="Times New Roman"/>
              <w:noProof/>
              <w:sz w:val="20"/>
              <w:szCs w:val="20"/>
              <w:lang w:eastAsia="lv-LV"/>
            </w:rPr>
          </w:pPr>
        </w:p>
        <w:p w14:paraId="74D2B7E9" w14:textId="5C388E57" w:rsidR="00DF2DBA" w:rsidRPr="00DF2DBA" w:rsidRDefault="004014A0" w:rsidP="00780F03">
          <w:pPr>
            <w:pStyle w:val="TOC1"/>
            <w:tabs>
              <w:tab w:val="right" w:leader="dot" w:pos="9062"/>
            </w:tabs>
            <w:spacing w:before="0"/>
            <w:ind w:left="0"/>
            <w:jc w:val="both"/>
            <w:rPr>
              <w:rFonts w:ascii="Times New Roman" w:hAnsi="Times New Roman" w:cs="Times New Roman"/>
              <w:noProof/>
              <w:sz w:val="22"/>
              <w:szCs w:val="22"/>
              <w:u w:val="single"/>
            </w:rPr>
          </w:pPr>
          <w:hyperlink w:anchor="_Toc47003176" w:history="1">
            <w:r w:rsidR="00780F03" w:rsidRPr="00DF2DBA">
              <w:rPr>
                <w:rStyle w:val="Hyperlink"/>
                <w:rFonts w:ascii="Times New Roman" w:hAnsi="Times New Roman" w:cs="Times New Roman"/>
                <w:noProof/>
                <w:color w:val="auto"/>
                <w:sz w:val="22"/>
                <w:szCs w:val="22"/>
              </w:rPr>
              <w:t>Kazu slimības</w:t>
            </w:r>
          </w:hyperlink>
        </w:p>
        <w:p w14:paraId="5733B641" w14:textId="1EE1C746"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77" w:history="1">
            <w:r w:rsidR="00780F03" w:rsidRPr="00DF2DBA">
              <w:rPr>
                <w:rStyle w:val="Hyperlink"/>
                <w:rFonts w:ascii="Times New Roman" w:hAnsi="Times New Roman" w:cs="Times New Roman"/>
                <w:noProof/>
                <w:color w:val="auto"/>
                <w:sz w:val="20"/>
                <w:szCs w:val="20"/>
              </w:rPr>
              <w:t>Ievads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_Toc47003177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42</w:t>
            </w:r>
            <w:r w:rsidR="00780F03" w:rsidRPr="00DF2DBA">
              <w:rPr>
                <w:rFonts w:ascii="Times New Roman" w:hAnsi="Times New Roman" w:cs="Times New Roman"/>
                <w:noProof/>
                <w:webHidden/>
                <w:sz w:val="20"/>
                <w:szCs w:val="20"/>
              </w:rPr>
              <w:fldChar w:fldCharType="end"/>
            </w:r>
          </w:hyperlink>
        </w:p>
        <w:p w14:paraId="3570E58D" w14:textId="4E6A683E" w:rsidR="00780F03" w:rsidRPr="00DF2DBA" w:rsidRDefault="004014A0" w:rsidP="00DF2DBA">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78" w:history="1">
            <w:r w:rsidR="00780F03" w:rsidRPr="00DF2DBA">
              <w:rPr>
                <w:rStyle w:val="Hyperlink"/>
                <w:rFonts w:ascii="Times New Roman" w:hAnsi="Times New Roman" w:cs="Times New Roman"/>
                <w:noProof/>
                <w:color w:val="auto"/>
                <w:sz w:val="20"/>
                <w:szCs w:val="20"/>
              </w:rPr>
              <w:t>Mastīts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_Toc47003178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42</w:t>
            </w:r>
            <w:r w:rsidR="00780F03" w:rsidRPr="00DF2DBA">
              <w:rPr>
                <w:rFonts w:ascii="Times New Roman" w:hAnsi="Times New Roman" w:cs="Times New Roman"/>
                <w:noProof/>
                <w:webHidden/>
                <w:sz w:val="20"/>
                <w:szCs w:val="20"/>
              </w:rPr>
              <w:fldChar w:fldCharType="end"/>
            </w:r>
          </w:hyperlink>
        </w:p>
        <w:p w14:paraId="472319B4" w14:textId="74A07425"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81" w:history="1">
            <w:r w:rsidR="00780F03" w:rsidRPr="00DF2DBA">
              <w:rPr>
                <w:rStyle w:val="Hyperlink"/>
                <w:rFonts w:ascii="Times New Roman" w:hAnsi="Times New Roman" w:cs="Times New Roman"/>
                <w:noProof/>
                <w:color w:val="auto"/>
                <w:sz w:val="20"/>
                <w:szCs w:val="20"/>
              </w:rPr>
              <w:t>Metrīts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_Toc47003181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42</w:t>
            </w:r>
            <w:r w:rsidR="00780F03" w:rsidRPr="00DF2DBA">
              <w:rPr>
                <w:rFonts w:ascii="Times New Roman" w:hAnsi="Times New Roman" w:cs="Times New Roman"/>
                <w:noProof/>
                <w:webHidden/>
                <w:sz w:val="20"/>
                <w:szCs w:val="20"/>
              </w:rPr>
              <w:fldChar w:fldCharType="end"/>
            </w:r>
          </w:hyperlink>
        </w:p>
        <w:p w14:paraId="1D70D63D" w14:textId="40D91017"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84" w:history="1">
            <w:r w:rsidR="00780F03" w:rsidRPr="00DF2DBA">
              <w:rPr>
                <w:rStyle w:val="Hyperlink"/>
                <w:rFonts w:ascii="Times New Roman" w:hAnsi="Times New Roman" w:cs="Times New Roman"/>
                <w:noProof/>
                <w:color w:val="auto"/>
                <w:sz w:val="20"/>
                <w:szCs w:val="20"/>
              </w:rPr>
              <w:t>Septicēmija</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_Toc47003184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43</w:t>
            </w:r>
            <w:r w:rsidR="00780F03" w:rsidRPr="00DF2DBA">
              <w:rPr>
                <w:rFonts w:ascii="Times New Roman" w:hAnsi="Times New Roman" w:cs="Times New Roman"/>
                <w:noProof/>
                <w:webHidden/>
                <w:sz w:val="20"/>
                <w:szCs w:val="20"/>
              </w:rPr>
              <w:fldChar w:fldCharType="end"/>
            </w:r>
          </w:hyperlink>
        </w:p>
        <w:p w14:paraId="0B836FF8" w14:textId="77B34E41"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87" w:history="1">
            <w:r w:rsidR="00780F03" w:rsidRPr="00DF2DBA">
              <w:rPr>
                <w:rStyle w:val="Hyperlink"/>
                <w:rFonts w:ascii="Times New Roman" w:hAnsi="Times New Roman" w:cs="Times New Roman"/>
                <w:noProof/>
                <w:color w:val="auto"/>
                <w:sz w:val="20"/>
                <w:szCs w:val="20"/>
              </w:rPr>
              <w:t>Enterīts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_Toc47003187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43</w:t>
            </w:r>
            <w:r w:rsidR="00780F03" w:rsidRPr="00DF2DBA">
              <w:rPr>
                <w:rFonts w:ascii="Times New Roman" w:hAnsi="Times New Roman" w:cs="Times New Roman"/>
                <w:noProof/>
                <w:webHidden/>
                <w:sz w:val="20"/>
                <w:szCs w:val="20"/>
              </w:rPr>
              <w:fldChar w:fldCharType="end"/>
            </w:r>
          </w:hyperlink>
        </w:p>
        <w:p w14:paraId="7BC9A802" w14:textId="5F2EBE04"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90" w:history="1">
            <w:r w:rsidR="00780F03" w:rsidRPr="00DF2DBA">
              <w:rPr>
                <w:rStyle w:val="Hyperlink"/>
                <w:rFonts w:ascii="Times New Roman" w:hAnsi="Times New Roman" w:cs="Times New Roman"/>
                <w:noProof/>
                <w:color w:val="auto"/>
                <w:sz w:val="20"/>
                <w:szCs w:val="20"/>
              </w:rPr>
              <w:t>Artrīts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_Toc47003190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44</w:t>
            </w:r>
            <w:r w:rsidR="00780F03" w:rsidRPr="00DF2DBA">
              <w:rPr>
                <w:rFonts w:ascii="Times New Roman" w:hAnsi="Times New Roman" w:cs="Times New Roman"/>
                <w:noProof/>
                <w:webHidden/>
                <w:sz w:val="20"/>
                <w:szCs w:val="20"/>
              </w:rPr>
              <w:fldChar w:fldCharType="end"/>
            </w:r>
          </w:hyperlink>
        </w:p>
        <w:p w14:paraId="2968F534" w14:textId="70140C40"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93" w:history="1">
            <w:r w:rsidR="00780F03" w:rsidRPr="00DF2DBA">
              <w:rPr>
                <w:rStyle w:val="Hyperlink"/>
                <w:rFonts w:ascii="Times New Roman" w:hAnsi="Times New Roman" w:cs="Times New Roman"/>
                <w:noProof/>
                <w:color w:val="auto"/>
                <w:sz w:val="20"/>
                <w:szCs w:val="20"/>
              </w:rPr>
              <w:t>Pēdu un nagu slimības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_Toc47003193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44</w:t>
            </w:r>
            <w:r w:rsidR="00780F03" w:rsidRPr="00DF2DBA">
              <w:rPr>
                <w:rFonts w:ascii="Times New Roman" w:hAnsi="Times New Roman" w:cs="Times New Roman"/>
                <w:noProof/>
                <w:webHidden/>
                <w:sz w:val="20"/>
                <w:szCs w:val="20"/>
              </w:rPr>
              <w:fldChar w:fldCharType="end"/>
            </w:r>
          </w:hyperlink>
        </w:p>
        <w:p w14:paraId="77B21C54" w14:textId="097C872D"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96" w:history="1">
            <w:r w:rsidR="00780F03" w:rsidRPr="00DF2DBA">
              <w:rPr>
                <w:rStyle w:val="Hyperlink"/>
                <w:rFonts w:ascii="Times New Roman" w:hAnsi="Times New Roman" w:cs="Times New Roman"/>
                <w:noProof/>
                <w:color w:val="auto"/>
                <w:sz w:val="20"/>
                <w:szCs w:val="20"/>
              </w:rPr>
              <w:t>Pneimonija</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_Toc47003196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45</w:t>
            </w:r>
            <w:r w:rsidR="00780F03" w:rsidRPr="00DF2DBA">
              <w:rPr>
                <w:rFonts w:ascii="Times New Roman" w:hAnsi="Times New Roman" w:cs="Times New Roman"/>
                <w:noProof/>
                <w:webHidden/>
                <w:sz w:val="20"/>
                <w:szCs w:val="20"/>
              </w:rPr>
              <w:fldChar w:fldCharType="end"/>
            </w:r>
          </w:hyperlink>
        </w:p>
        <w:p w14:paraId="1B2E7D5E" w14:textId="6E7F2750"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199" w:history="1">
            <w:r w:rsidR="00780F03" w:rsidRPr="00DF2DBA">
              <w:rPr>
                <w:rStyle w:val="Hyperlink"/>
                <w:rFonts w:ascii="Times New Roman" w:hAnsi="Times New Roman" w:cs="Times New Roman"/>
                <w:noProof/>
                <w:color w:val="auto"/>
                <w:sz w:val="20"/>
                <w:szCs w:val="20"/>
              </w:rPr>
              <w:t>Listerioze</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_Toc47003199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45</w:t>
            </w:r>
            <w:r w:rsidR="00780F03" w:rsidRPr="00DF2DBA">
              <w:rPr>
                <w:rFonts w:ascii="Times New Roman" w:hAnsi="Times New Roman" w:cs="Times New Roman"/>
                <w:noProof/>
                <w:webHidden/>
                <w:sz w:val="20"/>
                <w:szCs w:val="20"/>
              </w:rPr>
              <w:fldChar w:fldCharType="end"/>
            </w:r>
          </w:hyperlink>
        </w:p>
        <w:p w14:paraId="6F41CE3F" w14:textId="6408E27C" w:rsidR="00780F03" w:rsidRPr="00DF2DBA" w:rsidRDefault="004014A0" w:rsidP="00780F03">
          <w:pPr>
            <w:pStyle w:val="TOC1"/>
            <w:tabs>
              <w:tab w:val="right" w:leader="dot" w:pos="9062"/>
            </w:tabs>
            <w:spacing w:before="0"/>
            <w:ind w:left="0"/>
            <w:jc w:val="both"/>
            <w:rPr>
              <w:rFonts w:ascii="Times New Roman" w:eastAsiaTheme="minorEastAsia" w:hAnsi="Times New Roman" w:cs="Times New Roman"/>
              <w:noProof/>
              <w:sz w:val="20"/>
              <w:szCs w:val="20"/>
              <w:lang w:eastAsia="lv-LV"/>
            </w:rPr>
          </w:pPr>
          <w:hyperlink w:anchor="_Toc47003202" w:history="1">
            <w:r w:rsidR="00780F03" w:rsidRPr="00DF2DBA">
              <w:rPr>
                <w:rStyle w:val="Hyperlink"/>
                <w:rFonts w:ascii="Times New Roman" w:hAnsi="Times New Roman" w:cs="Times New Roman"/>
                <w:noProof/>
                <w:color w:val="auto"/>
                <w:sz w:val="20"/>
                <w:szCs w:val="20"/>
              </w:rPr>
              <w:t>Acu infekcijas</w:t>
            </w:r>
            <w:r w:rsidR="00780F03" w:rsidRPr="00DF2DBA">
              <w:rPr>
                <w:rFonts w:ascii="Times New Roman" w:hAnsi="Times New Roman" w:cs="Times New Roman"/>
                <w:noProof/>
                <w:webHidden/>
                <w:sz w:val="20"/>
                <w:szCs w:val="20"/>
              </w:rPr>
              <w:tab/>
            </w:r>
            <w:r w:rsidR="00780F03" w:rsidRPr="00DF2DBA">
              <w:rPr>
                <w:rFonts w:ascii="Times New Roman" w:hAnsi="Times New Roman" w:cs="Times New Roman"/>
                <w:noProof/>
                <w:webHidden/>
                <w:sz w:val="20"/>
                <w:szCs w:val="20"/>
              </w:rPr>
              <w:fldChar w:fldCharType="begin"/>
            </w:r>
            <w:r w:rsidR="00780F03" w:rsidRPr="00DF2DBA">
              <w:rPr>
                <w:rFonts w:ascii="Times New Roman" w:hAnsi="Times New Roman" w:cs="Times New Roman"/>
                <w:noProof/>
                <w:webHidden/>
                <w:sz w:val="20"/>
                <w:szCs w:val="20"/>
              </w:rPr>
              <w:instrText xml:space="preserve"> PAGEREF _Toc47003202 \h </w:instrText>
            </w:r>
            <w:r w:rsidR="00780F03" w:rsidRPr="00DF2DBA">
              <w:rPr>
                <w:rFonts w:ascii="Times New Roman" w:hAnsi="Times New Roman" w:cs="Times New Roman"/>
                <w:noProof/>
                <w:webHidden/>
                <w:sz w:val="20"/>
                <w:szCs w:val="20"/>
              </w:rPr>
            </w:r>
            <w:r w:rsidR="00780F03" w:rsidRPr="00DF2DBA">
              <w:rPr>
                <w:rFonts w:ascii="Times New Roman" w:hAnsi="Times New Roman" w:cs="Times New Roman"/>
                <w:noProof/>
                <w:webHidden/>
                <w:sz w:val="20"/>
                <w:szCs w:val="20"/>
              </w:rPr>
              <w:fldChar w:fldCharType="separate"/>
            </w:r>
            <w:r w:rsidR="00DF2DBA">
              <w:rPr>
                <w:rFonts w:ascii="Times New Roman" w:hAnsi="Times New Roman" w:cs="Times New Roman"/>
                <w:noProof/>
                <w:webHidden/>
                <w:sz w:val="20"/>
                <w:szCs w:val="20"/>
              </w:rPr>
              <w:t>46</w:t>
            </w:r>
            <w:r w:rsidR="00780F03" w:rsidRPr="00DF2DBA">
              <w:rPr>
                <w:rFonts w:ascii="Times New Roman" w:hAnsi="Times New Roman" w:cs="Times New Roman"/>
                <w:noProof/>
                <w:webHidden/>
                <w:sz w:val="20"/>
                <w:szCs w:val="20"/>
              </w:rPr>
              <w:fldChar w:fldCharType="end"/>
            </w:r>
          </w:hyperlink>
        </w:p>
        <w:p w14:paraId="585A6080" w14:textId="036BD627" w:rsidR="00780F03" w:rsidRPr="00DF2DBA" w:rsidRDefault="00780F03" w:rsidP="00780F03">
          <w:pPr>
            <w:jc w:val="both"/>
            <w:rPr>
              <w:rFonts w:ascii="Times New Roman" w:hAnsi="Times New Roman" w:cs="Times New Roman"/>
              <w:sz w:val="20"/>
              <w:szCs w:val="20"/>
            </w:rPr>
          </w:pPr>
          <w:r w:rsidRPr="00DF2DBA">
            <w:rPr>
              <w:rFonts w:ascii="Times New Roman" w:hAnsi="Times New Roman" w:cs="Times New Roman"/>
              <w:b/>
              <w:bCs/>
              <w:noProof/>
              <w:sz w:val="20"/>
              <w:szCs w:val="20"/>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15"/>
        <w:gridCol w:w="3713"/>
      </w:tblGrid>
      <w:tr w:rsidR="00154588" w14:paraId="2136FE74" w14:textId="77777777" w:rsidTr="00DF2DBA">
        <w:tc>
          <w:tcPr>
            <w:tcW w:w="5415" w:type="dxa"/>
          </w:tcPr>
          <w:p w14:paraId="67D38C4E" w14:textId="77777777" w:rsidR="00DF2DBA" w:rsidRPr="002919BC" w:rsidRDefault="00DF2DBA" w:rsidP="00A24D5C">
            <w:pPr>
              <w:jc w:val="both"/>
              <w:rPr>
                <w:rFonts w:ascii="Times New Roman" w:hAnsi="Times New Roman" w:cs="Times New Roman"/>
                <w:sz w:val="20"/>
                <w:szCs w:val="18"/>
              </w:rPr>
            </w:pPr>
          </w:p>
          <w:p w14:paraId="4401EF07" w14:textId="77777777" w:rsidR="00DF2DBA" w:rsidRPr="002919BC" w:rsidRDefault="00DF2DBA" w:rsidP="00A24D5C">
            <w:pPr>
              <w:jc w:val="both"/>
              <w:rPr>
                <w:rFonts w:ascii="Times New Roman" w:hAnsi="Times New Roman" w:cs="Times New Roman"/>
                <w:sz w:val="20"/>
                <w:szCs w:val="18"/>
              </w:rPr>
            </w:pPr>
          </w:p>
          <w:p w14:paraId="48E3D53C" w14:textId="2EEAEDE9" w:rsidR="00A24D5C" w:rsidRPr="00DF2DBA" w:rsidRDefault="00A24D5C" w:rsidP="00A24D5C">
            <w:pPr>
              <w:jc w:val="both"/>
              <w:rPr>
                <w:rFonts w:ascii="Times New Roman" w:hAnsi="Times New Roman"/>
                <w:noProof/>
                <w:sz w:val="20"/>
                <w:szCs w:val="18"/>
              </w:rPr>
            </w:pPr>
            <w:r w:rsidRPr="00DF2DBA">
              <w:rPr>
                <w:rFonts w:ascii="Times New Roman" w:hAnsi="Times New Roman"/>
                <w:sz w:val="20"/>
                <w:szCs w:val="18"/>
              </w:rPr>
              <w:t xml:space="preserve">Zviedrijas Veterinārārstu biedrība, </w:t>
            </w:r>
            <w:r w:rsidR="004014A0">
              <w:rPr>
                <w:rFonts w:ascii="Times New Roman" w:hAnsi="Times New Roman"/>
                <w:sz w:val="20"/>
                <w:szCs w:val="18"/>
              </w:rPr>
              <w:t>Produktīvo</w:t>
            </w:r>
            <w:r w:rsidRPr="00DF2DBA">
              <w:rPr>
                <w:rFonts w:ascii="Times New Roman" w:hAnsi="Times New Roman"/>
                <w:sz w:val="20"/>
                <w:szCs w:val="18"/>
              </w:rPr>
              <w:t xml:space="preserve"> dzīvnieku nodaļa, 2013. gada aprīlis. Angļu valodā tulkojis Torkels Ēkmans [</w:t>
            </w:r>
            <w:r w:rsidRPr="00DF2DBA">
              <w:rPr>
                <w:rFonts w:ascii="Times New Roman" w:hAnsi="Times New Roman"/>
                <w:i/>
                <w:iCs/>
                <w:sz w:val="20"/>
                <w:szCs w:val="18"/>
              </w:rPr>
              <w:t>Torkel Ekman</w:t>
            </w:r>
            <w:r w:rsidRPr="00DF2DBA">
              <w:rPr>
                <w:rFonts w:ascii="Times New Roman" w:hAnsi="Times New Roman"/>
                <w:sz w:val="20"/>
                <w:szCs w:val="18"/>
              </w:rPr>
              <w:t>].</w:t>
            </w:r>
          </w:p>
          <w:p w14:paraId="67783556" w14:textId="77777777" w:rsidR="00A24D5C" w:rsidRPr="00DF2DBA" w:rsidRDefault="00A24D5C" w:rsidP="00A24D5C">
            <w:pPr>
              <w:jc w:val="both"/>
              <w:rPr>
                <w:rFonts w:ascii="Times New Roman" w:hAnsi="Times New Roman"/>
                <w:noProof/>
                <w:sz w:val="20"/>
                <w:szCs w:val="18"/>
              </w:rPr>
            </w:pPr>
            <w:r w:rsidRPr="00DF2DBA">
              <w:rPr>
                <w:rFonts w:ascii="Times New Roman" w:hAnsi="Times New Roman"/>
                <w:sz w:val="20"/>
                <w:szCs w:val="18"/>
              </w:rPr>
              <w:t>Fotoattēlā – Kristers Bergstens [</w:t>
            </w:r>
            <w:r w:rsidRPr="00DF2DBA">
              <w:rPr>
                <w:rFonts w:ascii="Times New Roman" w:hAnsi="Times New Roman"/>
                <w:i/>
                <w:iCs/>
                <w:sz w:val="20"/>
                <w:szCs w:val="18"/>
              </w:rPr>
              <w:t>Christer Bergsten</w:t>
            </w:r>
            <w:r w:rsidRPr="00DF2DBA">
              <w:rPr>
                <w:rFonts w:ascii="Times New Roman" w:hAnsi="Times New Roman"/>
                <w:sz w:val="20"/>
                <w:szCs w:val="18"/>
              </w:rPr>
              <w:t>], Annika Hansone [</w:t>
            </w:r>
            <w:r w:rsidRPr="00DF2DBA">
              <w:rPr>
                <w:rFonts w:ascii="Times New Roman" w:hAnsi="Times New Roman"/>
                <w:i/>
                <w:iCs/>
                <w:sz w:val="20"/>
                <w:szCs w:val="18"/>
              </w:rPr>
              <w:t>Annica Hansson</w:t>
            </w:r>
            <w:r w:rsidRPr="00DF2DBA">
              <w:rPr>
                <w:rFonts w:ascii="Times New Roman" w:hAnsi="Times New Roman"/>
                <w:sz w:val="20"/>
                <w:szCs w:val="18"/>
              </w:rPr>
              <w:t>], Maija Hofmane [</w:t>
            </w:r>
            <w:r w:rsidRPr="00DF2DBA">
              <w:rPr>
                <w:rFonts w:ascii="Times New Roman" w:hAnsi="Times New Roman"/>
                <w:i/>
                <w:iCs/>
                <w:sz w:val="20"/>
                <w:szCs w:val="18"/>
              </w:rPr>
              <w:t>Maya Hoffman</w:t>
            </w:r>
            <w:r w:rsidRPr="00DF2DBA">
              <w:rPr>
                <w:rFonts w:ascii="Times New Roman" w:hAnsi="Times New Roman"/>
                <w:sz w:val="20"/>
                <w:szCs w:val="18"/>
              </w:rPr>
              <w:t>], Hokans Landīns [</w:t>
            </w:r>
            <w:r w:rsidRPr="00DF2DBA">
              <w:rPr>
                <w:rFonts w:ascii="Times New Roman" w:hAnsi="Times New Roman"/>
                <w:i/>
                <w:iCs/>
                <w:sz w:val="20"/>
                <w:szCs w:val="18"/>
              </w:rPr>
              <w:t>Håkan Landin</w:t>
            </w:r>
            <w:r w:rsidRPr="00DF2DBA">
              <w:rPr>
                <w:rFonts w:ascii="Times New Roman" w:hAnsi="Times New Roman"/>
                <w:sz w:val="20"/>
                <w:szCs w:val="18"/>
              </w:rPr>
              <w:t>], Osa Lundberja [</w:t>
            </w:r>
            <w:r w:rsidRPr="00DF2DBA">
              <w:rPr>
                <w:rFonts w:ascii="Times New Roman" w:hAnsi="Times New Roman"/>
                <w:i/>
                <w:iCs/>
                <w:sz w:val="20"/>
                <w:szCs w:val="18"/>
              </w:rPr>
              <w:t>Åsa Lundberg</w:t>
            </w:r>
            <w:r w:rsidRPr="00DF2DBA">
              <w:rPr>
                <w:rFonts w:ascii="Times New Roman" w:hAnsi="Times New Roman"/>
                <w:sz w:val="20"/>
                <w:szCs w:val="18"/>
              </w:rPr>
              <w:t>], Ilva Pēšone [</w:t>
            </w:r>
            <w:r w:rsidRPr="00DF2DBA">
              <w:rPr>
                <w:rFonts w:ascii="Times New Roman" w:hAnsi="Times New Roman"/>
                <w:i/>
                <w:iCs/>
                <w:sz w:val="20"/>
                <w:szCs w:val="18"/>
              </w:rPr>
              <w:t>Ylva Persson</w:t>
            </w:r>
            <w:r w:rsidRPr="00DF2DBA">
              <w:rPr>
                <w:rFonts w:ascii="Times New Roman" w:hAnsi="Times New Roman"/>
                <w:sz w:val="20"/>
                <w:szCs w:val="18"/>
              </w:rPr>
              <w:t>], Marī Šēlunda [</w:t>
            </w:r>
            <w:r w:rsidRPr="00DF2DBA">
              <w:rPr>
                <w:rFonts w:ascii="Times New Roman" w:hAnsi="Times New Roman"/>
                <w:i/>
                <w:iCs/>
                <w:sz w:val="20"/>
                <w:szCs w:val="18"/>
              </w:rPr>
              <w:t>Marie Sjölund</w:t>
            </w:r>
            <w:r w:rsidRPr="00DF2DBA">
              <w:rPr>
                <w:rFonts w:ascii="Times New Roman" w:hAnsi="Times New Roman"/>
                <w:sz w:val="20"/>
                <w:szCs w:val="18"/>
              </w:rPr>
              <w:t>] un Virpi Vellinga [</w:t>
            </w:r>
            <w:r w:rsidRPr="00DF2DBA">
              <w:rPr>
                <w:rFonts w:ascii="Times New Roman" w:hAnsi="Times New Roman"/>
                <w:i/>
                <w:iCs/>
                <w:sz w:val="20"/>
                <w:szCs w:val="18"/>
              </w:rPr>
              <w:t>Virpi Welling</w:t>
            </w:r>
            <w:r w:rsidRPr="00DF2DBA">
              <w:rPr>
                <w:rFonts w:ascii="Times New Roman" w:hAnsi="Times New Roman"/>
                <w:sz w:val="20"/>
                <w:szCs w:val="18"/>
              </w:rPr>
              <w:t>].</w:t>
            </w:r>
          </w:p>
          <w:p w14:paraId="09A31C95" w14:textId="77777777" w:rsidR="00A24D5C" w:rsidRPr="00DF2DBA" w:rsidRDefault="00A24D5C" w:rsidP="00A24D5C">
            <w:pPr>
              <w:jc w:val="both"/>
              <w:rPr>
                <w:rFonts w:ascii="Times New Roman" w:hAnsi="Times New Roman"/>
                <w:noProof/>
                <w:sz w:val="20"/>
                <w:szCs w:val="18"/>
              </w:rPr>
            </w:pPr>
            <w:r w:rsidRPr="00DF2DBA">
              <w:rPr>
                <w:rFonts w:ascii="Times New Roman" w:hAnsi="Times New Roman"/>
                <w:sz w:val="20"/>
                <w:szCs w:val="18"/>
              </w:rPr>
              <w:t>Noformējums – Jāns Petešons [</w:t>
            </w:r>
            <w:r w:rsidRPr="00DF2DBA">
              <w:rPr>
                <w:rFonts w:ascii="Times New Roman" w:hAnsi="Times New Roman"/>
                <w:i/>
                <w:iCs/>
                <w:sz w:val="20"/>
                <w:szCs w:val="18"/>
              </w:rPr>
              <w:t>Jan Petersson</w:t>
            </w:r>
            <w:r w:rsidRPr="00DF2DBA">
              <w:rPr>
                <w:rFonts w:ascii="Times New Roman" w:hAnsi="Times New Roman"/>
                <w:sz w:val="20"/>
                <w:szCs w:val="18"/>
              </w:rPr>
              <w:t xml:space="preserve">], </w:t>
            </w:r>
            <w:r w:rsidRPr="00DF2DBA">
              <w:rPr>
                <w:rFonts w:ascii="Times New Roman" w:hAnsi="Times New Roman"/>
                <w:i/>
                <w:iCs/>
                <w:sz w:val="20"/>
                <w:szCs w:val="18"/>
              </w:rPr>
              <w:t>Contentera AB</w:t>
            </w:r>
          </w:p>
          <w:p w14:paraId="3E6F86F3" w14:textId="0900E5DE" w:rsidR="00154588" w:rsidRDefault="00A24D5C" w:rsidP="00154588">
            <w:pPr>
              <w:jc w:val="both"/>
              <w:rPr>
                <w:rFonts w:ascii="Times New Roman" w:hAnsi="Times New Roman"/>
                <w:noProof/>
                <w:sz w:val="24"/>
              </w:rPr>
            </w:pPr>
            <w:r w:rsidRPr="00DF2DBA">
              <w:rPr>
                <w:rFonts w:ascii="Times New Roman" w:hAnsi="Times New Roman"/>
                <w:sz w:val="20"/>
                <w:szCs w:val="18"/>
              </w:rPr>
              <w:t xml:space="preserve">Izdevniecība – </w:t>
            </w:r>
            <w:r w:rsidRPr="00DF2DBA">
              <w:rPr>
                <w:rFonts w:ascii="Times New Roman" w:hAnsi="Times New Roman"/>
                <w:i/>
                <w:iCs/>
                <w:sz w:val="20"/>
                <w:szCs w:val="18"/>
              </w:rPr>
              <w:t>Arkitektkopia</w:t>
            </w:r>
            <w:r w:rsidRPr="00DF2DBA">
              <w:rPr>
                <w:rFonts w:ascii="Times New Roman" w:hAnsi="Times New Roman"/>
                <w:sz w:val="20"/>
                <w:szCs w:val="18"/>
              </w:rPr>
              <w:t>, Eskilstūna, 2017</w:t>
            </w:r>
          </w:p>
        </w:tc>
        <w:tc>
          <w:tcPr>
            <w:tcW w:w="3713" w:type="dxa"/>
            <w:vAlign w:val="bottom"/>
          </w:tcPr>
          <w:p w14:paraId="5798EFDE" w14:textId="531AB032" w:rsidR="00154588" w:rsidRDefault="00A24D5C" w:rsidP="00DF2DBA">
            <w:pPr>
              <w:jc w:val="right"/>
              <w:rPr>
                <w:rFonts w:ascii="Times New Roman" w:hAnsi="Times New Roman"/>
                <w:noProof/>
                <w:sz w:val="24"/>
              </w:rPr>
            </w:pPr>
            <w:r>
              <w:rPr>
                <w:noProof/>
              </w:rPr>
              <w:drawing>
                <wp:inline distT="0" distB="0" distL="0" distR="0" wp14:anchorId="41E65797" wp14:editId="3CBB0523">
                  <wp:extent cx="201930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19300" cy="1047750"/>
                          </a:xfrm>
                          <a:prstGeom prst="rect">
                            <a:avLst/>
                          </a:prstGeom>
                        </pic:spPr>
                      </pic:pic>
                    </a:graphicData>
                  </a:graphic>
                </wp:inline>
              </w:drawing>
            </w:r>
          </w:p>
        </w:tc>
      </w:tr>
    </w:tbl>
    <w:p w14:paraId="1769A51E" w14:textId="77777777" w:rsidR="00154588" w:rsidRPr="00154588" w:rsidRDefault="00154588" w:rsidP="00154588">
      <w:pPr>
        <w:jc w:val="both"/>
        <w:rPr>
          <w:rFonts w:ascii="Times New Roman" w:hAnsi="Times New Roman"/>
          <w:noProof/>
          <w:sz w:val="24"/>
        </w:rPr>
      </w:pPr>
    </w:p>
    <w:p w14:paraId="021E3A8D" w14:textId="09316895" w:rsidR="00A24D5C" w:rsidRDefault="00A24D5C">
      <w:pPr>
        <w:rPr>
          <w:rFonts w:ascii="Times New Roman" w:eastAsia="Book Antiqua" w:hAnsi="Times New Roman" w:cs="Book Antiqua"/>
          <w:noProof/>
          <w:sz w:val="24"/>
        </w:rPr>
      </w:pPr>
      <w:r>
        <w:br w:type="page"/>
      </w:r>
    </w:p>
    <w:p w14:paraId="7FCCE6E1" w14:textId="77777777" w:rsidR="00154588" w:rsidRPr="00154588" w:rsidRDefault="00154588" w:rsidP="00154588">
      <w:pPr>
        <w:jc w:val="both"/>
        <w:rPr>
          <w:rFonts w:ascii="Times New Roman" w:eastAsia="Book Antiqua" w:hAnsi="Times New Roman" w:cs="Book Antiqua"/>
          <w:noProof/>
          <w:sz w:val="24"/>
          <w:szCs w:val="16"/>
        </w:rPr>
      </w:pPr>
    </w:p>
    <w:p w14:paraId="23726339" w14:textId="77777777" w:rsidR="00672FC0" w:rsidRPr="00CB3F38" w:rsidRDefault="00672FC0" w:rsidP="00CB3F38">
      <w:pPr>
        <w:pStyle w:val="Heading1"/>
        <w:rPr>
          <w:noProof/>
          <w:sz w:val="28"/>
          <w:szCs w:val="32"/>
        </w:rPr>
      </w:pPr>
      <w:bookmarkStart w:id="2" w:name="_Toc46997532"/>
      <w:bookmarkStart w:id="3" w:name="_Toc47003055"/>
      <w:r w:rsidRPr="00CB3F38">
        <w:rPr>
          <w:sz w:val="28"/>
          <w:szCs w:val="32"/>
        </w:rPr>
        <w:t>Ievads</w:t>
      </w:r>
      <w:bookmarkEnd w:id="2"/>
      <w:bookmarkEnd w:id="3"/>
    </w:p>
    <w:p w14:paraId="6A854BA4" w14:textId="77777777" w:rsidR="00A24D5C" w:rsidRDefault="00A24D5C" w:rsidP="00154588">
      <w:pPr>
        <w:jc w:val="both"/>
        <w:rPr>
          <w:rFonts w:ascii="Times New Roman" w:eastAsia="Book Antiqua" w:hAnsi="Times New Roman" w:cs="Book Antiqua"/>
          <w:noProof/>
          <w:sz w:val="24"/>
          <w:szCs w:val="19"/>
        </w:rPr>
      </w:pPr>
    </w:p>
    <w:p w14:paraId="76554238" w14:textId="12FFC859" w:rsidR="00672FC0" w:rsidRDefault="00672FC0" w:rsidP="00154588">
      <w:pPr>
        <w:jc w:val="both"/>
        <w:rPr>
          <w:rFonts w:ascii="Times New Roman" w:eastAsia="Book Antiqua" w:hAnsi="Times New Roman" w:cs="Book Antiqua"/>
          <w:noProof/>
          <w:sz w:val="24"/>
          <w:szCs w:val="19"/>
        </w:rPr>
      </w:pPr>
      <w:r>
        <w:rPr>
          <w:rFonts w:ascii="Times New Roman" w:hAnsi="Times New Roman"/>
          <w:sz w:val="24"/>
          <w:szCs w:val="19"/>
        </w:rPr>
        <w:t xml:space="preserve">Zviedrijas Veterinārārstu biedrība 1998. gadā izlēma apstiprināt vispārēju antibiotiku lietošanas politiku dzīvniekiem. Kopš tā laika ir pieņemta īpaša antibiotiku lietošanas politika suņiem un kaķiem, kā arī 2011. gadā – Antibiotiku lietošanas pamatnostādnes </w:t>
      </w:r>
      <w:r w:rsidR="00EE17A2">
        <w:rPr>
          <w:rFonts w:ascii="Times New Roman" w:hAnsi="Times New Roman"/>
          <w:sz w:val="24"/>
          <w:szCs w:val="19"/>
        </w:rPr>
        <w:t>produktīviem</w:t>
      </w:r>
      <w:r>
        <w:rPr>
          <w:rFonts w:ascii="Times New Roman" w:hAnsi="Times New Roman"/>
          <w:sz w:val="24"/>
          <w:szCs w:val="19"/>
        </w:rPr>
        <w:t xml:space="preserve"> dzīvniekiem (liellopiem un cūkām). Ar Zviedrijas Veterinārārstu biedrības (</w:t>
      </w:r>
      <w:r>
        <w:rPr>
          <w:rFonts w:ascii="Times New Roman" w:hAnsi="Times New Roman"/>
          <w:i/>
          <w:iCs/>
          <w:sz w:val="24"/>
          <w:szCs w:val="19"/>
        </w:rPr>
        <w:t>SVS</w:t>
      </w:r>
      <w:r>
        <w:rPr>
          <w:rFonts w:ascii="Times New Roman" w:hAnsi="Times New Roman"/>
          <w:sz w:val="24"/>
          <w:szCs w:val="19"/>
        </w:rPr>
        <w:t>) valdes lēmumu šīs pamatnostādnes ir atjauninātas.</w:t>
      </w:r>
    </w:p>
    <w:p w14:paraId="0B3CD93F" w14:textId="77777777" w:rsidR="00A24D5C" w:rsidRPr="00154588" w:rsidRDefault="00A24D5C" w:rsidP="00154588">
      <w:pPr>
        <w:jc w:val="both"/>
        <w:rPr>
          <w:rFonts w:ascii="Times New Roman" w:eastAsia="Book Antiqua" w:hAnsi="Times New Roman" w:cs="Book Antiqua"/>
          <w:noProof/>
          <w:sz w:val="24"/>
          <w:szCs w:val="19"/>
        </w:rPr>
      </w:pPr>
    </w:p>
    <w:p w14:paraId="33EBFAC1" w14:textId="57C311D0" w:rsidR="00672FC0" w:rsidRDefault="00672FC0" w:rsidP="00154588">
      <w:pPr>
        <w:jc w:val="both"/>
        <w:rPr>
          <w:rFonts w:ascii="Times New Roman" w:eastAsia="Book Antiqua" w:hAnsi="Times New Roman" w:cs="Book Antiqua"/>
          <w:noProof/>
          <w:sz w:val="24"/>
          <w:szCs w:val="19"/>
        </w:rPr>
      </w:pPr>
      <w:r>
        <w:rPr>
          <w:rFonts w:ascii="Times New Roman" w:hAnsi="Times New Roman"/>
          <w:i/>
          <w:iCs/>
          <w:sz w:val="24"/>
          <w:szCs w:val="19"/>
        </w:rPr>
        <w:t>SVS</w:t>
      </w:r>
      <w:r>
        <w:rPr>
          <w:rFonts w:ascii="Times New Roman" w:hAnsi="Times New Roman"/>
          <w:sz w:val="24"/>
          <w:szCs w:val="19"/>
        </w:rPr>
        <w:t xml:space="preserve"> vispārējais mērķis ir panākt zemu un kontrolētu antibiotiku </w:t>
      </w:r>
      <w:r w:rsidR="00EE17A2">
        <w:rPr>
          <w:rFonts w:ascii="Times New Roman" w:hAnsi="Times New Roman"/>
          <w:sz w:val="24"/>
          <w:szCs w:val="19"/>
        </w:rPr>
        <w:t>lietošanas</w:t>
      </w:r>
      <w:r>
        <w:rPr>
          <w:rFonts w:ascii="Times New Roman" w:hAnsi="Times New Roman"/>
          <w:sz w:val="24"/>
          <w:szCs w:val="19"/>
        </w:rPr>
        <w:t xml:space="preserve"> līmeni Zviedrijas lopkopībā, rūpējoties par to, lai izvēles terapija, kurai dodama priekšroka, arī turpmāk būtu iedarbīga un mikroorganismu rezistence dzīvnieku vidū un ganāmpulkos, kā arī pārtikas aprites ķēdē – pēc iespējas zemāka. Zemas mikroorganismu rezistences saglabāšanās dzīvniekiem ir svarīga arī no cilvēku veselības viedokļa, jo mēs visi esam vienas un tās pašas ekosistēmas daļa. Šo pamatnostādņu autori cer, ka tās var labi noderēt veterinārārstu klīniskajā praksē, lemjot par baktēriju izraisītu plaši sastopamu slimību un kaišu ārstēšanu. Dažreiz lēmums pat var paredzēt atturēšanos no antibiotiku lietošanas, izvēloties citus veidus ganāmpulka veselības uzlabošanai.</w:t>
      </w:r>
    </w:p>
    <w:p w14:paraId="3D6309B7" w14:textId="77777777" w:rsidR="00A24D5C" w:rsidRPr="00154588" w:rsidRDefault="00A24D5C" w:rsidP="00154588">
      <w:pPr>
        <w:jc w:val="both"/>
        <w:rPr>
          <w:rFonts w:ascii="Times New Roman" w:eastAsia="Book Antiqua" w:hAnsi="Times New Roman" w:cs="Book Antiqua"/>
          <w:noProof/>
          <w:sz w:val="24"/>
          <w:szCs w:val="19"/>
        </w:rPr>
      </w:pPr>
    </w:p>
    <w:p w14:paraId="7EFF80CC" w14:textId="77777777" w:rsidR="00672FC0" w:rsidRPr="00154588" w:rsidRDefault="00672FC0" w:rsidP="00154588">
      <w:pPr>
        <w:jc w:val="both"/>
        <w:rPr>
          <w:rFonts w:ascii="Times New Roman" w:hAnsi="Times New Roman"/>
          <w:noProof/>
          <w:sz w:val="24"/>
        </w:rPr>
      </w:pPr>
      <w:r>
        <w:rPr>
          <w:rFonts w:ascii="Times New Roman" w:hAnsi="Times New Roman"/>
          <w:sz w:val="24"/>
        </w:rPr>
        <w:t>Slimību uzliesmojumu novēršana, t. i., rūpes par dzīvnieku veselību, ir visefektīvākais veids, kā samazināt klīnisku un subklīnisku slimību izplatību. Tāpēc mums ir cieša pārliecība, ka ieguldījums dzīvnieku veselībā, sniedzot strukturētu un uz pierādījumiem balstītu padomu lauksaimniekiem, aizvien vairāk kļūs par svarīgu Zviedrijas veterinārārstu nākotnes uzdevumu. Tomēr, ja dzīvnieks cieš sāpes vai tam ir slimības simptomi, to pienācīgi un ātri ārstē, kā izvēles procedūru paturot prātā eitanāziju.</w:t>
      </w:r>
    </w:p>
    <w:p w14:paraId="7C6884BB" w14:textId="77777777" w:rsidR="00A24D5C" w:rsidRDefault="00A24D5C" w:rsidP="00154588">
      <w:pPr>
        <w:jc w:val="both"/>
        <w:rPr>
          <w:rFonts w:ascii="Times New Roman" w:hAnsi="Times New Roman"/>
          <w:noProof/>
          <w:sz w:val="24"/>
        </w:rPr>
      </w:pPr>
    </w:p>
    <w:p w14:paraId="2AFD0547" w14:textId="487ECF59" w:rsidR="00672FC0" w:rsidRDefault="00672FC0" w:rsidP="00154588">
      <w:pPr>
        <w:jc w:val="both"/>
        <w:rPr>
          <w:rFonts w:ascii="Times New Roman" w:hAnsi="Times New Roman"/>
          <w:noProof/>
          <w:sz w:val="24"/>
        </w:rPr>
      </w:pPr>
      <w:r>
        <w:rPr>
          <w:rFonts w:ascii="Times New Roman" w:hAnsi="Times New Roman"/>
          <w:sz w:val="24"/>
        </w:rPr>
        <w:t xml:space="preserve">Ja ganāmpulkos ir liels ārstēto dzīvnieku skaits vai antibiotikas </w:t>
      </w:r>
      <w:r w:rsidR="00EE17A2">
        <w:rPr>
          <w:rFonts w:ascii="Times New Roman" w:hAnsi="Times New Roman"/>
          <w:sz w:val="24"/>
        </w:rPr>
        <w:t>lieto</w:t>
      </w:r>
      <w:r>
        <w:rPr>
          <w:rFonts w:ascii="Times New Roman" w:hAnsi="Times New Roman"/>
          <w:sz w:val="24"/>
        </w:rPr>
        <w:t xml:space="preserve"> neatbilstoši norādījumiem, vienmēr jāveic izpēte pamatcēloņu un/vai predisponējošu faktoru atklāšanai, un, kad vien iespējams, šie faktori jākoriģē ar profilaktiskiem pasākumiem. Ciešā sadarbībā ar lauksaimnieku/īpašnieku jāizstrādā strukturēta, uz pierādījumiem balstīta programma dzīvnieku veselības un turpmāk arī saimniecības rentabilitātes uzlabošanai.</w:t>
      </w:r>
    </w:p>
    <w:p w14:paraId="47637A17" w14:textId="77777777" w:rsidR="00A24D5C" w:rsidRPr="00154588" w:rsidRDefault="00A24D5C" w:rsidP="00154588">
      <w:pPr>
        <w:jc w:val="both"/>
        <w:rPr>
          <w:rFonts w:ascii="Times New Roman" w:hAnsi="Times New Roman"/>
          <w:noProof/>
          <w:sz w:val="24"/>
        </w:rPr>
      </w:pPr>
    </w:p>
    <w:p w14:paraId="47C02F50" w14:textId="64485866" w:rsidR="00672FC0" w:rsidRDefault="00672FC0" w:rsidP="00154588">
      <w:pPr>
        <w:jc w:val="both"/>
        <w:rPr>
          <w:rFonts w:ascii="Times New Roman" w:hAnsi="Times New Roman"/>
          <w:noProof/>
          <w:sz w:val="24"/>
        </w:rPr>
      </w:pPr>
      <w:r>
        <w:rPr>
          <w:rFonts w:ascii="Times New Roman" w:hAnsi="Times New Roman"/>
          <w:sz w:val="24"/>
        </w:rPr>
        <w:t>Lai nodrošinātu anti</w:t>
      </w:r>
      <w:r w:rsidR="00EE17A2">
        <w:rPr>
          <w:rFonts w:ascii="Times New Roman" w:hAnsi="Times New Roman"/>
          <w:sz w:val="24"/>
        </w:rPr>
        <w:t>mikrobiālo</w:t>
      </w:r>
      <w:r>
        <w:rPr>
          <w:rFonts w:ascii="Times New Roman" w:hAnsi="Times New Roman"/>
          <w:sz w:val="24"/>
        </w:rPr>
        <w:t xml:space="preserve"> līdzekļu ilgtspējīgu lietošanu, ir nepieciešama plašāka klīniskā izpēte profilaktisko pasākumu un ārstēšanas shēmu optimizēšanai. Ganāmpulkiem kļūstot lielākiem un, iespējams, mazāk aizsargātiem pret infekcijas slimībām, tas būs aizvien svarīgāk.</w:t>
      </w:r>
    </w:p>
    <w:p w14:paraId="61BC3B95" w14:textId="77777777" w:rsidR="00A24D5C" w:rsidRPr="00154588" w:rsidRDefault="00A24D5C" w:rsidP="00154588">
      <w:pPr>
        <w:jc w:val="both"/>
        <w:rPr>
          <w:rFonts w:ascii="Times New Roman" w:hAnsi="Times New Roman"/>
          <w:noProof/>
          <w:sz w:val="24"/>
        </w:rPr>
      </w:pPr>
    </w:p>
    <w:p w14:paraId="32E3E495" w14:textId="10390F5F" w:rsidR="00672FC0" w:rsidRPr="00154588" w:rsidRDefault="00672FC0" w:rsidP="00154588">
      <w:pPr>
        <w:jc w:val="both"/>
        <w:rPr>
          <w:rFonts w:ascii="Times New Roman" w:eastAsia="Book Antiqua" w:hAnsi="Times New Roman" w:cs="Book Antiqua"/>
          <w:noProof/>
          <w:sz w:val="24"/>
          <w:szCs w:val="19"/>
        </w:rPr>
      </w:pPr>
      <w:r>
        <w:rPr>
          <w:rFonts w:ascii="Times New Roman" w:hAnsi="Times New Roman"/>
          <w:sz w:val="24"/>
          <w:szCs w:val="19"/>
        </w:rPr>
        <w:t xml:space="preserve">Šo pamatnostādņu tapšanā ieguldījumu ir devuši arī daudzi citi cilvēki, kas nav šo nodaļu autori. Darbs turpinās jau ilgi, un dažos gadījumos tas iesākts jau divdesmitā gadsimta deviņdesmitajos gados. </w:t>
      </w:r>
      <w:r>
        <w:rPr>
          <w:rFonts w:ascii="Times New Roman" w:hAnsi="Times New Roman"/>
          <w:i/>
          <w:iCs/>
          <w:sz w:val="24"/>
          <w:szCs w:val="19"/>
        </w:rPr>
        <w:t>SVS</w:t>
      </w:r>
      <w:r>
        <w:rPr>
          <w:rFonts w:ascii="Times New Roman" w:hAnsi="Times New Roman"/>
          <w:sz w:val="24"/>
          <w:szCs w:val="19"/>
        </w:rPr>
        <w:t xml:space="preserve"> </w:t>
      </w:r>
      <w:r w:rsidR="00EE17A2">
        <w:rPr>
          <w:rFonts w:ascii="Times New Roman" w:hAnsi="Times New Roman"/>
          <w:sz w:val="24"/>
          <w:szCs w:val="19"/>
        </w:rPr>
        <w:t>Produktīvo</w:t>
      </w:r>
      <w:r>
        <w:rPr>
          <w:rFonts w:ascii="Times New Roman" w:hAnsi="Times New Roman"/>
          <w:sz w:val="24"/>
          <w:szCs w:val="19"/>
        </w:rPr>
        <w:t xml:space="preserve"> dzīvnieku nodaļa izsaka sirsnīgu pateicību visiem šiem lojālajiem un strādīgajiem cilvēkiem.</w:t>
      </w:r>
    </w:p>
    <w:p w14:paraId="6BC4FDC5" w14:textId="77777777" w:rsidR="00672FC0" w:rsidRPr="00154588" w:rsidRDefault="00672FC0" w:rsidP="00154588">
      <w:pPr>
        <w:jc w:val="both"/>
        <w:rPr>
          <w:rFonts w:ascii="Times New Roman" w:eastAsia="Book Antiqua" w:hAnsi="Times New Roman" w:cs="Book Antiqua"/>
          <w:noProof/>
          <w:sz w:val="24"/>
          <w:szCs w:val="18"/>
        </w:rPr>
      </w:pPr>
    </w:p>
    <w:p w14:paraId="7F486001" w14:textId="38DF5312" w:rsidR="00672FC0" w:rsidRPr="00154588" w:rsidRDefault="00672FC0" w:rsidP="00154588">
      <w:pPr>
        <w:jc w:val="both"/>
        <w:rPr>
          <w:rFonts w:ascii="Times New Roman" w:eastAsia="Book Antiqua" w:hAnsi="Times New Roman" w:cs="Book Antiqua"/>
          <w:noProof/>
          <w:sz w:val="24"/>
          <w:szCs w:val="19"/>
        </w:rPr>
      </w:pPr>
      <w:r>
        <w:rPr>
          <w:rFonts w:ascii="Times New Roman" w:hAnsi="Times New Roman"/>
          <w:i/>
          <w:iCs/>
          <w:sz w:val="24"/>
          <w:szCs w:val="19"/>
        </w:rPr>
        <w:t>SVS</w:t>
      </w:r>
      <w:r>
        <w:rPr>
          <w:rFonts w:ascii="Times New Roman" w:hAnsi="Times New Roman"/>
          <w:sz w:val="24"/>
          <w:szCs w:val="19"/>
        </w:rPr>
        <w:t xml:space="preserve"> </w:t>
      </w:r>
      <w:r w:rsidR="004D53BD">
        <w:rPr>
          <w:rFonts w:ascii="Times New Roman" w:hAnsi="Times New Roman"/>
          <w:sz w:val="24"/>
          <w:szCs w:val="19"/>
        </w:rPr>
        <w:t>Produktīvo</w:t>
      </w:r>
      <w:r>
        <w:rPr>
          <w:rFonts w:ascii="Times New Roman" w:hAnsi="Times New Roman"/>
          <w:sz w:val="24"/>
          <w:szCs w:val="19"/>
        </w:rPr>
        <w:t xml:space="preserve"> dzīvnieku nodaļas vārdā</w:t>
      </w:r>
    </w:p>
    <w:p w14:paraId="76512F4C" w14:textId="77777777" w:rsidR="00A24D5C" w:rsidRDefault="00A24D5C" w:rsidP="00154588">
      <w:pPr>
        <w:jc w:val="both"/>
        <w:rPr>
          <w:rFonts w:ascii="Times New Roman" w:hAnsi="Times New Roman"/>
          <w:i/>
          <w:noProof/>
          <w:sz w:val="24"/>
        </w:rPr>
      </w:pPr>
    </w:p>
    <w:p w14:paraId="169806DE" w14:textId="68C55B6C" w:rsidR="00672FC0" w:rsidRPr="00154588" w:rsidRDefault="00672FC0" w:rsidP="00154588">
      <w:pPr>
        <w:jc w:val="both"/>
        <w:rPr>
          <w:rFonts w:ascii="Times New Roman" w:hAnsi="Times New Roman"/>
          <w:i/>
          <w:noProof/>
          <w:sz w:val="24"/>
        </w:rPr>
      </w:pPr>
      <w:r>
        <w:rPr>
          <w:rFonts w:ascii="Times New Roman" w:hAnsi="Times New Roman"/>
          <w:i/>
          <w:sz w:val="24"/>
        </w:rPr>
        <w:t>Hokans Landīns, priekšsēdētājs</w:t>
      </w:r>
    </w:p>
    <w:p w14:paraId="72C241BE" w14:textId="77777777" w:rsidR="00154588" w:rsidRPr="00154588" w:rsidRDefault="00154588" w:rsidP="00154588">
      <w:pPr>
        <w:jc w:val="both"/>
        <w:rPr>
          <w:rFonts w:ascii="Times New Roman" w:eastAsia="Book Antiqua" w:hAnsi="Times New Roman" w:cs="Book Antiqua"/>
          <w:noProof/>
          <w:sz w:val="24"/>
          <w:szCs w:val="19"/>
        </w:rPr>
      </w:pPr>
    </w:p>
    <w:p w14:paraId="44564928" w14:textId="7D3938BD" w:rsidR="00A24D5C" w:rsidRDefault="00A24D5C">
      <w:pPr>
        <w:rPr>
          <w:rFonts w:ascii="Times New Roman" w:eastAsia="Times New Roman" w:hAnsi="Times New Roman" w:cs="Times New Roman"/>
          <w:noProof/>
          <w:sz w:val="24"/>
          <w:szCs w:val="6"/>
        </w:rPr>
      </w:pPr>
      <w:r>
        <w:br w:type="page"/>
      </w:r>
    </w:p>
    <w:p w14:paraId="1742AC84" w14:textId="77777777" w:rsidR="00672FC0" w:rsidRDefault="00672FC0" w:rsidP="00154588">
      <w:pPr>
        <w:jc w:val="both"/>
        <w:rPr>
          <w:rFonts w:ascii="Times New Roman" w:eastAsia="Times New Roman" w:hAnsi="Times New Roman" w:cs="Times New Roman"/>
          <w:noProof/>
          <w:sz w:val="24"/>
          <w:szCs w:val="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24D5C" w14:paraId="46F38845" w14:textId="77777777" w:rsidTr="00A24D5C">
        <w:tc>
          <w:tcPr>
            <w:tcW w:w="9288" w:type="dxa"/>
          </w:tcPr>
          <w:p w14:paraId="5FC2DFDD" w14:textId="1A6A43B3" w:rsidR="00A24D5C" w:rsidRPr="00CB3F38" w:rsidRDefault="00A24D5C" w:rsidP="00CB3F38">
            <w:pPr>
              <w:pStyle w:val="Heading1"/>
              <w:rPr>
                <w:b/>
                <w:bCs/>
                <w:noProof/>
              </w:rPr>
            </w:pPr>
            <w:bookmarkStart w:id="4" w:name="_Toc47003056"/>
            <w:r w:rsidRPr="00CB3F38">
              <w:rPr>
                <w:b/>
                <w:bCs/>
              </w:rPr>
              <w:t>Anti</w:t>
            </w:r>
            <w:r w:rsidR="004D53BD">
              <w:rPr>
                <w:b/>
                <w:bCs/>
              </w:rPr>
              <w:t>mikrobiālo</w:t>
            </w:r>
            <w:r w:rsidRPr="00CB3F38">
              <w:rPr>
                <w:b/>
                <w:bCs/>
              </w:rPr>
              <w:t xml:space="preserve"> līdzekļu lietošanas vispārējie principi</w:t>
            </w:r>
            <w:bookmarkEnd w:id="4"/>
          </w:p>
          <w:p w14:paraId="52131C9E" w14:textId="77777777" w:rsidR="00A24D5C" w:rsidRDefault="00A24D5C" w:rsidP="00A24D5C">
            <w:pPr>
              <w:jc w:val="both"/>
              <w:rPr>
                <w:rFonts w:ascii="Times New Roman" w:hAnsi="Times New Roman"/>
                <w:noProof/>
                <w:color w:val="231F20"/>
                <w:sz w:val="24"/>
              </w:rPr>
            </w:pPr>
          </w:p>
          <w:p w14:paraId="423DC97E" w14:textId="24A3DDC1" w:rsidR="00A24D5C" w:rsidRPr="00A24D5C" w:rsidRDefault="00A24D5C" w:rsidP="00A24D5C">
            <w:pPr>
              <w:numPr>
                <w:ilvl w:val="0"/>
                <w:numId w:val="4"/>
              </w:numPr>
              <w:ind w:left="284" w:hanging="311"/>
              <w:jc w:val="both"/>
              <w:rPr>
                <w:rFonts w:ascii="Times New Roman" w:hAnsi="Times New Roman"/>
                <w:noProof/>
                <w:color w:val="231F20"/>
                <w:sz w:val="24"/>
              </w:rPr>
            </w:pPr>
            <w:r>
              <w:rPr>
                <w:rFonts w:ascii="Times New Roman" w:hAnsi="Times New Roman"/>
                <w:color w:val="231F20"/>
                <w:sz w:val="24"/>
              </w:rPr>
              <w:t>Antibiotikas jā</w:t>
            </w:r>
            <w:r w:rsidR="004D53BD">
              <w:rPr>
                <w:rFonts w:ascii="Times New Roman" w:hAnsi="Times New Roman"/>
                <w:color w:val="231F20"/>
                <w:sz w:val="24"/>
              </w:rPr>
              <w:t>lieto</w:t>
            </w:r>
            <w:r>
              <w:rPr>
                <w:rFonts w:ascii="Times New Roman" w:hAnsi="Times New Roman"/>
                <w:color w:val="231F20"/>
                <w:sz w:val="24"/>
              </w:rPr>
              <w:t xml:space="preserve"> tikai bakteriālas etioloģijas slimību ārstēšanai vai arī tad, ja ir nopietnas liecības vai aizdomas par šādu etioloģiju.</w:t>
            </w:r>
          </w:p>
          <w:p w14:paraId="5767B66C" w14:textId="77777777" w:rsidR="00A24D5C" w:rsidRPr="00A24D5C" w:rsidRDefault="00A24D5C" w:rsidP="00A24D5C">
            <w:pPr>
              <w:numPr>
                <w:ilvl w:val="0"/>
                <w:numId w:val="4"/>
              </w:numPr>
              <w:ind w:left="284" w:hanging="311"/>
              <w:jc w:val="both"/>
              <w:rPr>
                <w:rFonts w:ascii="Times New Roman" w:hAnsi="Times New Roman"/>
                <w:noProof/>
                <w:color w:val="231F20"/>
                <w:sz w:val="24"/>
              </w:rPr>
            </w:pPr>
            <w:r>
              <w:rPr>
                <w:rFonts w:ascii="Times New Roman" w:hAnsi="Times New Roman"/>
                <w:color w:val="231F20"/>
                <w:sz w:val="24"/>
              </w:rPr>
              <w:t>Pirms veic ārstēšanu ar antibiotikām, kad vien iespējams, jānosaka bakteriālo infekciju diagnoze, papildus veicot jutīguma testus.</w:t>
            </w:r>
          </w:p>
          <w:p w14:paraId="40CE2A4C" w14:textId="620598CF" w:rsidR="00A24D5C" w:rsidRPr="00A24D5C" w:rsidRDefault="00A24D5C" w:rsidP="00A24D5C">
            <w:pPr>
              <w:numPr>
                <w:ilvl w:val="0"/>
                <w:numId w:val="4"/>
              </w:numPr>
              <w:ind w:left="284" w:hanging="311"/>
              <w:jc w:val="both"/>
              <w:rPr>
                <w:rFonts w:ascii="Times New Roman" w:hAnsi="Times New Roman"/>
                <w:noProof/>
                <w:color w:val="231F20"/>
                <w:sz w:val="24"/>
              </w:rPr>
            </w:pPr>
            <w:r>
              <w:rPr>
                <w:rFonts w:ascii="Times New Roman" w:hAnsi="Times New Roman"/>
                <w:color w:val="231F20"/>
                <w:sz w:val="24"/>
              </w:rPr>
              <w:t>Ārstējot</w:t>
            </w:r>
            <w:r w:rsidR="004D53BD">
              <w:rPr>
                <w:rFonts w:ascii="Times New Roman" w:hAnsi="Times New Roman"/>
                <w:color w:val="231F20"/>
                <w:sz w:val="24"/>
              </w:rPr>
              <w:t xml:space="preserve"> produktīvos</w:t>
            </w:r>
            <w:r>
              <w:rPr>
                <w:rFonts w:ascii="Times New Roman" w:hAnsi="Times New Roman"/>
                <w:color w:val="231F20"/>
                <w:sz w:val="24"/>
              </w:rPr>
              <w:t xml:space="preserve"> dzīvniekus no baktēriju izraisītām slimībām, vienmēr jācenšas </w:t>
            </w:r>
            <w:r w:rsidR="004D53BD">
              <w:rPr>
                <w:rFonts w:ascii="Times New Roman" w:hAnsi="Times New Roman"/>
                <w:color w:val="231F20"/>
                <w:sz w:val="24"/>
              </w:rPr>
              <w:t>lietot</w:t>
            </w:r>
            <w:r>
              <w:rPr>
                <w:rFonts w:ascii="Times New Roman" w:hAnsi="Times New Roman"/>
                <w:color w:val="231F20"/>
                <w:sz w:val="24"/>
              </w:rPr>
              <w:t xml:space="preserve"> zāles ar pēc iespējas šaurāku antibiotiskās darbības spektru.</w:t>
            </w:r>
          </w:p>
          <w:p w14:paraId="40397003" w14:textId="77777777" w:rsidR="00A24D5C" w:rsidRPr="00A24D5C" w:rsidRDefault="00A24D5C" w:rsidP="00A24D5C">
            <w:pPr>
              <w:numPr>
                <w:ilvl w:val="0"/>
                <w:numId w:val="4"/>
              </w:numPr>
              <w:ind w:left="284" w:hanging="311"/>
              <w:jc w:val="both"/>
              <w:rPr>
                <w:rFonts w:ascii="Times New Roman" w:hAnsi="Times New Roman"/>
                <w:noProof/>
                <w:color w:val="231F20"/>
                <w:sz w:val="24"/>
              </w:rPr>
            </w:pPr>
            <w:r>
              <w:rPr>
                <w:rFonts w:ascii="Times New Roman" w:hAnsi="Times New Roman"/>
                <w:color w:val="231F20"/>
                <w:sz w:val="24"/>
              </w:rPr>
              <w:t>Ārstējot dzīvnieku grupas, jānosaka etioloģiskā diagnoze un jāizveido ārstēšanas plāns.</w:t>
            </w:r>
          </w:p>
          <w:p w14:paraId="1744D6DD" w14:textId="217FD00D" w:rsidR="00A24D5C" w:rsidRPr="00A24D5C" w:rsidRDefault="00A24D5C" w:rsidP="00154588">
            <w:pPr>
              <w:numPr>
                <w:ilvl w:val="0"/>
                <w:numId w:val="4"/>
              </w:numPr>
              <w:ind w:left="284" w:hanging="311"/>
              <w:jc w:val="both"/>
              <w:rPr>
                <w:rFonts w:ascii="Times New Roman" w:hAnsi="Times New Roman"/>
                <w:noProof/>
                <w:color w:val="231F20"/>
                <w:sz w:val="24"/>
              </w:rPr>
            </w:pPr>
            <w:r>
              <w:rPr>
                <w:rFonts w:ascii="Times New Roman" w:hAnsi="Times New Roman"/>
                <w:color w:val="231F20"/>
                <w:sz w:val="24"/>
              </w:rPr>
              <w:t>Atklājot lielu ārstēto dzīvnieku skaitu vai antibiotiku lietošanu neatbilstoši norādījumiem, jāveic pamatcēloņu un/vai predisponējošo faktoru izpēte un, kad vien iespējams, korekcija ar profilaktiskiem pasākumiem.</w:t>
            </w:r>
          </w:p>
        </w:tc>
      </w:tr>
    </w:tbl>
    <w:p w14:paraId="78B7B4E5" w14:textId="4CBC0F8C" w:rsidR="00A24D5C" w:rsidRDefault="00A24D5C" w:rsidP="00154588">
      <w:pPr>
        <w:jc w:val="both"/>
        <w:rPr>
          <w:rFonts w:ascii="Times New Roman" w:eastAsia="Times New Roman" w:hAnsi="Times New Roman" w:cs="Times New Roman"/>
          <w:noProof/>
          <w:sz w:val="24"/>
          <w:szCs w:val="6"/>
        </w:rPr>
      </w:pPr>
    </w:p>
    <w:p w14:paraId="65AD51D0" w14:textId="45287E3D" w:rsidR="00CB3F38" w:rsidRDefault="00CB3F38" w:rsidP="00154588">
      <w:pPr>
        <w:jc w:val="both"/>
        <w:rPr>
          <w:rFonts w:ascii="Times New Roman" w:eastAsia="Times New Roman" w:hAnsi="Times New Roman" w:cs="Times New Roman"/>
          <w:noProof/>
          <w:sz w:val="24"/>
          <w:szCs w:val="6"/>
        </w:rPr>
      </w:pPr>
    </w:p>
    <w:p w14:paraId="3D7FD6A8" w14:textId="6C5AC578" w:rsidR="00CB3F38" w:rsidRDefault="00CB3F38" w:rsidP="00154588">
      <w:pPr>
        <w:jc w:val="both"/>
        <w:rPr>
          <w:rFonts w:ascii="Times New Roman" w:eastAsia="Times New Roman" w:hAnsi="Times New Roman" w:cs="Times New Roman"/>
          <w:noProof/>
          <w:sz w:val="24"/>
          <w:szCs w:val="6"/>
        </w:rPr>
      </w:pPr>
    </w:p>
    <w:p w14:paraId="71566FA5" w14:textId="1C06123E" w:rsidR="00CB3F38" w:rsidRDefault="00CB3F38" w:rsidP="00154588">
      <w:pPr>
        <w:jc w:val="both"/>
        <w:rPr>
          <w:rFonts w:ascii="Times New Roman" w:eastAsia="Times New Roman" w:hAnsi="Times New Roman" w:cs="Times New Roman"/>
          <w:noProof/>
          <w:sz w:val="24"/>
          <w:szCs w:val="6"/>
        </w:rPr>
      </w:pPr>
    </w:p>
    <w:p w14:paraId="2FF68D65" w14:textId="209B305D" w:rsidR="00CB3F38" w:rsidRDefault="00CB3F38" w:rsidP="00154588">
      <w:pPr>
        <w:jc w:val="both"/>
        <w:rPr>
          <w:rFonts w:ascii="Times New Roman" w:eastAsia="Times New Roman" w:hAnsi="Times New Roman" w:cs="Times New Roman"/>
          <w:noProof/>
          <w:sz w:val="24"/>
          <w:szCs w:val="6"/>
        </w:rPr>
      </w:pPr>
    </w:p>
    <w:p w14:paraId="7C9B1D00" w14:textId="65B47233" w:rsidR="00CB3F38" w:rsidRDefault="00CB3F38" w:rsidP="00154588">
      <w:pPr>
        <w:jc w:val="both"/>
        <w:rPr>
          <w:rFonts w:ascii="Times New Roman" w:eastAsia="Times New Roman" w:hAnsi="Times New Roman" w:cs="Times New Roman"/>
          <w:noProof/>
          <w:sz w:val="24"/>
          <w:szCs w:val="6"/>
        </w:rPr>
      </w:pPr>
    </w:p>
    <w:p w14:paraId="568DE944" w14:textId="1D3AAE45" w:rsidR="00CB3F38" w:rsidRDefault="00CB3F38" w:rsidP="00154588">
      <w:pPr>
        <w:jc w:val="both"/>
        <w:rPr>
          <w:rFonts w:ascii="Times New Roman" w:eastAsia="Times New Roman" w:hAnsi="Times New Roman" w:cs="Times New Roman"/>
          <w:noProof/>
          <w:sz w:val="24"/>
          <w:szCs w:val="6"/>
        </w:rPr>
      </w:pPr>
    </w:p>
    <w:p w14:paraId="6F3C5B5D" w14:textId="7989F7DE" w:rsidR="00CB3F38" w:rsidRDefault="00CB3F38" w:rsidP="00154588">
      <w:pPr>
        <w:jc w:val="both"/>
        <w:rPr>
          <w:rFonts w:ascii="Times New Roman" w:eastAsia="Times New Roman" w:hAnsi="Times New Roman" w:cs="Times New Roman"/>
          <w:noProof/>
          <w:sz w:val="24"/>
          <w:szCs w:val="6"/>
        </w:rPr>
      </w:pPr>
    </w:p>
    <w:p w14:paraId="3CF6EDDE" w14:textId="68103EFA" w:rsidR="00CB3F38" w:rsidRDefault="00CB3F38" w:rsidP="00154588">
      <w:pPr>
        <w:jc w:val="both"/>
        <w:rPr>
          <w:rFonts w:ascii="Times New Roman" w:eastAsia="Times New Roman" w:hAnsi="Times New Roman" w:cs="Times New Roman"/>
          <w:noProof/>
          <w:sz w:val="24"/>
          <w:szCs w:val="6"/>
        </w:rPr>
      </w:pPr>
    </w:p>
    <w:p w14:paraId="524CFB26" w14:textId="6E4BC415" w:rsidR="00CB3F38" w:rsidRDefault="00CB3F38" w:rsidP="00154588">
      <w:pPr>
        <w:jc w:val="both"/>
        <w:rPr>
          <w:rFonts w:ascii="Times New Roman" w:eastAsia="Times New Roman" w:hAnsi="Times New Roman" w:cs="Times New Roman"/>
          <w:noProof/>
          <w:sz w:val="24"/>
          <w:szCs w:val="6"/>
        </w:rPr>
      </w:pPr>
    </w:p>
    <w:p w14:paraId="6BAE4D51" w14:textId="18D907A7" w:rsidR="00CB3F38" w:rsidRDefault="00CB3F38" w:rsidP="00154588">
      <w:pPr>
        <w:jc w:val="both"/>
        <w:rPr>
          <w:rFonts w:ascii="Times New Roman" w:eastAsia="Times New Roman" w:hAnsi="Times New Roman" w:cs="Times New Roman"/>
          <w:noProof/>
          <w:sz w:val="24"/>
          <w:szCs w:val="6"/>
        </w:rPr>
      </w:pPr>
    </w:p>
    <w:p w14:paraId="59074272" w14:textId="068CF2C6" w:rsidR="00CB3F38" w:rsidRDefault="00CB3F38" w:rsidP="00154588">
      <w:pPr>
        <w:jc w:val="both"/>
        <w:rPr>
          <w:rFonts w:ascii="Times New Roman" w:eastAsia="Times New Roman" w:hAnsi="Times New Roman" w:cs="Times New Roman"/>
          <w:noProof/>
          <w:sz w:val="24"/>
          <w:szCs w:val="6"/>
        </w:rPr>
      </w:pPr>
    </w:p>
    <w:p w14:paraId="684A43DC" w14:textId="041A3607" w:rsidR="00CB3F38" w:rsidRDefault="00CB3F38" w:rsidP="00154588">
      <w:pPr>
        <w:jc w:val="both"/>
        <w:rPr>
          <w:rFonts w:ascii="Times New Roman" w:eastAsia="Times New Roman" w:hAnsi="Times New Roman" w:cs="Times New Roman"/>
          <w:noProof/>
          <w:sz w:val="24"/>
          <w:szCs w:val="6"/>
        </w:rPr>
      </w:pPr>
    </w:p>
    <w:p w14:paraId="7C975B9E" w14:textId="77777777" w:rsidR="00CB3F38" w:rsidRDefault="00CB3F38" w:rsidP="00154588">
      <w:pPr>
        <w:jc w:val="both"/>
        <w:rPr>
          <w:rFonts w:ascii="Times New Roman" w:eastAsia="Times New Roman" w:hAnsi="Times New Roman" w:cs="Times New Roman"/>
          <w:noProof/>
          <w:sz w:val="24"/>
          <w:szCs w:val="6"/>
        </w:rPr>
      </w:pPr>
    </w:p>
    <w:p w14:paraId="33DD67C0" w14:textId="3D7A4074" w:rsidR="00A24D5C" w:rsidRDefault="00A24D5C" w:rsidP="00154588">
      <w:pPr>
        <w:jc w:val="both"/>
        <w:rPr>
          <w:rFonts w:ascii="Times New Roman" w:eastAsia="Times New Roman" w:hAnsi="Times New Roman" w:cs="Times New Roman"/>
          <w:noProof/>
          <w:sz w:val="24"/>
          <w:szCs w:val="6"/>
        </w:rPr>
      </w:pPr>
      <w:r>
        <w:rPr>
          <w:rFonts w:ascii="Times New Roman" w:hAnsi="Times New Roman"/>
          <w:noProof/>
          <w:sz w:val="24"/>
          <w:szCs w:val="6"/>
        </w:rPr>
        <w:drawing>
          <wp:inline distT="0" distB="0" distL="0" distR="0" wp14:anchorId="459CDEB1" wp14:editId="65EFD98F">
            <wp:extent cx="3157855" cy="3700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7855" cy="3700145"/>
                    </a:xfrm>
                    <a:prstGeom prst="rect">
                      <a:avLst/>
                    </a:prstGeom>
                    <a:noFill/>
                    <a:ln>
                      <a:noFill/>
                    </a:ln>
                  </pic:spPr>
                </pic:pic>
              </a:graphicData>
            </a:graphic>
          </wp:inline>
        </w:drawing>
      </w:r>
    </w:p>
    <w:p w14:paraId="2ADA55C4" w14:textId="15190A89" w:rsidR="00A24D5C" w:rsidRDefault="00A24D5C" w:rsidP="00154588">
      <w:pPr>
        <w:jc w:val="both"/>
        <w:rPr>
          <w:rFonts w:ascii="Times New Roman" w:eastAsia="Times New Roman" w:hAnsi="Times New Roman" w:cs="Times New Roman"/>
          <w:noProof/>
          <w:sz w:val="24"/>
          <w:szCs w:val="6"/>
        </w:rPr>
      </w:pPr>
    </w:p>
    <w:p w14:paraId="7CB5E46F" w14:textId="16078580" w:rsidR="00A24D5C" w:rsidRDefault="00A24D5C">
      <w:pPr>
        <w:rPr>
          <w:rFonts w:ascii="Times New Roman" w:eastAsia="Times New Roman" w:hAnsi="Times New Roman" w:cs="Times New Roman"/>
          <w:noProof/>
          <w:sz w:val="24"/>
          <w:szCs w:val="6"/>
        </w:rPr>
      </w:pPr>
      <w:r>
        <w:br w:type="page"/>
      </w:r>
    </w:p>
    <w:p w14:paraId="2161078B" w14:textId="77777777" w:rsidR="00154588" w:rsidRPr="00154588" w:rsidRDefault="00154588" w:rsidP="00154588">
      <w:pPr>
        <w:jc w:val="both"/>
        <w:rPr>
          <w:rFonts w:ascii="Times New Roman" w:eastAsia="Times New Roman" w:hAnsi="Times New Roman" w:cs="Times New Roman"/>
          <w:noProof/>
          <w:sz w:val="24"/>
          <w:szCs w:val="20"/>
        </w:rPr>
      </w:pPr>
    </w:p>
    <w:p w14:paraId="68F2FB9F" w14:textId="436F29A8" w:rsidR="00672FC0" w:rsidRPr="00CB3F38" w:rsidRDefault="00672FC0" w:rsidP="00CB3F38">
      <w:pPr>
        <w:pStyle w:val="Heading1"/>
        <w:rPr>
          <w:sz w:val="28"/>
          <w:szCs w:val="32"/>
        </w:rPr>
      </w:pPr>
      <w:bookmarkStart w:id="5" w:name="_Toc46997533"/>
      <w:bookmarkStart w:id="6" w:name="_Toc47003057"/>
      <w:r w:rsidRPr="00CB3F38">
        <w:rPr>
          <w:sz w:val="28"/>
          <w:szCs w:val="32"/>
        </w:rPr>
        <w:t>Apsvērumi pirms anti</w:t>
      </w:r>
      <w:r w:rsidR="004D53BD">
        <w:rPr>
          <w:sz w:val="28"/>
          <w:szCs w:val="32"/>
        </w:rPr>
        <w:t>mikrobiālās</w:t>
      </w:r>
      <w:r w:rsidRPr="00CB3F38">
        <w:rPr>
          <w:sz w:val="28"/>
          <w:szCs w:val="32"/>
        </w:rPr>
        <w:t xml:space="preserve"> ārstēšanas uzsākšanas</w:t>
      </w:r>
      <w:bookmarkEnd w:id="5"/>
      <w:bookmarkEnd w:id="6"/>
    </w:p>
    <w:p w14:paraId="33EB8941" w14:textId="77777777" w:rsidR="00A24D5C" w:rsidRDefault="00A24D5C" w:rsidP="00154588">
      <w:pPr>
        <w:jc w:val="both"/>
        <w:rPr>
          <w:rFonts w:ascii="Times New Roman" w:hAnsi="Times New Roman"/>
          <w:i/>
          <w:noProof/>
          <w:sz w:val="24"/>
        </w:rPr>
      </w:pPr>
    </w:p>
    <w:p w14:paraId="4CAC04E9" w14:textId="4470BC10" w:rsidR="00672FC0" w:rsidRPr="00154588" w:rsidRDefault="00672FC0" w:rsidP="00154588">
      <w:pPr>
        <w:jc w:val="both"/>
        <w:rPr>
          <w:rFonts w:ascii="Times New Roman" w:hAnsi="Times New Roman"/>
          <w:i/>
          <w:noProof/>
          <w:sz w:val="24"/>
        </w:rPr>
      </w:pPr>
      <w:r>
        <w:rPr>
          <w:rFonts w:ascii="Times New Roman" w:hAnsi="Times New Roman"/>
          <w:i/>
          <w:sz w:val="24"/>
        </w:rPr>
        <w:t>Ilva Pēšone, veterinārās medicīnas doktore, Dr. phil.</w:t>
      </w:r>
    </w:p>
    <w:p w14:paraId="7E454C09" w14:textId="77777777" w:rsidR="00672FC0" w:rsidRPr="00154588" w:rsidRDefault="00672FC0" w:rsidP="00154588">
      <w:pPr>
        <w:jc w:val="both"/>
        <w:rPr>
          <w:rFonts w:ascii="Times New Roman" w:hAnsi="Times New Roman"/>
          <w:i/>
          <w:noProof/>
          <w:sz w:val="24"/>
        </w:rPr>
      </w:pPr>
      <w:r>
        <w:rPr>
          <w:rFonts w:ascii="Times New Roman" w:hAnsi="Times New Roman"/>
          <w:i/>
          <w:sz w:val="24"/>
        </w:rPr>
        <w:t>Pērs Valgrēns [Per Wallgren], veterinārās medicīnas doktors, Dr. phil., Eiropas Cūku veselības pārvaldības koledža (ECPHM)</w:t>
      </w:r>
    </w:p>
    <w:p w14:paraId="4382FCF7" w14:textId="77777777" w:rsidR="00672FC0" w:rsidRPr="00154588" w:rsidRDefault="00672FC0" w:rsidP="00154588">
      <w:pPr>
        <w:jc w:val="both"/>
        <w:rPr>
          <w:rFonts w:ascii="Times New Roman" w:eastAsia="Book Antiqua" w:hAnsi="Times New Roman" w:cs="Book Antiqua"/>
          <w:i/>
          <w:noProof/>
          <w:sz w:val="24"/>
          <w:szCs w:val="19"/>
        </w:rPr>
      </w:pPr>
    </w:p>
    <w:p w14:paraId="132F67C6" w14:textId="18BD7B50" w:rsidR="00672FC0" w:rsidRPr="00154588" w:rsidRDefault="00672FC0" w:rsidP="00154588">
      <w:pPr>
        <w:pStyle w:val="Heading3"/>
        <w:ind w:left="0"/>
        <w:jc w:val="both"/>
        <w:rPr>
          <w:rFonts w:ascii="Times New Roman" w:hAnsi="Times New Roman"/>
          <w:noProof/>
          <w:sz w:val="24"/>
        </w:rPr>
      </w:pPr>
      <w:bookmarkStart w:id="7" w:name="_Toc46997534"/>
      <w:bookmarkStart w:id="8" w:name="_Toc47003058"/>
      <w:r>
        <w:rPr>
          <w:rFonts w:ascii="Times New Roman" w:hAnsi="Times New Roman"/>
          <w:sz w:val="24"/>
        </w:rPr>
        <w:t>Vispārēji apsvērumi</w:t>
      </w:r>
      <w:bookmarkEnd w:id="7"/>
      <w:bookmarkEnd w:id="8"/>
    </w:p>
    <w:p w14:paraId="1CACDAD1" w14:textId="36C4773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Galvenā atšķirība starp antibiotikām un citām zālēm ir tā, ka antibiotikas stimulē mikroorganismu rezistenci. Lai nākotnē veiksmīgi ārstētu cilvēku un dzīvnieku bakteriālās infekcijas, svarīgi ievērot ierobežojumus anti</w:t>
      </w:r>
      <w:r w:rsidR="004D53BD">
        <w:rPr>
          <w:rFonts w:ascii="Times New Roman" w:hAnsi="Times New Roman"/>
          <w:sz w:val="24"/>
        </w:rPr>
        <w:t>mikrobiālo</w:t>
      </w:r>
      <w:r>
        <w:rPr>
          <w:rFonts w:ascii="Times New Roman" w:hAnsi="Times New Roman"/>
          <w:sz w:val="24"/>
        </w:rPr>
        <w:t xml:space="preserve"> līdzekļu lietošanā un rīkoties atbildīgi. Antibiotiku lietošana ir indicēta bakteriālo infekciju ārstēšanai tikai tad, ja ir noteikta diagnoze (vai ir stipras aizdomas par bakteriālām infekcijām) un secināts, ka pacienta imūnsistēma pati ar infekciju netiks galā. Turklāt prognozei par ārstēšanas iedarbīgumu un iznākumu jābūt pozitīvai. Pareizai diagnozei, kurā vēlams iekļaut vērtējumu par baktēriju jutīgumu, ir ļoti svarīga nozīme, lemjot par dzīvnieka ārstēšanu ar antibiotikām. Jāņem vērā arī dzīvnieku labturības aspekti. Dažos gadījumos pareizais klīniskais lēmums var būt neārstēt dzīvnieku ar antibiotikām; ņemot vērā sagaidāmo prognozi, vispārējo infekcijas līmeni un rezistences gēnu potenciālo izplatīšanos ganāmpulkā, var būt apdomīgāk pakļaut dzīvnieku eitanāzijai. Turpretim citkārt var būt indicēta dzīvnieku grupu ārstēšana. Tomēr antibiotikas nekad nedrīkst lietot ieraduma pēc vai profilaktiskām vajadzībām. Zviedrijā to nosaka normatīvie akti, skatīt </w:t>
      </w:r>
      <w:r>
        <w:rPr>
          <w:rFonts w:ascii="Times New Roman" w:hAnsi="Times New Roman"/>
          <w:i/>
          <w:iCs/>
          <w:sz w:val="24"/>
        </w:rPr>
        <w:t>SJVFS 2015:32</w:t>
      </w:r>
      <w:r>
        <w:rPr>
          <w:rFonts w:ascii="Times New Roman" w:hAnsi="Times New Roman"/>
          <w:sz w:val="24"/>
        </w:rPr>
        <w:t xml:space="preserve"> (</w:t>
      </w:r>
      <w:r>
        <w:rPr>
          <w:rFonts w:ascii="Times New Roman" w:hAnsi="Times New Roman"/>
          <w:i/>
          <w:iCs/>
          <w:sz w:val="24"/>
        </w:rPr>
        <w:t>D9</w:t>
      </w:r>
      <w:r>
        <w:rPr>
          <w:rFonts w:ascii="Times New Roman" w:hAnsi="Times New Roman"/>
          <w:sz w:val="24"/>
        </w:rPr>
        <w:t xml:space="preserve">) un </w:t>
      </w:r>
      <w:r>
        <w:rPr>
          <w:rFonts w:ascii="Times New Roman" w:hAnsi="Times New Roman"/>
          <w:i/>
          <w:iCs/>
          <w:sz w:val="24"/>
        </w:rPr>
        <w:t>SJVFS 2015:31</w:t>
      </w:r>
      <w:r>
        <w:rPr>
          <w:rFonts w:ascii="Times New Roman" w:hAnsi="Times New Roman"/>
          <w:sz w:val="24"/>
        </w:rPr>
        <w:t xml:space="preserve"> (</w:t>
      </w:r>
      <w:r>
        <w:rPr>
          <w:rFonts w:ascii="Times New Roman" w:hAnsi="Times New Roman"/>
          <w:i/>
          <w:iCs/>
          <w:sz w:val="24"/>
        </w:rPr>
        <w:t>D8</w:t>
      </w:r>
      <w:r>
        <w:rPr>
          <w:rFonts w:ascii="Times New Roman" w:hAnsi="Times New Roman"/>
          <w:sz w:val="24"/>
        </w:rPr>
        <w:t>). Otrajā no minētajiem noteikumiem ir norādīts, ka trešās/ceturtās paaudzes cefalosporīnus un hinolonus drīkst lietot tikai pēc tam, kad mikroorganismu rezistences izpēte ir parādījusi pilnīgu šādas lietošanas nepieciešamību, jo šīs antibiotikas vēlams rezervēt cilvēkiem.</w:t>
      </w:r>
    </w:p>
    <w:p w14:paraId="2E534D22" w14:textId="77777777" w:rsidR="00672FC0" w:rsidRPr="00154588" w:rsidRDefault="00672FC0" w:rsidP="00154588">
      <w:pPr>
        <w:jc w:val="both"/>
        <w:rPr>
          <w:rFonts w:ascii="Times New Roman" w:eastAsia="Book Antiqua" w:hAnsi="Times New Roman" w:cs="Book Antiqua"/>
          <w:noProof/>
          <w:sz w:val="24"/>
          <w:szCs w:val="18"/>
        </w:rPr>
      </w:pPr>
    </w:p>
    <w:p w14:paraId="4CC2D696" w14:textId="77777777" w:rsidR="00672FC0" w:rsidRPr="00154588" w:rsidRDefault="00672FC0" w:rsidP="00154588">
      <w:pPr>
        <w:pStyle w:val="Heading3"/>
        <w:ind w:left="0"/>
        <w:jc w:val="both"/>
        <w:rPr>
          <w:rFonts w:ascii="Times New Roman" w:hAnsi="Times New Roman"/>
          <w:noProof/>
          <w:sz w:val="24"/>
        </w:rPr>
      </w:pPr>
      <w:bookmarkStart w:id="9" w:name="_Toc46997535"/>
      <w:bookmarkStart w:id="10" w:name="_Toc47003059"/>
      <w:r>
        <w:rPr>
          <w:rFonts w:ascii="Times New Roman" w:hAnsi="Times New Roman"/>
          <w:sz w:val="24"/>
        </w:rPr>
        <w:t>Infekcijas izraisītāja jutīgums</w:t>
      </w:r>
      <w:bookmarkEnd w:id="9"/>
      <w:bookmarkEnd w:id="10"/>
    </w:p>
    <w:p w14:paraId="69AF0C09" w14:textId="6E9BA40F"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Izvēloties ārstēšanai antibiotisku vielu, ļoti svarīga nozīme ir infekcijas izraisītāja jutīgumam pret šo antibiotiku. Dažām baktērijām piemīt dabiska iekšēja rezistence pret konkrētām antibiotikām, turpretim citām šī rezistence ir iegūta. Tāpēc klīniskā diagnoze jāapstiprina ar bakterioloģisko diagnozi, un analīzē vēlams iekļaut arī jutīguma testu. Pirms izvēlas zāles terapijai, bakterioloģisko testu rezultāts kritiski jāizvērtē.</w:t>
      </w:r>
    </w:p>
    <w:p w14:paraId="7B6DA369" w14:textId="77777777" w:rsidR="00672FC0" w:rsidRPr="00154588" w:rsidRDefault="00672FC0" w:rsidP="00154588">
      <w:pPr>
        <w:jc w:val="both"/>
        <w:rPr>
          <w:rFonts w:ascii="Times New Roman" w:eastAsia="Book Antiqua" w:hAnsi="Times New Roman" w:cs="Book Antiqua"/>
          <w:noProof/>
          <w:sz w:val="24"/>
          <w:szCs w:val="18"/>
        </w:rPr>
      </w:pPr>
    </w:p>
    <w:p w14:paraId="3822F3CC" w14:textId="77777777" w:rsidR="00672FC0" w:rsidRPr="00154588" w:rsidRDefault="00672FC0" w:rsidP="00154588">
      <w:pPr>
        <w:pStyle w:val="Heading3"/>
        <w:ind w:left="0"/>
        <w:jc w:val="both"/>
        <w:rPr>
          <w:rFonts w:ascii="Times New Roman" w:hAnsi="Times New Roman"/>
          <w:noProof/>
          <w:sz w:val="24"/>
        </w:rPr>
      </w:pPr>
      <w:bookmarkStart w:id="11" w:name="_Toc46997536"/>
      <w:bookmarkStart w:id="12" w:name="_Toc47003060"/>
      <w:r>
        <w:rPr>
          <w:rFonts w:ascii="Times New Roman" w:hAnsi="Times New Roman"/>
          <w:sz w:val="24"/>
        </w:rPr>
        <w:t>Infekcijas vieta</w:t>
      </w:r>
      <w:bookmarkEnd w:id="11"/>
      <w:bookmarkEnd w:id="12"/>
    </w:p>
    <w:p w14:paraId="7D64CF71" w14:textId="7A18AAA1"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Infekcijas izraisītāja jutīgums pret konkrētām zālēm </w:t>
      </w:r>
      <w:r>
        <w:rPr>
          <w:rFonts w:ascii="Times New Roman" w:hAnsi="Times New Roman"/>
          <w:i/>
          <w:iCs/>
          <w:sz w:val="24"/>
        </w:rPr>
        <w:t>in vitro</w:t>
      </w:r>
      <w:r>
        <w:rPr>
          <w:rFonts w:ascii="Times New Roman" w:hAnsi="Times New Roman"/>
          <w:sz w:val="24"/>
        </w:rPr>
        <w:t xml:space="preserve"> tomēr vēl negarantē, ka tās būs klīniski iedarbīgas – zālēm vēl arī jānonāk infekcijas vietā atbilstošajā koncentrācijā. Tāpēc izvēlēto zāļu farmakokinētiskajām īpašībām ir tikpat liela nozīme kā bakterioloģiskajai diagnozei un jutīguma testam. Diemžēl mums ilgāk pazīstamo vielu farmakokinētiskās īpašības ir nepietiekami dokumentētas.</w:t>
      </w:r>
    </w:p>
    <w:p w14:paraId="1F7725C7" w14:textId="77777777" w:rsidR="00672FC0" w:rsidRPr="00154588" w:rsidRDefault="00672FC0" w:rsidP="00154588">
      <w:pPr>
        <w:jc w:val="both"/>
        <w:rPr>
          <w:rFonts w:ascii="Times New Roman" w:eastAsia="Book Antiqua" w:hAnsi="Times New Roman" w:cs="Book Antiqua"/>
          <w:noProof/>
          <w:sz w:val="24"/>
          <w:szCs w:val="18"/>
        </w:rPr>
      </w:pPr>
    </w:p>
    <w:p w14:paraId="38F1035B" w14:textId="77777777" w:rsidR="00672FC0" w:rsidRPr="00154588" w:rsidRDefault="00672FC0" w:rsidP="00154588">
      <w:pPr>
        <w:pStyle w:val="Heading3"/>
        <w:ind w:left="0"/>
        <w:jc w:val="both"/>
        <w:rPr>
          <w:rFonts w:ascii="Times New Roman" w:hAnsi="Times New Roman"/>
          <w:noProof/>
          <w:sz w:val="24"/>
        </w:rPr>
      </w:pPr>
      <w:bookmarkStart w:id="13" w:name="_Toc46997537"/>
      <w:bookmarkStart w:id="14" w:name="_Toc47003061"/>
      <w:r>
        <w:rPr>
          <w:rFonts w:ascii="Times New Roman" w:hAnsi="Times New Roman"/>
          <w:sz w:val="24"/>
        </w:rPr>
        <w:t>Blaknes</w:t>
      </w:r>
      <w:bookmarkEnd w:id="13"/>
      <w:bookmarkEnd w:id="14"/>
    </w:p>
    <w:p w14:paraId="111A9F84" w14:textId="007D72E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Kopumā antibiotikai vajadzētu iedarboties tikai uz to patogēnu, kuram tā ir paredzēta. Cita veida iespējamo iedarbību uz ārstēto dzīvnieku vai tā mikrobiotu uzskata par blakni. Šādas nevēlamas iedarbības risks jāsalīdzina ar paredzamajiem guvumiem, ko dos ārstēšana.</w:t>
      </w:r>
    </w:p>
    <w:p w14:paraId="45663C2E" w14:textId="77777777" w:rsidR="00672FC0" w:rsidRPr="00154588" w:rsidRDefault="00672FC0" w:rsidP="00154588">
      <w:pPr>
        <w:jc w:val="both"/>
        <w:rPr>
          <w:rFonts w:ascii="Times New Roman" w:eastAsia="Book Antiqua" w:hAnsi="Times New Roman" w:cs="Book Antiqua"/>
          <w:noProof/>
          <w:sz w:val="24"/>
          <w:szCs w:val="18"/>
        </w:rPr>
      </w:pPr>
    </w:p>
    <w:p w14:paraId="7E1F9782" w14:textId="77777777" w:rsidR="00672FC0" w:rsidRPr="00154588" w:rsidRDefault="00672FC0" w:rsidP="00154588">
      <w:pPr>
        <w:pStyle w:val="Heading3"/>
        <w:ind w:left="0"/>
        <w:jc w:val="both"/>
        <w:rPr>
          <w:rFonts w:ascii="Times New Roman" w:hAnsi="Times New Roman"/>
          <w:noProof/>
          <w:sz w:val="24"/>
        </w:rPr>
      </w:pPr>
      <w:bookmarkStart w:id="15" w:name="_Toc46997538"/>
      <w:bookmarkStart w:id="16" w:name="_Toc47003062"/>
      <w:r>
        <w:rPr>
          <w:rFonts w:ascii="Times New Roman" w:hAnsi="Times New Roman"/>
          <w:sz w:val="24"/>
        </w:rPr>
        <w:t>Mikroorganismu rezistences izveidošanās risks</w:t>
      </w:r>
      <w:bookmarkEnd w:id="15"/>
      <w:bookmarkEnd w:id="16"/>
    </w:p>
    <w:p w14:paraId="1D045E86" w14:textId="2D286BCA"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Mikroorganismu rezistences riska veidošanos ietekmē ārstēšanas stratēģija (individuāla pretstatā grupas terapijai, deva, ārstēšanas ilgums utt.), kā arī antibiotikas izvēle, un starp anti</w:t>
      </w:r>
      <w:r w:rsidR="004D53BD">
        <w:rPr>
          <w:rFonts w:ascii="Times New Roman" w:hAnsi="Times New Roman"/>
          <w:sz w:val="24"/>
        </w:rPr>
        <w:t>mikrobiālajām</w:t>
      </w:r>
      <w:r>
        <w:rPr>
          <w:rFonts w:ascii="Times New Roman" w:hAnsi="Times New Roman"/>
          <w:sz w:val="24"/>
        </w:rPr>
        <w:t xml:space="preserve"> zālēm ir atšķirības pēc to spējas stimulēt rezistenci. Rezistences sekas arī ir atšķirīgas. PVO ieskatā, piemēram, fluorhinoloni, cefalosporīni un makrolīdi ir </w:t>
      </w:r>
      <w:r w:rsidR="004D53BD">
        <w:rPr>
          <w:rFonts w:ascii="Times New Roman" w:hAnsi="Times New Roman"/>
          <w:sz w:val="24"/>
        </w:rPr>
        <w:t xml:space="preserve">kritiski </w:t>
      </w:r>
      <w:r w:rsidR="004D53BD">
        <w:rPr>
          <w:rFonts w:ascii="Times New Roman" w:hAnsi="Times New Roman"/>
          <w:sz w:val="24"/>
        </w:rPr>
        <w:lastRenderedPageBreak/>
        <w:t>nozīmīgi</w:t>
      </w:r>
      <w:r>
        <w:rPr>
          <w:rFonts w:ascii="Times New Roman" w:hAnsi="Times New Roman"/>
          <w:sz w:val="24"/>
        </w:rPr>
        <w:t xml:space="preserve"> cilvēku ārstēšanā, tāpēc to </w:t>
      </w:r>
      <w:r w:rsidR="00611F97">
        <w:rPr>
          <w:rFonts w:ascii="Times New Roman" w:hAnsi="Times New Roman"/>
          <w:sz w:val="24"/>
        </w:rPr>
        <w:t>lietošana</w:t>
      </w:r>
      <w:r>
        <w:rPr>
          <w:rFonts w:ascii="Times New Roman" w:hAnsi="Times New Roman"/>
          <w:sz w:val="24"/>
        </w:rPr>
        <w:t xml:space="preserve"> veterinārajā medicīnā jāierobežo līdz minimumam, pieļaujot to tikai tad, ja nav alternatīvu.</w:t>
      </w:r>
    </w:p>
    <w:p w14:paraId="7E91F1BC" w14:textId="77777777" w:rsidR="00683644" w:rsidRPr="00154588" w:rsidRDefault="00683644" w:rsidP="00154588">
      <w:pPr>
        <w:pStyle w:val="BodyText"/>
        <w:spacing w:before="0"/>
        <w:ind w:left="0"/>
        <w:jc w:val="both"/>
        <w:rPr>
          <w:rFonts w:ascii="Times New Roman" w:hAnsi="Times New Roman"/>
          <w:noProof/>
          <w:sz w:val="24"/>
        </w:rPr>
      </w:pPr>
    </w:p>
    <w:p w14:paraId="4BAAFDBD" w14:textId="4F95CC4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Ļoti svarīgi ņemt vērā ne tikai ietekmi uz mērķbaktērijām, bet arī</w:t>
      </w:r>
      <w:r w:rsidR="00611F97">
        <w:rPr>
          <w:rFonts w:ascii="Times New Roman" w:hAnsi="Times New Roman"/>
          <w:sz w:val="24"/>
        </w:rPr>
        <w:t xml:space="preserve"> ietekmi uz</w:t>
      </w:r>
      <w:r>
        <w:rPr>
          <w:rFonts w:ascii="Times New Roman" w:hAnsi="Times New Roman"/>
          <w:sz w:val="24"/>
        </w:rPr>
        <w:t xml:space="preserve"> ārstētā dzīvnieka zarnu trakta</w:t>
      </w:r>
      <w:r w:rsidR="00611F97">
        <w:rPr>
          <w:rFonts w:ascii="Times New Roman" w:hAnsi="Times New Roman"/>
          <w:sz w:val="24"/>
        </w:rPr>
        <w:t>, ādas utt.</w:t>
      </w:r>
      <w:r>
        <w:rPr>
          <w:rFonts w:ascii="Times New Roman" w:hAnsi="Times New Roman"/>
          <w:sz w:val="24"/>
        </w:rPr>
        <w:t xml:space="preserve"> parasto floru. Tā kā plaša spektra antibiotikas ietekmē rezistences selekciju lielākā baktēriju sugu skaitā nekā šaura spektra antibiotikas, vēlams izvēlēties otrās no abām. Zviedrijā daudzi </w:t>
      </w:r>
      <w:r w:rsidR="00611F97">
        <w:rPr>
          <w:rFonts w:ascii="Times New Roman" w:hAnsi="Times New Roman"/>
          <w:sz w:val="24"/>
        </w:rPr>
        <w:t>produktīvo</w:t>
      </w:r>
      <w:r>
        <w:rPr>
          <w:rFonts w:ascii="Times New Roman" w:hAnsi="Times New Roman"/>
          <w:sz w:val="24"/>
        </w:rPr>
        <w:t xml:space="preserve"> dzīvnieku patogēni ir jutīgi pret penicilīnu, tāpēc tās ir izvēles zāles pret daudzām bakteriālajām infekcijām. Pašreizējā mikroorganismu rezistences struktūra valsts mērogā Zviedrijā ir aprakstīta ikgadējos </w:t>
      </w:r>
      <w:r>
        <w:rPr>
          <w:rFonts w:ascii="Times New Roman" w:hAnsi="Times New Roman"/>
          <w:i/>
          <w:iCs/>
          <w:sz w:val="24"/>
        </w:rPr>
        <w:t>SVARM</w:t>
      </w:r>
      <w:r>
        <w:rPr>
          <w:rFonts w:ascii="Times New Roman" w:hAnsi="Times New Roman"/>
          <w:sz w:val="24"/>
        </w:rPr>
        <w:t xml:space="preserve"> pārskatos, kas atrodami Valsts Veterinārās medicīnas institūta (</w:t>
      </w:r>
      <w:r>
        <w:rPr>
          <w:rFonts w:ascii="Times New Roman" w:hAnsi="Times New Roman"/>
          <w:i/>
          <w:iCs/>
          <w:sz w:val="24"/>
        </w:rPr>
        <w:t>SVA</w:t>
      </w:r>
      <w:r>
        <w:rPr>
          <w:rFonts w:ascii="Times New Roman" w:hAnsi="Times New Roman"/>
          <w:sz w:val="24"/>
        </w:rPr>
        <w:t xml:space="preserve">) tīmekļa vietnē </w:t>
      </w:r>
      <w:r>
        <w:rPr>
          <w:rFonts w:ascii="Times New Roman" w:hAnsi="Times New Roman"/>
          <w:i/>
          <w:iCs/>
          <w:sz w:val="24"/>
        </w:rPr>
        <w:t>www.sva.se</w:t>
      </w:r>
      <w:r>
        <w:rPr>
          <w:rFonts w:ascii="Times New Roman" w:hAnsi="Times New Roman"/>
          <w:sz w:val="24"/>
        </w:rPr>
        <w:t>, bet vienmēr jāņem vērā situācija konkrētajā ganāmpulkā.</w:t>
      </w:r>
    </w:p>
    <w:p w14:paraId="79D52B4D" w14:textId="77777777" w:rsidR="00672FC0" w:rsidRPr="00154588" w:rsidRDefault="00672FC0" w:rsidP="00154588">
      <w:pPr>
        <w:jc w:val="both"/>
        <w:rPr>
          <w:rFonts w:ascii="Times New Roman" w:eastAsia="Book Antiqua" w:hAnsi="Times New Roman" w:cs="Book Antiqua"/>
          <w:noProof/>
          <w:sz w:val="24"/>
          <w:szCs w:val="18"/>
        </w:rPr>
      </w:pPr>
    </w:p>
    <w:p w14:paraId="01EB1B8B" w14:textId="1B290370" w:rsidR="00672FC0" w:rsidRPr="00154588" w:rsidRDefault="00672FC0" w:rsidP="00154588">
      <w:pPr>
        <w:pStyle w:val="Heading3"/>
        <w:ind w:left="0"/>
        <w:jc w:val="both"/>
        <w:rPr>
          <w:rFonts w:ascii="Times New Roman" w:hAnsi="Times New Roman"/>
          <w:noProof/>
          <w:sz w:val="24"/>
        </w:rPr>
      </w:pPr>
      <w:bookmarkStart w:id="17" w:name="_Toc46997539"/>
      <w:bookmarkStart w:id="18" w:name="_Toc47003063"/>
      <w:r>
        <w:rPr>
          <w:rFonts w:ascii="Times New Roman" w:hAnsi="Times New Roman"/>
          <w:sz w:val="24"/>
        </w:rPr>
        <w:t>Antibiotiku atliek</w:t>
      </w:r>
      <w:r w:rsidR="00611F97">
        <w:rPr>
          <w:rFonts w:ascii="Times New Roman" w:hAnsi="Times New Roman"/>
          <w:sz w:val="24"/>
        </w:rPr>
        <w:t>viel</w:t>
      </w:r>
      <w:r>
        <w:rPr>
          <w:rFonts w:ascii="Times New Roman" w:hAnsi="Times New Roman"/>
          <w:sz w:val="24"/>
        </w:rPr>
        <w:t>u risks pārtikā</w:t>
      </w:r>
      <w:bookmarkEnd w:id="17"/>
      <w:bookmarkEnd w:id="18"/>
    </w:p>
    <w:p w14:paraId="338C4CA2" w14:textId="3B747A3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Antibiotiku atliek</w:t>
      </w:r>
      <w:r w:rsidR="00611F97">
        <w:rPr>
          <w:rFonts w:ascii="Times New Roman" w:hAnsi="Times New Roman"/>
          <w:sz w:val="24"/>
        </w:rPr>
        <w:t>viel</w:t>
      </w:r>
      <w:r>
        <w:rPr>
          <w:rFonts w:ascii="Times New Roman" w:hAnsi="Times New Roman"/>
          <w:sz w:val="24"/>
        </w:rPr>
        <w:t xml:space="preserve">as pārtikas produktos var būt kaitīgas patērētājiem, piemēram, alerģiskās vai toksiskās ietekmes un potenciāli izraisītās rezistences dēļ. Lai samazinātu </w:t>
      </w:r>
      <w:r w:rsidR="00611F97">
        <w:rPr>
          <w:rFonts w:ascii="Times New Roman" w:hAnsi="Times New Roman"/>
          <w:sz w:val="24"/>
        </w:rPr>
        <w:t>šos riskus cilvēkiem</w:t>
      </w:r>
      <w:r>
        <w:rPr>
          <w:rFonts w:ascii="Times New Roman" w:hAnsi="Times New Roman"/>
          <w:sz w:val="24"/>
        </w:rPr>
        <w:t xml:space="preserve">, Eiropas Savienībā ir noteiktas </w:t>
      </w:r>
      <w:r>
        <w:rPr>
          <w:rFonts w:ascii="Times New Roman" w:hAnsi="Times New Roman"/>
          <w:i/>
          <w:iCs/>
          <w:sz w:val="24"/>
        </w:rPr>
        <w:t xml:space="preserve">MRL </w:t>
      </w:r>
      <w:r>
        <w:rPr>
          <w:rFonts w:ascii="Times New Roman" w:hAnsi="Times New Roman"/>
          <w:sz w:val="24"/>
        </w:rPr>
        <w:t>vērtības (maksimālās atliek</w:t>
      </w:r>
      <w:r w:rsidR="00611F97">
        <w:rPr>
          <w:rFonts w:ascii="Times New Roman" w:hAnsi="Times New Roman"/>
          <w:sz w:val="24"/>
        </w:rPr>
        <w:t>viel</w:t>
      </w:r>
      <w:r>
        <w:rPr>
          <w:rFonts w:ascii="Times New Roman" w:hAnsi="Times New Roman"/>
          <w:sz w:val="24"/>
        </w:rPr>
        <w:t xml:space="preserve">u vērtības) dažādām vielām pārtikā. Aģentūras Eiropas Savienībā ir pieņēmušas arī lēmumus par zāļu izdalīšanās periodiem, lai nodrošinātu, ka </w:t>
      </w:r>
      <w:r>
        <w:rPr>
          <w:rFonts w:ascii="Times New Roman" w:hAnsi="Times New Roman"/>
          <w:i/>
          <w:iCs/>
          <w:sz w:val="24"/>
        </w:rPr>
        <w:t>MRL</w:t>
      </w:r>
      <w:r>
        <w:rPr>
          <w:rFonts w:ascii="Times New Roman" w:hAnsi="Times New Roman"/>
          <w:sz w:val="24"/>
        </w:rPr>
        <w:t xml:space="preserve"> vērtības netiek pārsniegtas. Ieteiktie izdalīšanās periodi ir spēkā tikai tad, ja zāles lieto atbilstoši norādījumiem.</w:t>
      </w:r>
    </w:p>
    <w:p w14:paraId="01D79FB8" w14:textId="77777777" w:rsidR="00154588" w:rsidRPr="00154588" w:rsidRDefault="00154588" w:rsidP="00154588">
      <w:pPr>
        <w:jc w:val="both"/>
        <w:rPr>
          <w:rFonts w:ascii="Times New Roman" w:hAnsi="Times New Roman"/>
          <w:noProof/>
          <w:sz w:val="24"/>
        </w:rPr>
      </w:pPr>
    </w:p>
    <w:p w14:paraId="3A0CAD78" w14:textId="77777777" w:rsidR="00672FC0" w:rsidRPr="00154588" w:rsidRDefault="00672FC0" w:rsidP="00154588">
      <w:pPr>
        <w:pStyle w:val="Heading3"/>
        <w:ind w:left="0"/>
        <w:jc w:val="both"/>
        <w:rPr>
          <w:rFonts w:ascii="Times New Roman" w:hAnsi="Times New Roman"/>
          <w:noProof/>
          <w:sz w:val="24"/>
        </w:rPr>
      </w:pPr>
      <w:bookmarkStart w:id="19" w:name="_Toc46997540"/>
      <w:bookmarkStart w:id="20" w:name="_Toc47003064"/>
      <w:r>
        <w:rPr>
          <w:rFonts w:ascii="Times New Roman" w:hAnsi="Times New Roman"/>
          <w:sz w:val="24"/>
        </w:rPr>
        <w:t>Ietekme uz vidi</w:t>
      </w:r>
      <w:bookmarkEnd w:id="19"/>
      <w:bookmarkEnd w:id="20"/>
    </w:p>
    <w:p w14:paraId="1367B2C8" w14:textId="059EA52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Daudzas antibiotikas un to vielmaiņas produkti ir iedarbīgi pat pēc tam, kad ārstētais(-ie) dzīvnieks(-i) tos izvadījis(-uši) no organisma, tāpēc tie var radīt ietekmi uz vidi gan kūtī, gan citās saimniecības ēkās, kā arī uz lauka, kur izkaisa kūtsmēslus. Tas vēl vairāk motivē ierobežot antibiotiku </w:t>
      </w:r>
      <w:r w:rsidR="00611F97">
        <w:rPr>
          <w:rFonts w:ascii="Times New Roman" w:hAnsi="Times New Roman"/>
          <w:sz w:val="24"/>
        </w:rPr>
        <w:t>lietošanu</w:t>
      </w:r>
      <w:r>
        <w:rPr>
          <w:rFonts w:ascii="Times New Roman" w:hAnsi="Times New Roman"/>
          <w:sz w:val="24"/>
        </w:rPr>
        <w:t xml:space="preserve"> dzīvniekiem.</w:t>
      </w:r>
    </w:p>
    <w:p w14:paraId="0C426280" w14:textId="77777777" w:rsidR="00672FC0" w:rsidRPr="00154588" w:rsidRDefault="00672FC0" w:rsidP="00154588">
      <w:pPr>
        <w:jc w:val="both"/>
        <w:rPr>
          <w:rFonts w:ascii="Times New Roman" w:eastAsia="Book Antiqua" w:hAnsi="Times New Roman" w:cs="Book Antiqua"/>
          <w:noProof/>
          <w:sz w:val="24"/>
          <w:szCs w:val="18"/>
        </w:rPr>
      </w:pPr>
    </w:p>
    <w:p w14:paraId="69C972AF" w14:textId="77777777" w:rsidR="00672FC0" w:rsidRPr="00154588" w:rsidRDefault="00672FC0" w:rsidP="00154588">
      <w:pPr>
        <w:pStyle w:val="Heading3"/>
        <w:ind w:left="0"/>
        <w:jc w:val="both"/>
        <w:rPr>
          <w:rFonts w:ascii="Times New Roman" w:hAnsi="Times New Roman"/>
          <w:noProof/>
          <w:sz w:val="24"/>
        </w:rPr>
      </w:pPr>
      <w:bookmarkStart w:id="21" w:name="_Toc46997541"/>
      <w:bookmarkStart w:id="22" w:name="_Toc47003065"/>
      <w:r>
        <w:rPr>
          <w:rFonts w:ascii="Times New Roman" w:hAnsi="Times New Roman"/>
          <w:sz w:val="24"/>
        </w:rPr>
        <w:t>Ekonomika</w:t>
      </w:r>
      <w:bookmarkEnd w:id="21"/>
      <w:bookmarkEnd w:id="22"/>
    </w:p>
    <w:p w14:paraId="70418787" w14:textId="0322DE6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Papildus iepriekšminētajiem terapeitiskajiem apsvērumiem, izvēloties anti</w:t>
      </w:r>
      <w:r w:rsidR="00611F97">
        <w:rPr>
          <w:rFonts w:ascii="Times New Roman" w:hAnsi="Times New Roman"/>
          <w:sz w:val="24"/>
        </w:rPr>
        <w:t>mikrobiālās</w:t>
      </w:r>
      <w:r>
        <w:rPr>
          <w:rFonts w:ascii="Times New Roman" w:hAnsi="Times New Roman"/>
          <w:sz w:val="24"/>
        </w:rPr>
        <w:t xml:space="preserve"> zāles, jāņem vērā arī ekonomiskie faktori, piemēram, zāļu izmaksas, ārstēšanas ilgums, izdalīšanās periods, ražošanas zudumi, lielākas darbaspēka izmaksas utt. No otras puses, ekonomiskie faktori, piemēram, īss izdalīšanās periods vai vienkārša lietošana, nekad nedrīkst gūt pārsvaru pār terapeitiskajiem apsvērumiem.</w:t>
      </w:r>
    </w:p>
    <w:p w14:paraId="1CF92BB9" w14:textId="77777777" w:rsidR="00672FC0" w:rsidRPr="00154588" w:rsidRDefault="00672FC0" w:rsidP="00154588">
      <w:pPr>
        <w:jc w:val="both"/>
        <w:rPr>
          <w:rFonts w:ascii="Times New Roman" w:eastAsia="Book Antiqua" w:hAnsi="Times New Roman" w:cs="Book Antiqua"/>
          <w:noProof/>
          <w:sz w:val="24"/>
          <w:szCs w:val="18"/>
        </w:rPr>
      </w:pPr>
    </w:p>
    <w:p w14:paraId="1E0F1E6B" w14:textId="77777777" w:rsidR="00672FC0" w:rsidRPr="00154588" w:rsidRDefault="00672FC0" w:rsidP="00154588">
      <w:pPr>
        <w:pStyle w:val="Heading3"/>
        <w:ind w:left="0"/>
        <w:jc w:val="both"/>
        <w:rPr>
          <w:rFonts w:ascii="Times New Roman" w:hAnsi="Times New Roman"/>
          <w:noProof/>
          <w:sz w:val="24"/>
        </w:rPr>
      </w:pPr>
      <w:bookmarkStart w:id="23" w:name="_Toc46997542"/>
      <w:bookmarkStart w:id="24" w:name="_Toc47003066"/>
      <w:r>
        <w:rPr>
          <w:rFonts w:ascii="Times New Roman" w:hAnsi="Times New Roman"/>
          <w:sz w:val="24"/>
        </w:rPr>
        <w:t>Ārstēšanas rezultātu apsekošana</w:t>
      </w:r>
      <w:bookmarkEnd w:id="23"/>
      <w:bookmarkEnd w:id="24"/>
    </w:p>
    <w:p w14:paraId="450EA9EA" w14:textId="55FCB4D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Lai optimizētu turpmāko ārstēšanu ar antibiotikām, atbildīgajam</w:t>
      </w:r>
      <w:r w:rsidR="00611F97">
        <w:rPr>
          <w:rFonts w:ascii="Times New Roman" w:hAnsi="Times New Roman"/>
          <w:sz w:val="24"/>
        </w:rPr>
        <w:t xml:space="preserve"> praktizējošajam</w:t>
      </w:r>
      <w:r>
        <w:rPr>
          <w:rFonts w:ascii="Times New Roman" w:hAnsi="Times New Roman"/>
          <w:sz w:val="24"/>
        </w:rPr>
        <w:t xml:space="preserve"> veterinārārstam jāapseko rezultāti atsevišķa dzīvnieka, grupas un/vai ganāmpulka līmenī. Viens no nosacījumiem tam ir funkcionāli nozīmīga un rūpīga reģistrēšana.</w:t>
      </w:r>
    </w:p>
    <w:p w14:paraId="5E9954F1" w14:textId="77777777" w:rsidR="00672FC0" w:rsidRPr="00154588" w:rsidRDefault="00672FC0" w:rsidP="00154588">
      <w:pPr>
        <w:jc w:val="both"/>
        <w:rPr>
          <w:rFonts w:ascii="Times New Roman" w:eastAsia="Book Antiqua" w:hAnsi="Times New Roman" w:cs="Book Antiqua"/>
          <w:noProof/>
          <w:sz w:val="24"/>
          <w:szCs w:val="18"/>
        </w:rPr>
      </w:pPr>
    </w:p>
    <w:p w14:paraId="3B5C80B6" w14:textId="77777777" w:rsidR="00672FC0" w:rsidRPr="00154588" w:rsidRDefault="00672FC0" w:rsidP="00154588">
      <w:pPr>
        <w:pStyle w:val="Heading3"/>
        <w:ind w:left="0"/>
        <w:jc w:val="both"/>
        <w:rPr>
          <w:rFonts w:ascii="Times New Roman" w:hAnsi="Times New Roman"/>
          <w:noProof/>
          <w:sz w:val="24"/>
        </w:rPr>
      </w:pPr>
      <w:bookmarkStart w:id="25" w:name="_Toc46997543"/>
      <w:bookmarkStart w:id="26" w:name="_Toc47003067"/>
      <w:r>
        <w:rPr>
          <w:rFonts w:ascii="Times New Roman" w:hAnsi="Times New Roman"/>
          <w:sz w:val="24"/>
        </w:rPr>
        <w:t>Secinājumi</w:t>
      </w:r>
      <w:bookmarkEnd w:id="25"/>
      <w:bookmarkEnd w:id="26"/>
    </w:p>
    <w:p w14:paraId="66C293D1" w14:textId="4A30CCE1"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Jāpatur prātā, ka vispirms jāpārliecinās, vai dzīvniekam vai dzīvnieku grupai ir slimība, kas tiešām jāārstē ar antibiotikām. Otrkārt, vienmēr jācenšas lietot antibiotikas </w:t>
      </w:r>
      <w:r w:rsidR="00611F97">
        <w:rPr>
          <w:rFonts w:ascii="Times New Roman" w:hAnsi="Times New Roman"/>
          <w:sz w:val="24"/>
        </w:rPr>
        <w:t>piesardzīgi</w:t>
      </w:r>
      <w:r>
        <w:rPr>
          <w:rFonts w:ascii="Times New Roman" w:hAnsi="Times New Roman"/>
          <w:sz w:val="24"/>
        </w:rPr>
        <w:t>, līdz ar to jāizvairās no lietošanas pēc ieraduma. Izvēloties zāles, priekšroka jādod šaura spektra antibiotikām, un tās jādod pareizā devā un pareizo ārstēšanas laiku.</w:t>
      </w:r>
    </w:p>
    <w:p w14:paraId="51ADA0A0" w14:textId="77777777" w:rsidR="00672FC0" w:rsidRPr="00154588" w:rsidRDefault="00672FC0" w:rsidP="00154588">
      <w:pPr>
        <w:jc w:val="both"/>
        <w:rPr>
          <w:rFonts w:ascii="Times New Roman" w:eastAsia="Book Antiqua" w:hAnsi="Times New Roman" w:cs="Book Antiqua"/>
          <w:noProof/>
          <w:sz w:val="24"/>
          <w:szCs w:val="18"/>
        </w:rPr>
      </w:pPr>
    </w:p>
    <w:p w14:paraId="0CF802F4" w14:textId="77777777" w:rsidR="00672FC0" w:rsidRPr="00154588" w:rsidRDefault="00672FC0" w:rsidP="00154588">
      <w:pPr>
        <w:jc w:val="both"/>
        <w:rPr>
          <w:rFonts w:ascii="Times New Roman" w:hAnsi="Times New Roman"/>
          <w:i/>
          <w:noProof/>
          <w:sz w:val="24"/>
        </w:rPr>
      </w:pPr>
      <w:r>
        <w:rPr>
          <w:rFonts w:ascii="Times New Roman" w:hAnsi="Times New Roman"/>
          <w:i/>
          <w:sz w:val="24"/>
        </w:rPr>
        <w:t>Atsauces</w:t>
      </w:r>
    </w:p>
    <w:p w14:paraId="2196028A" w14:textId="75337C9B" w:rsidR="00672FC0" w:rsidRPr="00154588" w:rsidRDefault="00672FC0" w:rsidP="00154588">
      <w:pPr>
        <w:jc w:val="both"/>
        <w:rPr>
          <w:rFonts w:ascii="Times New Roman" w:eastAsia="Book Antiqua" w:hAnsi="Times New Roman" w:cs="Book Antiqua"/>
          <w:i/>
          <w:noProof/>
          <w:sz w:val="24"/>
          <w:szCs w:val="20"/>
        </w:rPr>
      </w:pPr>
      <w:r>
        <w:rPr>
          <w:rFonts w:ascii="Times New Roman" w:hAnsi="Times New Roman"/>
          <w:i/>
          <w:sz w:val="24"/>
          <w:szCs w:val="20"/>
        </w:rPr>
        <w:t>Šajā dokumentā sniegtie ieteikumi par devu, intervāliem starp devām, ārstēšanas ilgumu un anti</w:t>
      </w:r>
      <w:r w:rsidR="00611F97">
        <w:rPr>
          <w:rFonts w:ascii="Times New Roman" w:hAnsi="Times New Roman"/>
          <w:i/>
          <w:sz w:val="24"/>
          <w:szCs w:val="20"/>
        </w:rPr>
        <w:t>mikrobiālo</w:t>
      </w:r>
      <w:r>
        <w:rPr>
          <w:rFonts w:ascii="Times New Roman" w:hAnsi="Times New Roman"/>
          <w:i/>
          <w:sz w:val="24"/>
          <w:szCs w:val="20"/>
        </w:rPr>
        <w:t xml:space="preserve"> zāļu izvēli utt. atbilst apgalvojumiem publikācijā, ko sagatavojuši eksperti Zviedrijas Zāļu produktu aģentūras vadībā, skatīt Dosering av antibiotika till nötkreatur and får – ny rekommendation.</w:t>
      </w:r>
    </w:p>
    <w:p w14:paraId="12EC2EF1" w14:textId="77777777" w:rsidR="00672FC0" w:rsidRPr="00154588" w:rsidRDefault="00672FC0" w:rsidP="00154588">
      <w:pPr>
        <w:jc w:val="both"/>
        <w:rPr>
          <w:rFonts w:ascii="Times New Roman" w:eastAsia="Book Antiqua" w:hAnsi="Times New Roman" w:cs="Book Antiqua"/>
          <w:i/>
          <w:noProof/>
          <w:sz w:val="24"/>
          <w:szCs w:val="20"/>
        </w:rPr>
      </w:pPr>
      <w:r>
        <w:rPr>
          <w:rFonts w:ascii="Times New Roman" w:hAnsi="Times New Roman"/>
          <w:i/>
          <w:sz w:val="24"/>
          <w:szCs w:val="20"/>
        </w:rPr>
        <w:t>Information från Läkemedelsverket 2013;24(1. pielikums), 4–14. lpp.</w:t>
      </w:r>
    </w:p>
    <w:p w14:paraId="09D19FFB" w14:textId="77777777" w:rsidR="00672FC0" w:rsidRPr="00154588" w:rsidRDefault="00672FC0" w:rsidP="00154588">
      <w:pPr>
        <w:jc w:val="both"/>
        <w:rPr>
          <w:rFonts w:ascii="Times New Roman" w:eastAsia="Book Antiqua" w:hAnsi="Times New Roman" w:cs="Book Antiqua"/>
          <w:i/>
          <w:noProof/>
          <w:sz w:val="24"/>
          <w:szCs w:val="17"/>
        </w:rPr>
      </w:pPr>
    </w:p>
    <w:p w14:paraId="49F31E26" w14:textId="6551EA51" w:rsidR="00672FC0" w:rsidRPr="00154588" w:rsidRDefault="00672FC0" w:rsidP="00154588">
      <w:pPr>
        <w:jc w:val="both"/>
        <w:rPr>
          <w:rFonts w:ascii="Times New Roman" w:eastAsia="Calibri" w:hAnsi="Times New Roman" w:cs="Calibri"/>
          <w:noProof/>
          <w:sz w:val="24"/>
          <w:szCs w:val="16"/>
        </w:rPr>
      </w:pPr>
      <w:r>
        <w:rPr>
          <w:rFonts w:ascii="Times New Roman" w:hAnsi="Times New Roman"/>
          <w:sz w:val="24"/>
        </w:rPr>
        <w:lastRenderedPageBreak/>
        <w:t>www.lakemedelsverket.se/malgrupp/Halso---sjukvard/Treatments--rekommendationer/Veterinara-lakemedel/Dosering-av-antibiotika-till-notkreatur-and-far/</w:t>
      </w:r>
    </w:p>
    <w:p w14:paraId="4816FCE2" w14:textId="1296FFDE" w:rsidR="00683644" w:rsidRDefault="00683644">
      <w:pPr>
        <w:rPr>
          <w:rFonts w:ascii="Times New Roman" w:eastAsia="Calibri" w:hAnsi="Times New Roman" w:cs="Calibri"/>
          <w:noProof/>
          <w:sz w:val="24"/>
          <w:szCs w:val="16"/>
        </w:rPr>
      </w:pPr>
      <w:r>
        <w:br w:type="page"/>
      </w:r>
    </w:p>
    <w:p w14:paraId="45E2A457" w14:textId="77777777" w:rsidR="00154588" w:rsidRPr="00154588" w:rsidRDefault="00154588" w:rsidP="00154588">
      <w:pPr>
        <w:jc w:val="both"/>
        <w:rPr>
          <w:rFonts w:ascii="Times New Roman" w:eastAsia="Calibri" w:hAnsi="Times New Roman" w:cs="Calibri"/>
          <w:noProof/>
          <w:sz w:val="24"/>
          <w:szCs w:val="16"/>
        </w:rPr>
      </w:pPr>
    </w:p>
    <w:p w14:paraId="21CBAA43" w14:textId="77777777" w:rsidR="00672FC0" w:rsidRPr="00CB3F38" w:rsidRDefault="00672FC0" w:rsidP="00CB3F38">
      <w:pPr>
        <w:pStyle w:val="Heading1"/>
        <w:rPr>
          <w:sz w:val="28"/>
          <w:szCs w:val="32"/>
        </w:rPr>
      </w:pPr>
      <w:bookmarkStart w:id="27" w:name="_Toc46997544"/>
      <w:bookmarkStart w:id="28" w:name="_Toc47003068"/>
      <w:r w:rsidRPr="00CB3F38">
        <w:rPr>
          <w:sz w:val="28"/>
          <w:szCs w:val="32"/>
        </w:rPr>
        <w:t>Antibiotikas barībā</w:t>
      </w:r>
      <w:bookmarkEnd w:id="27"/>
      <w:bookmarkEnd w:id="28"/>
    </w:p>
    <w:p w14:paraId="59FBD98D" w14:textId="77777777" w:rsidR="00683644" w:rsidRDefault="00683644" w:rsidP="00154588">
      <w:pPr>
        <w:jc w:val="both"/>
        <w:rPr>
          <w:rFonts w:ascii="Times New Roman" w:hAnsi="Times New Roman"/>
          <w:i/>
          <w:noProof/>
          <w:sz w:val="24"/>
        </w:rPr>
      </w:pPr>
    </w:p>
    <w:p w14:paraId="1D4F824A" w14:textId="22C77C64" w:rsidR="00672FC0" w:rsidRPr="00154588" w:rsidRDefault="00672FC0" w:rsidP="00154588">
      <w:pPr>
        <w:jc w:val="both"/>
        <w:rPr>
          <w:rFonts w:ascii="Times New Roman" w:hAnsi="Times New Roman"/>
          <w:i/>
          <w:noProof/>
          <w:sz w:val="24"/>
        </w:rPr>
      </w:pPr>
      <w:r>
        <w:rPr>
          <w:rFonts w:ascii="Times New Roman" w:hAnsi="Times New Roman"/>
          <w:i/>
          <w:sz w:val="24"/>
        </w:rPr>
        <w:t>Pērs Valgrēns [Per Wallgren], veterinārās medicīnas zinātņu doktors, Dr. phil., ECPHM</w:t>
      </w:r>
    </w:p>
    <w:p w14:paraId="0E462255" w14:textId="77777777" w:rsidR="00672FC0" w:rsidRPr="00154588" w:rsidRDefault="00672FC0" w:rsidP="00154588">
      <w:pPr>
        <w:jc w:val="both"/>
        <w:rPr>
          <w:rFonts w:ascii="Times New Roman" w:eastAsia="Book Antiqua" w:hAnsi="Times New Roman" w:cs="Book Antiqua"/>
          <w:i/>
          <w:noProof/>
          <w:sz w:val="24"/>
          <w:szCs w:val="19"/>
        </w:rPr>
      </w:pPr>
    </w:p>
    <w:p w14:paraId="339FDB5D" w14:textId="77777777" w:rsidR="00672FC0" w:rsidRPr="00154588" w:rsidRDefault="00672FC0" w:rsidP="00154588">
      <w:pPr>
        <w:pStyle w:val="Heading3"/>
        <w:ind w:left="0"/>
        <w:jc w:val="both"/>
        <w:rPr>
          <w:rFonts w:ascii="Times New Roman" w:hAnsi="Times New Roman"/>
          <w:noProof/>
          <w:sz w:val="24"/>
        </w:rPr>
      </w:pPr>
      <w:bookmarkStart w:id="29" w:name="_Toc46997545"/>
      <w:bookmarkStart w:id="30" w:name="_Toc47003069"/>
      <w:r>
        <w:rPr>
          <w:rFonts w:ascii="Times New Roman" w:hAnsi="Times New Roman"/>
          <w:sz w:val="24"/>
        </w:rPr>
        <w:t>Ievads</w:t>
      </w:r>
      <w:bookmarkEnd w:id="29"/>
      <w:bookmarkEnd w:id="30"/>
    </w:p>
    <w:p w14:paraId="16AF5960" w14:textId="5B753000" w:rsidR="00672FC0" w:rsidRDefault="00611F97" w:rsidP="00154588">
      <w:pPr>
        <w:pStyle w:val="BodyText"/>
        <w:spacing w:before="0"/>
        <w:ind w:left="0"/>
        <w:jc w:val="both"/>
        <w:rPr>
          <w:rFonts w:ascii="Times New Roman" w:hAnsi="Times New Roman"/>
          <w:noProof/>
          <w:sz w:val="24"/>
        </w:rPr>
      </w:pPr>
      <w:r>
        <w:rPr>
          <w:rFonts w:ascii="Times New Roman" w:hAnsi="Times New Roman"/>
          <w:sz w:val="24"/>
        </w:rPr>
        <w:t>Ārstēšana grupas vai ganāmpulka līmenī</w:t>
      </w:r>
      <w:r w:rsidR="00672FC0">
        <w:rPr>
          <w:rFonts w:ascii="Times New Roman" w:hAnsi="Times New Roman"/>
          <w:sz w:val="24"/>
        </w:rPr>
        <w:t xml:space="preserve"> var būt iedarbīgs veids – kaut arī bieži vien tikai īsā laika posmā – augsta infekcijas līmeņa kompensācijai un tādējādi saslimstības un mirstības samazināšanai ganāmpulkā. Pat tad, ja ar ārstēšanas pasākumiem vien reti izdodas </w:t>
      </w:r>
      <w:r>
        <w:rPr>
          <w:rFonts w:ascii="Times New Roman" w:hAnsi="Times New Roman"/>
          <w:sz w:val="24"/>
        </w:rPr>
        <w:t>ilgtermiņā</w:t>
      </w:r>
      <w:r w:rsidR="00672FC0">
        <w:rPr>
          <w:rFonts w:ascii="Times New Roman" w:hAnsi="Times New Roman"/>
          <w:sz w:val="24"/>
        </w:rPr>
        <w:t xml:space="preserve"> atbrīvoties no bakteriālajiem ierosinātājiem, grupu terapiju ar antibiotikām var izmantot kā daļu no apkarošanas programmas. Apvienojumā ar nepieciešamajām vides un/vai pārvaldības nepilnību korekcijām grupu ārstēšana ar antibiotikām kā pagaidu pasākums var dažreiz būt nepieciešama, lai pārvarētu “apburto loku” un ganāmpulks atgūtu veselību.</w:t>
      </w:r>
    </w:p>
    <w:p w14:paraId="057A2694" w14:textId="77777777" w:rsidR="00683644" w:rsidRPr="00154588" w:rsidRDefault="00683644" w:rsidP="00154588">
      <w:pPr>
        <w:pStyle w:val="BodyText"/>
        <w:spacing w:before="0"/>
        <w:ind w:left="0"/>
        <w:jc w:val="both"/>
        <w:rPr>
          <w:rFonts w:ascii="Times New Roman" w:hAnsi="Times New Roman"/>
          <w:noProof/>
          <w:sz w:val="24"/>
        </w:rPr>
      </w:pPr>
    </w:p>
    <w:p w14:paraId="280F6568" w14:textId="21D9AA0A"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Kad antibiotikas piejauc barībai, lai panāktu vēlamo efektu, ir būtiski attiecīgo preparātu pareizi dozēt un pārliecināties, ka to saņem visi ārstētās grupas dzīvnieki. Tāpēc, ārstējot grupu, tā jāapseko, veicot klīniskos izmeklējumus. Situācijās, kad atsevišķiem dzīvniekiem var būt anoreksija dažādās stadijās, priekšroku var dot zāļu pievienošanai ūdenim. Jāņem vērā, ka akūti slimi dzīvnieki, kas neēd, mēdz mazāk patērēt arī ūdeni, tāpēc ir svarīgi šos dzīvniekus ārstēt individuāli, ievadot zāles citādi.</w:t>
      </w:r>
    </w:p>
    <w:p w14:paraId="365CFFF9" w14:textId="77777777" w:rsidR="00683644" w:rsidRPr="00154588" w:rsidRDefault="00683644" w:rsidP="00154588">
      <w:pPr>
        <w:pStyle w:val="BodyText"/>
        <w:spacing w:before="0"/>
        <w:ind w:left="0"/>
        <w:jc w:val="both"/>
        <w:rPr>
          <w:rFonts w:ascii="Times New Roman" w:hAnsi="Times New Roman"/>
          <w:noProof/>
          <w:sz w:val="24"/>
        </w:rPr>
      </w:pPr>
    </w:p>
    <w:p w14:paraId="71B218C0" w14:textId="078CA602"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Bieži vien visērtāk ir pievienot antibiotikas premiksa veidā pie izbarošanai gatavas barības vai koncentrātiem saimniecībā. Tajās saimniecībās, kur izmanto mitrās barības, antibiotikas pievieno cisternai, kurā barību sagatavo. Jāatzīmē, ka ne vienmēr ir viegli precīzi aprēķināt to dzīvnieku skaitu, kuriem jāizbaro antibiotiku saturošais maisījums, tāpēc ir ļoti svarīgi pārliecināties par to, lai zāles nejauši nesaņem kāds no kaušanai paredzētajiem dzīvniekiem.</w:t>
      </w:r>
    </w:p>
    <w:p w14:paraId="586C7303" w14:textId="77777777" w:rsidR="00672FC0" w:rsidRPr="00154588" w:rsidRDefault="00672FC0" w:rsidP="00154588">
      <w:pPr>
        <w:jc w:val="both"/>
        <w:rPr>
          <w:rFonts w:ascii="Times New Roman" w:eastAsia="Book Antiqua" w:hAnsi="Times New Roman" w:cs="Book Antiqua"/>
          <w:noProof/>
          <w:sz w:val="24"/>
          <w:szCs w:val="18"/>
        </w:rPr>
      </w:pPr>
    </w:p>
    <w:p w14:paraId="53851E45" w14:textId="77777777" w:rsidR="00672FC0" w:rsidRPr="00154588" w:rsidRDefault="00672FC0" w:rsidP="00154588">
      <w:pPr>
        <w:pStyle w:val="Heading3"/>
        <w:ind w:left="0"/>
        <w:jc w:val="both"/>
        <w:rPr>
          <w:rFonts w:ascii="Times New Roman" w:hAnsi="Times New Roman"/>
          <w:noProof/>
          <w:sz w:val="24"/>
        </w:rPr>
      </w:pPr>
      <w:bookmarkStart w:id="31" w:name="_Toc46997546"/>
      <w:bookmarkStart w:id="32" w:name="_Toc47003070"/>
      <w:r>
        <w:rPr>
          <w:rFonts w:ascii="Times New Roman" w:hAnsi="Times New Roman"/>
          <w:sz w:val="24"/>
        </w:rPr>
        <w:t>Kas darāms pirms zāļu parakstīšanas grupai</w:t>
      </w:r>
      <w:bookmarkEnd w:id="31"/>
      <w:bookmarkEnd w:id="32"/>
    </w:p>
    <w:p w14:paraId="34E71149" w14:textId="2C5F555D"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Pirms antibiotikas paraksta dzīvnieku grupām, jāveic problēmas analīze. Analīzē ietilpst konkrētās problēmas definēšana, ganāmpulka iepriekšējo veselības problēmu retrospektīva analīze, predisponējošo faktoru izpēte ganāmpulkā un, ieteicams, </w:t>
      </w:r>
      <w:r>
        <w:rPr>
          <w:rFonts w:ascii="Times New Roman" w:hAnsi="Times New Roman"/>
          <w:i/>
          <w:iCs/>
          <w:sz w:val="24"/>
        </w:rPr>
        <w:t>etioloģiskā</w:t>
      </w:r>
      <w:r>
        <w:rPr>
          <w:rFonts w:ascii="Times New Roman" w:hAnsi="Times New Roman"/>
          <w:sz w:val="24"/>
        </w:rPr>
        <w:t>s diagnozes noteikšana, pamatojoties uz reprezentatīviem bakteriālajiem paraugiem, autopsijas rezultātiem utt.</w:t>
      </w:r>
    </w:p>
    <w:p w14:paraId="605A8E73" w14:textId="77777777" w:rsidR="00683644" w:rsidRPr="00154588" w:rsidRDefault="00683644" w:rsidP="00154588">
      <w:pPr>
        <w:pStyle w:val="BodyText"/>
        <w:spacing w:before="0"/>
        <w:ind w:left="0"/>
        <w:jc w:val="both"/>
        <w:rPr>
          <w:rFonts w:ascii="Times New Roman" w:hAnsi="Times New Roman"/>
          <w:noProof/>
          <w:sz w:val="24"/>
        </w:rPr>
      </w:pPr>
    </w:p>
    <w:p w14:paraId="1F8EFDA8" w14:textId="7621154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Turpmāk ierosinātais “kontrolpunktu saraksts” palīdzēs klīnicistam dokumentēt klīnisko situāciju un, cerams, lokalizēt predisponējošos faktorus pirms ārstēšanas uzsākšanas (saraksta pamatā ir pieredze, kas gūta cūku ganāmpulku izpētes rezultātā, bet tas var būt noderīgs arī liellopu un citu </w:t>
      </w:r>
      <w:r w:rsidR="00611F97">
        <w:rPr>
          <w:rFonts w:ascii="Times New Roman" w:hAnsi="Times New Roman"/>
          <w:sz w:val="24"/>
        </w:rPr>
        <w:t>produktīvo</w:t>
      </w:r>
      <w:r>
        <w:rPr>
          <w:rFonts w:ascii="Times New Roman" w:hAnsi="Times New Roman"/>
          <w:sz w:val="24"/>
        </w:rPr>
        <w:t xml:space="preserve"> dzīvnieku ganāmpulkiem).</w:t>
      </w:r>
    </w:p>
    <w:p w14:paraId="34F035EF" w14:textId="77777777" w:rsidR="00154588" w:rsidRPr="00154588" w:rsidRDefault="00154588" w:rsidP="00154588">
      <w:pPr>
        <w:jc w:val="both"/>
        <w:rPr>
          <w:rFonts w:ascii="Times New Roman" w:hAnsi="Times New Roman"/>
          <w:noProof/>
          <w:sz w:val="24"/>
        </w:rPr>
      </w:pPr>
    </w:p>
    <w:p w14:paraId="32726EED" w14:textId="06A070D6"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1. Klīniskās situācijas dokumentēšana.</w:t>
      </w:r>
    </w:p>
    <w:p w14:paraId="6B16416D" w14:textId="5C0EC295"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 xml:space="preserve">2. Vai veikti pietiekami diagnostiskie </w:t>
      </w:r>
      <w:r w:rsidR="00B5444C">
        <w:rPr>
          <w:rFonts w:ascii="Times New Roman" w:hAnsi="Times New Roman"/>
          <w:sz w:val="24"/>
        </w:rPr>
        <w:t>pasākumi?</w:t>
      </w:r>
    </w:p>
    <w:p w14:paraId="4FD8EFCD" w14:textId="23CF98F0"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3. Izpētīt audzēšanas un ražošanas plānus, tostarp dzīvnieku kustību ganāmpulkā.</w:t>
      </w:r>
    </w:p>
    <w:p w14:paraId="50747964" w14:textId="09A37E59"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4. Laiks, kad dzīvnieks atšķirams no mātes, jānosaka atkarībā no pārvaldības prasmēm un saimniecības ēku fiziskajiem ierobežojumiem.</w:t>
      </w:r>
    </w:p>
    <w:p w14:paraId="1F61DD14" w14:textId="4A090401"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5. Vai sivēni no dažādiem metieniem atrodas kopā un, ja jā, kad un kur tas notiek.</w:t>
      </w:r>
    </w:p>
    <w:p w14:paraId="086B0363" w14:textId="40011055"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6. Pārbaudīt ierasto dzīvnieku pārvietošanos.</w:t>
      </w:r>
    </w:p>
    <w:p w14:paraId="0C6DAC82" w14:textId="55C02457"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7. Pārbaudīt vidi boksos/aizgaldos un vajadzību pēc papildu siltuma, īpaši ziemā.</w:t>
      </w:r>
    </w:p>
    <w:p w14:paraId="667FABE6" w14:textId="79D758BF"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8. Pārbaudīt higiēniskos apstākļus un ierasto kārtību aizgaldu un turēšanas vietu tīrīšanā. Pārbaudīt arī kūtsmēslu sistēmu.</w:t>
      </w:r>
    </w:p>
    <w:p w14:paraId="4AF28AFE" w14:textId="09BC36E6"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9. Pārbaudīt ventilāciju un iespējamos caurvējus.</w:t>
      </w:r>
    </w:p>
    <w:p w14:paraId="55CB1674" w14:textId="5A872437"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lastRenderedPageBreak/>
        <w:t>10. Pārbaudīt barību un ierasto barošanas kārtību.</w:t>
      </w:r>
    </w:p>
    <w:p w14:paraId="6B29345C" w14:textId="18C74A79" w:rsidR="00672FC0" w:rsidRPr="00154588" w:rsidRDefault="00C17377" w:rsidP="00C17377">
      <w:pPr>
        <w:pStyle w:val="BodyText"/>
        <w:tabs>
          <w:tab w:val="left" w:pos="711"/>
        </w:tabs>
        <w:spacing w:before="0"/>
        <w:ind w:left="0"/>
        <w:jc w:val="both"/>
        <w:rPr>
          <w:rFonts w:ascii="Times New Roman" w:hAnsi="Times New Roman"/>
          <w:noProof/>
          <w:sz w:val="24"/>
        </w:rPr>
      </w:pPr>
      <w:r>
        <w:rPr>
          <w:rFonts w:ascii="Times New Roman" w:hAnsi="Times New Roman"/>
          <w:sz w:val="24"/>
        </w:rPr>
        <w:t>11. Pārbaudīt ūdensapgādes sistēmas higiēnas un funkcionālos aspektus.</w:t>
      </w:r>
    </w:p>
    <w:p w14:paraId="4C7595B0" w14:textId="77777777" w:rsidR="00C17377" w:rsidRDefault="00C17377" w:rsidP="00154588">
      <w:pPr>
        <w:pStyle w:val="BodyText"/>
        <w:spacing w:before="0"/>
        <w:ind w:left="0"/>
        <w:jc w:val="both"/>
        <w:rPr>
          <w:rFonts w:ascii="Times New Roman" w:hAnsi="Times New Roman"/>
          <w:noProof/>
          <w:sz w:val="24"/>
        </w:rPr>
      </w:pPr>
    </w:p>
    <w:p w14:paraId="26CA8D8F" w14:textId="451866CD"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Kad pēc iepriekšminētā saraksta veikta rūpīga ganāmpulka veselības pārbaude, var lemt par potenciālo vajadzību pēc dzīvnieku grupas ārstēšanas. Pirms šādu nozīmējumu veic, jālabo nopietnas kļūdas vai trūkumi vidē un pārvaldībā, un ārstēšanas laikā jānodrošina atbilstoši profilakses pasākumi. Kontroles programmu un konstatētās vajadzības pēc uzlabojumiem apkopo rakstiskā dokumentā. Veicot iepriekš aprakstīto izpēti, var nākties konstatēt, ka problēmas apmērs nosaka nepieciešamību pieaicināt ganāmpulka veselības speciālistu vai citu speciālistu, piemēram, ventilācijas jomā utt.</w:t>
      </w:r>
    </w:p>
    <w:p w14:paraId="542C9107" w14:textId="06DF2232" w:rsidR="00C17377" w:rsidRDefault="00C17377" w:rsidP="00154588">
      <w:pPr>
        <w:pStyle w:val="BodyText"/>
        <w:spacing w:before="0"/>
        <w:ind w:left="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8674"/>
      </w:tblGrid>
      <w:tr w:rsidR="00C17377" w14:paraId="4BB89F12" w14:textId="77777777" w:rsidTr="00AC1751">
        <w:tc>
          <w:tcPr>
            <w:tcW w:w="454" w:type="dxa"/>
          </w:tcPr>
          <w:p w14:paraId="0189A1B4" w14:textId="40A1AAF9" w:rsidR="00C17377" w:rsidRDefault="00C17377" w:rsidP="00154588">
            <w:pPr>
              <w:pStyle w:val="BodyText"/>
              <w:spacing w:before="0"/>
              <w:ind w:left="0"/>
              <w:jc w:val="both"/>
              <w:rPr>
                <w:rFonts w:ascii="Times New Roman" w:hAnsi="Times New Roman"/>
                <w:noProof/>
                <w:sz w:val="24"/>
              </w:rPr>
            </w:pPr>
            <w:r>
              <w:rPr>
                <w:noProof/>
                <w:sz w:val="24"/>
              </w:rPr>
              <w:drawing>
                <wp:inline distT="0" distB="0" distL="0" distR="0" wp14:anchorId="1528F1D8" wp14:editId="5ED2A7B6">
                  <wp:extent cx="223520" cy="595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520" cy="595630"/>
                          </a:xfrm>
                          <a:prstGeom prst="rect">
                            <a:avLst/>
                          </a:prstGeom>
                          <a:noFill/>
                          <a:ln>
                            <a:noFill/>
                          </a:ln>
                        </pic:spPr>
                      </pic:pic>
                    </a:graphicData>
                  </a:graphic>
                </wp:inline>
              </w:drawing>
            </w:r>
          </w:p>
        </w:tc>
        <w:tc>
          <w:tcPr>
            <w:tcW w:w="8674" w:type="dxa"/>
          </w:tcPr>
          <w:p w14:paraId="180D27B2" w14:textId="4E0ED9FD" w:rsidR="00C17377" w:rsidRDefault="00C17377" w:rsidP="00C17377">
            <w:pPr>
              <w:pStyle w:val="Heading4"/>
              <w:spacing w:before="0"/>
              <w:ind w:left="0"/>
              <w:jc w:val="both"/>
              <w:rPr>
                <w:noProof/>
                <w:sz w:val="24"/>
              </w:rPr>
            </w:pPr>
            <w:r>
              <w:rPr>
                <w:sz w:val="24"/>
              </w:rPr>
              <w:t>Ja noteiktie trūkumi vidē un/vai pārvaldībā ārstēšanas gaitā netiek laboti, nozīmētā ārstēšana jāatsauc un ārstēšana jāpārtrauc.</w:t>
            </w:r>
          </w:p>
        </w:tc>
      </w:tr>
    </w:tbl>
    <w:p w14:paraId="39CFD62B" w14:textId="77777777" w:rsidR="00672FC0" w:rsidRPr="00154588" w:rsidRDefault="00672FC0" w:rsidP="00154588">
      <w:pPr>
        <w:jc w:val="both"/>
        <w:rPr>
          <w:rFonts w:ascii="Times New Roman" w:eastAsia="Times New Roman" w:hAnsi="Times New Roman" w:cs="Times New Roman"/>
          <w:b/>
          <w:bCs/>
          <w:noProof/>
          <w:sz w:val="24"/>
          <w:szCs w:val="19"/>
        </w:rPr>
      </w:pPr>
    </w:p>
    <w:p w14:paraId="7557F2D4" w14:textId="77777777" w:rsidR="00672FC0" w:rsidRPr="00154588" w:rsidRDefault="00672FC0" w:rsidP="00154588">
      <w:pPr>
        <w:jc w:val="both"/>
        <w:rPr>
          <w:rFonts w:ascii="Times New Roman" w:hAnsi="Times New Roman"/>
          <w:noProof/>
          <w:sz w:val="24"/>
        </w:rPr>
      </w:pPr>
      <w:r>
        <w:rPr>
          <w:rFonts w:ascii="Times New Roman" w:hAnsi="Times New Roman"/>
          <w:sz w:val="24"/>
        </w:rPr>
        <w:t>Normatīvie akti</w:t>
      </w:r>
    </w:p>
    <w:p w14:paraId="4A0BAC98" w14:textId="3DD533F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Antibiotikas saturošu barību Zviedrijā drīkst pārdot vai lietot tikai tad, ja katrā konkrētajā gadījumā ir veterinārārsta parakstīta recepte (</w:t>
      </w:r>
      <w:r>
        <w:rPr>
          <w:rFonts w:ascii="Times New Roman" w:hAnsi="Times New Roman"/>
          <w:i/>
          <w:iCs/>
          <w:sz w:val="24"/>
        </w:rPr>
        <w:t>SFS</w:t>
      </w:r>
      <w:r>
        <w:rPr>
          <w:rFonts w:ascii="Times New Roman" w:hAnsi="Times New Roman"/>
          <w:sz w:val="24"/>
        </w:rPr>
        <w:t xml:space="preserve"> 2006:805). Antibiotiku lietošana, lai panāktu dzīvnieku labāku augšanu, nav atļauta (</w:t>
      </w:r>
      <w:r>
        <w:rPr>
          <w:rFonts w:ascii="Times New Roman" w:hAnsi="Times New Roman"/>
          <w:i/>
          <w:iCs/>
          <w:sz w:val="24"/>
        </w:rPr>
        <w:t>SFS</w:t>
      </w:r>
      <w:r>
        <w:rPr>
          <w:rFonts w:ascii="Times New Roman" w:hAnsi="Times New Roman"/>
          <w:sz w:val="24"/>
        </w:rPr>
        <w:t xml:space="preserve"> 2006:805). Parakstot antibiotikas barībā, veterinārārsts ir atbildīgs par to, ka parakstīšana ir veikta pareizi un īpašniekam un/vai aprūpētājam ir nodrošināti rūpīgi sagatavoti un pilnīgi norādījumi, tostarp informācija par izdalīšanās periodiem.</w:t>
      </w:r>
    </w:p>
    <w:p w14:paraId="3CE92D8B" w14:textId="77777777" w:rsidR="00672FC0" w:rsidRPr="00154588" w:rsidRDefault="00672FC0" w:rsidP="00154588">
      <w:pPr>
        <w:jc w:val="both"/>
        <w:rPr>
          <w:rFonts w:ascii="Times New Roman" w:eastAsia="Book Antiqua" w:hAnsi="Times New Roman" w:cs="Book Antiqua"/>
          <w:noProof/>
          <w:sz w:val="24"/>
          <w:szCs w:val="18"/>
        </w:rPr>
      </w:pPr>
    </w:p>
    <w:p w14:paraId="5884FDAB" w14:textId="77777777" w:rsidR="00672FC0" w:rsidRPr="00154588" w:rsidRDefault="00672FC0" w:rsidP="00154588">
      <w:pPr>
        <w:pStyle w:val="Heading3"/>
        <w:ind w:left="0"/>
        <w:jc w:val="both"/>
        <w:rPr>
          <w:rFonts w:ascii="Times New Roman" w:hAnsi="Times New Roman"/>
          <w:noProof/>
          <w:sz w:val="24"/>
        </w:rPr>
      </w:pPr>
      <w:bookmarkStart w:id="33" w:name="_Toc46997547"/>
      <w:bookmarkStart w:id="34" w:name="_Toc47003071"/>
      <w:r>
        <w:rPr>
          <w:rFonts w:ascii="Times New Roman" w:hAnsi="Times New Roman"/>
          <w:sz w:val="24"/>
        </w:rPr>
        <w:t>Receptes parakstīšana</w:t>
      </w:r>
      <w:bookmarkEnd w:id="33"/>
      <w:bookmarkEnd w:id="34"/>
    </w:p>
    <w:p w14:paraId="68EF261F" w14:textId="2DDBCF01"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Visa veida antibiotikas, kas paredzētas lietošanai ar barību, jāparaksta iegādei ar sertificētas aptiekas starpniecību. Receptē iekļauj norādījumus par to, kā zāles piejaucamas barībai barības ražotnē vai saimniecībā, izmantojot šim nolūkam paredzētu un piemērotu aprīkojumu. Parakstot antibiotikas, kas paredzētas </w:t>
      </w:r>
      <w:r w:rsidR="00B5444C">
        <w:rPr>
          <w:rFonts w:ascii="Times New Roman" w:hAnsi="Times New Roman"/>
          <w:sz w:val="24"/>
        </w:rPr>
        <w:t>lietošanai</w:t>
      </w:r>
      <w:r>
        <w:rPr>
          <w:rFonts w:ascii="Times New Roman" w:hAnsi="Times New Roman"/>
          <w:sz w:val="24"/>
        </w:rPr>
        <w:t xml:space="preserve"> barībā, recepte jāmarķē ar vārdu “</w:t>
      </w:r>
      <w:r>
        <w:rPr>
          <w:rFonts w:ascii="Times New Roman" w:hAnsi="Times New Roman"/>
          <w:i/>
          <w:iCs/>
          <w:sz w:val="24"/>
        </w:rPr>
        <w:t>OBS!</w:t>
      </w:r>
      <w:r>
        <w:rPr>
          <w:rFonts w:ascii="Times New Roman" w:hAnsi="Times New Roman"/>
          <w:sz w:val="24"/>
        </w:rPr>
        <w:t>” (“</w:t>
      </w:r>
      <w:r>
        <w:rPr>
          <w:rFonts w:ascii="Times New Roman" w:hAnsi="Times New Roman"/>
          <w:i/>
          <w:iCs/>
          <w:sz w:val="24"/>
        </w:rPr>
        <w:t>PIEZĪME!</w:t>
      </w:r>
      <w:r>
        <w:rPr>
          <w:rFonts w:ascii="Times New Roman" w:hAnsi="Times New Roman"/>
          <w:sz w:val="24"/>
        </w:rPr>
        <w:t>”).</w:t>
      </w:r>
    </w:p>
    <w:p w14:paraId="00DACE42" w14:textId="77777777" w:rsidR="00C17377" w:rsidRPr="00154588" w:rsidRDefault="00C17377" w:rsidP="00154588">
      <w:pPr>
        <w:pStyle w:val="BodyText"/>
        <w:spacing w:before="0"/>
        <w:ind w:left="0"/>
        <w:jc w:val="both"/>
        <w:rPr>
          <w:rFonts w:ascii="Times New Roman" w:hAnsi="Times New Roman"/>
          <w:noProof/>
          <w:sz w:val="24"/>
        </w:rPr>
      </w:pPr>
    </w:p>
    <w:p w14:paraId="39966ACF" w14:textId="65275F70"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Parakstot barībai pievienojamās antibiotikas, jāaplēš barības daudzums. Praktiski spriežot, sivēns, kas ēd sauso barību, pēc atšķiršanas, t. i., parasti 5 nedēļu vecumā, varētu divu nedēļu laikā kopumā patērēt aptuveni 7 kg barības un aptuveni 30 kg barības, līdz to pārdod vai pārvieto uz saimniecību, kur ražo cūkas vaislai.</w:t>
      </w:r>
    </w:p>
    <w:p w14:paraId="32854500" w14:textId="77777777" w:rsidR="00C17377" w:rsidRPr="00154588" w:rsidRDefault="00C17377" w:rsidP="00154588">
      <w:pPr>
        <w:pStyle w:val="BodyText"/>
        <w:spacing w:before="0"/>
        <w:ind w:left="0"/>
        <w:jc w:val="both"/>
        <w:rPr>
          <w:rFonts w:ascii="Times New Roman" w:hAnsi="Times New Roman"/>
          <w:noProof/>
          <w:sz w:val="24"/>
        </w:rPr>
      </w:pPr>
    </w:p>
    <w:p w14:paraId="5A8C6CCD" w14:textId="452D6264"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Zāļu došanai ar ūdeni (vai piena aizstājēju) nepieciešama vai nu individuāla ārstēšana, vai zināšanas par šķidrumu patēriņu. Tāpēc teļu ārstēšanu, izmantojot piena aizstājēju vai ūdeni, iesaka veikt individuāli, dzirdinot teļus no spaiņiem. Cūkas, ko baro ar sauso barību, patērē aptuveni 2,5 litrus ūdens uz barības kilogramu. Cūkas, ko baro mitrās barošanas sistēmās, lielāko ūdens daudzumu uzņem ar barību, tāpēc ūdens ir mazāk piemērots kā zāļu nesējs.</w:t>
      </w:r>
    </w:p>
    <w:p w14:paraId="7924721D" w14:textId="77777777" w:rsidR="00C17377" w:rsidRPr="00154588" w:rsidRDefault="00C17377" w:rsidP="00154588">
      <w:pPr>
        <w:pStyle w:val="BodyText"/>
        <w:spacing w:before="0"/>
        <w:ind w:left="0"/>
        <w:jc w:val="both"/>
        <w:rPr>
          <w:rFonts w:ascii="Times New Roman" w:hAnsi="Times New Roman"/>
          <w:noProof/>
          <w:sz w:val="24"/>
        </w:rPr>
      </w:pPr>
    </w:p>
    <w:p w14:paraId="5836DA00" w14:textId="063AAFEF"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Parakstot antibiotikas barībā, jāievēro turpmākais.</w:t>
      </w:r>
    </w:p>
    <w:p w14:paraId="147C1ECC" w14:textId="77777777" w:rsidR="00C17377" w:rsidRPr="00154588" w:rsidRDefault="00C17377" w:rsidP="00154588">
      <w:pPr>
        <w:pStyle w:val="BodyText"/>
        <w:spacing w:before="0"/>
        <w:ind w:left="0"/>
        <w:jc w:val="both"/>
        <w:rPr>
          <w:rFonts w:ascii="Times New Roman" w:hAnsi="Times New Roman"/>
          <w:noProof/>
          <w:sz w:val="24"/>
        </w:rPr>
      </w:pPr>
    </w:p>
    <w:p w14:paraId="4B56108F" w14:textId="77777777" w:rsidR="00672FC0" w:rsidRPr="00154588" w:rsidRDefault="00672FC0" w:rsidP="00C17377">
      <w:pPr>
        <w:pStyle w:val="BodyText"/>
        <w:numPr>
          <w:ilvl w:val="1"/>
          <w:numId w:val="3"/>
        </w:numPr>
        <w:spacing w:before="0"/>
        <w:ind w:left="284" w:hanging="284"/>
        <w:jc w:val="both"/>
        <w:rPr>
          <w:rFonts w:ascii="Times New Roman" w:hAnsi="Times New Roman"/>
          <w:noProof/>
          <w:sz w:val="24"/>
        </w:rPr>
      </w:pPr>
      <w:r>
        <w:rPr>
          <w:rFonts w:ascii="Times New Roman" w:hAnsi="Times New Roman"/>
          <w:sz w:val="24"/>
        </w:rPr>
        <w:t>Jānorāda izmantotās barības daudzums un veids.</w:t>
      </w:r>
    </w:p>
    <w:p w14:paraId="3FC620A1" w14:textId="7F6B0E65" w:rsidR="00672FC0" w:rsidRPr="00154588" w:rsidRDefault="00672FC0" w:rsidP="00C17377">
      <w:pPr>
        <w:pStyle w:val="BodyText"/>
        <w:numPr>
          <w:ilvl w:val="1"/>
          <w:numId w:val="3"/>
        </w:numPr>
        <w:spacing w:before="0"/>
        <w:ind w:left="284" w:hanging="284"/>
        <w:jc w:val="both"/>
        <w:rPr>
          <w:rFonts w:ascii="Times New Roman" w:hAnsi="Times New Roman"/>
          <w:noProof/>
          <w:sz w:val="24"/>
        </w:rPr>
      </w:pPr>
      <w:r>
        <w:rPr>
          <w:rFonts w:ascii="Times New Roman" w:hAnsi="Times New Roman"/>
          <w:sz w:val="24"/>
        </w:rPr>
        <w:t>Informācija par barības ražotni, kas veic piegādes konkrētajai saimniecībai, saskaņā ar Zviedrijas noteikumiem nav nepieciešama, bet to labāk norādīt praktisku apsvērumu dēļ.</w:t>
      </w:r>
    </w:p>
    <w:p w14:paraId="2EDEA2CC" w14:textId="77777777" w:rsidR="00672FC0" w:rsidRPr="00154588" w:rsidRDefault="00672FC0" w:rsidP="00C17377">
      <w:pPr>
        <w:pStyle w:val="BodyText"/>
        <w:numPr>
          <w:ilvl w:val="1"/>
          <w:numId w:val="3"/>
        </w:numPr>
        <w:spacing w:before="0"/>
        <w:ind w:left="284" w:hanging="284"/>
        <w:jc w:val="both"/>
        <w:rPr>
          <w:rFonts w:ascii="Times New Roman" w:hAnsi="Times New Roman"/>
          <w:noProof/>
          <w:sz w:val="24"/>
        </w:rPr>
      </w:pPr>
      <w:r>
        <w:rPr>
          <w:rFonts w:ascii="Times New Roman" w:hAnsi="Times New Roman"/>
          <w:sz w:val="24"/>
        </w:rPr>
        <w:t>Aktīvās vielas koncentrācija jānorāda aktīvās vielas gramos uz 100 gramiem barības vielas (procentos).</w:t>
      </w:r>
    </w:p>
    <w:p w14:paraId="2E182B93" w14:textId="25FA5068" w:rsidR="00672FC0" w:rsidRPr="00154588" w:rsidRDefault="00672FC0" w:rsidP="00C17377">
      <w:pPr>
        <w:pStyle w:val="BodyText"/>
        <w:numPr>
          <w:ilvl w:val="1"/>
          <w:numId w:val="3"/>
        </w:numPr>
        <w:spacing w:before="0"/>
        <w:ind w:left="284" w:hanging="284"/>
        <w:jc w:val="both"/>
        <w:rPr>
          <w:rFonts w:ascii="Times New Roman" w:hAnsi="Times New Roman"/>
          <w:noProof/>
          <w:sz w:val="24"/>
        </w:rPr>
      </w:pPr>
      <w:r>
        <w:rPr>
          <w:rFonts w:ascii="Times New Roman" w:hAnsi="Times New Roman"/>
          <w:sz w:val="24"/>
        </w:rPr>
        <w:t xml:space="preserve">Barības nozarē bieži izmanto vienību </w:t>
      </w:r>
      <w:r>
        <w:rPr>
          <w:rFonts w:ascii="Times New Roman" w:hAnsi="Times New Roman"/>
          <w:i/>
          <w:iCs/>
          <w:sz w:val="24"/>
        </w:rPr>
        <w:t>ppm</w:t>
      </w:r>
      <w:r>
        <w:rPr>
          <w:rFonts w:ascii="Times New Roman" w:hAnsi="Times New Roman"/>
          <w:sz w:val="24"/>
        </w:rPr>
        <w:t xml:space="preserve"> (miljonās daļas). Tāpēc praktisku apsvērumu dēļ der norādīt antibiotikas koncentrāciju izbarošanai gatavā barībā </w:t>
      </w:r>
      <w:r>
        <w:rPr>
          <w:rFonts w:ascii="Times New Roman" w:hAnsi="Times New Roman"/>
          <w:i/>
          <w:iCs/>
          <w:sz w:val="24"/>
        </w:rPr>
        <w:t>ppm</w:t>
      </w:r>
      <w:r>
        <w:rPr>
          <w:rFonts w:ascii="Times New Roman" w:hAnsi="Times New Roman"/>
          <w:sz w:val="24"/>
        </w:rPr>
        <w:t xml:space="preserve"> vienībās.</w:t>
      </w:r>
    </w:p>
    <w:p w14:paraId="704C7A78" w14:textId="77777777" w:rsidR="00672FC0" w:rsidRPr="00154588" w:rsidRDefault="00672FC0" w:rsidP="00154588">
      <w:pPr>
        <w:jc w:val="both"/>
        <w:rPr>
          <w:rFonts w:ascii="Times New Roman" w:eastAsia="Book Antiqua" w:hAnsi="Times New Roman" w:cs="Book Antiqua"/>
          <w:noProof/>
          <w:sz w:val="24"/>
          <w:szCs w:val="17"/>
        </w:rPr>
      </w:pPr>
    </w:p>
    <w:p w14:paraId="41034627" w14:textId="202650FA" w:rsidR="00672FC0" w:rsidRDefault="00C17377" w:rsidP="00C17377">
      <w:pPr>
        <w:jc w:val="center"/>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2C13C09B" wp14:editId="79FDFED6">
            <wp:extent cx="4795520" cy="2158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5520" cy="2158365"/>
                    </a:xfrm>
                    <a:prstGeom prst="rect">
                      <a:avLst/>
                    </a:prstGeom>
                    <a:noFill/>
                    <a:ln>
                      <a:noFill/>
                    </a:ln>
                  </pic:spPr>
                </pic:pic>
              </a:graphicData>
            </a:graphic>
          </wp:inline>
        </w:drawing>
      </w:r>
    </w:p>
    <w:p w14:paraId="08DDF179" w14:textId="48026EB6" w:rsidR="00AC1751" w:rsidRDefault="00AC1751">
      <w:pPr>
        <w:rPr>
          <w:rFonts w:ascii="Times New Roman" w:eastAsia="Book Antiqua" w:hAnsi="Times New Roman" w:cs="Book Antiqua"/>
          <w:noProof/>
          <w:sz w:val="24"/>
          <w:szCs w:val="20"/>
        </w:rPr>
      </w:pPr>
      <w:r>
        <w:rPr>
          <w:rFonts w:ascii="Times New Roman" w:eastAsia="Book Antiqua" w:hAnsi="Times New Roman" w:cs="Book Antiqua"/>
          <w:noProof/>
          <w:sz w:val="24"/>
          <w:szCs w:val="20"/>
        </w:rPr>
        <w:br w:type="page"/>
      </w:r>
    </w:p>
    <w:p w14:paraId="205E23AC" w14:textId="77777777" w:rsidR="00C17377" w:rsidRDefault="00C17377" w:rsidP="00154588">
      <w:pPr>
        <w:jc w:val="both"/>
        <w:rPr>
          <w:rFonts w:ascii="Times New Roman" w:eastAsia="Book Antiqua" w:hAnsi="Times New Roman" w:cs="Book Antiqu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35507" w14:paraId="3470F6FD" w14:textId="77777777" w:rsidTr="00635507">
        <w:tc>
          <w:tcPr>
            <w:tcW w:w="9288" w:type="dxa"/>
          </w:tcPr>
          <w:p w14:paraId="2A8E6978" w14:textId="0F32B02B" w:rsidR="00635507" w:rsidRDefault="00635507" w:rsidP="009940DD">
            <w:pPr>
              <w:pStyle w:val="Heading1"/>
              <w:jc w:val="center"/>
              <w:rPr>
                <w:rFonts w:eastAsia="Book Antiqua" w:cs="Book Antiqua"/>
                <w:noProof/>
                <w:szCs w:val="20"/>
              </w:rPr>
            </w:pPr>
            <w:bookmarkStart w:id="35" w:name="_Toc47003072"/>
            <w:r w:rsidRPr="009940DD">
              <w:rPr>
                <w:sz w:val="28"/>
                <w:szCs w:val="32"/>
              </w:rPr>
              <w:t>Liellopu slimības</w:t>
            </w:r>
            <w:bookmarkEnd w:id="35"/>
          </w:p>
        </w:tc>
      </w:tr>
    </w:tbl>
    <w:p w14:paraId="270A66D0" w14:textId="77777777" w:rsidR="00672FC0" w:rsidRPr="00154588" w:rsidRDefault="00672FC0" w:rsidP="00154588">
      <w:pPr>
        <w:jc w:val="both"/>
        <w:rPr>
          <w:rFonts w:ascii="Times New Roman" w:eastAsia="Book Antiqua" w:hAnsi="Times New Roman" w:cs="Book Antiqua"/>
          <w:noProof/>
          <w:sz w:val="24"/>
          <w:szCs w:val="18"/>
        </w:rPr>
      </w:pPr>
    </w:p>
    <w:p w14:paraId="5516F9ED" w14:textId="77777777" w:rsidR="00672FC0" w:rsidRPr="009940DD" w:rsidRDefault="00672FC0" w:rsidP="009940DD">
      <w:pPr>
        <w:pStyle w:val="Heading1"/>
        <w:rPr>
          <w:sz w:val="28"/>
          <w:szCs w:val="32"/>
        </w:rPr>
      </w:pPr>
      <w:bookmarkStart w:id="36" w:name="_TOC_250027"/>
      <w:bookmarkStart w:id="37" w:name="_Toc46997548"/>
      <w:bookmarkStart w:id="38" w:name="_Toc47003073"/>
      <w:r w:rsidRPr="009940DD">
        <w:rPr>
          <w:sz w:val="28"/>
          <w:szCs w:val="32"/>
        </w:rPr>
        <w:t>Tesmeņa infekcijas un pupu ievainojumi</w:t>
      </w:r>
      <w:bookmarkEnd w:id="36"/>
      <w:bookmarkEnd w:id="37"/>
      <w:bookmarkEnd w:id="38"/>
    </w:p>
    <w:p w14:paraId="4EAC6390" w14:textId="77777777" w:rsidR="00635507" w:rsidRDefault="00635507" w:rsidP="00154588">
      <w:pPr>
        <w:jc w:val="both"/>
        <w:rPr>
          <w:rFonts w:ascii="Times New Roman" w:hAnsi="Times New Roman"/>
          <w:i/>
          <w:noProof/>
          <w:sz w:val="24"/>
        </w:rPr>
      </w:pPr>
    </w:p>
    <w:p w14:paraId="6D7ED40F" w14:textId="4460BFD7" w:rsidR="00672FC0" w:rsidRPr="00154588" w:rsidRDefault="00672FC0" w:rsidP="00154588">
      <w:pPr>
        <w:jc w:val="both"/>
        <w:rPr>
          <w:rFonts w:ascii="Times New Roman" w:hAnsi="Times New Roman"/>
          <w:i/>
          <w:noProof/>
          <w:sz w:val="24"/>
        </w:rPr>
      </w:pPr>
      <w:r>
        <w:rPr>
          <w:rFonts w:ascii="Times New Roman" w:hAnsi="Times New Roman"/>
          <w:i/>
          <w:sz w:val="24"/>
        </w:rPr>
        <w:t>Ilva Pēšone, veterinārās medicīnas zinātņu doktore, Dr. phil.</w:t>
      </w:r>
    </w:p>
    <w:p w14:paraId="5935E549" w14:textId="77777777" w:rsidR="00635507" w:rsidRDefault="00672FC0" w:rsidP="00154588">
      <w:pPr>
        <w:jc w:val="both"/>
        <w:rPr>
          <w:rFonts w:ascii="Times New Roman" w:hAnsi="Times New Roman"/>
          <w:i/>
          <w:noProof/>
          <w:sz w:val="24"/>
        </w:rPr>
      </w:pPr>
      <w:r>
        <w:rPr>
          <w:rFonts w:ascii="Times New Roman" w:hAnsi="Times New Roman"/>
          <w:i/>
          <w:sz w:val="24"/>
        </w:rPr>
        <w:t>Hokans Landīns, veterinārās medicīnas zinātņu doktors, liellopu slimību speciālists</w:t>
      </w:r>
    </w:p>
    <w:p w14:paraId="359A30EC" w14:textId="7851123F" w:rsidR="00672FC0" w:rsidRPr="00154588" w:rsidRDefault="00672FC0" w:rsidP="00154588">
      <w:pPr>
        <w:jc w:val="both"/>
        <w:rPr>
          <w:rFonts w:ascii="Times New Roman" w:hAnsi="Times New Roman"/>
          <w:i/>
          <w:noProof/>
          <w:sz w:val="24"/>
        </w:rPr>
      </w:pPr>
      <w:r>
        <w:rPr>
          <w:rFonts w:ascii="Times New Roman" w:hAnsi="Times New Roman"/>
          <w:i/>
          <w:sz w:val="24"/>
        </w:rPr>
        <w:t>Kārina Pēšone Vallere [Karin Persson Waller], veterinārās medicīnas zinātņu doktore, Dr. phil.</w:t>
      </w:r>
    </w:p>
    <w:p w14:paraId="77538FBE" w14:textId="77777777" w:rsidR="00672FC0" w:rsidRPr="00154588" w:rsidRDefault="00672FC0" w:rsidP="00154588">
      <w:pPr>
        <w:jc w:val="both"/>
        <w:rPr>
          <w:rFonts w:ascii="Times New Roman" w:eastAsia="Book Antiqua" w:hAnsi="Times New Roman" w:cs="Book Antiqua"/>
          <w:i/>
          <w:noProof/>
          <w:sz w:val="24"/>
          <w:szCs w:val="19"/>
        </w:rPr>
      </w:pPr>
    </w:p>
    <w:p w14:paraId="5BBE6D33" w14:textId="77777777" w:rsidR="00672FC0" w:rsidRPr="00154588" w:rsidRDefault="00672FC0" w:rsidP="00154588">
      <w:pPr>
        <w:pStyle w:val="Heading3"/>
        <w:ind w:left="0"/>
        <w:jc w:val="both"/>
        <w:rPr>
          <w:rFonts w:ascii="Times New Roman" w:hAnsi="Times New Roman"/>
          <w:noProof/>
          <w:sz w:val="24"/>
        </w:rPr>
      </w:pPr>
      <w:bookmarkStart w:id="39" w:name="_Toc46997549"/>
      <w:bookmarkStart w:id="40" w:name="_Toc47003074"/>
      <w:r>
        <w:rPr>
          <w:rFonts w:ascii="Times New Roman" w:hAnsi="Times New Roman"/>
          <w:sz w:val="24"/>
        </w:rPr>
        <w:t>Etioloģija</w:t>
      </w:r>
      <w:bookmarkEnd w:id="39"/>
      <w:bookmarkEnd w:id="40"/>
    </w:p>
    <w:p w14:paraId="33701D10"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Mastīts ir daudzfaktoru slimība. Risku, ka tesmenī radīsies mikroorganismu (parasti baktēriju) izraisīta infekcija un izveidosies mastīts, var ievērojami palielināt ar govi saistītie faktori, kā arī pārvaldības un vides faktori. Aptaujas Zviedrijā ir parādījušas, ka etioloģisko ierosinātāju vidū dominē pret penicilīnu jutīgas baktērijas. Akūto klīniskā un subklīniskā mastīta gadījumu lielākajā daļā izolē grampozitīvas baktērijas (visbiežāk stafilokokus un streptokokus), savukārt gramnegatīvās baktērijas ir retāk sastopamas.</w:t>
      </w:r>
    </w:p>
    <w:p w14:paraId="6F17B8FD" w14:textId="77777777" w:rsidR="00672FC0" w:rsidRPr="00154588" w:rsidRDefault="00672FC0" w:rsidP="00154588">
      <w:pPr>
        <w:jc w:val="both"/>
        <w:rPr>
          <w:rFonts w:ascii="Times New Roman" w:eastAsia="Book Antiqua" w:hAnsi="Times New Roman" w:cs="Book Antiqua"/>
          <w:noProof/>
          <w:sz w:val="24"/>
          <w:szCs w:val="14"/>
        </w:rPr>
      </w:pPr>
    </w:p>
    <w:p w14:paraId="7C20BB5E" w14:textId="365E1339" w:rsidR="00672FC0" w:rsidRPr="00154588" w:rsidRDefault="00635507" w:rsidP="00154588">
      <w:pPr>
        <w:jc w:val="both"/>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4D1E3F86" wp14:editId="69BFF2F6">
            <wp:extent cx="3441940" cy="287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9953" cy="2886254"/>
                    </a:xfrm>
                    <a:prstGeom prst="rect">
                      <a:avLst/>
                    </a:prstGeom>
                    <a:noFill/>
                    <a:ln>
                      <a:noFill/>
                    </a:ln>
                  </pic:spPr>
                </pic:pic>
              </a:graphicData>
            </a:graphic>
          </wp:inline>
        </w:drawing>
      </w:r>
    </w:p>
    <w:p w14:paraId="35483DE6" w14:textId="77777777" w:rsidR="00154588" w:rsidRPr="00154588" w:rsidRDefault="00154588" w:rsidP="00154588">
      <w:pPr>
        <w:jc w:val="both"/>
        <w:rPr>
          <w:rFonts w:ascii="Times New Roman" w:eastAsia="Book Antiqua" w:hAnsi="Times New Roman" w:cs="Book Antiqua"/>
          <w:noProof/>
          <w:sz w:val="24"/>
          <w:szCs w:val="20"/>
        </w:rPr>
      </w:pPr>
    </w:p>
    <w:p w14:paraId="1AC1046F" w14:textId="77777777" w:rsidR="00672FC0" w:rsidRPr="00154588" w:rsidRDefault="00672FC0" w:rsidP="00154588">
      <w:pPr>
        <w:pStyle w:val="Heading3"/>
        <w:ind w:left="0"/>
        <w:jc w:val="both"/>
        <w:rPr>
          <w:rFonts w:ascii="Times New Roman" w:hAnsi="Times New Roman"/>
          <w:noProof/>
          <w:sz w:val="24"/>
        </w:rPr>
      </w:pPr>
      <w:bookmarkStart w:id="41" w:name="_Toc46997550"/>
      <w:bookmarkStart w:id="42" w:name="_Toc47003075"/>
      <w:r>
        <w:rPr>
          <w:rFonts w:ascii="Times New Roman" w:hAnsi="Times New Roman"/>
          <w:sz w:val="24"/>
        </w:rPr>
        <w:t>Diagnozes noteikšana</w:t>
      </w:r>
      <w:bookmarkEnd w:id="41"/>
      <w:bookmarkEnd w:id="42"/>
    </w:p>
    <w:p w14:paraId="79D3C5AD" w14:textId="5214361E"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Mastīta diagnozi nosaka, pamatojoties uz rūpīgu anamnēzi, tesmeņa un govs klīniskajiem izmeklējumiem un piena paraugu bakterioloģisko analīzi. Anamnēzē vienmēr jāiekļauj govs somatisko šūnu skaita izvērtējuma vēsture. Pamatojoties uz diagnozi, novērtē prognozi, kura savukārt nosaka ārstēšanas izvēli. Klīniskā mastīta gadījumos mikroorganismu kultivēšanu piena paraugos parasti veic lauka veterinārārsts. Rezultāti palīdz klīnicistam novērtēt novirzes baktēriju florā ganāmpulka līmenī un rīkoties ar dzīvniekiem, kas nereaģē uz ārstēšanu. Subklīniska mastīta gadījumos ieteicams nosūtīt piena paraugus uz akreditētu laboratoriju.</w:t>
      </w:r>
    </w:p>
    <w:p w14:paraId="6C6CF084" w14:textId="77777777" w:rsidR="00635507" w:rsidRPr="00154588" w:rsidRDefault="00635507" w:rsidP="00154588">
      <w:pPr>
        <w:pStyle w:val="BodyText"/>
        <w:spacing w:before="0"/>
        <w:ind w:left="0"/>
        <w:jc w:val="both"/>
        <w:rPr>
          <w:rFonts w:ascii="Times New Roman" w:hAnsi="Times New Roman"/>
          <w:noProof/>
          <w:sz w:val="24"/>
        </w:rPr>
      </w:pPr>
    </w:p>
    <w:p w14:paraId="4C537642" w14:textId="70BA7B6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Izvērtējot kultivēšanas plates, sākotnējo diagnozi nosaka pēc 16–24 inkubācijas stundām 37 °C temperatūrā, turpretim galīgo izvērtēšanu veic pēc 36–48 inkubācijas stundām. Ja konstatē stafilokoku kolonijas, pirmajā izvērtēšanā veic testu beta laktamāzes izdalīšanās noteikšanai. Ja terapijas iedarbīgums ir zems vai terapija vispār nav iedarbīga, paraugu var nosūtīt uz laboratoriju bakterioloģiskai izpētei un mikroorganismu rezistences izvērtēšanai.</w:t>
      </w:r>
    </w:p>
    <w:p w14:paraId="38EC97EC" w14:textId="77777777" w:rsidR="00672FC0" w:rsidRPr="00154588" w:rsidRDefault="00672FC0" w:rsidP="00154588">
      <w:pPr>
        <w:jc w:val="both"/>
        <w:rPr>
          <w:rFonts w:ascii="Times New Roman" w:eastAsia="Book Antiqua" w:hAnsi="Times New Roman" w:cs="Book Antiqua"/>
          <w:noProof/>
          <w:sz w:val="24"/>
          <w:szCs w:val="18"/>
        </w:rPr>
      </w:pPr>
    </w:p>
    <w:p w14:paraId="678CF952" w14:textId="77777777" w:rsidR="00672FC0" w:rsidRPr="00154588" w:rsidRDefault="00672FC0" w:rsidP="00154588">
      <w:pPr>
        <w:pStyle w:val="Heading3"/>
        <w:ind w:left="0"/>
        <w:jc w:val="both"/>
        <w:rPr>
          <w:rFonts w:ascii="Times New Roman" w:hAnsi="Times New Roman"/>
          <w:noProof/>
          <w:sz w:val="24"/>
        </w:rPr>
      </w:pPr>
      <w:bookmarkStart w:id="43" w:name="_Toc46997551"/>
      <w:bookmarkStart w:id="44" w:name="_Toc47003076"/>
      <w:r>
        <w:rPr>
          <w:rFonts w:ascii="Times New Roman" w:hAnsi="Times New Roman"/>
          <w:sz w:val="24"/>
        </w:rPr>
        <w:lastRenderedPageBreak/>
        <w:t>Ārstēšana</w:t>
      </w:r>
      <w:bookmarkEnd w:id="43"/>
      <w:bookmarkEnd w:id="44"/>
    </w:p>
    <w:p w14:paraId="5A4A4423" w14:textId="32D0606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Mastīta ārstēšana ar antibiotikām laktācijas periodā parasti ir apsverama tikai akūta klīniskā mastīta gadījumā. Tomēr visu veidu mastītu gadījumos ir svarīgi sniegt konsultāciju par slaukšanas tehniku, slaukšanas higiēnu, sadalīt ganāmpulku grupās pēc tesmeņa veselības, kā arī nodrošināt tīrību kūtī, boksos un ievērot pakaišu un barības higiēnu citu šādu gadījumu novēršanai ganāmpulkā.</w:t>
      </w:r>
    </w:p>
    <w:p w14:paraId="6E24DC23" w14:textId="77777777" w:rsidR="00672FC0" w:rsidRPr="00154588" w:rsidRDefault="00672FC0" w:rsidP="00154588">
      <w:pPr>
        <w:jc w:val="both"/>
        <w:rPr>
          <w:rFonts w:ascii="Times New Roman" w:eastAsia="Book Antiqua" w:hAnsi="Times New Roman" w:cs="Book Antiqua"/>
          <w:noProof/>
          <w:sz w:val="24"/>
          <w:szCs w:val="26"/>
        </w:rPr>
      </w:pPr>
    </w:p>
    <w:p w14:paraId="171E1A5C" w14:textId="77777777" w:rsidR="00672FC0" w:rsidRPr="009940DD" w:rsidRDefault="00672FC0" w:rsidP="00154588">
      <w:pPr>
        <w:jc w:val="both"/>
        <w:rPr>
          <w:rFonts w:ascii="Times New Roman" w:hAnsi="Times New Roman"/>
          <w:b/>
          <w:noProof/>
          <w:sz w:val="28"/>
          <w:szCs w:val="24"/>
        </w:rPr>
      </w:pPr>
      <w:r w:rsidRPr="009940DD">
        <w:rPr>
          <w:rFonts w:ascii="Times New Roman" w:hAnsi="Times New Roman"/>
          <w:b/>
          <w:sz w:val="28"/>
          <w:szCs w:val="24"/>
        </w:rPr>
        <w:t>Akūts klīniskais mastīts</w:t>
      </w:r>
    </w:p>
    <w:p w14:paraId="3B18BF31" w14:textId="77777777" w:rsidR="00E2764A" w:rsidRDefault="00E2764A" w:rsidP="00154588">
      <w:pPr>
        <w:pStyle w:val="BodyText"/>
        <w:spacing w:before="0"/>
        <w:ind w:left="0"/>
        <w:jc w:val="both"/>
        <w:rPr>
          <w:rFonts w:ascii="Times New Roman" w:hAnsi="Times New Roman"/>
          <w:sz w:val="24"/>
        </w:rPr>
      </w:pPr>
    </w:p>
    <w:p w14:paraId="78E607C5" w14:textId="5C6C201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Akūta klīniskā mastīta gadījumā jārīkojas bez kavēšanās. Dažām govīm nekavējoties jāveic eitanāzija dzīvnieku labturības apsvērumu dēļ (piemēram, smaga klīniskā mastīta gadījumos, kad iestājusies gangrēna vai toksēmija). Ja indicētas antibiotikas, vislabāko iedarbību parasti panāk fāzē, kad baktērijas pirmajās sešās iekaisuma stundās strauji aug. Antibiotiku terapija vienmēr jāpapildina ar atbalstošiem pasākumiem. Lēmumi par šo pasākumu izvēli tiek pieņemti, ņemot vērā simptomus un sagaidāmo prognozi katrā konkrētajā gadījumā. Šādi pasākumi var būt bieža slaukšana, tesmeņa masāža, oksitocīna, NPL un/vai šķidrumu ievadīšana, kā arī pārraudzības optimizēšana, komforta nodrošināšana govij, pakaišu un barības higiēna un uzturvielu nodrošināšana.</w:t>
      </w:r>
    </w:p>
    <w:p w14:paraId="2F7B7992" w14:textId="77777777" w:rsidR="00154588" w:rsidRPr="00154588" w:rsidRDefault="00154588" w:rsidP="00154588">
      <w:pPr>
        <w:jc w:val="both"/>
        <w:rPr>
          <w:rFonts w:ascii="Times New Roman" w:hAnsi="Times New Roman"/>
          <w:noProof/>
          <w:sz w:val="24"/>
        </w:rPr>
      </w:pPr>
    </w:p>
    <w:p w14:paraId="42A8414F" w14:textId="77777777" w:rsidR="00672FC0" w:rsidRPr="00154588" w:rsidRDefault="00672FC0" w:rsidP="00154588">
      <w:pPr>
        <w:pStyle w:val="Heading3"/>
        <w:ind w:left="0"/>
        <w:jc w:val="both"/>
        <w:rPr>
          <w:rFonts w:ascii="Times New Roman" w:hAnsi="Times New Roman"/>
          <w:noProof/>
          <w:sz w:val="24"/>
        </w:rPr>
      </w:pPr>
      <w:bookmarkStart w:id="45" w:name="_Toc46997552"/>
      <w:bookmarkStart w:id="46" w:name="_Toc47003077"/>
      <w:r>
        <w:rPr>
          <w:rFonts w:ascii="Times New Roman" w:hAnsi="Times New Roman"/>
          <w:sz w:val="24"/>
        </w:rPr>
        <w:t>Antibiotiku izvēle</w:t>
      </w:r>
      <w:bookmarkEnd w:id="45"/>
      <w:bookmarkEnd w:id="46"/>
    </w:p>
    <w:p w14:paraId="4BDE5927" w14:textId="7F0F8CAF"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Ja infekcijas izraisītāju spektrs ganāmpulkā nav zināms vai arī dominē inficēšanās ar grampozitīvajām, pret penicilīnu jutīgajām baktērijām, priekšroka dodama ārstēšanai ar benzilpenicilīnu. Ja ganāmpulka vēsture ir labi zināma un sešu mēnešu periodā pirms slimības gadījuma problēmas ar gramnegatīvajām, pret penicilīnu jutīgajām baktērijām tajā ir labi dokumentētas, principu, ka priekšroka dodama benzilpenicilīnam, var neievērot.</w:t>
      </w:r>
    </w:p>
    <w:p w14:paraId="12950F09" w14:textId="77777777" w:rsidR="00635507" w:rsidRPr="00154588" w:rsidRDefault="00635507" w:rsidP="00154588">
      <w:pPr>
        <w:pStyle w:val="BodyText"/>
        <w:spacing w:before="0"/>
        <w:ind w:left="0"/>
        <w:jc w:val="both"/>
        <w:rPr>
          <w:rFonts w:ascii="Times New Roman" w:hAnsi="Times New Roman"/>
          <w:noProof/>
          <w:sz w:val="24"/>
        </w:rPr>
      </w:pPr>
    </w:p>
    <w:p w14:paraId="2C0F04C3" w14:textId="77777777" w:rsidR="00672FC0" w:rsidRPr="00154588" w:rsidRDefault="00672FC0" w:rsidP="00154588">
      <w:pPr>
        <w:pStyle w:val="Heading4"/>
        <w:spacing w:before="0"/>
        <w:ind w:left="0"/>
        <w:jc w:val="both"/>
        <w:rPr>
          <w:noProof/>
          <w:sz w:val="24"/>
        </w:rPr>
      </w:pPr>
      <w:r>
        <w:rPr>
          <w:sz w:val="24"/>
        </w:rPr>
        <w:t>Grampozitīvie mikroorganismi (kas neizdala beta laktamāzi)</w:t>
      </w:r>
    </w:p>
    <w:p w14:paraId="57366D47" w14:textId="7B6E90AD" w:rsidR="00672FC0" w:rsidRDefault="00672FC0" w:rsidP="00154588">
      <w:pPr>
        <w:jc w:val="both"/>
        <w:rPr>
          <w:rFonts w:ascii="Times New Roman" w:hAnsi="Times New Roman"/>
          <w:noProof/>
          <w:sz w:val="24"/>
        </w:rPr>
      </w:pPr>
      <w:r>
        <w:rPr>
          <w:rFonts w:ascii="Times New Roman" w:hAnsi="Times New Roman"/>
          <w:b/>
          <w:i/>
          <w:sz w:val="24"/>
        </w:rPr>
        <w:t xml:space="preserve">Izvēles zāles – </w:t>
      </w:r>
      <w:r>
        <w:rPr>
          <w:rFonts w:ascii="Times New Roman" w:hAnsi="Times New Roman"/>
          <w:sz w:val="24"/>
        </w:rPr>
        <w:t>benzilpenicilīns*</w:t>
      </w:r>
    </w:p>
    <w:p w14:paraId="5BB136D4" w14:textId="77777777" w:rsidR="00635507" w:rsidRPr="00154588" w:rsidRDefault="00635507" w:rsidP="00154588">
      <w:pPr>
        <w:jc w:val="both"/>
        <w:rPr>
          <w:rFonts w:ascii="Times New Roman" w:eastAsia="Book Antiqua" w:hAnsi="Times New Roman" w:cs="Book Antiqua"/>
          <w:noProof/>
          <w:sz w:val="24"/>
          <w:szCs w:val="20"/>
        </w:rPr>
      </w:pPr>
    </w:p>
    <w:p w14:paraId="5E0B1EB9" w14:textId="77777777" w:rsidR="00672FC0" w:rsidRPr="00154588" w:rsidRDefault="00672FC0" w:rsidP="00154588">
      <w:pPr>
        <w:pStyle w:val="Heading4"/>
        <w:spacing w:before="0"/>
        <w:ind w:left="0"/>
        <w:jc w:val="both"/>
        <w:rPr>
          <w:noProof/>
          <w:sz w:val="24"/>
        </w:rPr>
      </w:pPr>
      <w:r>
        <w:rPr>
          <w:sz w:val="24"/>
        </w:rPr>
        <w:t>Grampozitīvie mikroorganismi (kas izdala beta laktamāzi)</w:t>
      </w:r>
    </w:p>
    <w:p w14:paraId="6BA6888E" w14:textId="77777777"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i/>
          <w:sz w:val="24"/>
        </w:rPr>
        <w:t xml:space="preserve">Izvēles zāles – </w:t>
      </w:r>
      <w:r>
        <w:rPr>
          <w:rFonts w:ascii="Times New Roman" w:hAnsi="Times New Roman"/>
          <w:sz w:val="24"/>
        </w:rPr>
        <w:t>tikai atbalstoša terapija (bez antibiotikām)**</w:t>
      </w:r>
    </w:p>
    <w:p w14:paraId="3AEEC028" w14:textId="77777777" w:rsidR="00635507" w:rsidRDefault="00635507" w:rsidP="00154588">
      <w:pPr>
        <w:jc w:val="both"/>
        <w:rPr>
          <w:rFonts w:ascii="Times New Roman" w:hAnsi="Times New Roman"/>
          <w:b/>
          <w:noProof/>
          <w:sz w:val="24"/>
        </w:rPr>
      </w:pPr>
    </w:p>
    <w:p w14:paraId="6ED19842" w14:textId="38915821" w:rsidR="00672FC0" w:rsidRPr="00154588" w:rsidRDefault="00672FC0" w:rsidP="00154588">
      <w:pPr>
        <w:jc w:val="both"/>
        <w:rPr>
          <w:rFonts w:ascii="Times New Roman" w:eastAsia="Times New Roman" w:hAnsi="Times New Roman" w:cs="Times New Roman"/>
          <w:noProof/>
          <w:sz w:val="24"/>
          <w:szCs w:val="20"/>
        </w:rPr>
      </w:pPr>
      <w:r>
        <w:rPr>
          <w:rFonts w:ascii="Times New Roman" w:hAnsi="Times New Roman"/>
          <w:b/>
          <w:sz w:val="24"/>
        </w:rPr>
        <w:t>Gramnegatīvie mikroorganismi (</w:t>
      </w:r>
      <w:r>
        <w:rPr>
          <w:rFonts w:ascii="Times New Roman" w:hAnsi="Times New Roman"/>
          <w:b/>
          <w:i/>
          <w:sz w:val="24"/>
        </w:rPr>
        <w:t>Escherichia coli</w:t>
      </w:r>
      <w:r>
        <w:rPr>
          <w:rFonts w:ascii="Times New Roman" w:hAnsi="Times New Roman"/>
          <w:b/>
          <w:sz w:val="24"/>
        </w:rPr>
        <w:t>)</w:t>
      </w:r>
    </w:p>
    <w:p w14:paraId="79CB12BC" w14:textId="77777777"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i/>
          <w:sz w:val="24"/>
        </w:rPr>
        <w:t xml:space="preserve">Izvēles zāles – </w:t>
      </w:r>
      <w:r>
        <w:rPr>
          <w:rFonts w:ascii="Times New Roman" w:hAnsi="Times New Roman"/>
          <w:sz w:val="24"/>
        </w:rPr>
        <w:t>tikai atbalstoša terapija (bez antibiotikām)***</w:t>
      </w:r>
    </w:p>
    <w:p w14:paraId="05918DB0" w14:textId="77777777" w:rsidR="00635507" w:rsidRDefault="00635507" w:rsidP="00154588">
      <w:pPr>
        <w:jc w:val="both"/>
        <w:rPr>
          <w:rFonts w:ascii="Times New Roman" w:hAnsi="Times New Roman"/>
          <w:b/>
          <w:noProof/>
          <w:sz w:val="24"/>
        </w:rPr>
      </w:pPr>
    </w:p>
    <w:p w14:paraId="7E9AB2C0" w14:textId="744E9406" w:rsidR="00672FC0" w:rsidRPr="00154588" w:rsidRDefault="00672FC0" w:rsidP="00154588">
      <w:pPr>
        <w:jc w:val="both"/>
        <w:rPr>
          <w:rFonts w:ascii="Times New Roman" w:eastAsia="Times New Roman" w:hAnsi="Times New Roman" w:cs="Times New Roman"/>
          <w:noProof/>
          <w:sz w:val="24"/>
          <w:szCs w:val="20"/>
        </w:rPr>
      </w:pPr>
      <w:r>
        <w:rPr>
          <w:rFonts w:ascii="Times New Roman" w:hAnsi="Times New Roman"/>
          <w:b/>
          <w:sz w:val="24"/>
        </w:rPr>
        <w:t>Gramnegatīvie mikroorganismi (</w:t>
      </w:r>
      <w:r>
        <w:rPr>
          <w:rFonts w:ascii="Times New Roman" w:hAnsi="Times New Roman"/>
          <w:b/>
          <w:i/>
          <w:sz w:val="24"/>
        </w:rPr>
        <w:t>Klebsiella </w:t>
      </w:r>
      <w:r>
        <w:rPr>
          <w:rFonts w:ascii="Times New Roman" w:hAnsi="Times New Roman"/>
          <w:b/>
          <w:sz w:val="24"/>
        </w:rPr>
        <w:t>spp.)</w:t>
      </w:r>
    </w:p>
    <w:p w14:paraId="0FC864B7" w14:textId="77777777"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i/>
          <w:sz w:val="24"/>
        </w:rPr>
        <w:t xml:space="preserve">Izvēles zāles – </w:t>
      </w:r>
      <w:r>
        <w:rPr>
          <w:rFonts w:ascii="Times New Roman" w:hAnsi="Times New Roman"/>
          <w:sz w:val="24"/>
        </w:rPr>
        <w:t>fluorhinoloni*</w:t>
      </w:r>
    </w:p>
    <w:p w14:paraId="15CC88CA" w14:textId="77777777" w:rsidR="00672FC0" w:rsidRPr="00154588" w:rsidRDefault="00672FC0" w:rsidP="00154588">
      <w:pPr>
        <w:jc w:val="both"/>
        <w:rPr>
          <w:rFonts w:ascii="Times New Roman" w:eastAsia="Book Antiqua" w:hAnsi="Times New Roman" w:cs="Book Antiqua"/>
          <w:noProof/>
          <w:sz w:val="24"/>
          <w:szCs w:val="18"/>
        </w:rPr>
      </w:pPr>
    </w:p>
    <w:p w14:paraId="62A86BB9" w14:textId="187DDE5D" w:rsidR="00672FC0" w:rsidRPr="00154588" w:rsidRDefault="00635507" w:rsidP="00635507">
      <w:pPr>
        <w:tabs>
          <w:tab w:val="left" w:pos="241"/>
        </w:tabs>
        <w:jc w:val="both"/>
        <w:rPr>
          <w:rFonts w:ascii="Times New Roman" w:hAnsi="Times New Roman"/>
          <w:noProof/>
          <w:sz w:val="24"/>
        </w:rPr>
      </w:pPr>
      <w:r>
        <w:rPr>
          <w:rFonts w:ascii="Times New Roman" w:hAnsi="Times New Roman"/>
          <w:sz w:val="24"/>
        </w:rPr>
        <w:t>* Var papildināt ar atbalstošu terapiju. Lielākoties ieteicama parenterāla ārstēšana ar antibiotikām.</w:t>
      </w:r>
    </w:p>
    <w:p w14:paraId="723976D7" w14:textId="15E8B1AD" w:rsidR="00672FC0" w:rsidRPr="00154588" w:rsidRDefault="00672FC0" w:rsidP="00154588">
      <w:pPr>
        <w:jc w:val="both"/>
        <w:rPr>
          <w:rFonts w:ascii="Times New Roman" w:hAnsi="Times New Roman"/>
          <w:noProof/>
          <w:sz w:val="24"/>
        </w:rPr>
      </w:pPr>
      <w:r>
        <w:rPr>
          <w:rFonts w:ascii="Times New Roman" w:hAnsi="Times New Roman"/>
          <w:sz w:val="24"/>
        </w:rPr>
        <w:t xml:space="preserve">** Izņēmuma gadījumos, ja stāvoklis ir smags un apdraud dzīvību, drīkst </w:t>
      </w:r>
      <w:r w:rsidR="00B5444C">
        <w:rPr>
          <w:rFonts w:ascii="Times New Roman" w:hAnsi="Times New Roman"/>
          <w:sz w:val="24"/>
        </w:rPr>
        <w:t>lietot</w:t>
      </w:r>
      <w:r>
        <w:rPr>
          <w:rFonts w:ascii="Times New Roman" w:hAnsi="Times New Roman"/>
          <w:sz w:val="24"/>
        </w:rPr>
        <w:t xml:space="preserve"> antibiotikas. Šādos gadījumos ieteicams </w:t>
      </w:r>
      <w:r w:rsidR="00B5444C">
        <w:rPr>
          <w:rFonts w:ascii="Times New Roman" w:hAnsi="Times New Roman"/>
          <w:sz w:val="24"/>
        </w:rPr>
        <w:t>lietot</w:t>
      </w:r>
      <w:r>
        <w:rPr>
          <w:rFonts w:ascii="Times New Roman" w:hAnsi="Times New Roman"/>
          <w:sz w:val="24"/>
        </w:rPr>
        <w:t xml:space="preserve"> tetraciklīnu.</w:t>
      </w:r>
    </w:p>
    <w:p w14:paraId="2190FFC2" w14:textId="7036AC9C" w:rsidR="00672FC0" w:rsidRPr="00154588" w:rsidRDefault="00672FC0" w:rsidP="00154588">
      <w:pPr>
        <w:jc w:val="both"/>
        <w:rPr>
          <w:rFonts w:ascii="Times New Roman" w:eastAsia="Calibri" w:hAnsi="Times New Roman" w:cs="Calibri"/>
          <w:noProof/>
          <w:sz w:val="24"/>
          <w:szCs w:val="18"/>
        </w:rPr>
      </w:pPr>
      <w:r>
        <w:rPr>
          <w:rFonts w:ascii="Times New Roman" w:hAnsi="Times New Roman"/>
          <w:sz w:val="24"/>
          <w:szCs w:val="18"/>
        </w:rPr>
        <w:t xml:space="preserve">*** Izņēmuma gadījumos, ja stāvoklis ir smags un apdraud dzīvību, ap atnešanās laiku, kad govs imūnsistēma var būt nomākta, drīkst </w:t>
      </w:r>
      <w:r w:rsidR="00B5444C">
        <w:rPr>
          <w:rFonts w:ascii="Times New Roman" w:hAnsi="Times New Roman"/>
          <w:sz w:val="24"/>
          <w:szCs w:val="18"/>
        </w:rPr>
        <w:t>lietot</w:t>
      </w:r>
      <w:r>
        <w:rPr>
          <w:rFonts w:ascii="Times New Roman" w:hAnsi="Times New Roman"/>
          <w:sz w:val="24"/>
          <w:szCs w:val="18"/>
        </w:rPr>
        <w:t xml:space="preserve"> antibiotikas. Šādos gadījumos ieteicams </w:t>
      </w:r>
      <w:r w:rsidR="00B5444C">
        <w:rPr>
          <w:rFonts w:ascii="Times New Roman" w:hAnsi="Times New Roman"/>
          <w:sz w:val="24"/>
          <w:szCs w:val="18"/>
        </w:rPr>
        <w:t>lietot</w:t>
      </w:r>
      <w:r>
        <w:rPr>
          <w:rFonts w:ascii="Times New Roman" w:hAnsi="Times New Roman"/>
          <w:sz w:val="24"/>
          <w:szCs w:val="18"/>
        </w:rPr>
        <w:t xml:space="preserve"> fluorhinolonus.</w:t>
      </w:r>
    </w:p>
    <w:p w14:paraId="52B06D72" w14:textId="77777777" w:rsidR="00672FC0" w:rsidRPr="00154588" w:rsidRDefault="00672FC0" w:rsidP="00154588">
      <w:pPr>
        <w:jc w:val="both"/>
        <w:rPr>
          <w:rFonts w:ascii="Times New Roman" w:eastAsia="Calibri" w:hAnsi="Times New Roman" w:cs="Calibri"/>
          <w:noProof/>
          <w:sz w:val="24"/>
          <w:szCs w:val="14"/>
        </w:rPr>
      </w:pPr>
    </w:p>
    <w:p w14:paraId="5563A28D"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Ārstēšanas izvēle vienmēr jāizvērtē un, ja nepieciešams, jākoriģē, saņemot baktēriju kultūras rezultātus.</w:t>
      </w:r>
    </w:p>
    <w:p w14:paraId="6A5FE9E4" w14:textId="77777777" w:rsidR="00672FC0" w:rsidRPr="00154588" w:rsidRDefault="00672FC0" w:rsidP="00154588">
      <w:pPr>
        <w:jc w:val="both"/>
        <w:rPr>
          <w:rFonts w:ascii="Times New Roman" w:eastAsia="Book Antiqua" w:hAnsi="Times New Roman" w:cs="Book Antiqua"/>
          <w:noProof/>
          <w:sz w:val="24"/>
          <w:szCs w:val="13"/>
        </w:rPr>
      </w:pPr>
    </w:p>
    <w:p w14:paraId="7C9CB487" w14:textId="73FEB80A" w:rsidR="00672FC0" w:rsidRPr="00154588" w:rsidRDefault="00635507" w:rsidP="00635507">
      <w:pPr>
        <w:jc w:val="center"/>
        <w:rPr>
          <w:rFonts w:ascii="Times New Roman" w:eastAsia="Book Antiqua" w:hAnsi="Times New Roman" w:cs="Book Antiqua"/>
          <w:noProof/>
          <w:sz w:val="24"/>
          <w:szCs w:val="20"/>
        </w:rPr>
      </w:pPr>
      <w:r>
        <w:rPr>
          <w:rFonts w:ascii="Times New Roman" w:hAnsi="Times New Roman"/>
          <w:noProof/>
          <w:sz w:val="24"/>
          <w:szCs w:val="20"/>
        </w:rPr>
        <w:lastRenderedPageBreak/>
        <w:drawing>
          <wp:inline distT="0" distB="0" distL="0" distR="0" wp14:anchorId="0F26C6C3" wp14:editId="65FA358B">
            <wp:extent cx="4157932" cy="17238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2191" cy="1733904"/>
                    </a:xfrm>
                    <a:prstGeom prst="rect">
                      <a:avLst/>
                    </a:prstGeom>
                    <a:noFill/>
                    <a:ln>
                      <a:noFill/>
                    </a:ln>
                  </pic:spPr>
                </pic:pic>
              </a:graphicData>
            </a:graphic>
          </wp:inline>
        </w:drawing>
      </w:r>
    </w:p>
    <w:p w14:paraId="2EF3A7CA" w14:textId="77777777" w:rsidR="00154588" w:rsidRPr="00154588" w:rsidRDefault="00154588" w:rsidP="00154588">
      <w:pPr>
        <w:jc w:val="both"/>
        <w:rPr>
          <w:rFonts w:ascii="Times New Roman" w:eastAsia="Book Antiqua" w:hAnsi="Times New Roman" w:cs="Book Antiqua"/>
          <w:noProof/>
          <w:sz w:val="24"/>
          <w:szCs w:val="20"/>
        </w:rPr>
      </w:pPr>
    </w:p>
    <w:p w14:paraId="398FFD5B" w14:textId="77777777" w:rsidR="00672FC0" w:rsidRPr="00154588" w:rsidRDefault="00672FC0" w:rsidP="00154588">
      <w:pPr>
        <w:pStyle w:val="Heading5"/>
        <w:spacing w:before="0"/>
        <w:ind w:left="0"/>
        <w:jc w:val="both"/>
        <w:rPr>
          <w:noProof/>
          <w:sz w:val="24"/>
        </w:rPr>
      </w:pPr>
      <w:r>
        <w:rPr>
          <w:sz w:val="24"/>
        </w:rPr>
        <w:t>Sākotnējā izvērtēšana pēc 16–24 stundām</w:t>
      </w:r>
    </w:p>
    <w:p w14:paraId="63F77136" w14:textId="77777777" w:rsidR="00672FC0" w:rsidRPr="00154588" w:rsidRDefault="00672FC0" w:rsidP="00154588">
      <w:pPr>
        <w:jc w:val="both"/>
        <w:rPr>
          <w:rFonts w:ascii="Times New Roman" w:eastAsia="Times New Roman" w:hAnsi="Times New Roman" w:cs="Times New Roman"/>
          <w:b/>
          <w:bCs/>
          <w:i/>
          <w:noProof/>
          <w:sz w:val="24"/>
          <w:szCs w:val="8"/>
        </w:rPr>
      </w:pPr>
    </w:p>
    <w:tbl>
      <w:tblPr>
        <w:tblW w:w="5000" w:type="pct"/>
        <w:tblCellMar>
          <w:top w:w="28" w:type="dxa"/>
          <w:left w:w="28" w:type="dxa"/>
          <w:bottom w:w="28" w:type="dxa"/>
          <w:right w:w="28" w:type="dxa"/>
        </w:tblCellMar>
        <w:tblLook w:val="01E0" w:firstRow="1" w:lastRow="1" w:firstColumn="1" w:lastColumn="1" w:noHBand="0" w:noVBand="0"/>
      </w:tblPr>
      <w:tblGrid>
        <w:gridCol w:w="3443"/>
        <w:gridCol w:w="5685"/>
      </w:tblGrid>
      <w:tr w:rsidR="00154588" w:rsidRPr="00154588" w14:paraId="483337B6" w14:textId="77777777" w:rsidTr="00635507">
        <w:trPr>
          <w:trHeight w:val="525"/>
        </w:trPr>
        <w:tc>
          <w:tcPr>
            <w:tcW w:w="1886" w:type="pct"/>
            <w:tcBorders>
              <w:top w:val="single" w:sz="8" w:space="0" w:color="FFFFFF"/>
              <w:left w:val="nil"/>
              <w:bottom w:val="nil"/>
              <w:right w:val="nil"/>
            </w:tcBorders>
            <w:shd w:val="clear" w:color="auto" w:fill="D0E1E8"/>
          </w:tcPr>
          <w:p w14:paraId="26BF06B3"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Kultūra nav izaugusi</w:t>
            </w:r>
          </w:p>
        </w:tc>
        <w:tc>
          <w:tcPr>
            <w:tcW w:w="3114" w:type="pct"/>
            <w:tcBorders>
              <w:top w:val="single" w:sz="8" w:space="0" w:color="FFFFFF"/>
              <w:left w:val="nil"/>
              <w:bottom w:val="nil"/>
              <w:right w:val="nil"/>
            </w:tcBorders>
            <w:shd w:val="clear" w:color="auto" w:fill="D0E1E8"/>
          </w:tcPr>
          <w:p w14:paraId="0970D1F4" w14:textId="2A0943E4"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 xml:space="preserve">Turpina ārstēšanu, ja </w:t>
            </w:r>
            <w:r w:rsidR="00B5444C">
              <w:rPr>
                <w:rFonts w:ascii="Times New Roman" w:hAnsi="Times New Roman"/>
                <w:sz w:val="24"/>
              </w:rPr>
              <w:t>lietoja</w:t>
            </w:r>
            <w:r>
              <w:rPr>
                <w:rFonts w:ascii="Times New Roman" w:hAnsi="Times New Roman"/>
                <w:sz w:val="24"/>
              </w:rPr>
              <w:t xml:space="preserve"> benzilpenicilīnu; ja </w:t>
            </w:r>
            <w:r w:rsidR="00B5444C">
              <w:rPr>
                <w:rFonts w:ascii="Times New Roman" w:hAnsi="Times New Roman"/>
                <w:sz w:val="24"/>
              </w:rPr>
              <w:t>lietoja</w:t>
            </w:r>
            <w:r>
              <w:rPr>
                <w:rFonts w:ascii="Times New Roman" w:hAnsi="Times New Roman"/>
                <w:sz w:val="24"/>
              </w:rPr>
              <w:t xml:space="preserve"> gramnegatīvajiem izraisītājiem paredzētas antibiotikas, šādu ārstēšanu pārtrauc.</w:t>
            </w:r>
          </w:p>
        </w:tc>
      </w:tr>
      <w:tr w:rsidR="00154588" w:rsidRPr="00154588" w14:paraId="052E6270" w14:textId="77777777" w:rsidTr="00635507">
        <w:tc>
          <w:tcPr>
            <w:tcW w:w="1886" w:type="pct"/>
            <w:tcBorders>
              <w:top w:val="single" w:sz="8" w:space="0" w:color="FFFFFF"/>
              <w:left w:val="nil"/>
              <w:bottom w:val="single" w:sz="8" w:space="0" w:color="FFFFFF"/>
              <w:right w:val="nil"/>
            </w:tcBorders>
            <w:shd w:val="clear" w:color="auto" w:fill="D0E1E8"/>
          </w:tcPr>
          <w:p w14:paraId="4969C3B1"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Izaugusi gaidītā kultūra</w:t>
            </w:r>
          </w:p>
        </w:tc>
        <w:tc>
          <w:tcPr>
            <w:tcW w:w="3114" w:type="pct"/>
            <w:tcBorders>
              <w:top w:val="single" w:sz="8" w:space="0" w:color="FFFFFF"/>
              <w:left w:val="nil"/>
              <w:bottom w:val="single" w:sz="8" w:space="0" w:color="FFFFFF"/>
              <w:right w:val="nil"/>
            </w:tcBorders>
            <w:shd w:val="clear" w:color="auto" w:fill="D0E1E8"/>
          </w:tcPr>
          <w:p w14:paraId="79852D79"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Turpina ārstēšanu</w:t>
            </w:r>
          </w:p>
        </w:tc>
      </w:tr>
      <w:tr w:rsidR="00154588" w:rsidRPr="00154588" w14:paraId="5CFFB261" w14:textId="77777777" w:rsidTr="00635507">
        <w:tc>
          <w:tcPr>
            <w:tcW w:w="1886" w:type="pct"/>
            <w:tcBorders>
              <w:top w:val="single" w:sz="8" w:space="0" w:color="FFFFFF"/>
              <w:left w:val="nil"/>
              <w:bottom w:val="nil"/>
              <w:right w:val="nil"/>
            </w:tcBorders>
            <w:shd w:val="clear" w:color="auto" w:fill="D0E1E8"/>
          </w:tcPr>
          <w:p w14:paraId="5F831051"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Izaugusi kultūra, kuru negaidīja</w:t>
            </w:r>
          </w:p>
        </w:tc>
        <w:tc>
          <w:tcPr>
            <w:tcW w:w="3114" w:type="pct"/>
            <w:tcBorders>
              <w:top w:val="single" w:sz="8" w:space="0" w:color="FFFFFF"/>
              <w:left w:val="nil"/>
              <w:bottom w:val="nil"/>
              <w:right w:val="nil"/>
            </w:tcBorders>
            <w:shd w:val="clear" w:color="auto" w:fill="D0E1E8"/>
          </w:tcPr>
          <w:p w14:paraId="4215E504" w14:textId="7D39344C"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Ārstēšanu maina vai pārtrauc atbilstoši izraisītājam un klīniskajiem simptomiem</w:t>
            </w:r>
          </w:p>
        </w:tc>
      </w:tr>
    </w:tbl>
    <w:p w14:paraId="7D21C64C" w14:textId="77777777" w:rsidR="00672FC0" w:rsidRPr="00154588" w:rsidRDefault="00672FC0" w:rsidP="00154588">
      <w:pPr>
        <w:jc w:val="both"/>
        <w:rPr>
          <w:rFonts w:ascii="Times New Roman" w:eastAsia="Times New Roman" w:hAnsi="Times New Roman" w:cs="Times New Roman"/>
          <w:b/>
          <w:bCs/>
          <w:i/>
          <w:noProof/>
          <w:sz w:val="24"/>
          <w:szCs w:val="10"/>
        </w:rPr>
      </w:pPr>
    </w:p>
    <w:p w14:paraId="13C144DA" w14:textId="77777777" w:rsidR="00672FC0" w:rsidRPr="00154588" w:rsidRDefault="00672FC0" w:rsidP="00154588">
      <w:pPr>
        <w:jc w:val="both"/>
        <w:rPr>
          <w:rFonts w:ascii="Times New Roman" w:eastAsia="Times New Roman" w:hAnsi="Times New Roman" w:cs="Times New Roman"/>
          <w:b/>
          <w:bCs/>
          <w:i/>
          <w:noProof/>
          <w:sz w:val="24"/>
          <w:szCs w:val="20"/>
        </w:rPr>
      </w:pPr>
      <w:r>
        <w:rPr>
          <w:rFonts w:ascii="Times New Roman" w:hAnsi="Times New Roman"/>
          <w:b/>
          <w:bCs/>
          <w:i/>
          <w:sz w:val="24"/>
          <w:szCs w:val="20"/>
        </w:rPr>
        <w:t>Nobeiguma izvērtēšana pēc 36–48 stundām:</w:t>
      </w:r>
    </w:p>
    <w:p w14:paraId="787B20C1" w14:textId="77777777" w:rsidR="00672FC0" w:rsidRPr="00154588" w:rsidRDefault="00672FC0" w:rsidP="00154588">
      <w:pPr>
        <w:jc w:val="both"/>
        <w:rPr>
          <w:rFonts w:ascii="Times New Roman" w:eastAsia="Times New Roman" w:hAnsi="Times New Roman" w:cs="Times New Roman"/>
          <w:b/>
          <w:bCs/>
          <w:i/>
          <w:noProof/>
          <w:sz w:val="24"/>
          <w:szCs w:val="8"/>
        </w:rPr>
      </w:pPr>
    </w:p>
    <w:tbl>
      <w:tblPr>
        <w:tblW w:w="5000" w:type="pct"/>
        <w:tblCellMar>
          <w:top w:w="28" w:type="dxa"/>
          <w:left w:w="28" w:type="dxa"/>
          <w:bottom w:w="28" w:type="dxa"/>
          <w:right w:w="28" w:type="dxa"/>
        </w:tblCellMar>
        <w:tblLook w:val="01E0" w:firstRow="1" w:lastRow="1" w:firstColumn="1" w:lastColumn="1" w:noHBand="0" w:noVBand="0"/>
      </w:tblPr>
      <w:tblGrid>
        <w:gridCol w:w="3443"/>
        <w:gridCol w:w="5685"/>
      </w:tblGrid>
      <w:tr w:rsidR="00154588" w:rsidRPr="00154588" w14:paraId="36FF9ED2" w14:textId="77777777" w:rsidTr="00635507">
        <w:tc>
          <w:tcPr>
            <w:tcW w:w="1886" w:type="pct"/>
            <w:tcBorders>
              <w:top w:val="single" w:sz="8" w:space="0" w:color="FFFFFF"/>
              <w:left w:val="nil"/>
              <w:bottom w:val="single" w:sz="8" w:space="0" w:color="FFFFFF"/>
              <w:right w:val="nil"/>
            </w:tcBorders>
            <w:shd w:val="clear" w:color="auto" w:fill="D0E1E8"/>
          </w:tcPr>
          <w:p w14:paraId="26A489D8"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Kultūra nav izaugusi</w:t>
            </w:r>
          </w:p>
        </w:tc>
        <w:tc>
          <w:tcPr>
            <w:tcW w:w="3114" w:type="pct"/>
            <w:tcBorders>
              <w:top w:val="single" w:sz="8" w:space="0" w:color="FFFFFF"/>
              <w:left w:val="nil"/>
              <w:bottom w:val="single" w:sz="8" w:space="0" w:color="FFFFFF"/>
              <w:right w:val="nil"/>
            </w:tcBorders>
            <w:shd w:val="clear" w:color="auto" w:fill="D0E1E8"/>
          </w:tcPr>
          <w:p w14:paraId="1148F585"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Pārtrauc ārstēšanu</w:t>
            </w:r>
          </w:p>
        </w:tc>
      </w:tr>
      <w:tr w:rsidR="00154588" w:rsidRPr="00154588" w14:paraId="22DE66D2" w14:textId="77777777" w:rsidTr="00635507">
        <w:tc>
          <w:tcPr>
            <w:tcW w:w="1886" w:type="pct"/>
            <w:tcBorders>
              <w:top w:val="single" w:sz="8" w:space="0" w:color="FFFFFF"/>
              <w:left w:val="nil"/>
              <w:bottom w:val="single" w:sz="8" w:space="0" w:color="FFFFFF"/>
              <w:right w:val="nil"/>
            </w:tcBorders>
            <w:shd w:val="clear" w:color="auto" w:fill="D0E1E8"/>
          </w:tcPr>
          <w:p w14:paraId="077CBE47"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Izaugusi gaidītā kultūra</w:t>
            </w:r>
          </w:p>
        </w:tc>
        <w:tc>
          <w:tcPr>
            <w:tcW w:w="3114" w:type="pct"/>
            <w:tcBorders>
              <w:top w:val="single" w:sz="8" w:space="0" w:color="FFFFFF"/>
              <w:left w:val="nil"/>
              <w:bottom w:val="single" w:sz="8" w:space="0" w:color="FFFFFF"/>
              <w:right w:val="nil"/>
            </w:tcBorders>
            <w:shd w:val="clear" w:color="auto" w:fill="D0E1E8"/>
          </w:tcPr>
          <w:p w14:paraId="579C510E"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Turpina ārstēšanu</w:t>
            </w:r>
          </w:p>
        </w:tc>
      </w:tr>
      <w:tr w:rsidR="00154588" w:rsidRPr="00154588" w14:paraId="1B3A15E3" w14:textId="77777777" w:rsidTr="00635507">
        <w:tc>
          <w:tcPr>
            <w:tcW w:w="1886" w:type="pct"/>
            <w:tcBorders>
              <w:top w:val="single" w:sz="8" w:space="0" w:color="FFFFFF"/>
              <w:left w:val="nil"/>
              <w:bottom w:val="nil"/>
              <w:right w:val="nil"/>
            </w:tcBorders>
            <w:shd w:val="clear" w:color="auto" w:fill="D0E1E8"/>
          </w:tcPr>
          <w:p w14:paraId="491B4CDF"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Izaugusi kultūra, kuru negaidīja</w:t>
            </w:r>
          </w:p>
        </w:tc>
        <w:tc>
          <w:tcPr>
            <w:tcW w:w="3114" w:type="pct"/>
            <w:tcBorders>
              <w:top w:val="single" w:sz="8" w:space="0" w:color="FFFFFF"/>
              <w:left w:val="nil"/>
              <w:bottom w:val="nil"/>
              <w:right w:val="nil"/>
            </w:tcBorders>
            <w:shd w:val="clear" w:color="auto" w:fill="D0E1E8"/>
          </w:tcPr>
          <w:p w14:paraId="3760E4E6" w14:textId="64221795"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Ārstēšanu maina vai pārtrauc atbilstoši izraisītājam un klīniskajiem simptomiem</w:t>
            </w:r>
          </w:p>
        </w:tc>
      </w:tr>
    </w:tbl>
    <w:p w14:paraId="3AEA53C6" w14:textId="77777777" w:rsidR="00672FC0" w:rsidRPr="00154588" w:rsidRDefault="00672FC0" w:rsidP="00154588">
      <w:pPr>
        <w:jc w:val="both"/>
        <w:rPr>
          <w:rFonts w:ascii="Times New Roman" w:eastAsia="Times New Roman" w:hAnsi="Times New Roman" w:cs="Times New Roman"/>
          <w:b/>
          <w:bCs/>
          <w:i/>
          <w:noProof/>
          <w:sz w:val="24"/>
          <w:szCs w:val="6"/>
        </w:rPr>
      </w:pPr>
    </w:p>
    <w:p w14:paraId="4A9CA5E0" w14:textId="77777777" w:rsidR="00672FC0" w:rsidRPr="00154588" w:rsidRDefault="00672FC0" w:rsidP="00154588">
      <w:pPr>
        <w:jc w:val="both"/>
        <w:rPr>
          <w:rFonts w:ascii="Times New Roman" w:hAnsi="Times New Roman"/>
          <w:b/>
          <w:i/>
          <w:noProof/>
          <w:sz w:val="24"/>
        </w:rPr>
      </w:pPr>
      <w:r>
        <w:rPr>
          <w:rFonts w:ascii="Times New Roman" w:hAnsi="Times New Roman"/>
          <w:b/>
          <w:i/>
          <w:sz w:val="24"/>
        </w:rPr>
        <w:t>Antibiotiku terapijas ilgums</w:t>
      </w:r>
    </w:p>
    <w:p w14:paraId="76945F22" w14:textId="77777777" w:rsidR="00672FC0" w:rsidRPr="00154588" w:rsidRDefault="00672FC0" w:rsidP="00154588">
      <w:pPr>
        <w:jc w:val="both"/>
        <w:rPr>
          <w:rFonts w:ascii="Times New Roman" w:eastAsia="Times New Roman" w:hAnsi="Times New Roman" w:cs="Times New Roman"/>
          <w:b/>
          <w:bCs/>
          <w:i/>
          <w:noProof/>
          <w:sz w:val="24"/>
          <w:szCs w:val="8"/>
        </w:rPr>
      </w:pPr>
    </w:p>
    <w:tbl>
      <w:tblPr>
        <w:tblW w:w="5000" w:type="pct"/>
        <w:tblCellMar>
          <w:top w:w="28" w:type="dxa"/>
          <w:left w:w="28" w:type="dxa"/>
          <w:bottom w:w="28" w:type="dxa"/>
          <w:right w:w="28" w:type="dxa"/>
        </w:tblCellMar>
        <w:tblLook w:val="01E0" w:firstRow="1" w:lastRow="1" w:firstColumn="1" w:lastColumn="1" w:noHBand="0" w:noVBand="0"/>
      </w:tblPr>
      <w:tblGrid>
        <w:gridCol w:w="3868"/>
        <w:gridCol w:w="5260"/>
      </w:tblGrid>
      <w:tr w:rsidR="00154588" w:rsidRPr="00154588" w14:paraId="25161874" w14:textId="77777777" w:rsidTr="00635507">
        <w:tc>
          <w:tcPr>
            <w:tcW w:w="2119" w:type="pct"/>
            <w:tcBorders>
              <w:top w:val="single" w:sz="8" w:space="0" w:color="FFFFFF"/>
              <w:left w:val="nil"/>
              <w:bottom w:val="nil"/>
              <w:right w:val="nil"/>
            </w:tcBorders>
            <w:shd w:val="clear" w:color="auto" w:fill="D0E1E8"/>
          </w:tcPr>
          <w:p w14:paraId="3512969C" w14:textId="77777777" w:rsidR="00672FC0" w:rsidRPr="00154588" w:rsidRDefault="00672FC0" w:rsidP="00154588">
            <w:pPr>
              <w:pStyle w:val="TableParagraph"/>
              <w:jc w:val="both"/>
              <w:rPr>
                <w:rFonts w:ascii="Times New Roman" w:hAnsi="Times New Roman"/>
                <w:i/>
                <w:noProof/>
                <w:sz w:val="24"/>
              </w:rPr>
            </w:pPr>
            <w:r>
              <w:rPr>
                <w:rFonts w:ascii="Times New Roman" w:hAnsi="Times New Roman"/>
                <w:i/>
                <w:sz w:val="24"/>
              </w:rPr>
              <w:t>Staphylococcus aureus</w:t>
            </w:r>
          </w:p>
        </w:tc>
        <w:tc>
          <w:tcPr>
            <w:tcW w:w="2881" w:type="pct"/>
            <w:tcBorders>
              <w:top w:val="single" w:sz="8" w:space="0" w:color="FFFFFF"/>
              <w:left w:val="nil"/>
              <w:bottom w:val="nil"/>
              <w:right w:val="nil"/>
            </w:tcBorders>
            <w:shd w:val="clear" w:color="auto" w:fill="D0E1E8"/>
          </w:tcPr>
          <w:p w14:paraId="2528B0DF" w14:textId="54328B69" w:rsidR="00672FC0" w:rsidRPr="00154588" w:rsidRDefault="00672FC0" w:rsidP="00154588">
            <w:pPr>
              <w:pStyle w:val="TableParagraph"/>
              <w:jc w:val="both"/>
              <w:rPr>
                <w:rFonts w:ascii="Times New Roman" w:eastAsia="Calibri" w:hAnsi="Times New Roman" w:cs="Calibri"/>
                <w:noProof/>
                <w:sz w:val="24"/>
                <w:szCs w:val="18"/>
              </w:rPr>
            </w:pPr>
            <w:r>
              <w:rPr>
                <w:rFonts w:ascii="Times New Roman" w:hAnsi="Times New Roman"/>
                <w:sz w:val="24"/>
              </w:rPr>
              <w:t>5 dienas (var pagarināt par 1–2 dienām, ja klīniskās pazīmes ir uzlabojušās, bet rezultāts nav pilnībā apmierinošs)*</w:t>
            </w:r>
          </w:p>
        </w:tc>
      </w:tr>
      <w:tr w:rsidR="00154588" w:rsidRPr="00154588" w14:paraId="591A2B38" w14:textId="77777777" w:rsidTr="00635507">
        <w:tc>
          <w:tcPr>
            <w:tcW w:w="2119" w:type="pct"/>
            <w:tcBorders>
              <w:top w:val="single" w:sz="8" w:space="0" w:color="FFFFFF"/>
              <w:left w:val="nil"/>
              <w:bottom w:val="single" w:sz="8" w:space="0" w:color="FFFFFF"/>
              <w:right w:val="nil"/>
            </w:tcBorders>
            <w:shd w:val="clear" w:color="auto" w:fill="D0E1E8"/>
          </w:tcPr>
          <w:p w14:paraId="75DFA74D" w14:textId="77777777" w:rsidR="00672FC0" w:rsidRPr="00154588" w:rsidRDefault="00672FC0" w:rsidP="00154588">
            <w:pPr>
              <w:pStyle w:val="TableParagraph"/>
              <w:jc w:val="both"/>
              <w:rPr>
                <w:rFonts w:ascii="Times New Roman" w:hAnsi="Times New Roman"/>
                <w:i/>
                <w:noProof/>
                <w:sz w:val="24"/>
              </w:rPr>
            </w:pPr>
            <w:r>
              <w:rPr>
                <w:rFonts w:ascii="Times New Roman" w:hAnsi="Times New Roman"/>
                <w:i/>
                <w:sz w:val="24"/>
              </w:rPr>
              <w:t>Streptococcus uberis</w:t>
            </w:r>
          </w:p>
        </w:tc>
        <w:tc>
          <w:tcPr>
            <w:tcW w:w="2881" w:type="pct"/>
            <w:tcBorders>
              <w:top w:val="single" w:sz="8" w:space="0" w:color="FFFFFF"/>
              <w:left w:val="nil"/>
              <w:bottom w:val="single" w:sz="8" w:space="0" w:color="FFFFFF"/>
              <w:right w:val="nil"/>
            </w:tcBorders>
            <w:shd w:val="clear" w:color="auto" w:fill="D0E1E8"/>
          </w:tcPr>
          <w:p w14:paraId="2022260B"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5 dienas</w:t>
            </w:r>
          </w:p>
        </w:tc>
      </w:tr>
      <w:tr w:rsidR="00154588" w:rsidRPr="00154588" w14:paraId="5C29331A" w14:textId="77777777" w:rsidTr="00635507">
        <w:tc>
          <w:tcPr>
            <w:tcW w:w="2119" w:type="pct"/>
            <w:tcBorders>
              <w:top w:val="single" w:sz="8" w:space="0" w:color="FFFFFF"/>
              <w:left w:val="nil"/>
              <w:bottom w:val="nil"/>
              <w:right w:val="nil"/>
            </w:tcBorders>
            <w:shd w:val="clear" w:color="auto" w:fill="D0E1E8"/>
          </w:tcPr>
          <w:p w14:paraId="5BF8D829"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Citi grampozitīvie izraisītāji</w:t>
            </w:r>
          </w:p>
        </w:tc>
        <w:tc>
          <w:tcPr>
            <w:tcW w:w="2881" w:type="pct"/>
            <w:tcBorders>
              <w:top w:val="single" w:sz="8" w:space="0" w:color="FFFFFF"/>
              <w:left w:val="nil"/>
              <w:bottom w:val="nil"/>
              <w:right w:val="nil"/>
            </w:tcBorders>
            <w:shd w:val="clear" w:color="auto" w:fill="D0E1E8"/>
          </w:tcPr>
          <w:p w14:paraId="74898E68" w14:textId="30D7425B" w:rsidR="00672FC0" w:rsidRPr="00154588" w:rsidRDefault="00672FC0" w:rsidP="00154588">
            <w:pPr>
              <w:pStyle w:val="TableParagraph"/>
              <w:jc w:val="both"/>
              <w:rPr>
                <w:rFonts w:ascii="Times New Roman" w:eastAsia="Calibri" w:hAnsi="Times New Roman" w:cs="Calibri"/>
                <w:noProof/>
                <w:sz w:val="24"/>
                <w:szCs w:val="18"/>
              </w:rPr>
            </w:pPr>
            <w:r>
              <w:rPr>
                <w:rFonts w:ascii="Times New Roman" w:hAnsi="Times New Roman"/>
                <w:sz w:val="24"/>
              </w:rPr>
              <w:t>3–5 dienas atkarībā no klīniskajām pazīmēm ganāmpulkā**</w:t>
            </w:r>
          </w:p>
        </w:tc>
      </w:tr>
      <w:tr w:rsidR="00154588" w:rsidRPr="00154588" w14:paraId="0700E858" w14:textId="77777777" w:rsidTr="00635507">
        <w:tc>
          <w:tcPr>
            <w:tcW w:w="2119" w:type="pct"/>
            <w:tcBorders>
              <w:top w:val="single" w:sz="8" w:space="0" w:color="FFFFFF"/>
              <w:left w:val="nil"/>
              <w:bottom w:val="single" w:sz="8" w:space="0" w:color="FFFFFF"/>
              <w:right w:val="nil"/>
            </w:tcBorders>
            <w:shd w:val="clear" w:color="auto" w:fill="D0E1E8"/>
          </w:tcPr>
          <w:p w14:paraId="086C27E5" w14:textId="77777777" w:rsidR="00672FC0" w:rsidRPr="00154588" w:rsidRDefault="00672FC0" w:rsidP="00154588">
            <w:pPr>
              <w:pStyle w:val="TableParagraph"/>
              <w:jc w:val="both"/>
              <w:rPr>
                <w:rFonts w:ascii="Times New Roman" w:hAnsi="Times New Roman"/>
                <w:noProof/>
                <w:sz w:val="24"/>
              </w:rPr>
            </w:pPr>
            <w:r>
              <w:rPr>
                <w:rFonts w:ascii="Times New Roman" w:hAnsi="Times New Roman"/>
                <w:sz w:val="24"/>
              </w:rPr>
              <w:t>Gramnegatīvie izraisītāji</w:t>
            </w:r>
          </w:p>
        </w:tc>
        <w:tc>
          <w:tcPr>
            <w:tcW w:w="2881" w:type="pct"/>
            <w:tcBorders>
              <w:top w:val="single" w:sz="8" w:space="0" w:color="FFFFFF"/>
              <w:left w:val="nil"/>
              <w:bottom w:val="single" w:sz="8" w:space="0" w:color="FFFFFF"/>
              <w:right w:val="nil"/>
            </w:tcBorders>
            <w:shd w:val="clear" w:color="auto" w:fill="D0E1E8"/>
          </w:tcPr>
          <w:p w14:paraId="38434027" w14:textId="63529082" w:rsidR="00672FC0" w:rsidRPr="00154588" w:rsidRDefault="00AC1751" w:rsidP="00AC1751">
            <w:pPr>
              <w:pStyle w:val="TableParagraph"/>
              <w:jc w:val="both"/>
              <w:rPr>
                <w:rFonts w:ascii="Times New Roman" w:hAnsi="Times New Roman"/>
                <w:noProof/>
                <w:sz w:val="24"/>
              </w:rPr>
            </w:pPr>
            <w:r>
              <w:rPr>
                <w:rFonts w:ascii="Times New Roman" w:hAnsi="Times New Roman"/>
                <w:sz w:val="24"/>
              </w:rPr>
              <w:t xml:space="preserve">3 </w:t>
            </w:r>
            <w:r w:rsidR="00672FC0">
              <w:rPr>
                <w:rFonts w:ascii="Times New Roman" w:hAnsi="Times New Roman"/>
                <w:sz w:val="24"/>
              </w:rPr>
              <w:t>dienas</w:t>
            </w:r>
          </w:p>
        </w:tc>
      </w:tr>
    </w:tbl>
    <w:p w14:paraId="48DE3915" w14:textId="77777777" w:rsidR="00672FC0" w:rsidRPr="00154588" w:rsidRDefault="00672FC0" w:rsidP="00154588">
      <w:pPr>
        <w:jc w:val="both"/>
        <w:rPr>
          <w:rFonts w:ascii="Times New Roman" w:eastAsia="Times New Roman" w:hAnsi="Times New Roman" w:cs="Times New Roman"/>
          <w:b/>
          <w:bCs/>
          <w:i/>
          <w:noProof/>
          <w:sz w:val="24"/>
          <w:szCs w:val="10"/>
        </w:rPr>
      </w:pPr>
    </w:p>
    <w:p w14:paraId="1040AE8D" w14:textId="08B285E4" w:rsidR="00672FC0" w:rsidRPr="00154588" w:rsidRDefault="00635507" w:rsidP="00635507">
      <w:pPr>
        <w:tabs>
          <w:tab w:val="left" w:pos="878"/>
        </w:tabs>
        <w:jc w:val="both"/>
        <w:rPr>
          <w:rFonts w:ascii="Times New Roman" w:hAnsi="Times New Roman"/>
          <w:noProof/>
          <w:sz w:val="24"/>
        </w:rPr>
      </w:pPr>
      <w:r>
        <w:rPr>
          <w:rFonts w:ascii="Times New Roman" w:hAnsi="Times New Roman"/>
          <w:sz w:val="24"/>
        </w:rPr>
        <w:t>* Parenterālu ārstēšanu var papildināt, veicot intramammāru ārstēšanu ar īsas darbības intramammāriem līdzekļiem, kas satur benzilpenicilīnu.</w:t>
      </w:r>
    </w:p>
    <w:p w14:paraId="1C751B7C" w14:textId="77777777" w:rsidR="00672FC0" w:rsidRPr="00154588" w:rsidRDefault="00672FC0" w:rsidP="00154588">
      <w:pPr>
        <w:jc w:val="both"/>
        <w:rPr>
          <w:rFonts w:ascii="Times New Roman" w:eastAsia="Calibri" w:hAnsi="Times New Roman" w:cs="Calibri"/>
          <w:noProof/>
          <w:sz w:val="24"/>
          <w:szCs w:val="18"/>
        </w:rPr>
      </w:pPr>
      <w:r>
        <w:rPr>
          <w:rFonts w:ascii="Times New Roman" w:hAnsi="Times New Roman"/>
          <w:sz w:val="24"/>
        </w:rPr>
        <w:t xml:space="preserve">** </w:t>
      </w:r>
      <w:r>
        <w:rPr>
          <w:rFonts w:ascii="Times New Roman" w:hAnsi="Times New Roman"/>
          <w:i/>
          <w:sz w:val="24"/>
        </w:rPr>
        <w:t>Streptococcus agalactiae</w:t>
      </w:r>
      <w:r>
        <w:rPr>
          <w:rFonts w:ascii="Times New Roman" w:hAnsi="Times New Roman"/>
          <w:sz w:val="24"/>
        </w:rPr>
        <w:t>-infekcijas ārstēšanai var apsvērt lietot tikai intramammārus līdzekļus, kas satur īsas darbības benzilpenicilīnu.</w:t>
      </w:r>
    </w:p>
    <w:p w14:paraId="53AC29BB" w14:textId="77777777" w:rsidR="00672FC0" w:rsidRPr="00154588" w:rsidRDefault="00672FC0" w:rsidP="00154588">
      <w:pPr>
        <w:jc w:val="both"/>
        <w:rPr>
          <w:rFonts w:ascii="Times New Roman" w:eastAsia="Calibri" w:hAnsi="Times New Roman" w:cs="Calibri"/>
          <w:noProof/>
          <w:sz w:val="24"/>
          <w:szCs w:val="16"/>
        </w:rPr>
      </w:pPr>
    </w:p>
    <w:p w14:paraId="0EC9C1EE" w14:textId="29CF3298"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Ja govs nereaģē uz ārstēšanu ar antibiotikām, kaut arī antibiotiku izvēle ir šķietami pareiza, noteiktas pareizās devas, ārstēšanas dienas utt., bakteriālā diagnoze jāpārbauda akreditētā laboratorijā. Baktēriju izolāts arī jāpārbauda rezistences noteikšanai pret antibiotikām.</w:t>
      </w:r>
    </w:p>
    <w:p w14:paraId="0CD4BF73" w14:textId="77777777" w:rsidR="00635507" w:rsidRPr="00154588" w:rsidRDefault="00635507" w:rsidP="00154588">
      <w:pPr>
        <w:pStyle w:val="BodyText"/>
        <w:spacing w:before="0"/>
        <w:ind w:left="0"/>
        <w:jc w:val="both"/>
        <w:rPr>
          <w:rFonts w:ascii="Times New Roman" w:hAnsi="Times New Roman"/>
          <w:noProof/>
          <w:sz w:val="24"/>
        </w:rPr>
      </w:pPr>
    </w:p>
    <w:p w14:paraId="6D217683"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Ārstēšanas rezultāti attiecībā uz somātisko šūnu skaitu un klīniskajām pazīmēm vienmēr jāizvērtē pēc mēneša. Šajā izvērtēšanā nosaka sākotnējo ilgtermiņa prognozi dzīvniekam. </w:t>
      </w:r>
      <w:r>
        <w:rPr>
          <w:rFonts w:ascii="Times New Roman" w:hAnsi="Times New Roman"/>
          <w:sz w:val="24"/>
        </w:rPr>
        <w:lastRenderedPageBreak/>
        <w:t>Rezultātu ņem vērā arī ārstēšanas iedarbīguma izvērtējumam, ja dzīvniekam mastīts parādās atkārtoti un ja mastīts parādās citiem ganāmpulka dzīvniekiem.</w:t>
      </w:r>
    </w:p>
    <w:p w14:paraId="5478AA60" w14:textId="77777777" w:rsidR="00154588" w:rsidRPr="00154588" w:rsidRDefault="00154588" w:rsidP="00154588">
      <w:pPr>
        <w:jc w:val="both"/>
        <w:rPr>
          <w:rFonts w:ascii="Times New Roman" w:hAnsi="Times New Roman"/>
          <w:noProof/>
          <w:sz w:val="24"/>
        </w:rPr>
      </w:pPr>
    </w:p>
    <w:p w14:paraId="3BB6DBD6" w14:textId="77777777" w:rsidR="00672FC0" w:rsidRPr="009940DD" w:rsidRDefault="00672FC0" w:rsidP="00154588">
      <w:pPr>
        <w:pStyle w:val="Heading2"/>
        <w:ind w:left="0"/>
        <w:jc w:val="both"/>
        <w:rPr>
          <w:rFonts w:ascii="Times New Roman" w:hAnsi="Times New Roman"/>
          <w:noProof/>
          <w:sz w:val="28"/>
          <w:szCs w:val="24"/>
        </w:rPr>
      </w:pPr>
      <w:bookmarkStart w:id="47" w:name="_Toc46997553"/>
      <w:bookmarkStart w:id="48" w:name="_Toc47003078"/>
      <w:r w:rsidRPr="009940DD">
        <w:rPr>
          <w:rFonts w:ascii="Times New Roman" w:hAnsi="Times New Roman"/>
          <w:sz w:val="28"/>
          <w:szCs w:val="24"/>
        </w:rPr>
        <w:t>Mastīts ar saasinājumiem un hronisks klīnisks mastīts</w:t>
      </w:r>
      <w:bookmarkEnd w:id="47"/>
      <w:bookmarkEnd w:id="48"/>
    </w:p>
    <w:p w14:paraId="0960F19A" w14:textId="77777777" w:rsidR="00635507" w:rsidRDefault="00635507" w:rsidP="00154588">
      <w:pPr>
        <w:pStyle w:val="BodyText"/>
        <w:spacing w:before="0"/>
        <w:ind w:left="0"/>
        <w:jc w:val="both"/>
        <w:rPr>
          <w:rFonts w:ascii="Times New Roman" w:hAnsi="Times New Roman"/>
          <w:noProof/>
          <w:sz w:val="24"/>
        </w:rPr>
      </w:pPr>
    </w:p>
    <w:p w14:paraId="711C8631" w14:textId="58C1442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Mastīts ar saasinājumiem vai hronisks klīnisks mastīts, kas slikti reaģē uz antibiotikām, parasti liecina par sliktu prognozi govīm. Tomēr dzīvniekus, kas ir tik slimi, ka ārstēšanu ar antibiotikām apsver dzīvnieku labturības mērķiem, lai novērstu stāvokļus ar smagiem vispārējiem simptomiem un stiprām sāpēm, bez kavēšanās ārstē ar zālēm, kas pieejamas. Tomēr lielākoties šajos gadījumos simptomu atvieglošanai parasti pietiek ar atbalstošu ārstēšanu, ko veic ar līdzekļiem, kas nav antibiotikas. Jāapsver pēc iespējas ātrāka nokaušana.</w:t>
      </w:r>
    </w:p>
    <w:p w14:paraId="6E5503C1" w14:textId="77777777" w:rsidR="00672FC0" w:rsidRPr="00154588" w:rsidRDefault="00672FC0" w:rsidP="00154588">
      <w:pPr>
        <w:jc w:val="both"/>
        <w:rPr>
          <w:rFonts w:ascii="Times New Roman" w:eastAsia="Book Antiqua" w:hAnsi="Times New Roman" w:cs="Book Antiqua"/>
          <w:noProof/>
          <w:sz w:val="24"/>
          <w:szCs w:val="26"/>
        </w:rPr>
      </w:pPr>
    </w:p>
    <w:p w14:paraId="4E7DE9FD" w14:textId="77777777" w:rsidR="00672FC0" w:rsidRPr="009940DD" w:rsidRDefault="00672FC0" w:rsidP="00154588">
      <w:pPr>
        <w:pStyle w:val="Heading2"/>
        <w:ind w:left="0"/>
        <w:jc w:val="both"/>
        <w:rPr>
          <w:rFonts w:ascii="Times New Roman" w:hAnsi="Times New Roman"/>
          <w:noProof/>
          <w:sz w:val="28"/>
          <w:szCs w:val="24"/>
        </w:rPr>
      </w:pPr>
      <w:bookmarkStart w:id="49" w:name="_Toc46997554"/>
      <w:bookmarkStart w:id="50" w:name="_Toc47003079"/>
      <w:r w:rsidRPr="009940DD">
        <w:rPr>
          <w:rFonts w:ascii="Times New Roman" w:hAnsi="Times New Roman"/>
          <w:sz w:val="28"/>
          <w:szCs w:val="24"/>
        </w:rPr>
        <w:t>Subklīnisks mastīts</w:t>
      </w:r>
      <w:bookmarkEnd w:id="49"/>
      <w:bookmarkEnd w:id="50"/>
    </w:p>
    <w:p w14:paraId="1ED8B63E" w14:textId="77777777" w:rsidR="00E2764A" w:rsidRDefault="00E2764A" w:rsidP="00154588">
      <w:pPr>
        <w:pStyle w:val="BodyText"/>
        <w:spacing w:before="0"/>
        <w:ind w:left="0"/>
        <w:jc w:val="both"/>
        <w:rPr>
          <w:rFonts w:ascii="Times New Roman" w:hAnsi="Times New Roman"/>
          <w:sz w:val="24"/>
        </w:rPr>
      </w:pPr>
    </w:p>
    <w:p w14:paraId="4F8677E2" w14:textId="5BB52C2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Govis ar hronisku subklīnisku mastītu, ja iespējams, ir jānokauj. Tas ir jo īpaši svarīgi, ja dzīvniekam ir pozitīvs </w:t>
      </w:r>
      <w:r>
        <w:rPr>
          <w:rFonts w:ascii="Times New Roman" w:hAnsi="Times New Roman"/>
          <w:i/>
          <w:sz w:val="24"/>
        </w:rPr>
        <w:t xml:space="preserve">S. aureus </w:t>
      </w:r>
      <w:r>
        <w:rPr>
          <w:rFonts w:ascii="Times New Roman" w:hAnsi="Times New Roman"/>
          <w:sz w:val="24"/>
        </w:rPr>
        <w:t xml:space="preserve">un </w:t>
      </w:r>
      <w:r>
        <w:rPr>
          <w:rFonts w:ascii="Times New Roman" w:hAnsi="Times New Roman"/>
          <w:i/>
          <w:sz w:val="24"/>
        </w:rPr>
        <w:t>Str. agalactiae</w:t>
      </w:r>
      <w:r>
        <w:rPr>
          <w:rFonts w:ascii="Times New Roman" w:hAnsi="Times New Roman"/>
          <w:sz w:val="24"/>
        </w:rPr>
        <w:t xml:space="preserve"> testa rezultāts. Govis ar hronisku subklīnisku mastītu, kas atrodas kaujamo lopu sarakstā, jāatdala no veselajām govīm. Subklīniskā mastīta anti</w:t>
      </w:r>
      <w:r w:rsidR="00B5444C">
        <w:rPr>
          <w:rFonts w:ascii="Times New Roman" w:hAnsi="Times New Roman"/>
          <w:sz w:val="24"/>
        </w:rPr>
        <w:t>mikrobiālo</w:t>
      </w:r>
      <w:r>
        <w:rPr>
          <w:rFonts w:ascii="Times New Roman" w:hAnsi="Times New Roman"/>
          <w:sz w:val="24"/>
        </w:rPr>
        <w:t xml:space="preserve"> ārstēšanu iesaka cietstāves laikā (skatīt turpmāk).</w:t>
      </w:r>
    </w:p>
    <w:p w14:paraId="74B2054C" w14:textId="77777777" w:rsidR="00672FC0" w:rsidRPr="00154588" w:rsidRDefault="00672FC0" w:rsidP="00154588">
      <w:pPr>
        <w:jc w:val="both"/>
        <w:rPr>
          <w:rFonts w:ascii="Times New Roman" w:hAnsi="Times New Roman"/>
          <w:noProof/>
          <w:sz w:val="24"/>
        </w:rPr>
      </w:pPr>
    </w:p>
    <w:p w14:paraId="6C821989" w14:textId="77777777" w:rsidR="00672FC0" w:rsidRPr="009940DD" w:rsidRDefault="00672FC0" w:rsidP="00154588">
      <w:pPr>
        <w:pStyle w:val="Heading2"/>
        <w:ind w:left="0"/>
        <w:jc w:val="both"/>
        <w:rPr>
          <w:rFonts w:ascii="Times New Roman" w:hAnsi="Times New Roman"/>
          <w:noProof/>
          <w:sz w:val="28"/>
          <w:szCs w:val="24"/>
        </w:rPr>
      </w:pPr>
      <w:bookmarkStart w:id="51" w:name="_Toc46997555"/>
      <w:bookmarkStart w:id="52" w:name="_Toc47003080"/>
      <w:r w:rsidRPr="009940DD">
        <w:rPr>
          <w:rFonts w:ascii="Times New Roman" w:hAnsi="Times New Roman"/>
          <w:sz w:val="28"/>
          <w:szCs w:val="24"/>
        </w:rPr>
        <w:t>Ievainojumu ārstēšana pupa galā (“sastampātie pupi”)</w:t>
      </w:r>
      <w:bookmarkEnd w:id="51"/>
      <w:bookmarkEnd w:id="52"/>
    </w:p>
    <w:p w14:paraId="3765509C" w14:textId="77777777" w:rsidR="00E2764A" w:rsidRDefault="00E2764A" w:rsidP="00154588">
      <w:pPr>
        <w:pStyle w:val="BodyText"/>
        <w:spacing w:before="0"/>
        <w:ind w:left="0"/>
        <w:jc w:val="both"/>
        <w:rPr>
          <w:rFonts w:ascii="Times New Roman" w:hAnsi="Times New Roman"/>
          <w:sz w:val="24"/>
        </w:rPr>
      </w:pPr>
    </w:p>
    <w:p w14:paraId="561A9062" w14:textId="7AD42390"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Traumatizētam pupa galam jāļauj atrasties miera stāvoklī. Ja slaukšanu turpina, ir ļoti iespējams, ka govij dažu dienu laikā iestāsies mastīts. Ievainotajam pupam jāļauj atrasties miera stāvoklī 8–12 dienas pirms nākamā slaukšanas mēģinājuma. Ja pupu atstāj neslauktu vairāk kā 12 dienas, attiecīgajā tesmeņa ceturksnī bieži vien iestājas cietstāve, un tad ieteicams pupu neslaukt visu pārējo laktācijas laiku.</w:t>
      </w:r>
    </w:p>
    <w:p w14:paraId="3ED1B4C5" w14:textId="77777777" w:rsidR="00635507" w:rsidRPr="00154588" w:rsidRDefault="00635507" w:rsidP="00154588">
      <w:pPr>
        <w:pStyle w:val="BodyText"/>
        <w:spacing w:before="0"/>
        <w:ind w:left="0"/>
        <w:jc w:val="both"/>
        <w:rPr>
          <w:rFonts w:ascii="Times New Roman" w:hAnsi="Times New Roman"/>
          <w:noProof/>
          <w:sz w:val="24"/>
        </w:rPr>
      </w:pPr>
    </w:p>
    <w:p w14:paraId="3332039E" w14:textId="342B09A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Izmeklējot ievainotu pupu, jāpaņem piena paraugs uzsējuma un Kalifornijas mastīta testa (</w:t>
      </w:r>
      <w:r>
        <w:rPr>
          <w:rFonts w:ascii="Times New Roman" w:hAnsi="Times New Roman"/>
          <w:i/>
          <w:iCs/>
          <w:sz w:val="24"/>
        </w:rPr>
        <w:t>CMT</w:t>
      </w:r>
      <w:r>
        <w:rPr>
          <w:rFonts w:ascii="Times New Roman" w:hAnsi="Times New Roman"/>
          <w:sz w:val="24"/>
        </w:rPr>
        <w:t xml:space="preserve">) vajadzībām. Piena paraugu būtu piemēroti ņemt tieši no pupa vai tesmeņa cisternas, izmantojot adatu, lai pareizi izvērtētu bakteriālās infekcijas pakāpi tesmenī. Ārstēšana ir atkarīga no tā, cik plašs ir ievainojums; plaša pupa bojājuma gadījumā ārstēšana ar antibiotikām var būt nepieciešama neatkarīgi no </w:t>
      </w:r>
      <w:r>
        <w:rPr>
          <w:rFonts w:ascii="Times New Roman" w:hAnsi="Times New Roman"/>
          <w:i/>
          <w:iCs/>
          <w:sz w:val="24"/>
        </w:rPr>
        <w:t>CMT</w:t>
      </w:r>
      <w:r>
        <w:rPr>
          <w:rFonts w:ascii="Times New Roman" w:hAnsi="Times New Roman"/>
          <w:sz w:val="24"/>
        </w:rPr>
        <w:t xml:space="preserve"> un baktēriju kultūras.</w:t>
      </w:r>
    </w:p>
    <w:p w14:paraId="342D1558" w14:textId="77777777" w:rsidR="00154588" w:rsidRPr="00154588" w:rsidRDefault="00154588" w:rsidP="00154588">
      <w:pPr>
        <w:jc w:val="both"/>
        <w:rPr>
          <w:rFonts w:ascii="Times New Roman" w:hAnsi="Times New Roman"/>
          <w:noProof/>
          <w:sz w:val="24"/>
        </w:rPr>
      </w:pPr>
    </w:p>
    <w:p w14:paraId="3E959F32" w14:textId="721E6186"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Lemjot par terapiju, var noderēt turpmākās vadlīnijas, kas balstās uz </w:t>
      </w:r>
      <w:r>
        <w:rPr>
          <w:rFonts w:ascii="Times New Roman" w:hAnsi="Times New Roman"/>
          <w:i/>
          <w:iCs/>
          <w:sz w:val="24"/>
        </w:rPr>
        <w:t>CMT</w:t>
      </w:r>
      <w:r>
        <w:rPr>
          <w:rFonts w:ascii="Times New Roman" w:hAnsi="Times New Roman"/>
          <w:sz w:val="24"/>
        </w:rPr>
        <w:t xml:space="preserve"> un uzsējumu rezultātiem.</w:t>
      </w:r>
    </w:p>
    <w:p w14:paraId="12903650" w14:textId="77777777" w:rsidR="00635507" w:rsidRPr="00154588" w:rsidRDefault="00635507" w:rsidP="00154588">
      <w:pPr>
        <w:pStyle w:val="BodyText"/>
        <w:spacing w:before="0"/>
        <w:ind w:left="0"/>
        <w:jc w:val="both"/>
        <w:rPr>
          <w:rFonts w:ascii="Times New Roman" w:hAnsi="Times New Roman"/>
          <w:noProof/>
          <w:sz w:val="24"/>
        </w:rPr>
      </w:pPr>
    </w:p>
    <w:p w14:paraId="301BD585" w14:textId="326FCEB2" w:rsidR="00672FC0" w:rsidRPr="00635507" w:rsidRDefault="00672FC0" w:rsidP="00635507">
      <w:pPr>
        <w:jc w:val="both"/>
        <w:rPr>
          <w:rFonts w:ascii="Times New Roman" w:eastAsia="Book Antiqua" w:hAnsi="Times New Roman" w:cs="Book Antiqua"/>
          <w:noProof/>
          <w:sz w:val="24"/>
          <w:szCs w:val="20"/>
        </w:rPr>
      </w:pPr>
      <w:r>
        <w:rPr>
          <w:rFonts w:ascii="Times New Roman" w:hAnsi="Times New Roman"/>
          <w:b/>
          <w:bCs/>
          <w:i/>
          <w:iCs/>
          <w:sz w:val="24"/>
          <w:szCs w:val="20"/>
        </w:rPr>
        <w:t>CMT</w:t>
      </w:r>
      <w:r>
        <w:rPr>
          <w:rFonts w:ascii="Times New Roman" w:hAnsi="Times New Roman"/>
          <w:b/>
          <w:bCs/>
          <w:sz w:val="24"/>
          <w:szCs w:val="20"/>
        </w:rPr>
        <w:t xml:space="preserve"> 1–2 bez baktēriju vairošanās. </w:t>
      </w:r>
      <w:r>
        <w:rPr>
          <w:rFonts w:ascii="Times New Roman" w:hAnsi="Times New Roman"/>
          <w:sz w:val="24"/>
        </w:rPr>
        <w:t xml:space="preserve">Pupam ļauj atpūsties 8–12 dienas, </w:t>
      </w:r>
      <w:r>
        <w:rPr>
          <w:rFonts w:ascii="Times New Roman" w:hAnsi="Times New Roman"/>
          <w:b/>
          <w:bCs/>
          <w:sz w:val="24"/>
        </w:rPr>
        <w:t>neveicot</w:t>
      </w:r>
      <w:r>
        <w:rPr>
          <w:rFonts w:ascii="Times New Roman" w:hAnsi="Times New Roman"/>
          <w:sz w:val="24"/>
        </w:rPr>
        <w:t xml:space="preserve"> vietēju vai sistēmisku ārstēšanu ar antibiotikām.</w:t>
      </w:r>
    </w:p>
    <w:p w14:paraId="7201596C" w14:textId="77777777" w:rsidR="00635507" w:rsidRPr="00154588" w:rsidRDefault="00635507" w:rsidP="00154588">
      <w:pPr>
        <w:pStyle w:val="BodyText"/>
        <w:spacing w:before="0"/>
        <w:ind w:left="0"/>
        <w:jc w:val="both"/>
        <w:rPr>
          <w:rFonts w:ascii="Times New Roman" w:hAnsi="Times New Roman"/>
          <w:noProof/>
          <w:sz w:val="24"/>
        </w:rPr>
      </w:pPr>
    </w:p>
    <w:p w14:paraId="36DB29E8" w14:textId="77777777" w:rsidR="00672FC0" w:rsidRPr="00154588" w:rsidRDefault="00672FC0" w:rsidP="00154588">
      <w:pPr>
        <w:pStyle w:val="Heading4"/>
        <w:spacing w:before="0"/>
        <w:ind w:left="0"/>
        <w:jc w:val="both"/>
        <w:rPr>
          <w:noProof/>
          <w:sz w:val="24"/>
        </w:rPr>
      </w:pPr>
      <w:r>
        <w:rPr>
          <w:i/>
          <w:iCs/>
          <w:sz w:val="24"/>
        </w:rPr>
        <w:t>CMT</w:t>
      </w:r>
      <w:r>
        <w:rPr>
          <w:sz w:val="24"/>
        </w:rPr>
        <w:t xml:space="preserve"> 1–2 ar baktēriju vairošanos vai </w:t>
      </w:r>
      <w:r>
        <w:rPr>
          <w:i/>
          <w:iCs/>
          <w:sz w:val="24"/>
        </w:rPr>
        <w:t>CMT</w:t>
      </w:r>
      <w:r>
        <w:rPr>
          <w:sz w:val="24"/>
        </w:rPr>
        <w:t> 3 ar baktēriju vairošanos vai bez tās.</w:t>
      </w:r>
    </w:p>
    <w:p w14:paraId="10E373E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Pupam ļauj atpūsties 8–12 dienas, veicot vietēju vai sistēmisku ārstēšanu ar antibiotikām.</w:t>
      </w:r>
    </w:p>
    <w:p w14:paraId="29B51B46" w14:textId="77777777" w:rsidR="00635507" w:rsidRDefault="00635507" w:rsidP="00154588">
      <w:pPr>
        <w:jc w:val="both"/>
        <w:rPr>
          <w:rFonts w:ascii="Times New Roman" w:eastAsia="Times New Roman" w:hAnsi="Times New Roman" w:cs="Times New Roman"/>
          <w:b/>
          <w:bCs/>
          <w:noProof/>
          <w:sz w:val="24"/>
          <w:szCs w:val="20"/>
        </w:rPr>
      </w:pPr>
    </w:p>
    <w:p w14:paraId="00E28831" w14:textId="083FC165"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bCs/>
          <w:i/>
          <w:iCs/>
          <w:sz w:val="24"/>
          <w:szCs w:val="20"/>
        </w:rPr>
        <w:t>CMT</w:t>
      </w:r>
      <w:r>
        <w:rPr>
          <w:rFonts w:ascii="Times New Roman" w:hAnsi="Times New Roman"/>
          <w:b/>
          <w:bCs/>
          <w:sz w:val="24"/>
          <w:szCs w:val="20"/>
        </w:rPr>
        <w:t xml:space="preserve"> 4–5 ar baktēriju vairošanos vai bez tās un/vai klīnisku mastītu. </w:t>
      </w:r>
      <w:r>
        <w:rPr>
          <w:rFonts w:ascii="Times New Roman" w:hAnsi="Times New Roman"/>
          <w:sz w:val="24"/>
          <w:szCs w:val="20"/>
        </w:rPr>
        <w:t xml:space="preserve">Pupu slauc sadzīšanas stadijā, un vajadzību pēc antibiotiku </w:t>
      </w:r>
      <w:r w:rsidR="003B4CED">
        <w:rPr>
          <w:rFonts w:ascii="Times New Roman" w:hAnsi="Times New Roman"/>
          <w:sz w:val="24"/>
          <w:szCs w:val="20"/>
        </w:rPr>
        <w:t>lietošanas</w:t>
      </w:r>
      <w:r>
        <w:rPr>
          <w:rFonts w:ascii="Times New Roman" w:hAnsi="Times New Roman"/>
          <w:sz w:val="24"/>
          <w:szCs w:val="20"/>
        </w:rPr>
        <w:t xml:space="preserve"> nosaka katrā gadījumā individuāli.</w:t>
      </w:r>
    </w:p>
    <w:p w14:paraId="019D2241" w14:textId="77777777" w:rsidR="00635507" w:rsidRDefault="00635507" w:rsidP="00154588">
      <w:pPr>
        <w:pStyle w:val="Heading4"/>
        <w:spacing w:before="0"/>
        <w:ind w:left="0"/>
        <w:jc w:val="both"/>
        <w:rPr>
          <w:noProof/>
          <w:sz w:val="24"/>
        </w:rPr>
      </w:pPr>
    </w:p>
    <w:p w14:paraId="0D8F6B6A" w14:textId="23E41F9A" w:rsidR="00672FC0" w:rsidRPr="00154588" w:rsidRDefault="00672FC0" w:rsidP="00154588">
      <w:pPr>
        <w:pStyle w:val="Heading4"/>
        <w:spacing w:before="0"/>
        <w:ind w:left="0"/>
        <w:jc w:val="both"/>
        <w:rPr>
          <w:noProof/>
          <w:sz w:val="24"/>
        </w:rPr>
      </w:pPr>
      <w:r>
        <w:rPr>
          <w:sz w:val="24"/>
        </w:rPr>
        <w:t xml:space="preserve">Bagātīga baktēriju vairošanās neatkarīgi no </w:t>
      </w:r>
      <w:r>
        <w:rPr>
          <w:i/>
          <w:iCs/>
          <w:sz w:val="24"/>
        </w:rPr>
        <w:t>CMT.</w:t>
      </w:r>
    </w:p>
    <w:p w14:paraId="52186A0B"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Pupam nedrīkst ļaut atpūsties, tas jāslauc vismaz sadzīšanas stadijā. Vajadzību pēc ārstēšanas ar antibiotikām nosaka katrā gadījumā atsevišķi.</w:t>
      </w:r>
    </w:p>
    <w:p w14:paraId="0DA9179B" w14:textId="77777777" w:rsidR="00672FC0" w:rsidRPr="00154588" w:rsidRDefault="00672FC0" w:rsidP="00154588">
      <w:pPr>
        <w:jc w:val="both"/>
        <w:rPr>
          <w:rFonts w:ascii="Times New Roman" w:eastAsia="Book Antiqua" w:hAnsi="Times New Roman" w:cs="Book Antiqua"/>
          <w:noProof/>
          <w:sz w:val="24"/>
          <w:szCs w:val="18"/>
        </w:rPr>
      </w:pPr>
    </w:p>
    <w:p w14:paraId="2AFB4ACF" w14:textId="77777777" w:rsidR="00672FC0" w:rsidRPr="009940DD" w:rsidRDefault="00672FC0" w:rsidP="00DC00AA">
      <w:pPr>
        <w:pStyle w:val="Heading2"/>
        <w:keepNext/>
        <w:ind w:left="0"/>
        <w:jc w:val="both"/>
        <w:rPr>
          <w:rFonts w:ascii="Times New Roman" w:hAnsi="Times New Roman"/>
          <w:noProof/>
          <w:sz w:val="28"/>
          <w:szCs w:val="24"/>
        </w:rPr>
      </w:pPr>
      <w:bookmarkStart w:id="53" w:name="_Toc46997556"/>
      <w:bookmarkStart w:id="54" w:name="_Toc47003081"/>
      <w:r w:rsidRPr="009940DD">
        <w:rPr>
          <w:rFonts w:ascii="Times New Roman" w:hAnsi="Times New Roman"/>
          <w:sz w:val="28"/>
          <w:szCs w:val="24"/>
        </w:rPr>
        <w:lastRenderedPageBreak/>
        <w:t>Cietstāvošas govs ārstēšana</w:t>
      </w:r>
      <w:bookmarkEnd w:id="53"/>
      <w:bookmarkEnd w:id="54"/>
    </w:p>
    <w:p w14:paraId="53504BF3" w14:textId="77777777" w:rsidR="00E2764A" w:rsidRDefault="00E2764A" w:rsidP="00DC00AA">
      <w:pPr>
        <w:pStyle w:val="BodyText"/>
        <w:keepNext/>
        <w:spacing w:before="0"/>
        <w:ind w:left="0"/>
        <w:jc w:val="both"/>
        <w:rPr>
          <w:rFonts w:ascii="Times New Roman" w:hAnsi="Times New Roman"/>
          <w:sz w:val="24"/>
        </w:rPr>
      </w:pPr>
    </w:p>
    <w:p w14:paraId="0571B534" w14:textId="26304059" w:rsidR="00672FC0" w:rsidRDefault="00672FC0" w:rsidP="00DC00AA">
      <w:pPr>
        <w:pStyle w:val="BodyText"/>
        <w:keepNext/>
        <w:spacing w:before="0"/>
        <w:ind w:left="0"/>
        <w:jc w:val="both"/>
        <w:rPr>
          <w:rFonts w:ascii="Times New Roman" w:hAnsi="Times New Roman"/>
          <w:noProof/>
          <w:sz w:val="24"/>
        </w:rPr>
      </w:pPr>
      <w:r>
        <w:rPr>
          <w:rFonts w:ascii="Times New Roman" w:hAnsi="Times New Roman"/>
          <w:sz w:val="24"/>
        </w:rPr>
        <w:t xml:space="preserve">Cietstāvošas govs ārstēšana ar intramammārajām antibiotikām jāveic tūlīt pēc pēdējās slaukšanas pirms cietstāves, kad pupa gals rūpīgi notīrīts. Ja atnešanos gaida vairāk nekā pēc sešām nedēļām, var </w:t>
      </w:r>
      <w:r w:rsidR="003B4CED">
        <w:rPr>
          <w:rFonts w:ascii="Times New Roman" w:hAnsi="Times New Roman"/>
          <w:sz w:val="24"/>
        </w:rPr>
        <w:t>lietot</w:t>
      </w:r>
      <w:r>
        <w:rPr>
          <w:rFonts w:ascii="Times New Roman" w:hAnsi="Times New Roman"/>
          <w:sz w:val="24"/>
        </w:rPr>
        <w:t xml:space="preserve"> ilgstošas darbības preparātu. Jāapstrādā visi četri ceturkšņi. Govis svarīgi grupēt pēc tesmeņa veselības stāvokļa arī cietstāves periodā. Cietstāvošas govs ārstēšanas rezultāti jāpārbauda un jāizvērtē dzemdībās un agrīnajā laktācijas stadijā.</w:t>
      </w:r>
    </w:p>
    <w:p w14:paraId="68DF00E7" w14:textId="77777777" w:rsidR="00635507" w:rsidRPr="00154588" w:rsidRDefault="00635507" w:rsidP="00154588">
      <w:pPr>
        <w:pStyle w:val="BodyText"/>
        <w:spacing w:before="0"/>
        <w:ind w:left="0"/>
        <w:jc w:val="both"/>
        <w:rPr>
          <w:rFonts w:ascii="Times New Roman" w:hAnsi="Times New Roman"/>
          <w:noProof/>
          <w:sz w:val="24"/>
        </w:rPr>
      </w:pPr>
    </w:p>
    <w:p w14:paraId="764142BC"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Lēmums par piemērotu terapiju cietstāves laikā balstās uz šādām vadlīnijām:</w:t>
      </w:r>
    </w:p>
    <w:p w14:paraId="40AA2500" w14:textId="77777777" w:rsidR="00672FC0" w:rsidRPr="00154588" w:rsidRDefault="00672FC0" w:rsidP="0063550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Govīm ar zemu tesmeņa subklīnskās infekcijas varbūtību (</w:t>
      </w:r>
      <w:r>
        <w:rPr>
          <w:rFonts w:ascii="Times New Roman" w:hAnsi="Times New Roman"/>
          <w:i/>
          <w:iCs/>
          <w:sz w:val="24"/>
        </w:rPr>
        <w:t>UHC</w:t>
      </w:r>
      <w:r>
        <w:rPr>
          <w:rFonts w:ascii="Times New Roman" w:hAnsi="Times New Roman"/>
          <w:sz w:val="24"/>
        </w:rPr>
        <w:t>*0–2) cietstāves periodā nav jāsaņem antibiotikas.</w:t>
      </w:r>
    </w:p>
    <w:p w14:paraId="5A5A50D5" w14:textId="77777777" w:rsidR="00672FC0" w:rsidRPr="00154588" w:rsidRDefault="00672FC0" w:rsidP="0063550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Govīm ar vidēju tesmeņa subklīnskās infekcijas varbūtību (</w:t>
      </w:r>
      <w:r>
        <w:rPr>
          <w:rFonts w:ascii="Times New Roman" w:hAnsi="Times New Roman"/>
          <w:i/>
          <w:iCs/>
          <w:sz w:val="24"/>
        </w:rPr>
        <w:t>UHC</w:t>
      </w:r>
      <w:r>
        <w:rPr>
          <w:rFonts w:ascii="Times New Roman" w:hAnsi="Times New Roman"/>
          <w:sz w:val="24"/>
        </w:rPr>
        <w:t xml:space="preserve"> 3–5) jāsaņem antibiotikas atkarībā no šūnu skaita izvērtējuma vēstures, </w:t>
      </w:r>
      <w:r>
        <w:rPr>
          <w:rFonts w:ascii="Times New Roman" w:hAnsi="Times New Roman"/>
          <w:i/>
          <w:iCs/>
          <w:sz w:val="24"/>
        </w:rPr>
        <w:t>CMT</w:t>
      </w:r>
      <w:r>
        <w:rPr>
          <w:rFonts w:ascii="Times New Roman" w:hAnsi="Times New Roman"/>
          <w:sz w:val="24"/>
        </w:rPr>
        <w:t xml:space="preserve"> un uzsējumu rezultātiem.</w:t>
      </w:r>
    </w:p>
    <w:p w14:paraId="55DBE16E" w14:textId="77777777" w:rsidR="00672FC0" w:rsidRPr="00154588" w:rsidRDefault="00672FC0" w:rsidP="0063550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Govīm ar augstu tesmeņa subklīnskās infekcijas varbūtību (</w:t>
      </w:r>
      <w:r>
        <w:rPr>
          <w:rFonts w:ascii="Times New Roman" w:hAnsi="Times New Roman"/>
          <w:i/>
          <w:iCs/>
          <w:sz w:val="24"/>
        </w:rPr>
        <w:t>UHC</w:t>
      </w:r>
      <w:r>
        <w:rPr>
          <w:rFonts w:ascii="Times New Roman" w:hAnsi="Times New Roman"/>
          <w:sz w:val="24"/>
        </w:rPr>
        <w:t xml:space="preserve"> 6–8) jāsaņem antibiotikas cietstāves periodā neatkarīgi no šūnu skaita izvērtējuma vēstures, </w:t>
      </w:r>
      <w:r>
        <w:rPr>
          <w:rFonts w:ascii="Times New Roman" w:hAnsi="Times New Roman"/>
          <w:i/>
          <w:iCs/>
          <w:sz w:val="24"/>
        </w:rPr>
        <w:t>CMT</w:t>
      </w:r>
      <w:r>
        <w:rPr>
          <w:rFonts w:ascii="Times New Roman" w:hAnsi="Times New Roman"/>
          <w:sz w:val="24"/>
        </w:rPr>
        <w:t xml:space="preserve"> un uzsējumu rezultātiem.</w:t>
      </w:r>
    </w:p>
    <w:p w14:paraId="6F6421EF" w14:textId="77777777" w:rsidR="00672FC0" w:rsidRPr="00154588" w:rsidRDefault="00672FC0" w:rsidP="0063550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Govīm ar neārstējamu hronisku subklīnisku mastītu (</w:t>
      </w:r>
      <w:r>
        <w:rPr>
          <w:rFonts w:ascii="Times New Roman" w:hAnsi="Times New Roman"/>
          <w:i/>
          <w:iCs/>
          <w:sz w:val="24"/>
        </w:rPr>
        <w:t>UHC</w:t>
      </w:r>
      <w:r>
        <w:rPr>
          <w:rFonts w:ascii="Times New Roman" w:hAnsi="Times New Roman"/>
          <w:sz w:val="24"/>
        </w:rPr>
        <w:t> 9) nav jāsaņem antibiotikas, jo tām ir slikta prognoze un paaugstināts rezistences risks pret antibiotikām.</w:t>
      </w:r>
    </w:p>
    <w:p w14:paraId="6F3A7665" w14:textId="77777777" w:rsidR="0045308E" w:rsidRDefault="0045308E" w:rsidP="00154588">
      <w:pPr>
        <w:jc w:val="both"/>
        <w:rPr>
          <w:rFonts w:ascii="Times New Roman" w:eastAsia="Calibri" w:hAnsi="Times New Roman" w:cs="Calibri"/>
          <w:noProof/>
          <w:sz w:val="24"/>
          <w:szCs w:val="18"/>
        </w:rPr>
      </w:pPr>
    </w:p>
    <w:p w14:paraId="6F76BA05" w14:textId="02C8DFB3" w:rsidR="00672FC0" w:rsidRPr="00154588" w:rsidRDefault="00672FC0" w:rsidP="00154588">
      <w:pPr>
        <w:jc w:val="both"/>
        <w:rPr>
          <w:rFonts w:ascii="Times New Roman" w:eastAsia="Calibri" w:hAnsi="Times New Roman" w:cs="Calibri"/>
          <w:noProof/>
          <w:sz w:val="24"/>
          <w:szCs w:val="18"/>
        </w:rPr>
      </w:pPr>
      <w:r>
        <w:rPr>
          <w:rFonts w:ascii="Times New Roman" w:hAnsi="Times New Roman"/>
          <w:sz w:val="24"/>
          <w:szCs w:val="18"/>
        </w:rPr>
        <w:t>*</w:t>
      </w:r>
      <w:r>
        <w:rPr>
          <w:rFonts w:ascii="Times New Roman" w:hAnsi="Times New Roman"/>
          <w:i/>
          <w:iCs/>
          <w:sz w:val="24"/>
          <w:szCs w:val="18"/>
        </w:rPr>
        <w:t>UHC</w:t>
      </w:r>
      <w:r>
        <w:rPr>
          <w:rFonts w:ascii="Times New Roman" w:hAnsi="Times New Roman"/>
          <w:sz w:val="24"/>
          <w:szCs w:val="18"/>
        </w:rPr>
        <w:t xml:space="preserve"> = tesmeņa veselības klase; Zviedrijas govju klasifikācija pēc somātisko šūnu skaita (SŠS) vēsturiskā izvērtējuma piena lopu ganāmpulku produktivitātes uzlabošanas (</w:t>
      </w:r>
      <w:r>
        <w:rPr>
          <w:rFonts w:ascii="Times New Roman" w:hAnsi="Times New Roman"/>
          <w:i/>
          <w:iCs/>
          <w:sz w:val="24"/>
          <w:szCs w:val="18"/>
        </w:rPr>
        <w:t>DHI</w:t>
      </w:r>
      <w:r>
        <w:rPr>
          <w:rFonts w:ascii="Times New Roman" w:hAnsi="Times New Roman"/>
          <w:sz w:val="24"/>
          <w:szCs w:val="18"/>
        </w:rPr>
        <w:t>) sistēmā.</w:t>
      </w:r>
    </w:p>
    <w:p w14:paraId="266A5D0B" w14:textId="77777777" w:rsidR="0045308E" w:rsidRDefault="0045308E" w:rsidP="00154588">
      <w:pPr>
        <w:jc w:val="both"/>
        <w:rPr>
          <w:rFonts w:ascii="Times New Roman" w:hAnsi="Times New Roman"/>
          <w:b/>
          <w:i/>
          <w:noProof/>
          <w:sz w:val="24"/>
        </w:rPr>
      </w:pPr>
    </w:p>
    <w:p w14:paraId="38CB36BF" w14:textId="30DCEC84"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i/>
          <w:sz w:val="24"/>
        </w:rPr>
        <w:t xml:space="preserve">Izvēles zāles – </w:t>
      </w:r>
      <w:r>
        <w:rPr>
          <w:rFonts w:ascii="Times New Roman" w:hAnsi="Times New Roman"/>
          <w:sz w:val="24"/>
        </w:rPr>
        <w:t>ilgstošas darbības preparāts, kas satur benzilpenicīlīnu.</w:t>
      </w:r>
    </w:p>
    <w:p w14:paraId="40989D19" w14:textId="77777777" w:rsidR="00154588" w:rsidRPr="00154588" w:rsidRDefault="00154588" w:rsidP="00154588">
      <w:pPr>
        <w:jc w:val="both"/>
        <w:rPr>
          <w:rFonts w:ascii="Times New Roman" w:eastAsia="Book Antiqua" w:hAnsi="Times New Roman" w:cs="Book Antiqua"/>
          <w:noProof/>
          <w:sz w:val="24"/>
          <w:szCs w:val="20"/>
        </w:rPr>
      </w:pPr>
    </w:p>
    <w:p w14:paraId="07A4F379" w14:textId="254DE745" w:rsidR="00672FC0" w:rsidRPr="009940DD" w:rsidRDefault="00672FC0" w:rsidP="00154588">
      <w:pPr>
        <w:pStyle w:val="Heading2"/>
        <w:ind w:left="0"/>
        <w:jc w:val="both"/>
        <w:rPr>
          <w:rFonts w:ascii="Times New Roman" w:hAnsi="Times New Roman"/>
          <w:noProof/>
          <w:sz w:val="28"/>
          <w:szCs w:val="24"/>
        </w:rPr>
      </w:pPr>
      <w:bookmarkStart w:id="55" w:name="_Toc46997557"/>
      <w:bookmarkStart w:id="56" w:name="_Toc47003082"/>
      <w:r w:rsidRPr="009940DD">
        <w:rPr>
          <w:rFonts w:ascii="Times New Roman" w:hAnsi="Times New Roman"/>
          <w:sz w:val="28"/>
          <w:szCs w:val="24"/>
        </w:rPr>
        <w:t>Augsts antibiotiku patēriņš vai ieteikumu neievērošana</w:t>
      </w:r>
      <w:bookmarkEnd w:id="55"/>
      <w:bookmarkEnd w:id="56"/>
    </w:p>
    <w:p w14:paraId="73EE96C1" w14:textId="77777777" w:rsidR="00E2764A" w:rsidRDefault="00E2764A" w:rsidP="00154588">
      <w:pPr>
        <w:pStyle w:val="BodyText"/>
        <w:spacing w:before="0"/>
        <w:ind w:left="0"/>
        <w:jc w:val="both"/>
        <w:rPr>
          <w:rFonts w:ascii="Times New Roman" w:hAnsi="Times New Roman"/>
          <w:sz w:val="24"/>
        </w:rPr>
      </w:pPr>
    </w:p>
    <w:p w14:paraId="1E0C5DAC" w14:textId="2E8970C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Antibiotiku </w:t>
      </w:r>
      <w:r w:rsidR="003B4CED">
        <w:rPr>
          <w:rFonts w:ascii="Times New Roman" w:hAnsi="Times New Roman"/>
          <w:sz w:val="24"/>
        </w:rPr>
        <w:t>lietošanas</w:t>
      </w:r>
      <w:r>
        <w:rPr>
          <w:rFonts w:ascii="Times New Roman" w:hAnsi="Times New Roman"/>
          <w:sz w:val="24"/>
        </w:rPr>
        <w:t xml:space="preserve"> biežumu klīniskā mastīta ārstēšanai, ja ar tām gadā ārstē vairāk nekā 15 % no ganāmpulka, uzskata par augstu. Ja ar benzilpenicilīnu ārstēto mastītu daļa visos gadījumos, kad mastīta ārstēšanai </w:t>
      </w:r>
      <w:r w:rsidR="003B4CED">
        <w:rPr>
          <w:rFonts w:ascii="Times New Roman" w:hAnsi="Times New Roman"/>
          <w:sz w:val="24"/>
        </w:rPr>
        <w:t>lietotas</w:t>
      </w:r>
      <w:r>
        <w:rPr>
          <w:rFonts w:ascii="Times New Roman" w:hAnsi="Times New Roman"/>
          <w:sz w:val="24"/>
        </w:rPr>
        <w:t xml:space="preserve"> antibiotikas, ir mazāka nekā 75 % un nav dokumentu, kas pamato citu zāļu izvēli, uzskata, ka, izvēloties antibiotikas, nav ievēroti ieteikumi. Konstatējot šādu stāvokli, ganāmpulka veterinārārstam jāveic tesmeņu veselības izpēte ganāmpulkā un dialogā ar lauksaimnieku/īpašnieku jārosina pasākumi, lai nodrošinātu zemu saslimstības un ārstēšanas līmeni, kā arī šīs publikācijas vadlīniju ievērošanu zāļu izvēlē.</w:t>
      </w:r>
    </w:p>
    <w:p w14:paraId="1B0A2E8E" w14:textId="01B140E1" w:rsidR="00154588" w:rsidRDefault="00154588" w:rsidP="00154588">
      <w:pPr>
        <w:jc w:val="both"/>
        <w:rPr>
          <w:rFonts w:ascii="Times New Roman" w:hAnsi="Times New Roman"/>
          <w:noProof/>
          <w:sz w:val="24"/>
        </w:rPr>
      </w:pPr>
    </w:p>
    <w:p w14:paraId="0881E5CF" w14:textId="5E687FEC" w:rsidR="0045308E" w:rsidRDefault="0045308E" w:rsidP="00E2764A">
      <w:pPr>
        <w:jc w:val="center"/>
        <w:rPr>
          <w:rFonts w:ascii="Times New Roman" w:hAnsi="Times New Roman"/>
          <w:noProof/>
          <w:sz w:val="24"/>
        </w:rPr>
      </w:pPr>
      <w:r>
        <w:rPr>
          <w:rFonts w:ascii="Times New Roman" w:hAnsi="Times New Roman"/>
          <w:noProof/>
          <w:sz w:val="24"/>
        </w:rPr>
        <w:drawing>
          <wp:inline distT="0" distB="0" distL="0" distR="0" wp14:anchorId="1AF79BA2" wp14:editId="1E2A78C9">
            <wp:extent cx="1577488" cy="21307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232" cy="2143886"/>
                    </a:xfrm>
                    <a:prstGeom prst="rect">
                      <a:avLst/>
                    </a:prstGeom>
                    <a:noFill/>
                    <a:ln>
                      <a:noFill/>
                    </a:ln>
                  </pic:spPr>
                </pic:pic>
              </a:graphicData>
            </a:graphic>
          </wp:inline>
        </w:drawing>
      </w:r>
      <w:r>
        <w:br w:type="page"/>
      </w:r>
    </w:p>
    <w:p w14:paraId="58A53D92" w14:textId="77777777" w:rsidR="0045308E" w:rsidRPr="00154588" w:rsidRDefault="0045308E" w:rsidP="00154588">
      <w:pPr>
        <w:jc w:val="both"/>
        <w:rPr>
          <w:rFonts w:ascii="Times New Roman" w:hAnsi="Times New Roman"/>
          <w:noProof/>
          <w:sz w:val="24"/>
        </w:rPr>
      </w:pPr>
    </w:p>
    <w:p w14:paraId="49D0256B" w14:textId="77777777" w:rsidR="00672FC0" w:rsidRPr="009940DD" w:rsidRDefault="00672FC0" w:rsidP="009940DD">
      <w:pPr>
        <w:pStyle w:val="Heading1"/>
        <w:rPr>
          <w:sz w:val="28"/>
          <w:szCs w:val="32"/>
        </w:rPr>
      </w:pPr>
      <w:bookmarkStart w:id="57" w:name="_TOC_250026"/>
      <w:bookmarkStart w:id="58" w:name="_Toc46997558"/>
      <w:bookmarkStart w:id="59" w:name="_Toc47003083"/>
      <w:r w:rsidRPr="009940DD">
        <w:rPr>
          <w:sz w:val="28"/>
          <w:szCs w:val="32"/>
        </w:rPr>
        <w:t>Reproduktīvās sistēmas orgānu infekcijas</w:t>
      </w:r>
      <w:bookmarkEnd w:id="57"/>
      <w:bookmarkEnd w:id="58"/>
      <w:bookmarkEnd w:id="59"/>
    </w:p>
    <w:p w14:paraId="78A0999B" w14:textId="77777777" w:rsidR="0045308E" w:rsidRDefault="0045308E" w:rsidP="00154588">
      <w:pPr>
        <w:jc w:val="both"/>
        <w:rPr>
          <w:rFonts w:ascii="Times New Roman" w:hAnsi="Times New Roman"/>
          <w:i/>
          <w:noProof/>
          <w:sz w:val="24"/>
        </w:rPr>
      </w:pPr>
    </w:p>
    <w:p w14:paraId="513852F6" w14:textId="4AE2C4B1" w:rsidR="00672FC0" w:rsidRPr="00154588" w:rsidRDefault="00672FC0" w:rsidP="00154588">
      <w:pPr>
        <w:jc w:val="both"/>
        <w:rPr>
          <w:rFonts w:ascii="Times New Roman" w:hAnsi="Times New Roman"/>
          <w:i/>
          <w:noProof/>
          <w:sz w:val="24"/>
        </w:rPr>
      </w:pPr>
      <w:r>
        <w:rPr>
          <w:rFonts w:ascii="Times New Roman" w:hAnsi="Times New Roman"/>
          <w:i/>
          <w:sz w:val="24"/>
        </w:rPr>
        <w:t>Hanss Gustafsons [Hans Gustafsson], veterinārās medicīnas zinātņu doktors, Dr. phil.</w:t>
      </w:r>
    </w:p>
    <w:p w14:paraId="4637A33C" w14:textId="77777777" w:rsidR="0045308E" w:rsidRDefault="0045308E" w:rsidP="00154588">
      <w:pPr>
        <w:jc w:val="both"/>
        <w:rPr>
          <w:rFonts w:ascii="Times New Roman" w:eastAsia="Book Antiqua" w:hAnsi="Times New Roman" w:cs="Book Antiqua"/>
          <w:noProof/>
          <w:sz w:val="24"/>
          <w:szCs w:val="20"/>
        </w:rPr>
      </w:pPr>
    </w:p>
    <w:p w14:paraId="64E581DD" w14:textId="7FAB8FEA" w:rsidR="00672FC0" w:rsidRPr="0045308E" w:rsidRDefault="00672FC0" w:rsidP="0045308E">
      <w:pPr>
        <w:jc w:val="both"/>
        <w:rPr>
          <w:rFonts w:ascii="Times New Roman" w:eastAsia="Book Antiqua" w:hAnsi="Times New Roman" w:cs="Book Antiqua"/>
          <w:noProof/>
          <w:sz w:val="24"/>
          <w:szCs w:val="20"/>
        </w:rPr>
      </w:pPr>
      <w:r>
        <w:rPr>
          <w:rFonts w:ascii="Times New Roman" w:hAnsi="Times New Roman"/>
          <w:sz w:val="24"/>
          <w:szCs w:val="20"/>
        </w:rPr>
        <w:t xml:space="preserve">Baktēriju invāzija dzemdē teļu atnešanās laikā var būt atšķirīga pēc pakāpes. Tomēr lielākā dzemdes kanāla infekciju daļa turpinās ne ilgāk kā 4–5 nedēļas pēc dzemdībām. Govīm ar placentas retenci atbrīvošanās no infekcijas aizņem papildu 1–2 nedēļas. </w:t>
      </w:r>
      <w:r>
        <w:rPr>
          <w:rFonts w:ascii="Times New Roman" w:hAnsi="Times New Roman"/>
          <w:sz w:val="24"/>
        </w:rPr>
        <w:t xml:space="preserve">Bieži sastopamas baktērijas ir </w:t>
      </w:r>
      <w:r>
        <w:rPr>
          <w:rFonts w:ascii="Times New Roman" w:hAnsi="Times New Roman"/>
          <w:i/>
          <w:iCs/>
          <w:sz w:val="24"/>
        </w:rPr>
        <w:t>Fusobacterium necrophorum</w:t>
      </w:r>
      <w:r>
        <w:rPr>
          <w:rFonts w:ascii="Times New Roman" w:hAnsi="Times New Roman"/>
          <w:sz w:val="24"/>
        </w:rPr>
        <w:t xml:space="preserve">, </w:t>
      </w:r>
      <w:r>
        <w:rPr>
          <w:rFonts w:ascii="Times New Roman" w:hAnsi="Times New Roman"/>
          <w:i/>
          <w:iCs/>
          <w:sz w:val="24"/>
        </w:rPr>
        <w:t>Trueperella pyogenes</w:t>
      </w:r>
      <w:r>
        <w:rPr>
          <w:rFonts w:ascii="Times New Roman" w:hAnsi="Times New Roman"/>
          <w:sz w:val="24"/>
        </w:rPr>
        <w:t xml:space="preserve"> (iepriekš </w:t>
      </w:r>
      <w:r>
        <w:rPr>
          <w:rFonts w:ascii="Times New Roman" w:hAnsi="Times New Roman"/>
          <w:i/>
          <w:iCs/>
          <w:sz w:val="24"/>
        </w:rPr>
        <w:t>Arcanobacterium pyogenes</w:t>
      </w:r>
      <w:r>
        <w:rPr>
          <w:rFonts w:ascii="Times New Roman" w:hAnsi="Times New Roman"/>
          <w:sz w:val="24"/>
        </w:rPr>
        <w:t xml:space="preserve">), </w:t>
      </w:r>
      <w:r>
        <w:rPr>
          <w:rFonts w:ascii="Times New Roman" w:hAnsi="Times New Roman"/>
          <w:i/>
          <w:iCs/>
          <w:sz w:val="24"/>
        </w:rPr>
        <w:t>Escherichia coli</w:t>
      </w:r>
      <w:r>
        <w:rPr>
          <w:rFonts w:ascii="Times New Roman" w:hAnsi="Times New Roman"/>
          <w:sz w:val="24"/>
        </w:rPr>
        <w:t xml:space="preserve"> un </w:t>
      </w:r>
      <w:r>
        <w:rPr>
          <w:rFonts w:ascii="Times New Roman" w:hAnsi="Times New Roman"/>
          <w:i/>
          <w:iCs/>
          <w:sz w:val="24"/>
        </w:rPr>
        <w:t>Streptococcus spp</w:t>
      </w:r>
      <w:r>
        <w:rPr>
          <w:rFonts w:ascii="Times New Roman" w:hAnsi="Times New Roman"/>
          <w:sz w:val="24"/>
        </w:rPr>
        <w:t>. Ja infekcijas ir ilgākas par šo periodu, ārstēšanas rezultāts parasti ir slikts, kas vēl vairāk liek domāt par profilakses pasākumiem. Ļoti svarīgi ir pārvaldības pasākumi, lai nodrošinātu labu imūnstatusu laikā, kad gaidāmas dzemdības. Svarīgi profilakses pasākumi ir šādi: izvairīties no sarežģītām dzemdībām, izvēloties piemērotu bulli (īpaši telēm), nodrošināt labu barošanu un adaptācijas pasākumus pirms atnešanās, gādāt par labu higiēnu dzemdību norises vietā, kā arī atnešanās uzraudzību un būt gataviem iesaistīties dzemdību pieņemšanā (bet tikai tad, kad tas nepieciešams). Pārmērīga palīdzība dzemdību laikā veicina patogēno baktēriju iekļūšanu dzemdē.</w:t>
      </w:r>
    </w:p>
    <w:p w14:paraId="53B3EC34" w14:textId="77777777" w:rsidR="00672FC0" w:rsidRPr="00154588" w:rsidRDefault="00672FC0" w:rsidP="00154588">
      <w:pPr>
        <w:jc w:val="both"/>
        <w:rPr>
          <w:rFonts w:ascii="Times New Roman" w:eastAsia="Book Antiqua" w:hAnsi="Times New Roman" w:cs="Book Antiqua"/>
          <w:noProof/>
          <w:sz w:val="24"/>
          <w:szCs w:val="18"/>
        </w:rPr>
      </w:pPr>
    </w:p>
    <w:p w14:paraId="38795677" w14:textId="77777777" w:rsidR="00672FC0" w:rsidRPr="00154588" w:rsidRDefault="00672FC0" w:rsidP="00154588">
      <w:pPr>
        <w:pStyle w:val="Heading3"/>
        <w:ind w:left="0"/>
        <w:jc w:val="both"/>
        <w:rPr>
          <w:rFonts w:ascii="Times New Roman" w:hAnsi="Times New Roman"/>
          <w:noProof/>
          <w:sz w:val="24"/>
        </w:rPr>
      </w:pPr>
      <w:bookmarkStart w:id="60" w:name="_Toc46997559"/>
      <w:bookmarkStart w:id="61" w:name="_Toc47003084"/>
      <w:r>
        <w:rPr>
          <w:rFonts w:ascii="Times New Roman" w:hAnsi="Times New Roman"/>
          <w:sz w:val="24"/>
        </w:rPr>
        <w:t>Diagnozes noteikšana</w:t>
      </w:r>
      <w:bookmarkEnd w:id="60"/>
      <w:bookmarkEnd w:id="61"/>
    </w:p>
    <w:p w14:paraId="21F6E953"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Svarīgi nošķirt normālu dzemdes piesārņojumu ar baktērijām dzemdību laikā, kā rezultātā divu pirmo nedēļu laikā rodas viegli strutaini izdalījumi, un ilgstošu infekciju pēc tam, kad parastajiem pašattīrīšanās procesiem vajadzētu beigties.</w:t>
      </w:r>
    </w:p>
    <w:p w14:paraId="1861E3AE" w14:textId="77777777" w:rsidR="00672FC0" w:rsidRPr="00154588" w:rsidRDefault="00672FC0" w:rsidP="00154588">
      <w:pPr>
        <w:jc w:val="both"/>
        <w:rPr>
          <w:rFonts w:ascii="Times New Roman" w:eastAsia="Book Antiqua" w:hAnsi="Times New Roman" w:cs="Book Antiqua"/>
          <w:noProof/>
          <w:sz w:val="24"/>
          <w:szCs w:val="26"/>
        </w:rPr>
      </w:pPr>
    </w:p>
    <w:p w14:paraId="7E684B78" w14:textId="77777777" w:rsidR="00672FC0" w:rsidRPr="009940DD" w:rsidRDefault="00672FC0" w:rsidP="00154588">
      <w:pPr>
        <w:jc w:val="both"/>
        <w:rPr>
          <w:rFonts w:ascii="Times New Roman" w:hAnsi="Times New Roman"/>
          <w:b/>
          <w:noProof/>
          <w:sz w:val="28"/>
          <w:szCs w:val="24"/>
        </w:rPr>
      </w:pPr>
      <w:r w:rsidRPr="009940DD">
        <w:rPr>
          <w:rFonts w:ascii="Times New Roman" w:hAnsi="Times New Roman"/>
          <w:b/>
          <w:sz w:val="28"/>
          <w:szCs w:val="24"/>
        </w:rPr>
        <w:t>Akūts metrīts</w:t>
      </w:r>
    </w:p>
    <w:p w14:paraId="2EDB3A52" w14:textId="77777777" w:rsidR="00E2764A" w:rsidRDefault="00E2764A" w:rsidP="00154588">
      <w:pPr>
        <w:pStyle w:val="BodyText"/>
        <w:spacing w:before="0"/>
        <w:ind w:left="0"/>
        <w:jc w:val="both"/>
        <w:rPr>
          <w:rFonts w:ascii="Times New Roman" w:hAnsi="Times New Roman"/>
          <w:sz w:val="24"/>
        </w:rPr>
      </w:pPr>
    </w:p>
    <w:p w14:paraId="44240818" w14:textId="6A0076D2"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Akūts metrīts ir nopietna infekcija, kas skar endometriju, zemgļotādu, muskulatūru un serozo apvalku, t. i., arī dzemdes dziļākos slāņus. Slimības simptomus parasti novēro pirmajā nedēļā pēc atnešanās, un to vidū bieži ir drudzis (&gt;39,5 °C), vispārējā stāvokļa traucējumi un nereti – smakojoši iesarkani izdalījumi no maksts. Slimības gaita ir atkarīga no bakteriālās infekcijas, kas savukārt ir atkarīga no higiēnas un baktērijām saimniecībā.</w:t>
      </w:r>
    </w:p>
    <w:p w14:paraId="35575517" w14:textId="77777777" w:rsidR="00672FC0" w:rsidRPr="00154588" w:rsidRDefault="00672FC0" w:rsidP="00154588">
      <w:pPr>
        <w:jc w:val="both"/>
        <w:rPr>
          <w:rFonts w:ascii="Times New Roman" w:eastAsia="Book Antiqua" w:hAnsi="Times New Roman" w:cs="Book Antiqua"/>
          <w:noProof/>
          <w:sz w:val="24"/>
          <w:szCs w:val="18"/>
        </w:rPr>
      </w:pPr>
    </w:p>
    <w:p w14:paraId="72683210" w14:textId="77777777" w:rsidR="00672FC0" w:rsidRPr="00154588" w:rsidRDefault="00672FC0" w:rsidP="00154588">
      <w:pPr>
        <w:pStyle w:val="Heading3"/>
        <w:ind w:left="0"/>
        <w:jc w:val="both"/>
        <w:rPr>
          <w:rFonts w:ascii="Times New Roman" w:hAnsi="Times New Roman"/>
          <w:noProof/>
          <w:sz w:val="24"/>
        </w:rPr>
      </w:pPr>
      <w:bookmarkStart w:id="62" w:name="_Toc46997560"/>
      <w:bookmarkStart w:id="63" w:name="_Toc47003085"/>
      <w:r>
        <w:rPr>
          <w:rFonts w:ascii="Times New Roman" w:hAnsi="Times New Roman"/>
          <w:sz w:val="24"/>
        </w:rPr>
        <w:t>Ārstēšana</w:t>
      </w:r>
      <w:bookmarkEnd w:id="62"/>
      <w:bookmarkEnd w:id="63"/>
    </w:p>
    <w:p w14:paraId="7DED6B64" w14:textId="3DCBD10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Akūta metrīta gadījumi jāārstē sistemātiski ar antibiotikām un, ja nepieciešams, ārstēšana jāpapildina ar šķidrumu terapiju un NPL. Neskatoties uz jaukto floru, kas parasti atrodama kultūrā, Zviedrijas apstākļos kā izvēles zāles lieto prokaīna benzilpenicilīnu. Alternatīvi prokaīna benzilpenicilīnam var lietot antibiotikas ar plašāku iedarbības spektru, piemēram, tetraciklīnu, ja iepriekšējos gadījumos gūtā pieredze un uzsējumu rezultāti šādu izvēli pamato. Ārstēšanu ieteicams turpināt 5–7 dienas, taču slimības gaita parasti ir diezgan strauja, un tas nozīmē, ka pastāvīgi jāizvērtē ārstēšanas rezultāti un jābūt gataviem terapiju pēc vajadzības mainīt.</w:t>
      </w:r>
    </w:p>
    <w:p w14:paraId="183DD16B" w14:textId="77777777" w:rsidR="00672FC0" w:rsidRPr="00154588" w:rsidRDefault="00672FC0" w:rsidP="00154588">
      <w:pPr>
        <w:jc w:val="both"/>
        <w:rPr>
          <w:rFonts w:ascii="Times New Roman" w:eastAsia="Book Antiqua" w:hAnsi="Times New Roman" w:cs="Book Antiqua"/>
          <w:noProof/>
          <w:sz w:val="24"/>
          <w:szCs w:val="26"/>
        </w:rPr>
      </w:pPr>
    </w:p>
    <w:p w14:paraId="1697B38A" w14:textId="77777777" w:rsidR="00672FC0" w:rsidRPr="009940DD" w:rsidRDefault="00672FC0" w:rsidP="00154588">
      <w:pPr>
        <w:pStyle w:val="Heading2"/>
        <w:ind w:left="0"/>
        <w:jc w:val="both"/>
        <w:rPr>
          <w:rFonts w:ascii="Times New Roman" w:hAnsi="Times New Roman"/>
          <w:noProof/>
          <w:sz w:val="28"/>
          <w:szCs w:val="24"/>
        </w:rPr>
      </w:pPr>
      <w:bookmarkStart w:id="64" w:name="_Toc46997561"/>
      <w:bookmarkStart w:id="65" w:name="_Toc47003086"/>
      <w:r w:rsidRPr="009940DD">
        <w:rPr>
          <w:rFonts w:ascii="Times New Roman" w:hAnsi="Times New Roman"/>
          <w:sz w:val="28"/>
          <w:szCs w:val="24"/>
        </w:rPr>
        <w:t>Endometrīts un piometra</w:t>
      </w:r>
      <w:bookmarkEnd w:id="64"/>
      <w:bookmarkEnd w:id="65"/>
    </w:p>
    <w:p w14:paraId="157CF4EB" w14:textId="77777777" w:rsidR="00E2764A" w:rsidRDefault="00E2764A" w:rsidP="00154588">
      <w:pPr>
        <w:pStyle w:val="BodyText"/>
        <w:spacing w:before="0"/>
        <w:ind w:left="0"/>
        <w:jc w:val="both"/>
        <w:rPr>
          <w:rFonts w:ascii="Times New Roman" w:hAnsi="Times New Roman"/>
          <w:sz w:val="24"/>
        </w:rPr>
      </w:pPr>
    </w:p>
    <w:p w14:paraId="54CF7B6A" w14:textId="2B592213"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Endometrīts ir virspusēja endometrija infekcija, kurai raksturīgi katarāli, strutaini vai gļotu un strutu izdalījumi, kas turpinās ilgāk par parasto laiku (apmēram 4 nedēļas) pēc atnešanās. Dzemdi palpējot, tā šķiet normāla (1. pakāpe) vai arī var būt uzpūsta un/vai palielināta ar sabiezinātu sienu (2. pakāpe). Dzīvnieka vispārējais stāvoklis nav skarts, un parasti cikls ir normāls vai dažreiz ar neregulāru meklēšanos.</w:t>
      </w:r>
    </w:p>
    <w:p w14:paraId="63FD5BAE" w14:textId="77777777" w:rsidR="00800077" w:rsidRPr="00154588" w:rsidRDefault="00800077" w:rsidP="00154588">
      <w:pPr>
        <w:pStyle w:val="BodyText"/>
        <w:spacing w:before="0"/>
        <w:ind w:left="0"/>
        <w:jc w:val="both"/>
        <w:rPr>
          <w:rFonts w:ascii="Times New Roman" w:hAnsi="Times New Roman"/>
          <w:noProof/>
          <w:sz w:val="24"/>
        </w:rPr>
      </w:pPr>
    </w:p>
    <w:p w14:paraId="36BE79E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Endometrīta 3. pakāpei (piometrai) ir raksturīgs strutains dzemdes dobums, bieži vien ar </w:t>
      </w:r>
      <w:r>
        <w:rPr>
          <w:rFonts w:ascii="Times New Roman" w:hAnsi="Times New Roman"/>
          <w:sz w:val="24"/>
        </w:rPr>
        <w:lastRenderedPageBreak/>
        <w:t xml:space="preserve">slēgtu dzemdes kaklu un bez meklēšanās ar nezūdošu </w:t>
      </w:r>
      <w:r>
        <w:rPr>
          <w:rFonts w:ascii="Times New Roman" w:hAnsi="Times New Roman"/>
          <w:i/>
          <w:sz w:val="24"/>
        </w:rPr>
        <w:t>corpus luteum</w:t>
      </w:r>
      <w:r>
        <w:rPr>
          <w:rFonts w:ascii="Times New Roman" w:hAnsi="Times New Roman"/>
          <w:sz w:val="24"/>
        </w:rPr>
        <w:t>. Govīm ar piometru vispārējais stāvoklis parasti saglabājas neskarts.</w:t>
      </w:r>
    </w:p>
    <w:p w14:paraId="4456ADEA" w14:textId="77777777" w:rsidR="00672FC0" w:rsidRPr="00154588" w:rsidRDefault="00672FC0" w:rsidP="00154588">
      <w:pPr>
        <w:jc w:val="both"/>
        <w:rPr>
          <w:rFonts w:ascii="Times New Roman" w:hAnsi="Times New Roman"/>
          <w:noProof/>
          <w:sz w:val="24"/>
        </w:rPr>
      </w:pPr>
    </w:p>
    <w:p w14:paraId="4C5AC98A" w14:textId="77777777" w:rsidR="00672FC0" w:rsidRPr="00154588" w:rsidRDefault="00672FC0" w:rsidP="00154588">
      <w:pPr>
        <w:pStyle w:val="Heading3"/>
        <w:ind w:left="0"/>
        <w:jc w:val="both"/>
        <w:rPr>
          <w:rFonts w:ascii="Times New Roman" w:hAnsi="Times New Roman"/>
          <w:noProof/>
          <w:sz w:val="24"/>
        </w:rPr>
      </w:pPr>
      <w:bookmarkStart w:id="66" w:name="_Toc46997562"/>
      <w:bookmarkStart w:id="67" w:name="_Toc47003087"/>
      <w:r>
        <w:rPr>
          <w:rFonts w:ascii="Times New Roman" w:hAnsi="Times New Roman"/>
          <w:sz w:val="24"/>
        </w:rPr>
        <w:t>Ārstēšana</w:t>
      </w:r>
      <w:bookmarkEnd w:id="66"/>
      <w:bookmarkEnd w:id="67"/>
    </w:p>
    <w:p w14:paraId="51F2A3AD" w14:textId="5513F704"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Antibiotiku iedarbīgums liellopu endometrīta gadījumā ir mazs, tāpēc mikroorganismu rezistences veidošanās riska dēļ no šādas ārstēšanās jāizvairās. Tā vietā jāstimulē dzīšanas mehānismi, nodrošinot govīm labu aprūpi, līdzsvarotu barību, labu higiēnu un atbilstošus pārvaldības pasākumus. Kad govs sāk meklēties, parastie dzīšanas procesi dzemdē aktivizējas, tāpēc bieži vien ir lietderīgi izmantot hormonāli ierosinātu meklēšanos, piemēram, ar prostaglandīniem. Ja govij parādās endometrīta simptomi vēlāk nekā 4 nedēļas pēc atnešanās, tā jāārstē ar prostaglandīnu. Ārstēšanu var atkārtot pēc 10–14 dienām.</w:t>
      </w:r>
    </w:p>
    <w:p w14:paraId="79F827EC" w14:textId="77777777" w:rsidR="00800077" w:rsidRPr="00154588" w:rsidRDefault="00800077" w:rsidP="00154588">
      <w:pPr>
        <w:pStyle w:val="BodyText"/>
        <w:spacing w:before="0"/>
        <w:ind w:left="0"/>
        <w:jc w:val="both"/>
        <w:rPr>
          <w:rFonts w:ascii="Times New Roman" w:hAnsi="Times New Roman"/>
          <w:noProof/>
          <w:sz w:val="24"/>
        </w:rPr>
      </w:pPr>
    </w:p>
    <w:p w14:paraId="647DF6F1"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Hroniskos piometras gadījumos ar nezūdošu </w:t>
      </w:r>
      <w:r>
        <w:rPr>
          <w:rFonts w:ascii="Times New Roman" w:hAnsi="Times New Roman"/>
          <w:i/>
          <w:sz w:val="24"/>
        </w:rPr>
        <w:t>corpus luteum</w:t>
      </w:r>
      <w:r>
        <w:rPr>
          <w:rFonts w:ascii="Times New Roman" w:hAnsi="Times New Roman"/>
          <w:sz w:val="24"/>
        </w:rPr>
        <w:t xml:space="preserve"> ieteicams ārstēt govis ar prostaglandīnu, lai rosinātu ciklu uzsākšanos ar turpmāku dzemdes iztukšošanos.</w:t>
      </w:r>
    </w:p>
    <w:p w14:paraId="4F776640" w14:textId="77777777" w:rsidR="00672FC0" w:rsidRPr="00154588" w:rsidRDefault="00672FC0" w:rsidP="00154588">
      <w:pPr>
        <w:jc w:val="both"/>
        <w:rPr>
          <w:rFonts w:ascii="Times New Roman" w:eastAsia="Book Antiqua" w:hAnsi="Times New Roman" w:cs="Book Antiqua"/>
          <w:noProof/>
          <w:sz w:val="24"/>
          <w:szCs w:val="26"/>
        </w:rPr>
      </w:pPr>
    </w:p>
    <w:p w14:paraId="329A71E7" w14:textId="77777777" w:rsidR="00672FC0" w:rsidRPr="009940DD" w:rsidRDefault="00672FC0" w:rsidP="00154588">
      <w:pPr>
        <w:pStyle w:val="Heading2"/>
        <w:ind w:left="0"/>
        <w:jc w:val="both"/>
        <w:rPr>
          <w:rFonts w:ascii="Times New Roman" w:hAnsi="Times New Roman"/>
          <w:noProof/>
          <w:sz w:val="28"/>
          <w:szCs w:val="24"/>
        </w:rPr>
      </w:pPr>
      <w:bookmarkStart w:id="68" w:name="_Toc46997563"/>
      <w:bookmarkStart w:id="69" w:name="_Toc47003088"/>
      <w:r w:rsidRPr="009940DD">
        <w:rPr>
          <w:rFonts w:ascii="Times New Roman" w:hAnsi="Times New Roman"/>
          <w:sz w:val="28"/>
          <w:szCs w:val="24"/>
        </w:rPr>
        <w:t>Placentas retence</w:t>
      </w:r>
      <w:bookmarkEnd w:id="68"/>
      <w:bookmarkEnd w:id="69"/>
    </w:p>
    <w:p w14:paraId="43B64AD3" w14:textId="77777777" w:rsidR="00E2764A" w:rsidRDefault="00E2764A" w:rsidP="00154588">
      <w:pPr>
        <w:pStyle w:val="BodyText"/>
        <w:spacing w:before="0"/>
        <w:ind w:left="0"/>
        <w:jc w:val="both"/>
        <w:rPr>
          <w:rFonts w:ascii="Times New Roman" w:hAnsi="Times New Roman"/>
          <w:sz w:val="24"/>
        </w:rPr>
      </w:pPr>
    </w:p>
    <w:p w14:paraId="6A107DC9" w14:textId="75CC8FD1"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Uzskata, ka govij ir placentas retence (PR), ja augļa membrānas netiek izvadītas no dzemdes 12 stundu laikā. Govīm ar PR ir paaugstināts metrīta vai endometrīta risks. PR etioloģijā ir iesaistīti daudzi faktori, un to var izraisīt vielmaiņas, kā arī higiēnas faktori. Lielākajā daļā publicēto pētījumu ir norādīts, ka PR maz ietekmē auglību.</w:t>
      </w:r>
    </w:p>
    <w:p w14:paraId="14219307" w14:textId="40206FE9" w:rsidR="00154588" w:rsidRDefault="00154588" w:rsidP="00154588">
      <w:pPr>
        <w:jc w:val="both"/>
        <w:rPr>
          <w:rFonts w:ascii="Times New Roman" w:hAnsi="Times New Roman"/>
          <w:noProof/>
          <w:sz w:val="24"/>
        </w:rPr>
      </w:pPr>
    </w:p>
    <w:p w14:paraId="37721C21" w14:textId="10F894E8" w:rsidR="00800077" w:rsidRDefault="00800077" w:rsidP="00154588">
      <w:pPr>
        <w:jc w:val="both"/>
        <w:rPr>
          <w:rFonts w:ascii="Times New Roman" w:hAnsi="Times New Roman"/>
          <w:noProof/>
          <w:sz w:val="24"/>
        </w:rPr>
      </w:pPr>
      <w:r>
        <w:rPr>
          <w:rFonts w:ascii="Times New Roman" w:hAnsi="Times New Roman"/>
          <w:noProof/>
          <w:sz w:val="24"/>
        </w:rPr>
        <w:drawing>
          <wp:inline distT="0" distB="0" distL="0" distR="0" wp14:anchorId="1B7E9CEF" wp14:editId="19C0B551">
            <wp:extent cx="2084070" cy="1626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4070" cy="1626870"/>
                    </a:xfrm>
                    <a:prstGeom prst="rect">
                      <a:avLst/>
                    </a:prstGeom>
                    <a:noFill/>
                    <a:ln>
                      <a:noFill/>
                    </a:ln>
                  </pic:spPr>
                </pic:pic>
              </a:graphicData>
            </a:graphic>
          </wp:inline>
        </w:drawing>
      </w:r>
    </w:p>
    <w:p w14:paraId="40512E74" w14:textId="77777777" w:rsidR="00800077" w:rsidRPr="00154588" w:rsidRDefault="00800077" w:rsidP="00154588">
      <w:pPr>
        <w:jc w:val="both"/>
        <w:rPr>
          <w:rFonts w:ascii="Times New Roman" w:hAnsi="Times New Roman"/>
          <w:noProof/>
          <w:sz w:val="24"/>
        </w:rPr>
      </w:pPr>
    </w:p>
    <w:p w14:paraId="15F98B5E"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Tomēr norādes liecina, ka mēģinājumi manuāli atbrīvoties no aizturētās placentas var pasliktināt auglību.</w:t>
      </w:r>
    </w:p>
    <w:p w14:paraId="21644089" w14:textId="77777777" w:rsidR="00672FC0" w:rsidRPr="00154588" w:rsidRDefault="00672FC0" w:rsidP="00154588">
      <w:pPr>
        <w:jc w:val="both"/>
        <w:rPr>
          <w:rFonts w:ascii="Times New Roman" w:eastAsia="Book Antiqua" w:hAnsi="Times New Roman" w:cs="Book Antiqua"/>
          <w:noProof/>
          <w:sz w:val="24"/>
          <w:szCs w:val="18"/>
        </w:rPr>
      </w:pPr>
    </w:p>
    <w:p w14:paraId="1E0C81C4" w14:textId="77777777" w:rsidR="00672FC0" w:rsidRPr="00154588" w:rsidRDefault="00672FC0" w:rsidP="00154588">
      <w:pPr>
        <w:pStyle w:val="Heading3"/>
        <w:ind w:left="0"/>
        <w:jc w:val="both"/>
        <w:rPr>
          <w:rFonts w:ascii="Times New Roman" w:hAnsi="Times New Roman"/>
          <w:noProof/>
          <w:sz w:val="24"/>
        </w:rPr>
      </w:pPr>
      <w:bookmarkStart w:id="70" w:name="_Toc46997564"/>
      <w:bookmarkStart w:id="71" w:name="_Toc47003089"/>
      <w:r>
        <w:rPr>
          <w:rFonts w:ascii="Times New Roman" w:hAnsi="Times New Roman"/>
          <w:sz w:val="24"/>
        </w:rPr>
        <w:t>Ārstēšana</w:t>
      </w:r>
      <w:bookmarkEnd w:id="70"/>
      <w:bookmarkEnd w:id="71"/>
    </w:p>
    <w:p w14:paraId="60DB064E" w14:textId="0FA49C8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Zviedrijā pašlaik (2016) visizplatītākais rīcības veids PR gadījumā ir konservatīva ārstēšana, t. i., ļaut dzemdei sarauties kā parasti, izšķīdinot membrānas un atbrīvojoties no tām. Lauksaimniekam/īpašniekam ieteicams katru dienu pārliecināties par govs ēstgribu, ķermeņa temperatūru un vispārējo stāvokli. Ja temperatūra paaugstinās virs 39,5 °C un ir skarts govs vispārējais stāvoklis, ieteicama 3–5 dienu ilga ārstēšana ar prokaīna benzilpenicilīnu (vai tetraciklīnu). Vietēji lietotu antibiotiku iedarbīgums uz baktērijām ir ierobežots, un tām var būt nelabvēlīga ietekme uz dzemdes gļotādu. Manuāla aizturētās placentas izņemšana nav ieteicama un pat var būt kontrindicēta, jo aptuveni 50 % aizturēto placentu ir pārāk stingri piestiprinātas pie dzemdes sieniņas, lai tās izņemtu.</w:t>
      </w:r>
    </w:p>
    <w:p w14:paraId="4D8DD0D3" w14:textId="77777777" w:rsidR="00672FC0" w:rsidRPr="00154588" w:rsidRDefault="00672FC0" w:rsidP="00154588">
      <w:pPr>
        <w:jc w:val="both"/>
        <w:rPr>
          <w:rFonts w:ascii="Times New Roman" w:hAnsi="Times New Roman"/>
          <w:noProof/>
          <w:sz w:val="24"/>
        </w:rPr>
      </w:pPr>
    </w:p>
    <w:p w14:paraId="54911D78" w14:textId="77777777" w:rsidR="00672FC0" w:rsidRPr="009940DD" w:rsidRDefault="00672FC0" w:rsidP="00154588">
      <w:pPr>
        <w:pStyle w:val="Heading2"/>
        <w:ind w:left="0"/>
        <w:jc w:val="both"/>
        <w:rPr>
          <w:rFonts w:ascii="Times New Roman" w:hAnsi="Times New Roman"/>
          <w:noProof/>
          <w:sz w:val="28"/>
          <w:szCs w:val="24"/>
        </w:rPr>
      </w:pPr>
      <w:bookmarkStart w:id="72" w:name="_Toc46997565"/>
      <w:bookmarkStart w:id="73" w:name="_Toc47003090"/>
      <w:r w:rsidRPr="009940DD">
        <w:rPr>
          <w:rFonts w:ascii="Times New Roman" w:hAnsi="Times New Roman"/>
          <w:sz w:val="28"/>
          <w:szCs w:val="24"/>
        </w:rPr>
        <w:t>Augsts antibiotiku patēriņš vai ieteikumu neievērošana</w:t>
      </w:r>
      <w:bookmarkEnd w:id="72"/>
      <w:bookmarkEnd w:id="73"/>
    </w:p>
    <w:p w14:paraId="06838059" w14:textId="77777777" w:rsidR="00E2764A" w:rsidRDefault="00E2764A" w:rsidP="00154588">
      <w:pPr>
        <w:pStyle w:val="BodyText"/>
        <w:spacing w:before="0"/>
        <w:ind w:left="0"/>
        <w:jc w:val="both"/>
        <w:rPr>
          <w:rFonts w:ascii="Times New Roman" w:hAnsi="Times New Roman"/>
          <w:sz w:val="24"/>
        </w:rPr>
      </w:pPr>
    </w:p>
    <w:p w14:paraId="5E24773C" w14:textId="43614AE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Ārstēšanas biežumu, kad ar antibiotiku terapiju ārste 4 % dzemdes infekciju gadā vai vairāk, Zviedrijā (2016) uzskata par augstu, līdz ar to – par trauksmes līmeni valsts konsultāciju </w:t>
      </w:r>
      <w:r>
        <w:rPr>
          <w:rFonts w:ascii="Times New Roman" w:hAnsi="Times New Roman"/>
          <w:sz w:val="24"/>
        </w:rPr>
        <w:lastRenderedPageBreak/>
        <w:t>sistēmās. Cefalosporīnus neizmanto (skatīt citu šo vadlīniju nodaļu), un, ja tetraciklīnu lieto vairāk nekā 50 % gadījumu, arī to uzskata par neatbilstošu ieteikumiem. Ja saimniecībā šādu stāvokli konstatē, ieteicams sadarbībā ar ganāmpulka veselības speciālistu veikt reproduktīvās veselības un antibiotiku lietošanas izmeklēšanu.</w:t>
      </w:r>
    </w:p>
    <w:p w14:paraId="37FF0F31" w14:textId="77777777" w:rsidR="00672FC0" w:rsidRPr="00154588" w:rsidRDefault="00672FC0" w:rsidP="00154588">
      <w:pPr>
        <w:jc w:val="both"/>
        <w:rPr>
          <w:rFonts w:ascii="Times New Roman" w:eastAsia="Book Antiqua" w:hAnsi="Times New Roman" w:cs="Book Antiqua"/>
          <w:noProof/>
          <w:sz w:val="24"/>
          <w:szCs w:val="16"/>
        </w:rPr>
      </w:pPr>
    </w:p>
    <w:p w14:paraId="4EF68ED6" w14:textId="10911BFC" w:rsidR="00672FC0" w:rsidRPr="00154588" w:rsidRDefault="00800077" w:rsidP="00800077">
      <w:pPr>
        <w:jc w:val="center"/>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54584CCA" wp14:editId="1AE64FD3">
            <wp:extent cx="4795520"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5520" cy="2860040"/>
                    </a:xfrm>
                    <a:prstGeom prst="rect">
                      <a:avLst/>
                    </a:prstGeom>
                    <a:noFill/>
                    <a:ln>
                      <a:noFill/>
                    </a:ln>
                  </pic:spPr>
                </pic:pic>
              </a:graphicData>
            </a:graphic>
          </wp:inline>
        </w:drawing>
      </w:r>
    </w:p>
    <w:p w14:paraId="70298E58" w14:textId="70681AC8" w:rsidR="00610F78" w:rsidRDefault="00610F78">
      <w:pPr>
        <w:rPr>
          <w:rFonts w:ascii="Times New Roman" w:eastAsia="Book Antiqua" w:hAnsi="Times New Roman" w:cs="Book Antiqua"/>
          <w:noProof/>
          <w:sz w:val="24"/>
          <w:szCs w:val="20"/>
        </w:rPr>
      </w:pPr>
      <w:r>
        <w:rPr>
          <w:rFonts w:ascii="Times New Roman" w:eastAsia="Book Antiqua" w:hAnsi="Times New Roman" w:cs="Book Antiqua"/>
          <w:noProof/>
          <w:sz w:val="24"/>
          <w:szCs w:val="20"/>
        </w:rPr>
        <w:br w:type="page"/>
      </w:r>
    </w:p>
    <w:p w14:paraId="64D85846" w14:textId="77777777" w:rsidR="00154588" w:rsidRPr="00154588" w:rsidRDefault="00154588" w:rsidP="00154588">
      <w:pPr>
        <w:jc w:val="both"/>
        <w:rPr>
          <w:rFonts w:ascii="Times New Roman" w:eastAsia="Book Antiqua" w:hAnsi="Times New Roman" w:cs="Book Antiqua"/>
          <w:noProof/>
          <w:sz w:val="24"/>
          <w:szCs w:val="20"/>
        </w:rPr>
      </w:pPr>
    </w:p>
    <w:p w14:paraId="1D5A8775" w14:textId="77777777" w:rsidR="00672FC0" w:rsidRPr="009940DD" w:rsidRDefault="00672FC0" w:rsidP="009940DD">
      <w:pPr>
        <w:pStyle w:val="Heading1"/>
        <w:rPr>
          <w:sz w:val="28"/>
          <w:szCs w:val="32"/>
        </w:rPr>
      </w:pPr>
      <w:bookmarkStart w:id="74" w:name="_TOC_250025"/>
      <w:bookmarkStart w:id="75" w:name="_Toc46997566"/>
      <w:bookmarkStart w:id="76" w:name="_Toc47003091"/>
      <w:r w:rsidRPr="009940DD">
        <w:rPr>
          <w:sz w:val="28"/>
          <w:szCs w:val="32"/>
        </w:rPr>
        <w:t>Balsta un kustību orgānu sistēmas infekcijas</w:t>
      </w:r>
      <w:bookmarkEnd w:id="74"/>
      <w:bookmarkEnd w:id="75"/>
      <w:bookmarkEnd w:id="76"/>
    </w:p>
    <w:p w14:paraId="42FE1970" w14:textId="77777777" w:rsidR="00800077" w:rsidRDefault="00800077" w:rsidP="00154588">
      <w:pPr>
        <w:jc w:val="both"/>
        <w:rPr>
          <w:rFonts w:ascii="Times New Roman" w:hAnsi="Times New Roman"/>
          <w:i/>
          <w:noProof/>
          <w:sz w:val="24"/>
        </w:rPr>
      </w:pPr>
    </w:p>
    <w:p w14:paraId="350B67CD" w14:textId="29EB4D38" w:rsidR="00672FC0" w:rsidRPr="00154588" w:rsidRDefault="00672FC0" w:rsidP="00154588">
      <w:pPr>
        <w:jc w:val="both"/>
        <w:rPr>
          <w:rFonts w:ascii="Times New Roman" w:hAnsi="Times New Roman"/>
          <w:i/>
          <w:noProof/>
          <w:sz w:val="24"/>
        </w:rPr>
      </w:pPr>
      <w:r>
        <w:rPr>
          <w:rFonts w:ascii="Times New Roman" w:hAnsi="Times New Roman"/>
          <w:i/>
          <w:sz w:val="24"/>
        </w:rPr>
        <w:t>Kristers Bergstens [Christer Bergsten], veterinārās medicīnas zinātņu doktors, Dr. phil.</w:t>
      </w:r>
    </w:p>
    <w:p w14:paraId="1199E437" w14:textId="77777777" w:rsidR="00672FC0" w:rsidRPr="00154588" w:rsidRDefault="00672FC0" w:rsidP="00154588">
      <w:pPr>
        <w:jc w:val="both"/>
        <w:rPr>
          <w:rFonts w:ascii="Times New Roman" w:eastAsia="Book Antiqua" w:hAnsi="Times New Roman" w:cs="Book Antiqua"/>
          <w:i/>
          <w:noProof/>
          <w:sz w:val="24"/>
          <w:szCs w:val="27"/>
        </w:rPr>
      </w:pPr>
    </w:p>
    <w:p w14:paraId="57D4C30F" w14:textId="77777777" w:rsidR="00672FC0" w:rsidRPr="009940DD" w:rsidRDefault="00672FC0" w:rsidP="00154588">
      <w:pPr>
        <w:pStyle w:val="Heading2"/>
        <w:ind w:left="0"/>
        <w:jc w:val="both"/>
        <w:rPr>
          <w:rFonts w:ascii="Times New Roman" w:hAnsi="Times New Roman"/>
          <w:noProof/>
          <w:sz w:val="28"/>
          <w:szCs w:val="24"/>
        </w:rPr>
      </w:pPr>
      <w:bookmarkStart w:id="77" w:name="_Toc46997567"/>
      <w:bookmarkStart w:id="78" w:name="_Toc47003092"/>
      <w:r w:rsidRPr="009940DD">
        <w:rPr>
          <w:rFonts w:ascii="Times New Roman" w:hAnsi="Times New Roman"/>
          <w:sz w:val="28"/>
          <w:szCs w:val="24"/>
        </w:rPr>
        <w:t>Interdigitālā flegmona</w:t>
      </w:r>
      <w:bookmarkEnd w:id="77"/>
      <w:bookmarkEnd w:id="78"/>
    </w:p>
    <w:p w14:paraId="059F45E4" w14:textId="77777777" w:rsidR="00E2764A" w:rsidRDefault="00E2764A" w:rsidP="00154588">
      <w:pPr>
        <w:pStyle w:val="BodyText"/>
        <w:spacing w:before="0"/>
        <w:ind w:left="0"/>
        <w:jc w:val="both"/>
        <w:rPr>
          <w:rFonts w:ascii="Times New Roman" w:hAnsi="Times New Roman"/>
          <w:sz w:val="24"/>
        </w:rPr>
      </w:pPr>
    </w:p>
    <w:p w14:paraId="4C165151" w14:textId="7DDF968B"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Interdigitālā flegmona (ko dēvē arī par pēdu puvi, panarīciju, interdigitālo nekrobacilozi) izraisa akūtu klibumu, parasti vienā kājā. Simptomi ir vietējs pietūkums slimības skartajā kājā, drudzis un pasliktināts vispārējais stāvoklis. Interdigitālajā zonā atrod tradicionālās iekaisuma pazīmes, t. i., pietūkumu un ādas apsārtumu. Slimībai progresējot, novēro plīsumus, nekrotiskus audus un smakojošus, strutainus izdalījumus. Slimība bieži skar atsevišķus dzīvniekus, bet liellopu ganāmpulkos vai grupās tā var būt endēmiska – bieži predisponējošu faktoru dēļ attiecīgajā vidē. Baktēriju ieviešanās, kas parasti notiek ar jaunu dzīvnieku starpniecību, ganāmpulkā ir būtisks riska faktors, tāpat kā netīra vide un trauma interdigitālajā zonā.</w:t>
      </w:r>
    </w:p>
    <w:p w14:paraId="77A840DD" w14:textId="77777777" w:rsidR="00610F78" w:rsidRDefault="00610F78" w:rsidP="00154588">
      <w:pPr>
        <w:pStyle w:val="BodyText"/>
        <w:spacing w:before="0"/>
        <w:ind w:left="0"/>
        <w:jc w:val="both"/>
        <w:rPr>
          <w:rFonts w:ascii="Times New Roman" w:hAnsi="Times New Roman"/>
          <w:noProof/>
          <w:sz w:val="24"/>
        </w:rPr>
      </w:pPr>
    </w:p>
    <w:p w14:paraId="2AA6C9BA" w14:textId="43AD467E" w:rsidR="00610F78" w:rsidRDefault="00610F78" w:rsidP="00154588">
      <w:pPr>
        <w:pStyle w:val="BodyText"/>
        <w:spacing w:before="0"/>
        <w:ind w:left="0"/>
        <w:jc w:val="both"/>
        <w:rPr>
          <w:rFonts w:ascii="Times New Roman" w:hAnsi="Times New Roman"/>
          <w:noProof/>
          <w:sz w:val="24"/>
        </w:rPr>
      </w:pPr>
      <w:r w:rsidRPr="00610F78">
        <w:rPr>
          <w:rFonts w:ascii="Times New Roman" w:hAnsi="Times New Roman"/>
          <w:noProof/>
          <w:sz w:val="24"/>
        </w:rPr>
        <w:drawing>
          <wp:inline distT="0" distB="0" distL="0" distR="0" wp14:anchorId="76E12892" wp14:editId="6C44E110">
            <wp:extent cx="2104845" cy="302998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2043" cy="3040344"/>
                    </a:xfrm>
                    <a:prstGeom prst="rect">
                      <a:avLst/>
                    </a:prstGeom>
                    <a:noFill/>
                    <a:ln>
                      <a:noFill/>
                    </a:ln>
                  </pic:spPr>
                </pic:pic>
              </a:graphicData>
            </a:graphic>
          </wp:inline>
        </w:drawing>
      </w:r>
    </w:p>
    <w:p w14:paraId="15B5FD6F" w14:textId="77777777" w:rsidR="00610F78" w:rsidRPr="00154588" w:rsidRDefault="00610F78" w:rsidP="00154588">
      <w:pPr>
        <w:pStyle w:val="BodyText"/>
        <w:spacing w:before="0"/>
        <w:ind w:left="0"/>
        <w:jc w:val="both"/>
        <w:rPr>
          <w:rFonts w:ascii="Times New Roman" w:hAnsi="Times New Roman"/>
          <w:noProof/>
          <w:sz w:val="24"/>
        </w:rPr>
      </w:pPr>
    </w:p>
    <w:p w14:paraId="4CE39D34" w14:textId="4A3E4A3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Primārais bakteriālais infekcijas izraisītājs ir </w:t>
      </w:r>
      <w:r>
        <w:rPr>
          <w:rFonts w:ascii="Times New Roman" w:hAnsi="Times New Roman"/>
          <w:i/>
          <w:sz w:val="24"/>
        </w:rPr>
        <w:t>Fusobacterium necrophorum</w:t>
      </w:r>
      <w:r>
        <w:rPr>
          <w:rFonts w:ascii="Times New Roman" w:hAnsi="Times New Roman"/>
          <w:sz w:val="24"/>
        </w:rPr>
        <w:t xml:space="preserve"> – plaši sastopams oportūnistisks patogēns; bieži atrod vairākus dažādus baktēriju paveidus vienlaicīgi. Kad ganāmpulkā ir akūts jaunas slimības uzliesmojums, dažreiz ir vērts ņemt paraugus, lai noteiktu </w:t>
      </w:r>
      <w:r>
        <w:rPr>
          <w:rFonts w:ascii="Times New Roman" w:hAnsi="Times New Roman"/>
          <w:i/>
          <w:sz w:val="24"/>
        </w:rPr>
        <w:t>F. necrophorum</w:t>
      </w:r>
      <w:r>
        <w:rPr>
          <w:rFonts w:ascii="Times New Roman" w:hAnsi="Times New Roman"/>
          <w:sz w:val="24"/>
        </w:rPr>
        <w:t xml:space="preserve"> biotipu un jutīgumu. Interdigitālās flegmonas uzliesmojumu gadījumos jāveic rūpīga ganāmpulka pārbaude un predisponējošo faktoru korekcija. Lai novērstu turpmāku slimības izplatīšanos, slimības skartie dzīvnieki jāizolē. Dzīvniekiem, kas atveseļojas, parasti veidojas imunitāte, tāpēc neliels saslimstības līmenis ganāmpulkā var palīdzēt nodrošināt dzīvnieku veselību. Piena govju ganāmpulkos var nākt par labu, ja gados jaunos dzīvniekus pakļauj saskarsmei ar infekciju, kas ir gados vecākiem dzīvniekiem, šādi panākot viņu imunizāciju.</w:t>
      </w:r>
    </w:p>
    <w:p w14:paraId="0546CA99" w14:textId="77777777" w:rsidR="00154588" w:rsidRPr="00154588" w:rsidRDefault="00154588" w:rsidP="00154588">
      <w:pPr>
        <w:jc w:val="both"/>
        <w:rPr>
          <w:rFonts w:ascii="Times New Roman" w:hAnsi="Times New Roman"/>
          <w:noProof/>
          <w:sz w:val="24"/>
        </w:rPr>
      </w:pPr>
    </w:p>
    <w:p w14:paraId="12264800" w14:textId="77777777" w:rsidR="00672FC0" w:rsidRPr="00154588" w:rsidRDefault="00672FC0" w:rsidP="00154588">
      <w:pPr>
        <w:pStyle w:val="Heading3"/>
        <w:ind w:left="0"/>
        <w:jc w:val="both"/>
        <w:rPr>
          <w:rFonts w:ascii="Times New Roman" w:hAnsi="Times New Roman"/>
          <w:noProof/>
          <w:sz w:val="24"/>
        </w:rPr>
      </w:pPr>
      <w:bookmarkStart w:id="79" w:name="_Toc46997568"/>
      <w:bookmarkStart w:id="80" w:name="_Toc47003093"/>
      <w:r>
        <w:rPr>
          <w:rFonts w:ascii="Times New Roman" w:hAnsi="Times New Roman"/>
          <w:sz w:val="24"/>
        </w:rPr>
        <w:t>Ārstēšana</w:t>
      </w:r>
      <w:bookmarkEnd w:id="79"/>
      <w:bookmarkEnd w:id="80"/>
    </w:p>
    <w:p w14:paraId="61A4E55D" w14:textId="261BC4B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Zviedrijas apstākļos ieteicamā ārstēšana ir </w:t>
      </w:r>
      <w:r>
        <w:rPr>
          <w:rFonts w:ascii="Times New Roman" w:hAnsi="Times New Roman"/>
          <w:b/>
          <w:bCs/>
          <w:i/>
          <w:iCs/>
          <w:sz w:val="24"/>
        </w:rPr>
        <w:t>prokaīna benzilpenicilīns</w:t>
      </w:r>
      <w:r>
        <w:rPr>
          <w:rFonts w:ascii="Times New Roman" w:hAnsi="Times New Roman"/>
          <w:sz w:val="24"/>
        </w:rPr>
        <w:t xml:space="preserve"> </w:t>
      </w:r>
      <w:r>
        <w:rPr>
          <w:rFonts w:ascii="Times New Roman" w:hAnsi="Times New Roman"/>
          <w:b/>
          <w:bCs/>
          <w:sz w:val="24"/>
        </w:rPr>
        <w:t>(</w:t>
      </w:r>
      <w:r>
        <w:rPr>
          <w:rFonts w:ascii="Times New Roman" w:hAnsi="Times New Roman"/>
          <w:b/>
          <w:bCs/>
          <w:i/>
          <w:iCs/>
          <w:sz w:val="24"/>
        </w:rPr>
        <w:t>BPP</w:t>
      </w:r>
      <w:r>
        <w:rPr>
          <w:rFonts w:ascii="Times New Roman" w:hAnsi="Times New Roman"/>
          <w:b/>
          <w:bCs/>
          <w:sz w:val="24"/>
        </w:rPr>
        <w:t>)</w:t>
      </w:r>
      <w:r>
        <w:rPr>
          <w:rFonts w:ascii="Times New Roman" w:hAnsi="Times New Roman"/>
          <w:sz w:val="24"/>
        </w:rPr>
        <w:t xml:space="preserve">, ko sistemātiski dod trīs dienas. Lai sekotu slimības gaitai, samazinātu infekcijas izplatību un atvieglotu darbu lauksaimniekam/lopkopim, slimības skartie dzīvnieki jānošķir no pārējā ganāmpulka. Ja ar šo </w:t>
      </w:r>
      <w:r>
        <w:rPr>
          <w:rFonts w:ascii="Times New Roman" w:hAnsi="Times New Roman"/>
          <w:sz w:val="24"/>
        </w:rPr>
        <w:lastRenderedPageBreak/>
        <w:t>slimību saslimst dzīvnieki, kurus grūti apstrādāt, var būt indicēti ilgstošas darbības preparāti, piemēram, ilgstošas darbības penicilīns. Ja slimība dzīvnieku ir skārusi tikai nedaudz vai diagnoze ir noteikta agrā stadijā, var pietikt ar to, ka slimības skarto ādu attiecīgajā vietā un ap to notīra un dezinficē. Ja veic tikai vietēju ārstēšanu, dzīvnieks ir rūpīgi jānovēro un, klibumam nemazinoties, nekavējoties jāveic sistēmiska terapija. Nepietiekama ārstēšana</w:t>
      </w:r>
    </w:p>
    <w:p w14:paraId="0E0017ED"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vai pasākumi, kas tiek veikti pārāk vēlu, var ļaut infekcijai izplatīties apakšstilba locītavās, un iznākums var būt letāls. Krasākas ārstēšanas alternatīvas var būt iekaisušās vietas ķirurģiska drenēšana, veicot radikālu rezekciju vai amputējot slimības skarto nagu ar nosacījumu, ka otrs nags ir neskarts un vesels.</w:t>
      </w:r>
    </w:p>
    <w:p w14:paraId="34A28B3B" w14:textId="77777777" w:rsidR="00672FC0" w:rsidRPr="00154588" w:rsidRDefault="00672FC0" w:rsidP="00154588">
      <w:pPr>
        <w:jc w:val="both"/>
        <w:rPr>
          <w:rFonts w:ascii="Times New Roman" w:eastAsia="Book Antiqua" w:hAnsi="Times New Roman" w:cs="Book Antiqua"/>
          <w:noProof/>
          <w:sz w:val="24"/>
          <w:szCs w:val="26"/>
        </w:rPr>
      </w:pPr>
    </w:p>
    <w:p w14:paraId="5AC42FBF" w14:textId="77777777" w:rsidR="00672FC0" w:rsidRPr="009940DD" w:rsidRDefault="00672FC0" w:rsidP="00154588">
      <w:pPr>
        <w:pStyle w:val="Heading2"/>
        <w:ind w:left="0"/>
        <w:jc w:val="both"/>
        <w:rPr>
          <w:rFonts w:ascii="Times New Roman" w:hAnsi="Times New Roman"/>
          <w:noProof/>
          <w:sz w:val="28"/>
          <w:szCs w:val="24"/>
        </w:rPr>
      </w:pPr>
      <w:bookmarkStart w:id="81" w:name="_Toc46997569"/>
      <w:bookmarkStart w:id="82" w:name="_Toc47003094"/>
      <w:r w:rsidRPr="009940DD">
        <w:rPr>
          <w:rFonts w:ascii="Times New Roman" w:hAnsi="Times New Roman"/>
          <w:sz w:val="28"/>
          <w:szCs w:val="24"/>
        </w:rPr>
        <w:t>Paceles infekcija</w:t>
      </w:r>
      <w:bookmarkEnd w:id="81"/>
      <w:bookmarkEnd w:id="82"/>
    </w:p>
    <w:p w14:paraId="697EE71C" w14:textId="77777777" w:rsidR="00E2764A" w:rsidRDefault="00E2764A" w:rsidP="00154588">
      <w:pPr>
        <w:pStyle w:val="BodyText"/>
        <w:spacing w:before="0"/>
        <w:ind w:left="0"/>
        <w:jc w:val="both"/>
        <w:rPr>
          <w:rFonts w:ascii="Times New Roman" w:hAnsi="Times New Roman"/>
          <w:sz w:val="24"/>
        </w:rPr>
      </w:pPr>
    </w:p>
    <w:p w14:paraId="3368A002" w14:textId="4A48E4D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Liellopiem bieži vien ir bojāta paceles āda nepietiekami labu apstākļu dēļ atpūtas vietās, piemēram, cietas un/vai netīras virsmas un šauri boksi. Šie paceles ievainojumi bieži kļūst inificēti un pietūkuši, un nopietnos gadījumos infekcija var skart locītavu. Pēdējā no minētajiem gadījumiem pasliktinās dzīvnieka vispārējais stāvoklis un sākas drudzis. Bieži sastopamas baktērijas ir </w:t>
      </w:r>
      <w:r>
        <w:rPr>
          <w:rFonts w:ascii="Times New Roman" w:hAnsi="Times New Roman"/>
          <w:i/>
          <w:sz w:val="24"/>
        </w:rPr>
        <w:t xml:space="preserve">Trueperella pyogenes </w:t>
      </w:r>
      <w:r>
        <w:rPr>
          <w:rFonts w:ascii="Times New Roman" w:hAnsi="Times New Roman"/>
          <w:sz w:val="24"/>
        </w:rPr>
        <w:t xml:space="preserve">un </w:t>
      </w:r>
      <w:r>
        <w:rPr>
          <w:rFonts w:ascii="Times New Roman" w:hAnsi="Times New Roman"/>
          <w:i/>
          <w:sz w:val="24"/>
        </w:rPr>
        <w:t>Staphylococcus </w:t>
      </w:r>
      <w:r>
        <w:rPr>
          <w:rFonts w:ascii="Times New Roman" w:hAnsi="Times New Roman"/>
          <w:i/>
          <w:iCs/>
          <w:sz w:val="24"/>
        </w:rPr>
        <w:t>spp</w:t>
      </w:r>
      <w:r>
        <w:rPr>
          <w:rFonts w:ascii="Times New Roman" w:hAnsi="Times New Roman"/>
          <w:sz w:val="24"/>
        </w:rPr>
        <w:t>.</w:t>
      </w:r>
    </w:p>
    <w:p w14:paraId="4FCF3C99" w14:textId="77777777" w:rsidR="00672FC0" w:rsidRPr="00154588" w:rsidRDefault="00672FC0" w:rsidP="00154588">
      <w:pPr>
        <w:jc w:val="both"/>
        <w:rPr>
          <w:rFonts w:ascii="Times New Roman" w:eastAsia="Book Antiqua" w:hAnsi="Times New Roman" w:cs="Book Antiqua"/>
          <w:noProof/>
          <w:sz w:val="24"/>
          <w:szCs w:val="18"/>
        </w:rPr>
      </w:pPr>
    </w:p>
    <w:p w14:paraId="5C54AB8C" w14:textId="77777777" w:rsidR="00672FC0" w:rsidRPr="00154588" w:rsidRDefault="00672FC0" w:rsidP="00154588">
      <w:pPr>
        <w:pStyle w:val="Heading3"/>
        <w:ind w:left="0"/>
        <w:jc w:val="both"/>
        <w:rPr>
          <w:rFonts w:ascii="Times New Roman" w:hAnsi="Times New Roman"/>
          <w:noProof/>
          <w:sz w:val="24"/>
        </w:rPr>
      </w:pPr>
      <w:bookmarkStart w:id="83" w:name="_Toc46997570"/>
      <w:bookmarkStart w:id="84" w:name="_Toc47003095"/>
      <w:r>
        <w:rPr>
          <w:rFonts w:ascii="Times New Roman" w:hAnsi="Times New Roman"/>
          <w:sz w:val="24"/>
        </w:rPr>
        <w:t>Ārstēšana</w:t>
      </w:r>
      <w:bookmarkEnd w:id="83"/>
      <w:bookmarkEnd w:id="84"/>
    </w:p>
    <w:p w14:paraId="3745FE44" w14:textId="72664DCF"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Apakšējo ekstremitāšu infekcijas, kas izraisa drudzi un klibumu, ar celulītu vai bez tā, jāārstē sistēmiski ar antibiotikām – izvēles zāles ir prokaīna benzilpenicilīns. Izolēts iekaisums, uz kuru nevar iedarboties ar vietējām vai sistēmiskām antibiotikām, jādrenē ķirurģiski. Ja neuzlabo atpūtas vietas un nepalielina pakaišu kvalitāti un daudzumu, prognoze, ka veselība pilnībā atjaunosies, ir slikta. Vasarā par labu nāk laišana labi nosusinātās ganībās.</w:t>
      </w:r>
    </w:p>
    <w:p w14:paraId="13383978" w14:textId="77777777" w:rsidR="00672FC0" w:rsidRPr="00154588" w:rsidRDefault="00672FC0" w:rsidP="00154588">
      <w:pPr>
        <w:jc w:val="both"/>
        <w:rPr>
          <w:rFonts w:ascii="Times New Roman" w:eastAsia="Book Antiqua" w:hAnsi="Times New Roman" w:cs="Book Antiqua"/>
          <w:noProof/>
          <w:sz w:val="24"/>
          <w:szCs w:val="28"/>
        </w:rPr>
      </w:pPr>
    </w:p>
    <w:p w14:paraId="6F015DFF" w14:textId="13C374DA" w:rsidR="00672FC0" w:rsidRPr="009940DD" w:rsidRDefault="003B4CED" w:rsidP="00154588">
      <w:pPr>
        <w:pStyle w:val="Heading2"/>
        <w:ind w:left="0"/>
        <w:jc w:val="both"/>
        <w:rPr>
          <w:rFonts w:ascii="Times New Roman" w:hAnsi="Times New Roman"/>
          <w:noProof/>
          <w:sz w:val="28"/>
          <w:szCs w:val="24"/>
        </w:rPr>
      </w:pPr>
      <w:bookmarkStart w:id="85" w:name="_Toc46997571"/>
      <w:bookmarkStart w:id="86" w:name="_Toc47003096"/>
      <w:r>
        <w:rPr>
          <w:rFonts w:ascii="Times New Roman" w:hAnsi="Times New Roman"/>
          <w:sz w:val="28"/>
          <w:szCs w:val="24"/>
        </w:rPr>
        <w:t>N</w:t>
      </w:r>
      <w:r w:rsidR="00672FC0" w:rsidRPr="009940DD">
        <w:rPr>
          <w:rFonts w:ascii="Times New Roman" w:hAnsi="Times New Roman"/>
          <w:sz w:val="28"/>
          <w:szCs w:val="24"/>
        </w:rPr>
        <w:t>aga kapsulas bojājum</w:t>
      </w:r>
      <w:bookmarkEnd w:id="85"/>
      <w:bookmarkEnd w:id="86"/>
      <w:r>
        <w:rPr>
          <w:rFonts w:ascii="Times New Roman" w:hAnsi="Times New Roman"/>
          <w:sz w:val="28"/>
          <w:szCs w:val="24"/>
        </w:rPr>
        <w:t>u sekundāras infekcijas</w:t>
      </w:r>
    </w:p>
    <w:p w14:paraId="5C1CFBBC" w14:textId="77777777" w:rsidR="00E2764A" w:rsidRDefault="00E2764A" w:rsidP="00154588">
      <w:pPr>
        <w:pStyle w:val="BodyText"/>
        <w:spacing w:before="0"/>
        <w:ind w:left="0"/>
        <w:jc w:val="both"/>
        <w:rPr>
          <w:rFonts w:ascii="Times New Roman" w:hAnsi="Times New Roman"/>
          <w:sz w:val="24"/>
        </w:rPr>
      </w:pPr>
    </w:p>
    <w:p w14:paraId="605C8465" w14:textId="2C596E52"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Naga raga kārtas kapsulas ievainojumu, piemēram, zoles čūlas, baltās līnijas vai baltā pirksta, sākotnējais cēlonis nav infekcijas process. Šie ievainojumi spontāni sadzīst bez antibiotikām, ja tos laicīgi konstatē un ārstē. Ārstēšanu veic, ķirurģiski drenējot un piestiprinot otram nagam “papēdi”, lai mazinātu svaru uz ievainoto nagu. Tomēr, ja šos ievainojumus un ar tiem saistīto klibumu neārstē, tie var izraisīt sarežģītākus, nekrotiskus un sekundārus inficēšanās procesus, kuri var skart pēdas dziļākās struktūras, piemēram, dziļo saliecējcīpslu, navikulāro kaulu/bursu un/vai distālās falangas locītavu. Var iestāties arī smags ekstremitātes</w:t>
      </w:r>
      <w:r w:rsidR="003B4CED">
        <w:rPr>
          <w:rFonts w:ascii="Times New Roman" w:hAnsi="Times New Roman"/>
          <w:sz w:val="24"/>
        </w:rPr>
        <w:t xml:space="preserve"> apakšējās daļas</w:t>
      </w:r>
      <w:r>
        <w:rPr>
          <w:rFonts w:ascii="Times New Roman" w:hAnsi="Times New Roman"/>
          <w:sz w:val="24"/>
        </w:rPr>
        <w:t xml:space="preserve"> celulīts.</w:t>
      </w:r>
    </w:p>
    <w:p w14:paraId="584FF673" w14:textId="77777777" w:rsidR="00672FC0" w:rsidRPr="00154588" w:rsidRDefault="00672FC0" w:rsidP="00154588">
      <w:pPr>
        <w:jc w:val="both"/>
        <w:rPr>
          <w:rFonts w:ascii="Times New Roman" w:eastAsia="Book Antiqua" w:hAnsi="Times New Roman" w:cs="Book Antiqua"/>
          <w:noProof/>
          <w:sz w:val="24"/>
          <w:szCs w:val="18"/>
        </w:rPr>
      </w:pPr>
    </w:p>
    <w:p w14:paraId="0EAE78DD" w14:textId="77777777" w:rsidR="00672FC0" w:rsidRPr="00154588" w:rsidRDefault="00672FC0" w:rsidP="00154588">
      <w:pPr>
        <w:pStyle w:val="Heading3"/>
        <w:ind w:left="0"/>
        <w:jc w:val="both"/>
        <w:rPr>
          <w:rFonts w:ascii="Times New Roman" w:hAnsi="Times New Roman"/>
          <w:noProof/>
          <w:sz w:val="24"/>
        </w:rPr>
      </w:pPr>
      <w:bookmarkStart w:id="87" w:name="_Toc46997572"/>
      <w:bookmarkStart w:id="88" w:name="_Toc47003097"/>
      <w:r>
        <w:rPr>
          <w:rFonts w:ascii="Times New Roman" w:hAnsi="Times New Roman"/>
          <w:sz w:val="24"/>
        </w:rPr>
        <w:t>Ārstēšana</w:t>
      </w:r>
      <w:bookmarkEnd w:id="87"/>
      <w:bookmarkEnd w:id="88"/>
    </w:p>
    <w:p w14:paraId="565F7D04" w14:textId="1C2F59EF"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Sarežģīti, sekundāri inficēti ievainojumi pie naga sieniņas dzīst lēni, un prognoze ir slikta. Antibiotikas, ja tās lieto papildus iepriekš minētajiem primārajiem ārstēšanas veidiem, tikai nedaudz uzlabo prognozi. Ja ir indicēta ārstēšana ar antibiotikām, piemēram, gadījumos, kad ir paaugstināta ķermeņa temperatūra, izvēles zāles ir prokaīna benzilpenicilīns. Ja navikulārā bursa un/vai distālās falangas locītava ir iekaisusi, var veikt drenāžu ar radikālas rezekcijas palīdzību. Biežāk praktizēta pieeja būtu amputēt skarto nagu, ja otrs nags ir vesels.</w:t>
      </w:r>
    </w:p>
    <w:p w14:paraId="284BEE47" w14:textId="77777777" w:rsidR="00672FC0" w:rsidRPr="00154588" w:rsidRDefault="00672FC0" w:rsidP="00154588">
      <w:pPr>
        <w:jc w:val="both"/>
        <w:rPr>
          <w:rFonts w:ascii="Times New Roman" w:eastAsia="Book Antiqua" w:hAnsi="Times New Roman" w:cs="Book Antiqua"/>
          <w:noProof/>
          <w:sz w:val="24"/>
          <w:szCs w:val="28"/>
        </w:rPr>
      </w:pPr>
    </w:p>
    <w:p w14:paraId="0400DBE2" w14:textId="77777777" w:rsidR="00672FC0" w:rsidRPr="009940DD" w:rsidRDefault="00672FC0" w:rsidP="00154588">
      <w:pPr>
        <w:pStyle w:val="Heading2"/>
        <w:ind w:left="0"/>
        <w:jc w:val="both"/>
        <w:rPr>
          <w:rFonts w:ascii="Times New Roman" w:hAnsi="Times New Roman"/>
          <w:noProof/>
          <w:sz w:val="28"/>
          <w:szCs w:val="24"/>
        </w:rPr>
      </w:pPr>
      <w:bookmarkStart w:id="89" w:name="_Toc46997573"/>
      <w:bookmarkStart w:id="90" w:name="_Toc47003098"/>
      <w:r w:rsidRPr="009940DD">
        <w:rPr>
          <w:rFonts w:ascii="Times New Roman" w:hAnsi="Times New Roman"/>
          <w:sz w:val="28"/>
          <w:szCs w:val="24"/>
        </w:rPr>
        <w:t>Digitālais dermatīts</w:t>
      </w:r>
      <w:bookmarkEnd w:id="89"/>
      <w:bookmarkEnd w:id="90"/>
    </w:p>
    <w:p w14:paraId="0FB63151" w14:textId="77777777" w:rsidR="00E2764A" w:rsidRDefault="00E2764A" w:rsidP="00154588">
      <w:pPr>
        <w:pStyle w:val="BodyText"/>
        <w:spacing w:before="0"/>
        <w:ind w:left="0"/>
        <w:jc w:val="both"/>
        <w:rPr>
          <w:rFonts w:ascii="Times New Roman" w:hAnsi="Times New Roman"/>
          <w:sz w:val="24"/>
        </w:rPr>
      </w:pPr>
    </w:p>
    <w:p w14:paraId="798F3D7C" w14:textId="157FE4C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Digitālais dermatīts (DD) ir čūlaina, asiņojoša ekzēma naga </w:t>
      </w:r>
      <w:r w:rsidR="003B4CED">
        <w:rPr>
          <w:rFonts w:ascii="Times New Roman" w:hAnsi="Times New Roman"/>
          <w:sz w:val="24"/>
        </w:rPr>
        <w:t>aizmugures daļā</w:t>
      </w:r>
      <w:r>
        <w:rPr>
          <w:rFonts w:ascii="Times New Roman" w:hAnsi="Times New Roman"/>
          <w:sz w:val="24"/>
        </w:rPr>
        <w:t xml:space="preserve">. Pieskāriens rada sāpes, un šāda saslimšana var izraisīt klibumu. Atšķirībā no interdigitālās flegmonas (aprakstīta iepriekš) šis stāvoklis parasti neizraisa drudzi vai vietēju pietūkumu. DD bieži atrod uz vairāk nekā viena naga un biežāk skar pakaļkājas. Ekzēmas procesus visbiežāk </w:t>
      </w:r>
      <w:r>
        <w:rPr>
          <w:rFonts w:ascii="Times New Roman" w:hAnsi="Times New Roman"/>
          <w:sz w:val="24"/>
        </w:rPr>
        <w:lastRenderedPageBreak/>
        <w:t xml:space="preserve">novēro pēdu </w:t>
      </w:r>
      <w:r w:rsidR="003B4CED">
        <w:rPr>
          <w:rFonts w:ascii="Times New Roman" w:hAnsi="Times New Roman"/>
          <w:sz w:val="24"/>
        </w:rPr>
        <w:t>aizmugurē</w:t>
      </w:r>
      <w:r>
        <w:rPr>
          <w:rFonts w:ascii="Times New Roman" w:hAnsi="Times New Roman"/>
          <w:sz w:val="24"/>
        </w:rPr>
        <w:t xml:space="preserve">, kur āda saskaras ar zoles raga kārtu, bet tos mēdz novērot arī interdigitāli un ap koronāro saiti, uz staru pamatnēm un retos gadījumos – ap rudimentārajiem pirkstiem. Slimība ir lipīga un rada veselības problēmu ganāmpulkā. Centrālā nozīme etioloģijā ir </w:t>
      </w:r>
      <w:r>
        <w:rPr>
          <w:rFonts w:ascii="Times New Roman" w:hAnsi="Times New Roman"/>
          <w:i/>
          <w:sz w:val="24"/>
        </w:rPr>
        <w:t xml:space="preserve">Treponema </w:t>
      </w:r>
      <w:r>
        <w:rPr>
          <w:rFonts w:ascii="Times New Roman" w:hAnsi="Times New Roman"/>
          <w:sz w:val="24"/>
        </w:rPr>
        <w:t>dzimtas spirohetām. Infekcijas priekšnosacījums ir piesārņotas grīdas sliktā higiēniskā stāvoklī, un slimība var sekundāri izraisīt kārpas, papēža raga kārtas eroziju un interdigitālo hiperplāziju (“fibromu”). Sadzīšana var būt spontāna, ja radikāli uzlabo grīdas higiēnu, bet, ja infekcija ir ieviesusies, ganāmpulkam var būt grūti pilnībā atgūt veselību.</w:t>
      </w:r>
    </w:p>
    <w:p w14:paraId="0736B3FD" w14:textId="179FC26A" w:rsidR="00672FC0" w:rsidRDefault="00672FC0" w:rsidP="00154588">
      <w:pPr>
        <w:jc w:val="both"/>
        <w:rPr>
          <w:rFonts w:ascii="Times New Roman" w:hAnsi="Times New Roman"/>
          <w:noProof/>
          <w:sz w:val="24"/>
        </w:rPr>
      </w:pPr>
    </w:p>
    <w:p w14:paraId="66F22B41" w14:textId="165FCC93" w:rsidR="005D7BD9" w:rsidRDefault="005D7BD9" w:rsidP="00154588">
      <w:pPr>
        <w:jc w:val="both"/>
        <w:rPr>
          <w:rFonts w:ascii="Times New Roman" w:hAnsi="Times New Roman"/>
          <w:noProof/>
          <w:sz w:val="24"/>
        </w:rPr>
      </w:pPr>
      <w:r>
        <w:rPr>
          <w:rFonts w:ascii="Times New Roman" w:hAnsi="Times New Roman"/>
          <w:noProof/>
          <w:sz w:val="24"/>
        </w:rPr>
        <w:drawing>
          <wp:inline distT="0" distB="0" distL="0" distR="0" wp14:anchorId="68DC7339" wp14:editId="59BBD824">
            <wp:extent cx="2009775" cy="18180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1818005"/>
                    </a:xfrm>
                    <a:prstGeom prst="rect">
                      <a:avLst/>
                    </a:prstGeom>
                    <a:noFill/>
                    <a:ln>
                      <a:noFill/>
                    </a:ln>
                  </pic:spPr>
                </pic:pic>
              </a:graphicData>
            </a:graphic>
          </wp:inline>
        </w:drawing>
      </w:r>
    </w:p>
    <w:p w14:paraId="1A96D99F" w14:textId="77777777" w:rsidR="005D7BD9" w:rsidRPr="00154588" w:rsidRDefault="005D7BD9" w:rsidP="00154588">
      <w:pPr>
        <w:jc w:val="both"/>
        <w:rPr>
          <w:rFonts w:ascii="Times New Roman" w:hAnsi="Times New Roman"/>
          <w:noProof/>
          <w:sz w:val="24"/>
        </w:rPr>
      </w:pPr>
    </w:p>
    <w:p w14:paraId="58A3A0CA" w14:textId="77777777" w:rsidR="00672FC0" w:rsidRPr="00154588" w:rsidRDefault="00672FC0" w:rsidP="00154588">
      <w:pPr>
        <w:pStyle w:val="Heading3"/>
        <w:ind w:left="0"/>
        <w:jc w:val="both"/>
        <w:rPr>
          <w:rFonts w:ascii="Times New Roman" w:hAnsi="Times New Roman"/>
          <w:noProof/>
          <w:sz w:val="24"/>
        </w:rPr>
      </w:pPr>
      <w:bookmarkStart w:id="91" w:name="_Toc46997574"/>
      <w:bookmarkStart w:id="92" w:name="_Toc47003099"/>
      <w:r>
        <w:rPr>
          <w:rFonts w:ascii="Times New Roman" w:hAnsi="Times New Roman"/>
          <w:sz w:val="24"/>
        </w:rPr>
        <w:t>Ārstēšana</w:t>
      </w:r>
      <w:bookmarkEnd w:id="91"/>
      <w:bookmarkEnd w:id="92"/>
    </w:p>
    <w:p w14:paraId="6D16BFCC" w14:textId="542536D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Spirohetas, kas izolētas no dzīvniekiem, kuri slimo ar DD, ir jutīgas pret visām biežāk sastopamajām antibiotikām. Izplatīta klīniskā prakse ir izsmidzināt uz skartajām vietām oksitetraciklīnu vai hlortetraciklīnu, uzliekot tām pārsēju uz dienu. Alternatīvi var ārstēt, uzklājot uz slimās vietas salicilskābi saturošu pulveri un pēc tam to aizsargājot ar pārsēju 4–5 dienas. Ārstēšana ir svarīga dzīvnieku labturības apsvērumu dēļ un baktēriju skaita samazināšanai, jo imunitāte neveidojas. Vietēju ārstēšanu ar antibiotikām visam ganāmpulkam vai kādai dzīvnieku grupai drīkst veikt tikai tad, ja visam ganāmpulkam vai ganāmpulka daļai vienlaikus veic sanitāro apstrādi, lai radikāli uzlabotu ganāmpulka higiēnu ar ilgtermiņa mērķi izskaust infekciju.</w:t>
      </w:r>
    </w:p>
    <w:p w14:paraId="1CC8F6D0" w14:textId="77777777" w:rsidR="00672FC0" w:rsidRPr="00154588" w:rsidRDefault="00672FC0" w:rsidP="00154588">
      <w:pPr>
        <w:jc w:val="both"/>
        <w:rPr>
          <w:rFonts w:ascii="Times New Roman" w:eastAsia="Book Antiqua" w:hAnsi="Times New Roman" w:cs="Book Antiqua"/>
          <w:noProof/>
          <w:sz w:val="24"/>
          <w:szCs w:val="26"/>
        </w:rPr>
      </w:pPr>
    </w:p>
    <w:p w14:paraId="64B14D39" w14:textId="77777777" w:rsidR="00672FC0" w:rsidRPr="009940DD" w:rsidRDefault="00672FC0" w:rsidP="00154588">
      <w:pPr>
        <w:pStyle w:val="Heading2"/>
        <w:ind w:left="0"/>
        <w:jc w:val="both"/>
        <w:rPr>
          <w:rFonts w:ascii="Times New Roman" w:hAnsi="Times New Roman"/>
          <w:noProof/>
          <w:sz w:val="28"/>
          <w:szCs w:val="24"/>
        </w:rPr>
      </w:pPr>
      <w:bookmarkStart w:id="93" w:name="_Toc46997575"/>
      <w:bookmarkStart w:id="94" w:name="_Toc47003100"/>
      <w:r w:rsidRPr="009940DD">
        <w:rPr>
          <w:rFonts w:ascii="Times New Roman" w:hAnsi="Times New Roman"/>
          <w:sz w:val="28"/>
          <w:szCs w:val="24"/>
        </w:rPr>
        <w:t>Augsts antibiotiku patēriņš un/vai ieteikumu neievērošana</w:t>
      </w:r>
      <w:bookmarkEnd w:id="93"/>
      <w:bookmarkEnd w:id="94"/>
    </w:p>
    <w:p w14:paraId="0C324F93" w14:textId="77777777" w:rsidR="00E2764A" w:rsidRDefault="00E2764A" w:rsidP="00154588">
      <w:pPr>
        <w:pStyle w:val="BodyText"/>
        <w:spacing w:before="0"/>
        <w:ind w:left="0"/>
        <w:jc w:val="both"/>
        <w:rPr>
          <w:rFonts w:ascii="Times New Roman" w:hAnsi="Times New Roman"/>
          <w:sz w:val="24"/>
        </w:rPr>
      </w:pPr>
    </w:p>
    <w:p w14:paraId="00EC5E60" w14:textId="6A0085A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Sistēmisku antibiotiku </w:t>
      </w:r>
      <w:r w:rsidR="003B4CED">
        <w:rPr>
          <w:rFonts w:ascii="Times New Roman" w:hAnsi="Times New Roman"/>
          <w:sz w:val="24"/>
        </w:rPr>
        <w:t>lietošanas</w:t>
      </w:r>
      <w:r>
        <w:rPr>
          <w:rFonts w:ascii="Times New Roman" w:hAnsi="Times New Roman"/>
          <w:sz w:val="24"/>
        </w:rPr>
        <w:t xml:space="preserve"> biežumu balsta un kustību aparāta infekciju ārstēšanai, ja ar tām gadā ārstē vairāk nekā 5 % no ganāmpulka, pašlaik (2016) uzskata par augstu, un to var uzskatīt par līmeni, kurā būtu jāceļ trauksme. Zviedru pētījumos nav gūti pierādījumi par pieaugušu dzīvnieku ekstremitāšu un pēdu infekciju izraisošo mikroorganismu rezistenci pret penicilīnu. Tāpēc nav indikāciju plaša spektra antibiotiku lietošanai šo slimību ārstēšanā.</w:t>
      </w:r>
    </w:p>
    <w:p w14:paraId="2FE97402" w14:textId="32B5DC9A" w:rsidR="005D7BD9" w:rsidRDefault="005D7BD9">
      <w:pPr>
        <w:rPr>
          <w:rFonts w:ascii="Times New Roman" w:hAnsi="Times New Roman"/>
          <w:noProof/>
          <w:sz w:val="24"/>
        </w:rPr>
      </w:pPr>
      <w:r>
        <w:br w:type="page"/>
      </w:r>
    </w:p>
    <w:p w14:paraId="05DCDB83" w14:textId="77777777" w:rsidR="00154588" w:rsidRPr="00154588" w:rsidRDefault="00154588" w:rsidP="00154588">
      <w:pPr>
        <w:jc w:val="both"/>
        <w:rPr>
          <w:rFonts w:ascii="Times New Roman" w:hAnsi="Times New Roman"/>
          <w:noProof/>
          <w:sz w:val="24"/>
        </w:rPr>
      </w:pPr>
    </w:p>
    <w:p w14:paraId="54F4E898" w14:textId="77777777" w:rsidR="00672FC0" w:rsidRPr="009940DD" w:rsidRDefault="00672FC0" w:rsidP="009940DD">
      <w:pPr>
        <w:pStyle w:val="Heading1"/>
        <w:rPr>
          <w:sz w:val="28"/>
          <w:szCs w:val="32"/>
        </w:rPr>
      </w:pPr>
      <w:bookmarkStart w:id="95" w:name="_TOC_250024"/>
      <w:bookmarkStart w:id="96" w:name="_Toc46997576"/>
      <w:bookmarkStart w:id="97" w:name="_Toc47003101"/>
      <w:r w:rsidRPr="009940DD">
        <w:rPr>
          <w:sz w:val="28"/>
          <w:szCs w:val="32"/>
        </w:rPr>
        <w:t>Teļi un jaunpienācēji</w:t>
      </w:r>
      <w:bookmarkEnd w:id="95"/>
      <w:bookmarkEnd w:id="96"/>
      <w:bookmarkEnd w:id="97"/>
    </w:p>
    <w:p w14:paraId="066E2C31" w14:textId="77777777" w:rsidR="004E3EEE" w:rsidRDefault="004E3EEE" w:rsidP="00154588">
      <w:pPr>
        <w:jc w:val="both"/>
        <w:rPr>
          <w:rFonts w:ascii="Times New Roman" w:hAnsi="Times New Roman"/>
          <w:i/>
          <w:noProof/>
          <w:sz w:val="24"/>
        </w:rPr>
      </w:pPr>
    </w:p>
    <w:p w14:paraId="28A2E8D6" w14:textId="77777777" w:rsidR="004E3EEE" w:rsidRDefault="00672FC0" w:rsidP="00154588">
      <w:pPr>
        <w:jc w:val="both"/>
        <w:rPr>
          <w:rFonts w:ascii="Times New Roman" w:hAnsi="Times New Roman"/>
          <w:i/>
          <w:noProof/>
          <w:sz w:val="24"/>
        </w:rPr>
      </w:pPr>
      <w:r>
        <w:rPr>
          <w:rFonts w:ascii="Times New Roman" w:hAnsi="Times New Roman"/>
          <w:i/>
          <w:sz w:val="24"/>
        </w:rPr>
        <w:t>Anita Jūnasone [Anita Jonasson], veterinārās medicīnas zinātņu doktore</w:t>
      </w:r>
    </w:p>
    <w:p w14:paraId="1508DBE7" w14:textId="77777777" w:rsidR="004E3EEE" w:rsidRDefault="00672FC0" w:rsidP="00154588">
      <w:pPr>
        <w:jc w:val="both"/>
        <w:rPr>
          <w:rFonts w:ascii="Times New Roman" w:hAnsi="Times New Roman"/>
          <w:i/>
          <w:noProof/>
          <w:sz w:val="24"/>
        </w:rPr>
      </w:pPr>
      <w:r>
        <w:rPr>
          <w:rFonts w:ascii="Times New Roman" w:hAnsi="Times New Roman"/>
          <w:i/>
          <w:sz w:val="24"/>
        </w:rPr>
        <w:t>Virpi Vellinga, veterinārās medicīnas zinātņu doktore</w:t>
      </w:r>
    </w:p>
    <w:p w14:paraId="528BED11" w14:textId="673C72B1" w:rsidR="00672FC0" w:rsidRPr="00154588" w:rsidRDefault="00672FC0" w:rsidP="00154588">
      <w:pPr>
        <w:jc w:val="both"/>
        <w:rPr>
          <w:rFonts w:ascii="Times New Roman" w:hAnsi="Times New Roman"/>
          <w:i/>
          <w:noProof/>
          <w:sz w:val="24"/>
        </w:rPr>
      </w:pPr>
      <w:r>
        <w:rPr>
          <w:rFonts w:ascii="Times New Roman" w:hAnsi="Times New Roman"/>
          <w:i/>
          <w:sz w:val="24"/>
        </w:rPr>
        <w:t>Katinka Fungbranta [Katinca Fungbrant], veterinārās medicīnas zinātņu doktore</w:t>
      </w:r>
    </w:p>
    <w:p w14:paraId="5D127F3D" w14:textId="77777777" w:rsidR="00672FC0" w:rsidRPr="00154588" w:rsidRDefault="00672FC0" w:rsidP="00154588">
      <w:pPr>
        <w:jc w:val="both"/>
        <w:rPr>
          <w:rFonts w:ascii="Times New Roman" w:eastAsia="Book Antiqua" w:hAnsi="Times New Roman" w:cs="Book Antiqua"/>
          <w:i/>
          <w:noProof/>
          <w:sz w:val="24"/>
          <w:szCs w:val="26"/>
        </w:rPr>
      </w:pPr>
    </w:p>
    <w:p w14:paraId="29A82DBD" w14:textId="77777777" w:rsidR="00672FC0" w:rsidRPr="009940DD" w:rsidRDefault="00672FC0" w:rsidP="00154588">
      <w:pPr>
        <w:pStyle w:val="Heading2"/>
        <w:ind w:left="0"/>
        <w:jc w:val="both"/>
        <w:rPr>
          <w:rFonts w:ascii="Times New Roman" w:hAnsi="Times New Roman"/>
          <w:noProof/>
          <w:sz w:val="28"/>
          <w:szCs w:val="24"/>
        </w:rPr>
      </w:pPr>
      <w:bookmarkStart w:id="98" w:name="_Toc46997577"/>
      <w:bookmarkStart w:id="99" w:name="_Toc47003102"/>
      <w:r w:rsidRPr="009940DD">
        <w:rPr>
          <w:rFonts w:ascii="Times New Roman" w:hAnsi="Times New Roman"/>
          <w:sz w:val="28"/>
          <w:szCs w:val="24"/>
        </w:rPr>
        <w:t>Nabas infekcija</w:t>
      </w:r>
      <w:bookmarkEnd w:id="98"/>
      <w:bookmarkEnd w:id="99"/>
    </w:p>
    <w:p w14:paraId="4677AB34" w14:textId="77777777" w:rsidR="00E2764A" w:rsidRDefault="00E2764A" w:rsidP="00154588">
      <w:pPr>
        <w:pStyle w:val="BodyText"/>
        <w:spacing w:before="0"/>
        <w:ind w:left="0"/>
        <w:jc w:val="both"/>
        <w:rPr>
          <w:rFonts w:ascii="Times New Roman" w:hAnsi="Times New Roman"/>
          <w:sz w:val="24"/>
        </w:rPr>
      </w:pPr>
    </w:p>
    <w:p w14:paraId="33EF78B0" w14:textId="012368C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Nabas un nabas zonas infekcijas novēro jauniem teļiem. Nozīmīgi predisponējoši faktori ir liels infekcijas spiediens atnešanās aizgaldos un jauno teļu turēšanas vietās un trūkumi ierastajā rīcībā ar jaunpienu un jaunpiena izbarošanā. Simptomi var būt dažādi – no vietēja iekaisuma līdz septicēmijai, jo īpaši jaundzimušiem teļiem; plašāka informācija par septicēmiju ir atrodama turpmāk tekstā. Bieži sastopami infekcijas izraisītāji ir oportūnistiskie patogēni, piemēram, </w:t>
      </w:r>
      <w:r>
        <w:rPr>
          <w:rFonts w:ascii="Times New Roman" w:hAnsi="Times New Roman"/>
          <w:i/>
          <w:sz w:val="24"/>
        </w:rPr>
        <w:t>Staphylococcus </w:t>
      </w:r>
      <w:r>
        <w:rPr>
          <w:rFonts w:ascii="Times New Roman" w:hAnsi="Times New Roman"/>
          <w:i/>
          <w:iCs/>
          <w:sz w:val="24"/>
        </w:rPr>
        <w:t>spp.</w:t>
      </w:r>
      <w:r>
        <w:rPr>
          <w:rFonts w:ascii="Times New Roman" w:hAnsi="Times New Roman"/>
          <w:sz w:val="24"/>
        </w:rPr>
        <w:t xml:space="preserve"> un </w:t>
      </w:r>
      <w:r>
        <w:rPr>
          <w:rFonts w:ascii="Times New Roman" w:hAnsi="Times New Roman"/>
          <w:i/>
          <w:sz w:val="24"/>
        </w:rPr>
        <w:t>Streptococcus </w:t>
      </w:r>
      <w:r>
        <w:rPr>
          <w:rFonts w:ascii="Times New Roman" w:hAnsi="Times New Roman"/>
          <w:i/>
          <w:iCs/>
          <w:sz w:val="24"/>
        </w:rPr>
        <w:t>spp</w:t>
      </w:r>
      <w:r>
        <w:rPr>
          <w:rFonts w:ascii="Times New Roman" w:hAnsi="Times New Roman"/>
          <w:sz w:val="24"/>
        </w:rPr>
        <w:t>., dažreiz jauktu infekciju veidā. Ja nabas infekcijas kļūst par ganāmpulka veselības problēmu, teļiem jāveic autopsija un jāņem bakteriālie paraugi, tostarp veicot jutīguma testus etioloģijas noskaidrošanai.</w:t>
      </w:r>
    </w:p>
    <w:p w14:paraId="04F5C74A" w14:textId="77777777" w:rsidR="00672FC0" w:rsidRPr="00154588" w:rsidRDefault="00672FC0" w:rsidP="00154588">
      <w:pPr>
        <w:jc w:val="both"/>
        <w:rPr>
          <w:rFonts w:ascii="Times New Roman" w:hAnsi="Times New Roman"/>
          <w:noProof/>
          <w:sz w:val="24"/>
        </w:rPr>
      </w:pPr>
    </w:p>
    <w:p w14:paraId="63EB2312" w14:textId="77777777" w:rsidR="00672FC0" w:rsidRPr="00154588" w:rsidRDefault="00672FC0" w:rsidP="00154588">
      <w:pPr>
        <w:pStyle w:val="Heading3"/>
        <w:ind w:left="0"/>
        <w:jc w:val="both"/>
        <w:rPr>
          <w:rFonts w:ascii="Times New Roman" w:hAnsi="Times New Roman"/>
          <w:noProof/>
          <w:sz w:val="24"/>
        </w:rPr>
      </w:pPr>
      <w:bookmarkStart w:id="100" w:name="_Toc46997578"/>
      <w:bookmarkStart w:id="101" w:name="_Toc47003103"/>
      <w:r>
        <w:rPr>
          <w:rFonts w:ascii="Times New Roman" w:hAnsi="Times New Roman"/>
          <w:sz w:val="24"/>
        </w:rPr>
        <w:t>Ārstēšana</w:t>
      </w:r>
      <w:bookmarkEnd w:id="100"/>
      <w:bookmarkEnd w:id="101"/>
    </w:p>
    <w:p w14:paraId="4EAD446D" w14:textId="7303DF3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Nabas infekciju izraisītāji bieži ir pret penicilīnu jutīgas baktērijas, un izvēles zāles ir prokaīna benzilpenicilīns. Ieteicamais ārstēšanas ilgums ir piecas dienas. Antibiotikas jāpapildina ar atbalstošu ārstēšanu, paredzot papildu pienu, šķidrumu terapiju un mikroklimata kontroli.</w:t>
      </w:r>
    </w:p>
    <w:p w14:paraId="6826F019" w14:textId="77777777" w:rsidR="00672FC0" w:rsidRPr="00154588" w:rsidRDefault="00672FC0" w:rsidP="00154588">
      <w:pPr>
        <w:jc w:val="both"/>
        <w:rPr>
          <w:rFonts w:ascii="Times New Roman" w:eastAsia="Book Antiqua" w:hAnsi="Times New Roman" w:cs="Book Antiqua"/>
          <w:noProof/>
          <w:sz w:val="24"/>
          <w:szCs w:val="25"/>
        </w:rPr>
      </w:pPr>
    </w:p>
    <w:p w14:paraId="38D5DB81" w14:textId="77777777" w:rsidR="00672FC0" w:rsidRPr="009940DD" w:rsidRDefault="00672FC0" w:rsidP="00154588">
      <w:pPr>
        <w:pStyle w:val="Heading2"/>
        <w:ind w:left="0"/>
        <w:jc w:val="both"/>
        <w:rPr>
          <w:rFonts w:ascii="Times New Roman" w:hAnsi="Times New Roman"/>
          <w:noProof/>
          <w:sz w:val="28"/>
          <w:szCs w:val="24"/>
        </w:rPr>
      </w:pPr>
      <w:bookmarkStart w:id="102" w:name="_Toc46997579"/>
      <w:bookmarkStart w:id="103" w:name="_Toc47003104"/>
      <w:r w:rsidRPr="009940DD">
        <w:rPr>
          <w:rFonts w:ascii="Times New Roman" w:hAnsi="Times New Roman"/>
          <w:sz w:val="28"/>
          <w:szCs w:val="24"/>
        </w:rPr>
        <w:t>Septicēmija</w:t>
      </w:r>
      <w:bookmarkEnd w:id="102"/>
      <w:bookmarkEnd w:id="103"/>
    </w:p>
    <w:p w14:paraId="45E3E6AC" w14:textId="77777777" w:rsidR="00E2764A" w:rsidRDefault="00E2764A" w:rsidP="00154588">
      <w:pPr>
        <w:pStyle w:val="BodyText"/>
        <w:spacing w:before="0"/>
        <w:ind w:left="0"/>
        <w:jc w:val="both"/>
        <w:rPr>
          <w:rFonts w:ascii="Times New Roman" w:hAnsi="Times New Roman"/>
          <w:sz w:val="24"/>
        </w:rPr>
      </w:pPr>
    </w:p>
    <w:p w14:paraId="23501F0F" w14:textId="77EFCEF8" w:rsidR="00672FC0" w:rsidRPr="004E3EEE" w:rsidRDefault="00672FC0" w:rsidP="00154588">
      <w:pPr>
        <w:pStyle w:val="BodyText"/>
        <w:spacing w:before="0"/>
        <w:ind w:left="0"/>
        <w:jc w:val="both"/>
        <w:rPr>
          <w:rFonts w:ascii="Times New Roman" w:hAnsi="Times New Roman"/>
          <w:i/>
          <w:noProof/>
          <w:sz w:val="24"/>
        </w:rPr>
      </w:pPr>
      <w:r>
        <w:rPr>
          <w:rFonts w:ascii="Times New Roman" w:hAnsi="Times New Roman"/>
          <w:sz w:val="24"/>
        </w:rPr>
        <w:t xml:space="preserve">Septicēmija ir visvairāk izplatīta jaundzimušu vai ļoti jaunu teļu vidū, kam nabas infekcijas vai pneimonija var ļoti strauji pārveidoties dzīvībai bīstamā sepsē. Bakterēmija var izraisīt sekundāras infekcijas citos orgānos, piemēram, plaušās un locītavās. Bieži sastopami izraisītāji ir oportūnistiskas baktērijas, piemēram, </w:t>
      </w:r>
      <w:r>
        <w:rPr>
          <w:rFonts w:ascii="Times New Roman" w:hAnsi="Times New Roman"/>
          <w:i/>
          <w:iCs/>
          <w:sz w:val="24"/>
        </w:rPr>
        <w:t>E. coli</w:t>
      </w:r>
      <w:r>
        <w:rPr>
          <w:rFonts w:ascii="Times New Roman" w:hAnsi="Times New Roman"/>
          <w:sz w:val="24"/>
        </w:rPr>
        <w:t>,</w:t>
      </w:r>
      <w:r>
        <w:rPr>
          <w:rFonts w:ascii="Times New Roman" w:hAnsi="Times New Roman"/>
          <w:i/>
          <w:iCs/>
          <w:sz w:val="24"/>
        </w:rPr>
        <w:t xml:space="preserve"> Staphylococcus spp. </w:t>
      </w:r>
      <w:r>
        <w:rPr>
          <w:rFonts w:ascii="Times New Roman" w:hAnsi="Times New Roman"/>
          <w:sz w:val="24"/>
        </w:rPr>
        <w:t xml:space="preserve">vai </w:t>
      </w:r>
      <w:r>
        <w:rPr>
          <w:rFonts w:ascii="Times New Roman" w:hAnsi="Times New Roman"/>
          <w:i/>
          <w:iCs/>
          <w:sz w:val="24"/>
        </w:rPr>
        <w:t>Trueperella pyogenes,</w:t>
      </w:r>
      <w:r>
        <w:rPr>
          <w:rFonts w:ascii="Times New Roman" w:hAnsi="Times New Roman"/>
          <w:sz w:val="24"/>
        </w:rPr>
        <w:t xml:space="preserve"> dažreiz jauktu infekciju veidā. Ja teļu mirstība kļūst par ganāmpulka veselības problēmu, teļiem jāveic autopsija un jāņem bakteriālie paraugi, tostarp veicot jutīguma testus etioloģijas noskaidrošanai.</w:t>
      </w:r>
    </w:p>
    <w:p w14:paraId="53C43A92" w14:textId="77777777" w:rsidR="00672FC0" w:rsidRPr="00154588" w:rsidRDefault="00672FC0" w:rsidP="00154588">
      <w:pPr>
        <w:jc w:val="both"/>
        <w:rPr>
          <w:rFonts w:ascii="Times New Roman" w:hAnsi="Times New Roman"/>
          <w:noProof/>
          <w:sz w:val="24"/>
        </w:rPr>
      </w:pPr>
    </w:p>
    <w:p w14:paraId="2A07CEC1" w14:textId="77777777" w:rsidR="00672FC0" w:rsidRPr="00154588" w:rsidRDefault="00672FC0" w:rsidP="00154588">
      <w:pPr>
        <w:pStyle w:val="Heading3"/>
        <w:ind w:left="0"/>
        <w:jc w:val="both"/>
        <w:rPr>
          <w:rFonts w:ascii="Times New Roman" w:hAnsi="Times New Roman"/>
          <w:noProof/>
          <w:sz w:val="24"/>
        </w:rPr>
      </w:pPr>
      <w:bookmarkStart w:id="104" w:name="_Toc46997580"/>
      <w:bookmarkStart w:id="105" w:name="_Toc47003105"/>
      <w:r>
        <w:rPr>
          <w:rFonts w:ascii="Times New Roman" w:hAnsi="Times New Roman"/>
          <w:sz w:val="24"/>
        </w:rPr>
        <w:t>Ārstēšana</w:t>
      </w:r>
      <w:bookmarkEnd w:id="104"/>
      <w:bookmarkEnd w:id="105"/>
    </w:p>
    <w:p w14:paraId="0893822E" w14:textId="731F342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Septicēmijas gadījumā ir svarīgi ārstēšanu sākt ātri.  Tā kā slimības gaita bieži ir perakūta un tajā ir iesaistīti vairāki potenciālie patogēni – grampozitīvie, kā arī gramnegatīvie, indicēta sistēmiska ārstēšana ar plaša spektra antibiotikām, piemēram, T/S. Ieteicamais ārstēšanas ilgums ir ne mazāks par piecām dienām. Antibiotiku terapija ir jāpapildina ar NPL un šķidrumu terapiju, papildu siltumu, pakaišiem, piena aizstājēju utt.</w:t>
      </w:r>
    </w:p>
    <w:p w14:paraId="2A144A91" w14:textId="77777777" w:rsidR="00154588" w:rsidRPr="00154588" w:rsidRDefault="00154588" w:rsidP="00154588">
      <w:pPr>
        <w:jc w:val="both"/>
        <w:rPr>
          <w:rFonts w:ascii="Times New Roman" w:hAnsi="Times New Roman"/>
          <w:noProof/>
          <w:sz w:val="24"/>
        </w:rPr>
      </w:pPr>
    </w:p>
    <w:p w14:paraId="7C4AD90F" w14:textId="77777777" w:rsidR="00672FC0" w:rsidRPr="009940DD" w:rsidRDefault="00672FC0" w:rsidP="00154588">
      <w:pPr>
        <w:pStyle w:val="Heading2"/>
        <w:ind w:left="0"/>
        <w:jc w:val="both"/>
        <w:rPr>
          <w:rFonts w:ascii="Times New Roman" w:hAnsi="Times New Roman"/>
          <w:noProof/>
          <w:sz w:val="28"/>
          <w:szCs w:val="24"/>
        </w:rPr>
      </w:pPr>
      <w:bookmarkStart w:id="106" w:name="_Toc46997581"/>
      <w:bookmarkStart w:id="107" w:name="_Toc47003106"/>
      <w:r w:rsidRPr="009940DD">
        <w:rPr>
          <w:rFonts w:ascii="Times New Roman" w:hAnsi="Times New Roman"/>
          <w:sz w:val="28"/>
          <w:szCs w:val="24"/>
        </w:rPr>
        <w:t>Kuņģa-zarnu trakta infekcijas/enterīts</w:t>
      </w:r>
      <w:bookmarkEnd w:id="106"/>
      <w:bookmarkEnd w:id="107"/>
    </w:p>
    <w:p w14:paraId="6CB64DCF" w14:textId="77777777" w:rsidR="00E2764A" w:rsidRDefault="00E2764A" w:rsidP="00154588">
      <w:pPr>
        <w:pStyle w:val="BodyText"/>
        <w:spacing w:before="0"/>
        <w:ind w:left="0"/>
        <w:jc w:val="both"/>
        <w:rPr>
          <w:rFonts w:ascii="Times New Roman" w:hAnsi="Times New Roman"/>
          <w:sz w:val="24"/>
        </w:rPr>
      </w:pPr>
    </w:p>
    <w:p w14:paraId="5E76219D" w14:textId="5315219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Enterīts teļiem ir daudzu faktoru izraisīta slimība, un Zviedrijā visbiežāk sastopamie infekcijas cēloņi ir rotavīruss un kriptosporidioze. Bakteriālas infekcijas, piemēram, </w:t>
      </w:r>
      <w:r>
        <w:rPr>
          <w:rFonts w:ascii="Times New Roman" w:hAnsi="Times New Roman"/>
          <w:i/>
          <w:iCs/>
          <w:sz w:val="24"/>
        </w:rPr>
        <w:t>E. coli</w:t>
      </w:r>
      <w:r>
        <w:rPr>
          <w:rFonts w:ascii="Times New Roman" w:hAnsi="Times New Roman"/>
          <w:sz w:val="24"/>
        </w:rPr>
        <w:t> F5, ir retāk sastopamas. Kokcīdijas dažos ganāmpulkos var izraisīt diareju gan novietnēs, gan ganībās.</w:t>
      </w:r>
    </w:p>
    <w:p w14:paraId="4D922ACC" w14:textId="08D08EAA" w:rsidR="004E3EEE" w:rsidRDefault="004E3EEE" w:rsidP="00154588">
      <w:pPr>
        <w:pStyle w:val="BodyText"/>
        <w:spacing w:before="0"/>
        <w:ind w:left="0"/>
        <w:jc w:val="both"/>
        <w:rPr>
          <w:rFonts w:ascii="Times New Roman" w:hAnsi="Times New Roman"/>
          <w:noProof/>
          <w:sz w:val="24"/>
        </w:rPr>
      </w:pPr>
    </w:p>
    <w:p w14:paraId="43FDD418" w14:textId="6E6AE597" w:rsidR="004E3EEE" w:rsidRDefault="004E3EEE" w:rsidP="00154588">
      <w:pPr>
        <w:pStyle w:val="BodyText"/>
        <w:spacing w:before="0"/>
        <w:ind w:left="0"/>
        <w:jc w:val="both"/>
        <w:rPr>
          <w:rFonts w:ascii="Times New Roman" w:hAnsi="Times New Roman"/>
          <w:noProof/>
          <w:sz w:val="24"/>
        </w:rPr>
      </w:pPr>
      <w:r>
        <w:rPr>
          <w:rFonts w:ascii="Times New Roman" w:hAnsi="Times New Roman"/>
          <w:noProof/>
          <w:sz w:val="24"/>
        </w:rPr>
        <w:lastRenderedPageBreak/>
        <w:drawing>
          <wp:inline distT="0" distB="0" distL="0" distR="0" wp14:anchorId="703D5C43" wp14:editId="347D86EA">
            <wp:extent cx="2124075" cy="23657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6463" cy="2368420"/>
                    </a:xfrm>
                    <a:prstGeom prst="rect">
                      <a:avLst/>
                    </a:prstGeom>
                    <a:noFill/>
                    <a:ln>
                      <a:noFill/>
                    </a:ln>
                  </pic:spPr>
                </pic:pic>
              </a:graphicData>
            </a:graphic>
          </wp:inline>
        </w:drawing>
      </w:r>
    </w:p>
    <w:p w14:paraId="52DD3462" w14:textId="77777777" w:rsidR="004E3EEE" w:rsidRDefault="004E3EEE" w:rsidP="00154588">
      <w:pPr>
        <w:pStyle w:val="BodyText"/>
        <w:spacing w:before="0"/>
        <w:ind w:left="0"/>
        <w:jc w:val="both"/>
        <w:rPr>
          <w:rFonts w:ascii="Times New Roman" w:hAnsi="Times New Roman"/>
          <w:noProof/>
          <w:sz w:val="24"/>
        </w:rPr>
      </w:pPr>
    </w:p>
    <w:p w14:paraId="74F465F7" w14:textId="62AFAEC4"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Ganāmpulkos ar augstu saslimstību/mirstību jācenšas noteikt iespējamo cēloni, izpētot predisponējošos faktorus vidē un pārvaldībā, piemēram, ar barošanu un higiēnu saistītajos ieradumos un ņemot paraugus un/vai veicot autopsijas etioloģiskā ierosinātāja iespējamai identifikācijai.</w:t>
      </w:r>
    </w:p>
    <w:p w14:paraId="3C5B0C42" w14:textId="77777777" w:rsidR="004E3EEE" w:rsidRPr="00154588" w:rsidRDefault="004E3EEE" w:rsidP="00154588">
      <w:pPr>
        <w:pStyle w:val="BodyText"/>
        <w:spacing w:before="0"/>
        <w:ind w:left="0"/>
        <w:jc w:val="both"/>
        <w:rPr>
          <w:rFonts w:ascii="Times New Roman" w:hAnsi="Times New Roman"/>
          <w:noProof/>
          <w:sz w:val="24"/>
        </w:rPr>
      </w:pPr>
    </w:p>
    <w:p w14:paraId="02D54E18" w14:textId="19C3462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Profilaktiski pasākumi ganāmpulkos ar diareju ietver pareizu un adekvātu jaunpiena izbarošanu un uzlabojumus vidē, lai radītu teļiem komfortablākus apstākļus un samazinātu infekciju izplatību. Zviedrijas pozitīvā pieredze vakcinācijas programmu izmantošanā ir ierobežota. Salmonella ir būtisks teļu diarejas cēlonis daudzās valstīs, un tā sastopama arī Zviedrijā. Ja rodas aizdomas par salmonellu, likumā par rīcību zoonožu gadījumā (SFS 1999:658) noteikts, ka ganāmpulka apskatei jāpieaicina veterinārārsts un jārīkojas, lai noteiktu diagnozi un izskaustu slimību.</w:t>
      </w:r>
    </w:p>
    <w:p w14:paraId="4C21A69D" w14:textId="77777777" w:rsidR="00672FC0" w:rsidRPr="00154588" w:rsidRDefault="00672FC0" w:rsidP="00154588">
      <w:pPr>
        <w:jc w:val="both"/>
        <w:rPr>
          <w:rFonts w:ascii="Times New Roman" w:eastAsia="Book Antiqua" w:hAnsi="Times New Roman" w:cs="Book Antiqua"/>
          <w:noProof/>
          <w:sz w:val="24"/>
          <w:szCs w:val="17"/>
        </w:rPr>
      </w:pPr>
    </w:p>
    <w:p w14:paraId="4201C235" w14:textId="77777777" w:rsidR="00672FC0" w:rsidRPr="00154588" w:rsidRDefault="00672FC0" w:rsidP="00154588">
      <w:pPr>
        <w:pStyle w:val="Heading3"/>
        <w:ind w:left="0"/>
        <w:jc w:val="both"/>
        <w:rPr>
          <w:rFonts w:ascii="Times New Roman" w:hAnsi="Times New Roman"/>
          <w:noProof/>
          <w:sz w:val="24"/>
        </w:rPr>
      </w:pPr>
      <w:bookmarkStart w:id="108" w:name="_Toc46997582"/>
      <w:bookmarkStart w:id="109" w:name="_Toc47003107"/>
      <w:r>
        <w:rPr>
          <w:rFonts w:ascii="Times New Roman" w:hAnsi="Times New Roman"/>
          <w:sz w:val="24"/>
        </w:rPr>
        <w:t>Ārstēšana</w:t>
      </w:r>
      <w:bookmarkEnd w:id="108"/>
      <w:bookmarkEnd w:id="109"/>
    </w:p>
    <w:p w14:paraId="58844EAF" w14:textId="6BF7CF4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Antibiotikas nav indicētas dzīvniekiem ar diareju bez sarežģījumiem un nepasliktinātu dzīvnieku vispārējo stāvokli. Sistēmiska terapija ar antibiotikām ir indicēta gadījumos, kad skarts dzīvnieka vispārējais stāvoklis un ir aizdomas par bakteriālu infekciju. Kā izvēles zāles ieteicams </w:t>
      </w:r>
      <w:r w:rsidR="003B4CED">
        <w:rPr>
          <w:rFonts w:ascii="Times New Roman" w:hAnsi="Times New Roman"/>
          <w:sz w:val="24"/>
        </w:rPr>
        <w:t>lietot</w:t>
      </w:r>
      <w:r>
        <w:rPr>
          <w:rFonts w:ascii="Times New Roman" w:hAnsi="Times New Roman"/>
          <w:sz w:val="24"/>
        </w:rPr>
        <w:t xml:space="preserve"> T/S. Var </w:t>
      </w:r>
      <w:r w:rsidR="003B4CED">
        <w:rPr>
          <w:rFonts w:ascii="Times New Roman" w:hAnsi="Times New Roman"/>
          <w:sz w:val="24"/>
        </w:rPr>
        <w:t>lietot</w:t>
      </w:r>
      <w:r>
        <w:rPr>
          <w:rFonts w:ascii="Times New Roman" w:hAnsi="Times New Roman"/>
          <w:sz w:val="24"/>
        </w:rPr>
        <w:t xml:space="preserve"> citas antibiotikas, ja to pamato bakterioloģiskā diagnoze, vēlams, ar jutīguma testu. Ārstēšanas ilgums ir 3 dienas. Slimi </w:t>
      </w:r>
      <w:r w:rsidR="003B4CED">
        <w:rPr>
          <w:rFonts w:ascii="Times New Roman" w:hAnsi="Times New Roman"/>
          <w:sz w:val="24"/>
        </w:rPr>
        <w:t xml:space="preserve">un dehidrēti </w:t>
      </w:r>
      <w:r>
        <w:rPr>
          <w:rFonts w:ascii="Times New Roman" w:hAnsi="Times New Roman"/>
          <w:sz w:val="24"/>
        </w:rPr>
        <w:t>teļi jāizolē, un viņiem jādod papildu šķidrumi iekšķīgi un/vai intravenozi. Jāizbaro piena aizstājējs, lai turpinātu nodrošināt vajadzību pēc enerģijas. Simptomu mazināšanai var dot NPL.</w:t>
      </w:r>
    </w:p>
    <w:p w14:paraId="66CB6AD6" w14:textId="77777777" w:rsidR="00672FC0" w:rsidRPr="00154588" w:rsidRDefault="00672FC0" w:rsidP="00154588">
      <w:pPr>
        <w:jc w:val="both"/>
        <w:rPr>
          <w:rFonts w:ascii="Times New Roman" w:eastAsia="Book Antiqua" w:hAnsi="Times New Roman" w:cs="Book Antiqua"/>
          <w:noProof/>
          <w:sz w:val="24"/>
          <w:szCs w:val="26"/>
        </w:rPr>
      </w:pPr>
    </w:p>
    <w:p w14:paraId="24CE76B9" w14:textId="77777777" w:rsidR="00672FC0" w:rsidRPr="009940DD" w:rsidRDefault="00672FC0" w:rsidP="00154588">
      <w:pPr>
        <w:pStyle w:val="Heading2"/>
        <w:ind w:left="0"/>
        <w:jc w:val="both"/>
        <w:rPr>
          <w:rFonts w:ascii="Times New Roman" w:hAnsi="Times New Roman"/>
          <w:noProof/>
          <w:sz w:val="28"/>
          <w:szCs w:val="24"/>
        </w:rPr>
      </w:pPr>
      <w:bookmarkStart w:id="110" w:name="_Toc46997583"/>
      <w:bookmarkStart w:id="111" w:name="_Toc47003108"/>
      <w:r w:rsidRPr="009940DD">
        <w:rPr>
          <w:rFonts w:ascii="Times New Roman" w:hAnsi="Times New Roman"/>
          <w:sz w:val="28"/>
          <w:szCs w:val="24"/>
        </w:rPr>
        <w:t>Elpošanas ceļu infekcijas</w:t>
      </w:r>
      <w:bookmarkEnd w:id="110"/>
      <w:bookmarkEnd w:id="111"/>
    </w:p>
    <w:p w14:paraId="6383B8D3" w14:textId="77777777" w:rsidR="00E2764A" w:rsidRDefault="00E2764A" w:rsidP="00154588">
      <w:pPr>
        <w:pStyle w:val="BodyText"/>
        <w:spacing w:before="0"/>
        <w:ind w:left="0"/>
        <w:jc w:val="both"/>
        <w:rPr>
          <w:rFonts w:ascii="Times New Roman" w:hAnsi="Times New Roman"/>
          <w:sz w:val="24"/>
        </w:rPr>
      </w:pPr>
    </w:p>
    <w:p w14:paraId="33FF0040" w14:textId="077997A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Pneimoniju visbiežāk izraisa infekcijas, galvenokārt tādas, ko ierosina vīrusi. Zviedrijā visbiežāk sastopams paragripas-3 vīruss, liellopu respiratorais sincitiālais vīruss (</w:t>
      </w:r>
      <w:r>
        <w:rPr>
          <w:rFonts w:ascii="Times New Roman" w:hAnsi="Times New Roman"/>
          <w:i/>
          <w:iCs/>
          <w:sz w:val="24"/>
        </w:rPr>
        <w:t>BRSV</w:t>
      </w:r>
      <w:r>
        <w:rPr>
          <w:rFonts w:ascii="Times New Roman" w:hAnsi="Times New Roman"/>
          <w:sz w:val="24"/>
        </w:rPr>
        <w:t xml:space="preserve">) un liellopu koronavīruss. Izņemot </w:t>
      </w:r>
      <w:r>
        <w:rPr>
          <w:rFonts w:ascii="Times New Roman" w:hAnsi="Times New Roman"/>
          <w:i/>
          <w:iCs/>
          <w:sz w:val="24"/>
        </w:rPr>
        <w:t>BRSV</w:t>
      </w:r>
      <w:r>
        <w:rPr>
          <w:rFonts w:ascii="Times New Roman" w:hAnsi="Times New Roman"/>
          <w:sz w:val="24"/>
        </w:rPr>
        <w:t xml:space="preserve">, lielākā vīrusu ierosināto elpošanas ceļu slimību daļa parasti izraisa tikai vieglus simptomus vai norit subklīniski. Tomēr vīrusu infekciju rezultātā var notikt inficēšanās ar baktērijām, piemēram, </w:t>
      </w:r>
      <w:r>
        <w:rPr>
          <w:rFonts w:ascii="Times New Roman" w:hAnsi="Times New Roman"/>
          <w:i/>
          <w:iCs/>
          <w:sz w:val="24"/>
        </w:rPr>
        <w:t>Pasteurella multocida</w:t>
      </w:r>
      <w:r>
        <w:rPr>
          <w:rFonts w:ascii="Times New Roman" w:hAnsi="Times New Roman"/>
          <w:sz w:val="24"/>
        </w:rPr>
        <w:t xml:space="preserve">, </w:t>
      </w:r>
      <w:r>
        <w:rPr>
          <w:rFonts w:ascii="Times New Roman" w:hAnsi="Times New Roman"/>
          <w:i/>
          <w:iCs/>
          <w:sz w:val="24"/>
        </w:rPr>
        <w:t>Mannheimia haemolytica</w:t>
      </w:r>
      <w:r>
        <w:rPr>
          <w:rFonts w:ascii="Times New Roman" w:hAnsi="Times New Roman"/>
          <w:sz w:val="24"/>
        </w:rPr>
        <w:t xml:space="preserve">, </w:t>
      </w:r>
      <w:r>
        <w:rPr>
          <w:rFonts w:ascii="Times New Roman" w:hAnsi="Times New Roman"/>
          <w:i/>
          <w:iCs/>
          <w:sz w:val="24"/>
        </w:rPr>
        <w:t>Histophilus somni</w:t>
      </w:r>
      <w:r>
        <w:rPr>
          <w:rFonts w:ascii="Times New Roman" w:hAnsi="Times New Roman"/>
          <w:sz w:val="24"/>
        </w:rPr>
        <w:t xml:space="preserve"> un </w:t>
      </w:r>
      <w:r>
        <w:rPr>
          <w:rFonts w:ascii="Times New Roman" w:hAnsi="Times New Roman"/>
          <w:i/>
          <w:iCs/>
          <w:sz w:val="24"/>
        </w:rPr>
        <w:t>Mycoplasma bovis</w:t>
      </w:r>
      <w:r>
        <w:rPr>
          <w:rFonts w:ascii="Times New Roman" w:hAnsi="Times New Roman"/>
          <w:sz w:val="24"/>
        </w:rPr>
        <w:t xml:space="preserve">. Zviedrijā veiktajos pētījumos dominējošie izraisītāji ir </w:t>
      </w:r>
      <w:r>
        <w:rPr>
          <w:rFonts w:ascii="Times New Roman" w:hAnsi="Times New Roman"/>
          <w:i/>
          <w:iCs/>
          <w:sz w:val="24"/>
        </w:rPr>
        <w:t>Pasteurella spp</w:t>
      </w:r>
      <w:r>
        <w:rPr>
          <w:rFonts w:ascii="Times New Roman" w:hAnsi="Times New Roman"/>
          <w:sz w:val="24"/>
        </w:rPr>
        <w:t xml:space="preserve">. Plaušu tārps var izraisīt inficēšanos ar oportūnistiskajām baktērijām dzīvniekiem ganībās, radot nopietnu, akūtu pneimoniju. Etioloģisko diagnozi var noteikt, veicot autopsijas un vācot paraugus bakterioloģiskajiem izmeklējumiem, un tam ir liela nozīme, izmeklējot uzliesmojumus ganāmpulkos. </w:t>
      </w:r>
      <w:r w:rsidR="003B4CED">
        <w:rPr>
          <w:rFonts w:ascii="Times New Roman" w:hAnsi="Times New Roman"/>
          <w:sz w:val="24"/>
        </w:rPr>
        <w:t>J</w:t>
      </w:r>
      <w:r>
        <w:rPr>
          <w:rFonts w:ascii="Times New Roman" w:hAnsi="Times New Roman"/>
          <w:sz w:val="24"/>
        </w:rPr>
        <w:t>utīguma pārbaude</w:t>
      </w:r>
      <w:r w:rsidR="003B4CED">
        <w:rPr>
          <w:rFonts w:ascii="Times New Roman" w:hAnsi="Times New Roman"/>
          <w:sz w:val="24"/>
        </w:rPr>
        <w:t xml:space="preserve"> pret antimikrobiālajiem līdzekļiem</w:t>
      </w:r>
      <w:r>
        <w:rPr>
          <w:rFonts w:ascii="Times New Roman" w:hAnsi="Times New Roman"/>
          <w:sz w:val="24"/>
        </w:rPr>
        <w:t xml:space="preserve"> ir īpaši vērtīga, ja parādās gadījumi, kuri nereaģē uz terapiju. Zviedrijā pieredze vakcinācijas programmu izmantošanā pret elpošanas ceļu </w:t>
      </w:r>
      <w:r>
        <w:rPr>
          <w:rFonts w:ascii="Times New Roman" w:hAnsi="Times New Roman"/>
          <w:sz w:val="24"/>
        </w:rPr>
        <w:lastRenderedPageBreak/>
        <w:t>infekcijām ir ierobežota.</w:t>
      </w:r>
    </w:p>
    <w:p w14:paraId="58B95B5C" w14:textId="77777777" w:rsidR="00672FC0" w:rsidRPr="00154588" w:rsidRDefault="00672FC0" w:rsidP="00154588">
      <w:pPr>
        <w:jc w:val="both"/>
        <w:rPr>
          <w:rFonts w:ascii="Times New Roman" w:hAnsi="Times New Roman"/>
          <w:noProof/>
          <w:sz w:val="24"/>
        </w:rPr>
      </w:pPr>
    </w:p>
    <w:p w14:paraId="59F2B688" w14:textId="77777777" w:rsidR="00672FC0" w:rsidRPr="00154588" w:rsidRDefault="00672FC0" w:rsidP="00154588">
      <w:pPr>
        <w:pStyle w:val="Heading3"/>
        <w:ind w:left="0"/>
        <w:jc w:val="both"/>
        <w:rPr>
          <w:rFonts w:ascii="Times New Roman" w:hAnsi="Times New Roman"/>
          <w:noProof/>
          <w:sz w:val="24"/>
        </w:rPr>
      </w:pPr>
      <w:bookmarkStart w:id="112" w:name="_Toc46997584"/>
      <w:bookmarkStart w:id="113" w:name="_Toc47003109"/>
      <w:r>
        <w:rPr>
          <w:rFonts w:ascii="Times New Roman" w:hAnsi="Times New Roman"/>
          <w:sz w:val="24"/>
        </w:rPr>
        <w:t>Ārstēšana</w:t>
      </w:r>
      <w:bookmarkEnd w:id="112"/>
      <w:bookmarkEnd w:id="113"/>
    </w:p>
    <w:p w14:paraId="4F515EA4"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Slimie dzīvnieki, ja iespējams, jāizolē, un jānodrošina tiem atbalstoša terapija, piemēram, šķidrumu terapija, papildu siltums un/vai izolējošās segas vai NPL pēc vajadzības. Ātra ārstēšanas uzsākšana uzlabo prognozi. Ieteicamais ārstēšanas ilgums ir 5 dienas. Ieteicamais ārstēšanas ilgums ir 5 dienas, un izvēles zāles ir prokaīna benzilpenicilīns. Ja noteikta </w:t>
      </w:r>
      <w:r>
        <w:rPr>
          <w:rFonts w:ascii="Times New Roman" w:hAnsi="Times New Roman"/>
          <w:i/>
          <w:iCs/>
          <w:sz w:val="24"/>
        </w:rPr>
        <w:t>Mycoplasma bovis</w:t>
      </w:r>
      <w:r>
        <w:rPr>
          <w:rFonts w:ascii="Times New Roman" w:hAnsi="Times New Roman"/>
          <w:sz w:val="24"/>
        </w:rPr>
        <w:t xml:space="preserve"> infekcijas diagnoze, izvēles zāles ir tetraciklīns.</w:t>
      </w:r>
    </w:p>
    <w:p w14:paraId="7FA88E3E" w14:textId="77777777" w:rsidR="00672FC0" w:rsidRPr="00154588" w:rsidRDefault="00672FC0" w:rsidP="00154588">
      <w:pPr>
        <w:jc w:val="both"/>
        <w:rPr>
          <w:rFonts w:ascii="Times New Roman" w:eastAsia="Book Antiqua" w:hAnsi="Times New Roman" w:cs="Book Antiqua"/>
          <w:noProof/>
          <w:sz w:val="24"/>
          <w:szCs w:val="17"/>
        </w:rPr>
      </w:pPr>
    </w:p>
    <w:p w14:paraId="0065EA78" w14:textId="77777777" w:rsidR="00672FC0" w:rsidRPr="00154588" w:rsidRDefault="00672FC0" w:rsidP="00154588">
      <w:pPr>
        <w:pStyle w:val="Heading3"/>
        <w:ind w:left="0"/>
        <w:jc w:val="both"/>
        <w:rPr>
          <w:rFonts w:ascii="Times New Roman" w:hAnsi="Times New Roman"/>
          <w:noProof/>
          <w:sz w:val="24"/>
        </w:rPr>
      </w:pPr>
      <w:bookmarkStart w:id="114" w:name="_Toc46997585"/>
      <w:bookmarkStart w:id="115" w:name="_Toc47003110"/>
      <w:r>
        <w:rPr>
          <w:rFonts w:ascii="Times New Roman" w:hAnsi="Times New Roman"/>
          <w:sz w:val="24"/>
        </w:rPr>
        <w:t>Grupas terapija</w:t>
      </w:r>
      <w:bookmarkEnd w:id="114"/>
      <w:bookmarkEnd w:id="115"/>
    </w:p>
    <w:p w14:paraId="60E0C081"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ganāmpulkā īsā laikā parādās daudzi smagi elpošanas ceļu infekcijas gadījumi, piemēram, pie </w:t>
      </w:r>
      <w:r>
        <w:rPr>
          <w:rFonts w:ascii="Times New Roman" w:hAnsi="Times New Roman"/>
          <w:i/>
          <w:iCs/>
          <w:sz w:val="24"/>
        </w:rPr>
        <w:t>BRSV</w:t>
      </w:r>
      <w:r>
        <w:rPr>
          <w:rFonts w:ascii="Times New Roman" w:hAnsi="Times New Roman"/>
          <w:sz w:val="24"/>
        </w:rPr>
        <w:t xml:space="preserve"> uzliesmojuma, tā var būt indikācija grupas terapijas uzsākšanai, kad vienlaikus ārstē visu ganāmpulku vai ganāmpulka dzīvnieku grupu. Šajos gadījumos ieteicams lietot šaura spektra sistēmiskas antibiotikas, piemēram, prokaīna benzilpenicilīnu. Ar lauksaimnieku/pārvaldnieku jāapspriež profilaktiskie pasākumi, lai izvairītos no līdzīgām problēmām turpmāk.</w:t>
      </w:r>
    </w:p>
    <w:p w14:paraId="2945F693" w14:textId="77777777" w:rsidR="00672FC0" w:rsidRPr="00154588" w:rsidRDefault="00672FC0" w:rsidP="00154588">
      <w:pPr>
        <w:jc w:val="both"/>
        <w:rPr>
          <w:rFonts w:ascii="Times New Roman" w:eastAsia="Book Antiqua" w:hAnsi="Times New Roman" w:cs="Book Antiqua"/>
          <w:noProof/>
          <w:sz w:val="24"/>
          <w:szCs w:val="26"/>
        </w:rPr>
      </w:pPr>
    </w:p>
    <w:p w14:paraId="7C1121DE" w14:textId="77777777" w:rsidR="00672FC0" w:rsidRPr="009940DD" w:rsidRDefault="00672FC0" w:rsidP="00154588">
      <w:pPr>
        <w:pStyle w:val="Heading2"/>
        <w:ind w:left="0"/>
        <w:jc w:val="both"/>
        <w:rPr>
          <w:rFonts w:ascii="Times New Roman" w:hAnsi="Times New Roman"/>
          <w:noProof/>
          <w:sz w:val="28"/>
          <w:szCs w:val="24"/>
        </w:rPr>
      </w:pPr>
      <w:bookmarkStart w:id="116" w:name="_Toc46997586"/>
      <w:bookmarkStart w:id="117" w:name="_Toc47003111"/>
      <w:r w:rsidRPr="009940DD">
        <w:rPr>
          <w:rFonts w:ascii="Times New Roman" w:hAnsi="Times New Roman"/>
          <w:sz w:val="28"/>
          <w:szCs w:val="24"/>
        </w:rPr>
        <w:t>Poliartrīts</w:t>
      </w:r>
      <w:bookmarkEnd w:id="116"/>
      <w:bookmarkEnd w:id="117"/>
    </w:p>
    <w:p w14:paraId="3FC4C7A4" w14:textId="77777777" w:rsidR="00E2764A" w:rsidRDefault="00E2764A" w:rsidP="00767E90">
      <w:pPr>
        <w:pStyle w:val="BodyText"/>
        <w:spacing w:before="0"/>
        <w:ind w:left="0"/>
        <w:jc w:val="both"/>
        <w:rPr>
          <w:rFonts w:ascii="Times New Roman" w:hAnsi="Times New Roman"/>
          <w:sz w:val="24"/>
        </w:rPr>
      </w:pPr>
    </w:p>
    <w:p w14:paraId="047FD591" w14:textId="4F56609A" w:rsidR="00672FC0" w:rsidRPr="00154588" w:rsidRDefault="00672FC0" w:rsidP="00767E90">
      <w:pPr>
        <w:pStyle w:val="BodyText"/>
        <w:spacing w:before="0"/>
        <w:ind w:left="0"/>
        <w:jc w:val="both"/>
        <w:rPr>
          <w:rFonts w:ascii="Times New Roman" w:hAnsi="Times New Roman"/>
          <w:noProof/>
          <w:sz w:val="24"/>
        </w:rPr>
      </w:pPr>
      <w:r>
        <w:rPr>
          <w:rFonts w:ascii="Times New Roman" w:hAnsi="Times New Roman"/>
          <w:sz w:val="24"/>
        </w:rPr>
        <w:t xml:space="preserve">Poliartrīts jauniem teļiem parasti ir sekundāra slimība, kas seko pēc nabas infekcijas vai septicēmijas, un to bieži izraisa </w:t>
      </w:r>
      <w:r>
        <w:rPr>
          <w:rFonts w:ascii="Times New Roman" w:hAnsi="Times New Roman"/>
          <w:i/>
          <w:iCs/>
          <w:sz w:val="24"/>
        </w:rPr>
        <w:t>T. pyogenes</w:t>
      </w:r>
      <w:r>
        <w:rPr>
          <w:rFonts w:ascii="Times New Roman" w:hAnsi="Times New Roman"/>
          <w:sz w:val="24"/>
        </w:rPr>
        <w:t xml:space="preserve">, stafilokoki vai streptokoki. Ja artrīts seko septicēmijai, parasti dominē </w:t>
      </w:r>
      <w:r>
        <w:rPr>
          <w:rFonts w:ascii="Times New Roman" w:hAnsi="Times New Roman"/>
          <w:i/>
          <w:iCs/>
          <w:sz w:val="24"/>
        </w:rPr>
        <w:t>E. coli</w:t>
      </w:r>
      <w:r>
        <w:rPr>
          <w:rFonts w:ascii="Times New Roman" w:hAnsi="Times New Roman"/>
          <w:sz w:val="24"/>
        </w:rPr>
        <w:t>.</w:t>
      </w:r>
    </w:p>
    <w:p w14:paraId="3730D812" w14:textId="77777777" w:rsidR="00672FC0" w:rsidRPr="00154588" w:rsidRDefault="00672FC0" w:rsidP="00154588">
      <w:pPr>
        <w:jc w:val="both"/>
        <w:rPr>
          <w:rFonts w:ascii="Times New Roman" w:eastAsia="Book Antiqua" w:hAnsi="Times New Roman" w:cs="Book Antiqua"/>
          <w:noProof/>
          <w:sz w:val="24"/>
          <w:szCs w:val="16"/>
        </w:rPr>
      </w:pPr>
    </w:p>
    <w:p w14:paraId="67DDED73" w14:textId="77777777" w:rsidR="00672FC0" w:rsidRPr="00154588" w:rsidRDefault="00672FC0" w:rsidP="00154588">
      <w:pPr>
        <w:pStyle w:val="Heading3"/>
        <w:ind w:left="0"/>
        <w:jc w:val="both"/>
        <w:rPr>
          <w:rFonts w:ascii="Times New Roman" w:hAnsi="Times New Roman"/>
          <w:noProof/>
          <w:sz w:val="24"/>
        </w:rPr>
      </w:pPr>
      <w:bookmarkStart w:id="118" w:name="_Toc46997587"/>
      <w:bookmarkStart w:id="119" w:name="_Toc47003112"/>
      <w:r>
        <w:rPr>
          <w:rFonts w:ascii="Times New Roman" w:hAnsi="Times New Roman"/>
          <w:sz w:val="24"/>
        </w:rPr>
        <w:t>Ārstēšana</w:t>
      </w:r>
      <w:bookmarkEnd w:id="118"/>
      <w:bookmarkEnd w:id="119"/>
    </w:p>
    <w:p w14:paraId="07AA3B74" w14:textId="2903B89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Ārstējot poliartrīta gadījumus, ir svarīgi uzsākt anti</w:t>
      </w:r>
      <w:r w:rsidR="003B4CED">
        <w:rPr>
          <w:rFonts w:ascii="Times New Roman" w:hAnsi="Times New Roman"/>
          <w:sz w:val="24"/>
        </w:rPr>
        <w:t>mikrobiālo</w:t>
      </w:r>
      <w:r>
        <w:rPr>
          <w:rFonts w:ascii="Times New Roman" w:hAnsi="Times New Roman"/>
          <w:sz w:val="24"/>
        </w:rPr>
        <w:t xml:space="preserve"> terapiju agrīnā stadijā. Zviedrijas apstākļos izvēles zāles ir prokaīna benzilpenicilīns, kuru sistēmiski ievada 14 dienas terapeitiskas atbildes reakcijas saņemšanai. Ārstēšanas rezultāti bieži vien ir diezgan slikti, iespējams tāpēc, ka terapija uzsākta ar novēlošanos. Ja ir norādes uz gramnegatīvo baktēriju infekcijām, var </w:t>
      </w:r>
      <w:r w:rsidR="003B4CED">
        <w:rPr>
          <w:rFonts w:ascii="Times New Roman" w:hAnsi="Times New Roman"/>
          <w:sz w:val="24"/>
        </w:rPr>
        <w:t>lietot</w:t>
      </w:r>
      <w:r>
        <w:rPr>
          <w:rFonts w:ascii="Times New Roman" w:hAnsi="Times New Roman"/>
          <w:sz w:val="24"/>
        </w:rPr>
        <w:t xml:space="preserve"> T/S. Indicēta atbalstoša ārstēšana ar NPL, lai atvieglotu klīniskos simptomus un mazinātu iekaisuma reakcijas locītavā(-ās). Ja skarta tikai viena locītava, var apsvērt vietēji veiktu ārstēšanu iekaisuma produktu un baktēriju izskalošanai.</w:t>
      </w:r>
    </w:p>
    <w:p w14:paraId="28B779FA" w14:textId="77777777" w:rsidR="00672FC0" w:rsidRPr="00154588" w:rsidRDefault="00672FC0" w:rsidP="00154588">
      <w:pPr>
        <w:jc w:val="both"/>
        <w:rPr>
          <w:rFonts w:ascii="Times New Roman" w:eastAsia="Book Antiqua" w:hAnsi="Times New Roman" w:cs="Book Antiqua"/>
          <w:noProof/>
          <w:sz w:val="24"/>
          <w:szCs w:val="23"/>
        </w:rPr>
      </w:pPr>
    </w:p>
    <w:p w14:paraId="4456F86F" w14:textId="7B2BB44B" w:rsidR="00BE5B60" w:rsidRDefault="00BE5B60" w:rsidP="00E2764A">
      <w:pPr>
        <w:jc w:val="center"/>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36366250" wp14:editId="5F02EC57">
            <wp:extent cx="4071667" cy="29340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8624" cy="2946279"/>
                    </a:xfrm>
                    <a:prstGeom prst="rect">
                      <a:avLst/>
                    </a:prstGeom>
                    <a:noFill/>
                    <a:ln>
                      <a:noFill/>
                    </a:ln>
                  </pic:spPr>
                </pic:pic>
              </a:graphicData>
            </a:graphic>
          </wp:inline>
        </w:drawing>
      </w:r>
      <w:r>
        <w:br w:type="page"/>
      </w:r>
    </w:p>
    <w:p w14:paraId="61AB1EEC" w14:textId="77777777" w:rsidR="00154588" w:rsidRPr="00154588" w:rsidRDefault="00154588" w:rsidP="00154588">
      <w:pPr>
        <w:jc w:val="both"/>
        <w:rPr>
          <w:rFonts w:ascii="Times New Roman" w:eastAsia="Book Antiqua" w:hAnsi="Times New Roman" w:cs="Book Antiqu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BE5B60" w14:paraId="186ADFB0" w14:textId="77777777" w:rsidTr="00BE5B60">
        <w:tc>
          <w:tcPr>
            <w:tcW w:w="9288" w:type="dxa"/>
          </w:tcPr>
          <w:p w14:paraId="04930D1E" w14:textId="48D2B012" w:rsidR="00BE5B60" w:rsidRDefault="00BE5B60" w:rsidP="009940DD">
            <w:pPr>
              <w:pStyle w:val="Heading1"/>
              <w:jc w:val="center"/>
              <w:rPr>
                <w:rFonts w:eastAsia="Book Antiqua" w:cs="Book Antiqua"/>
                <w:noProof/>
                <w:szCs w:val="6"/>
              </w:rPr>
            </w:pPr>
            <w:bookmarkStart w:id="120" w:name="_Toc47003113"/>
            <w:r w:rsidRPr="009940DD">
              <w:rPr>
                <w:sz w:val="28"/>
                <w:szCs w:val="32"/>
              </w:rPr>
              <w:t>Cūku slimības</w:t>
            </w:r>
            <w:bookmarkEnd w:id="120"/>
          </w:p>
        </w:tc>
      </w:tr>
    </w:tbl>
    <w:p w14:paraId="6D50A690" w14:textId="77777777" w:rsidR="00672FC0" w:rsidRPr="00154588" w:rsidRDefault="00672FC0" w:rsidP="00154588">
      <w:pPr>
        <w:jc w:val="both"/>
        <w:rPr>
          <w:rFonts w:ascii="Times New Roman" w:eastAsia="Book Antiqua" w:hAnsi="Times New Roman" w:cs="Book Antiqua"/>
          <w:noProof/>
          <w:sz w:val="24"/>
          <w:szCs w:val="14"/>
        </w:rPr>
      </w:pPr>
    </w:p>
    <w:p w14:paraId="4A12C5BE" w14:textId="77777777" w:rsidR="00672FC0" w:rsidRPr="00154588" w:rsidRDefault="00672FC0" w:rsidP="00154588">
      <w:pPr>
        <w:jc w:val="both"/>
        <w:rPr>
          <w:rFonts w:ascii="Times New Roman" w:hAnsi="Times New Roman"/>
          <w:i/>
          <w:noProof/>
          <w:sz w:val="24"/>
        </w:rPr>
      </w:pPr>
      <w:r>
        <w:rPr>
          <w:rFonts w:ascii="Times New Roman" w:hAnsi="Times New Roman"/>
          <w:i/>
          <w:sz w:val="24"/>
        </w:rPr>
        <w:t>Maria Lindberja [Maria Lindberg], veterinārās medicīnas zinātņu doktore, cūku slimību speciāliste</w:t>
      </w:r>
    </w:p>
    <w:p w14:paraId="4D38E55C" w14:textId="77777777" w:rsidR="00672FC0" w:rsidRPr="00154588" w:rsidRDefault="00672FC0" w:rsidP="00154588">
      <w:pPr>
        <w:jc w:val="both"/>
        <w:rPr>
          <w:rFonts w:ascii="Times New Roman" w:eastAsia="Book Antiqua" w:hAnsi="Times New Roman" w:cs="Book Antiqua"/>
          <w:i/>
          <w:noProof/>
          <w:sz w:val="24"/>
          <w:szCs w:val="15"/>
        </w:rPr>
      </w:pPr>
    </w:p>
    <w:p w14:paraId="1AC3E460" w14:textId="77777777" w:rsidR="00672FC0" w:rsidRPr="009940DD" w:rsidRDefault="00672FC0" w:rsidP="00154588">
      <w:pPr>
        <w:pStyle w:val="Heading1"/>
        <w:rPr>
          <w:noProof/>
          <w:sz w:val="28"/>
          <w:szCs w:val="32"/>
        </w:rPr>
      </w:pPr>
      <w:bookmarkStart w:id="121" w:name="_TOC_250023"/>
      <w:bookmarkStart w:id="122" w:name="_Toc46997588"/>
      <w:bookmarkStart w:id="123" w:name="_Toc47003114"/>
      <w:r w:rsidRPr="009940DD">
        <w:rPr>
          <w:sz w:val="28"/>
          <w:szCs w:val="32"/>
        </w:rPr>
        <w:t>Kuņģa-zarnu trakta infekcijas</w:t>
      </w:r>
      <w:bookmarkEnd w:id="121"/>
      <w:bookmarkEnd w:id="122"/>
      <w:bookmarkEnd w:id="123"/>
    </w:p>
    <w:p w14:paraId="500397F9" w14:textId="77777777" w:rsidR="00E2764A" w:rsidRDefault="00E2764A" w:rsidP="00154588">
      <w:pPr>
        <w:pStyle w:val="BodyText"/>
        <w:spacing w:before="0"/>
        <w:ind w:left="0"/>
        <w:jc w:val="both"/>
        <w:rPr>
          <w:rFonts w:ascii="Times New Roman" w:hAnsi="Times New Roman"/>
          <w:sz w:val="24"/>
        </w:rPr>
      </w:pPr>
    </w:p>
    <w:p w14:paraId="681CE434" w14:textId="56B099A8"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Diareju cūkas dzīves pirmajā nedēļā bieži izraisa viens vienīgs infekcijas izraisītājs, tāpēc to var novērst, vakcinējot sivēnmātes. No otrās līdz trešajai nedēļai situācija kļūst sarežģītāka, jo iesaistās arvien lielāks skaits infekcijas izraisītāju un vides faktoru. Diareja atšķiršanas laikā ir viens no šādiem sindromiem, kaut arī visbiežāk atrastais izraisītājs ir </w:t>
      </w:r>
      <w:r>
        <w:rPr>
          <w:rFonts w:ascii="Times New Roman" w:hAnsi="Times New Roman"/>
          <w:i/>
          <w:iCs/>
          <w:sz w:val="24"/>
        </w:rPr>
        <w:t>E. coli.</w:t>
      </w:r>
      <w:r>
        <w:rPr>
          <w:rFonts w:ascii="Times New Roman" w:hAnsi="Times New Roman"/>
          <w:sz w:val="24"/>
        </w:rPr>
        <w:t xml:space="preserve"> Diarejas diagnozi bieži nosaka arī augošām cūkām, un tā nereti ir saistīta ar </w:t>
      </w:r>
      <w:r>
        <w:rPr>
          <w:rFonts w:ascii="Times New Roman" w:hAnsi="Times New Roman"/>
          <w:i/>
          <w:iCs/>
          <w:sz w:val="24"/>
        </w:rPr>
        <w:t>Brachyspira spp</w:t>
      </w:r>
      <w:r>
        <w:rPr>
          <w:rFonts w:ascii="Times New Roman" w:hAnsi="Times New Roman"/>
          <w:sz w:val="24"/>
        </w:rPr>
        <w:t xml:space="preserve">. vai </w:t>
      </w:r>
      <w:r>
        <w:rPr>
          <w:rFonts w:ascii="Times New Roman" w:hAnsi="Times New Roman"/>
          <w:i/>
          <w:iCs/>
          <w:sz w:val="24"/>
        </w:rPr>
        <w:t>Lawsonia intracellularis</w:t>
      </w:r>
      <w:r>
        <w:rPr>
          <w:rFonts w:ascii="Times New Roman" w:hAnsi="Times New Roman"/>
          <w:sz w:val="24"/>
        </w:rPr>
        <w:t xml:space="preserve">. </w:t>
      </w:r>
      <w:r>
        <w:rPr>
          <w:rFonts w:ascii="Times New Roman" w:hAnsi="Times New Roman"/>
          <w:i/>
          <w:iCs/>
          <w:sz w:val="24"/>
        </w:rPr>
        <w:t xml:space="preserve">Brachyspira hyodysenteriae </w:t>
      </w:r>
      <w:r>
        <w:rPr>
          <w:rFonts w:ascii="Times New Roman" w:hAnsi="Times New Roman"/>
          <w:sz w:val="24"/>
        </w:rPr>
        <w:t>izraisītu dizentēriju un zarnu trakta parazītu diareju, kā arī daudzfaktoru etioloģijas diarejas mēdz konstatēt arī komerciālās cūku fermās. Salmonella Zviedrijā ir retāk sastopama, taču to nevajadzētu izslēgt.</w:t>
      </w:r>
    </w:p>
    <w:p w14:paraId="524BCEAC" w14:textId="77777777" w:rsidR="00BE5B60" w:rsidRPr="00154588" w:rsidRDefault="00BE5B60" w:rsidP="00154588">
      <w:pPr>
        <w:pStyle w:val="BodyText"/>
        <w:spacing w:before="0"/>
        <w:ind w:left="0"/>
        <w:jc w:val="both"/>
        <w:rPr>
          <w:rFonts w:ascii="Times New Roman" w:hAnsi="Times New Roman"/>
          <w:noProof/>
          <w:sz w:val="24"/>
        </w:rPr>
      </w:pPr>
    </w:p>
    <w:p w14:paraId="376B9AF9"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Subklīnisks gastroenterīts nomāc augšanu, un metieni kļūst nevienmērīgi. Novājējušu cūku pēc atšķiršanas kļūst vairāk, un dažreiz sekundārā ietekme var izpausties kā elpošanas ceļu slimības. Veicot ganāmpulka veselības traucējumu izpēti, mikrobioloģiskā etioloģija jānosaka, izmantojot laboratorijas analīzes.</w:t>
      </w:r>
    </w:p>
    <w:p w14:paraId="36251481" w14:textId="77777777" w:rsidR="00672FC0" w:rsidRPr="00154588" w:rsidRDefault="00672FC0" w:rsidP="00154588">
      <w:pPr>
        <w:jc w:val="both"/>
        <w:rPr>
          <w:rFonts w:ascii="Times New Roman" w:eastAsia="Book Antiqua" w:hAnsi="Times New Roman" w:cs="Book Antiqua"/>
          <w:noProof/>
          <w:sz w:val="24"/>
          <w:szCs w:val="25"/>
        </w:rPr>
      </w:pPr>
    </w:p>
    <w:p w14:paraId="47906EBB" w14:textId="77777777" w:rsidR="00672FC0" w:rsidRPr="009940DD" w:rsidRDefault="00672FC0" w:rsidP="00154588">
      <w:pPr>
        <w:pStyle w:val="Heading2"/>
        <w:ind w:left="0"/>
        <w:jc w:val="both"/>
        <w:rPr>
          <w:rFonts w:ascii="Times New Roman" w:hAnsi="Times New Roman"/>
          <w:noProof/>
          <w:sz w:val="28"/>
          <w:szCs w:val="24"/>
        </w:rPr>
      </w:pPr>
      <w:bookmarkStart w:id="124" w:name="_Toc46997589"/>
      <w:bookmarkStart w:id="125" w:name="_Toc47003115"/>
      <w:r w:rsidRPr="009940DD">
        <w:rPr>
          <w:rFonts w:ascii="Times New Roman" w:hAnsi="Times New Roman"/>
          <w:sz w:val="28"/>
          <w:szCs w:val="24"/>
        </w:rPr>
        <w:t>Diareja jaundzimušiem sivēniem</w:t>
      </w:r>
      <w:bookmarkEnd w:id="124"/>
      <w:bookmarkEnd w:id="125"/>
    </w:p>
    <w:p w14:paraId="7E5053B8" w14:textId="77777777" w:rsidR="00BE5B60" w:rsidRDefault="00BE5B60" w:rsidP="00154588">
      <w:pPr>
        <w:pStyle w:val="Heading3"/>
        <w:ind w:left="0"/>
        <w:jc w:val="both"/>
        <w:rPr>
          <w:rFonts w:ascii="Times New Roman" w:hAnsi="Times New Roman"/>
          <w:noProof/>
          <w:sz w:val="24"/>
        </w:rPr>
      </w:pPr>
    </w:p>
    <w:p w14:paraId="0AF4DBEC" w14:textId="41448FE0" w:rsidR="00672FC0" w:rsidRPr="00154588" w:rsidRDefault="00672FC0" w:rsidP="00154588">
      <w:pPr>
        <w:pStyle w:val="Heading3"/>
        <w:ind w:left="0"/>
        <w:jc w:val="both"/>
        <w:rPr>
          <w:rFonts w:ascii="Times New Roman" w:hAnsi="Times New Roman"/>
          <w:noProof/>
          <w:sz w:val="24"/>
        </w:rPr>
      </w:pPr>
      <w:bookmarkStart w:id="126" w:name="_Toc46997590"/>
      <w:bookmarkStart w:id="127" w:name="_Toc47003116"/>
      <w:r>
        <w:rPr>
          <w:rFonts w:ascii="Times New Roman" w:hAnsi="Times New Roman"/>
          <w:sz w:val="24"/>
        </w:rPr>
        <w:t>Diagnozes noteikšana</w:t>
      </w:r>
      <w:bookmarkEnd w:id="126"/>
      <w:bookmarkEnd w:id="127"/>
    </w:p>
    <w:p w14:paraId="612B7E5E" w14:textId="3D8B0B2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Diareja jaundzimušiem sivēniem parasti parādās pirmajās 24 dzīves stundās. Dominējošais izraisītājs ir </w:t>
      </w:r>
      <w:r>
        <w:rPr>
          <w:rFonts w:ascii="Times New Roman" w:hAnsi="Times New Roman"/>
          <w:i/>
          <w:iCs/>
          <w:sz w:val="24"/>
        </w:rPr>
        <w:t>E. coli</w:t>
      </w:r>
      <w:r>
        <w:rPr>
          <w:rFonts w:ascii="Times New Roman" w:hAnsi="Times New Roman"/>
          <w:sz w:val="24"/>
        </w:rPr>
        <w:t>. Sivēniem ir pazīmes, kas liecina par svara zudumu un nomāktu vispārējo stāvokli. Kļūst redzami mugurkaula dorsālie izvirzījumi, un, uzspiežot uz vēdera, no anālās atveres izdalās šķidri izkārnījumi/caureja. Nevakcinētos ganāmpulkos saslimst lielākā metiena daļa, un mirstība var būt augsta. Ieteicams noteikt bakterioloģisko diagnozi, veicot arī jutīguma testu.</w:t>
      </w:r>
    </w:p>
    <w:p w14:paraId="57858613" w14:textId="6AA8C7C1" w:rsidR="00154588" w:rsidRDefault="00154588" w:rsidP="00154588">
      <w:pPr>
        <w:jc w:val="both"/>
        <w:rPr>
          <w:rFonts w:ascii="Times New Roman" w:hAnsi="Times New Roman"/>
          <w:noProof/>
          <w:sz w:val="24"/>
        </w:rPr>
      </w:pPr>
    </w:p>
    <w:p w14:paraId="68043883" w14:textId="467F6F38" w:rsidR="00BE5B60" w:rsidRDefault="00BE5B60" w:rsidP="00154588">
      <w:pPr>
        <w:jc w:val="both"/>
        <w:rPr>
          <w:rFonts w:ascii="Times New Roman" w:hAnsi="Times New Roman"/>
          <w:noProof/>
          <w:sz w:val="24"/>
        </w:rPr>
      </w:pPr>
      <w:r>
        <w:rPr>
          <w:rFonts w:ascii="Times New Roman" w:hAnsi="Times New Roman"/>
          <w:noProof/>
          <w:sz w:val="24"/>
        </w:rPr>
        <w:drawing>
          <wp:inline distT="0" distB="0" distL="0" distR="0" wp14:anchorId="3B8F41A1" wp14:editId="3047B683">
            <wp:extent cx="2025136" cy="21997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3480" cy="2208800"/>
                    </a:xfrm>
                    <a:prstGeom prst="rect">
                      <a:avLst/>
                    </a:prstGeom>
                    <a:noFill/>
                    <a:ln>
                      <a:noFill/>
                    </a:ln>
                  </pic:spPr>
                </pic:pic>
              </a:graphicData>
            </a:graphic>
          </wp:inline>
        </w:drawing>
      </w:r>
    </w:p>
    <w:p w14:paraId="5CD066B8" w14:textId="77777777" w:rsidR="00BE5B60" w:rsidRPr="00154588" w:rsidRDefault="00BE5B60" w:rsidP="00154588">
      <w:pPr>
        <w:jc w:val="both"/>
        <w:rPr>
          <w:rFonts w:ascii="Times New Roman" w:hAnsi="Times New Roman"/>
          <w:noProof/>
          <w:sz w:val="24"/>
        </w:rPr>
      </w:pPr>
    </w:p>
    <w:p w14:paraId="5F815B79" w14:textId="77777777" w:rsidR="00672FC0" w:rsidRPr="00154588" w:rsidRDefault="00672FC0" w:rsidP="00154588">
      <w:pPr>
        <w:pStyle w:val="Heading3"/>
        <w:ind w:left="0"/>
        <w:jc w:val="both"/>
        <w:rPr>
          <w:rFonts w:ascii="Times New Roman" w:hAnsi="Times New Roman"/>
          <w:noProof/>
          <w:sz w:val="24"/>
        </w:rPr>
      </w:pPr>
      <w:bookmarkStart w:id="128" w:name="_Toc46997591"/>
      <w:bookmarkStart w:id="129" w:name="_Toc47003117"/>
      <w:r>
        <w:rPr>
          <w:rFonts w:ascii="Times New Roman" w:hAnsi="Times New Roman"/>
          <w:sz w:val="24"/>
        </w:rPr>
        <w:t>Ārstēšana</w:t>
      </w:r>
      <w:bookmarkEnd w:id="128"/>
      <w:bookmarkEnd w:id="129"/>
    </w:p>
    <w:p w14:paraId="009F1D88" w14:textId="6B06C01F"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Ātra terapijas uzsākšana ir ļoti svarīga. Jāpiedāvā sivēniem elektrolītu šķīdums, lai nepieļautu dehidratāciju. Izvēles zāles ir </w:t>
      </w:r>
      <w:r>
        <w:rPr>
          <w:rFonts w:ascii="Times New Roman" w:hAnsi="Times New Roman"/>
          <w:b/>
          <w:bCs/>
          <w:i/>
          <w:iCs/>
          <w:sz w:val="24"/>
        </w:rPr>
        <w:t>trimetoprima/sulfanilamīdu</w:t>
      </w:r>
      <w:r>
        <w:rPr>
          <w:rFonts w:ascii="Times New Roman" w:hAnsi="Times New Roman"/>
          <w:sz w:val="24"/>
        </w:rPr>
        <w:t xml:space="preserve"> preparāti sistēmisku injekciju veidā. Ja anti</w:t>
      </w:r>
      <w:r w:rsidR="003B4CED">
        <w:rPr>
          <w:rFonts w:ascii="Times New Roman" w:hAnsi="Times New Roman"/>
          <w:sz w:val="24"/>
        </w:rPr>
        <w:t>mikrobiālajai</w:t>
      </w:r>
      <w:r>
        <w:rPr>
          <w:rFonts w:ascii="Times New Roman" w:hAnsi="Times New Roman"/>
          <w:sz w:val="24"/>
        </w:rPr>
        <w:t xml:space="preserve"> terapijai nav gaidītās klīniskās iedarbības, cita anti</w:t>
      </w:r>
      <w:r w:rsidR="003B4CED">
        <w:rPr>
          <w:rFonts w:ascii="Times New Roman" w:hAnsi="Times New Roman"/>
          <w:sz w:val="24"/>
        </w:rPr>
        <w:t>mikrobiālā</w:t>
      </w:r>
      <w:r>
        <w:rPr>
          <w:rFonts w:ascii="Times New Roman" w:hAnsi="Times New Roman"/>
          <w:sz w:val="24"/>
        </w:rPr>
        <w:t xml:space="preserve"> </w:t>
      </w:r>
      <w:r>
        <w:rPr>
          <w:rFonts w:ascii="Times New Roman" w:hAnsi="Times New Roman"/>
          <w:sz w:val="24"/>
        </w:rPr>
        <w:lastRenderedPageBreak/>
        <w:t xml:space="preserve">līdzekļa izvēle jāpamato ar bakteriālo uzsējumu un jutīguma testa rezultātiem. Ja ir norādes, ka diareju var izraisīt klostrīdijas, piemērota izvēle ir </w:t>
      </w:r>
      <w:r>
        <w:rPr>
          <w:rFonts w:ascii="Times New Roman" w:hAnsi="Times New Roman"/>
          <w:b/>
          <w:bCs/>
          <w:i/>
          <w:iCs/>
          <w:sz w:val="24"/>
        </w:rPr>
        <w:t>prokaīna benzilpenicilīns</w:t>
      </w:r>
      <w:r>
        <w:rPr>
          <w:rFonts w:ascii="Times New Roman" w:hAnsi="Times New Roman"/>
          <w:sz w:val="24"/>
        </w:rPr>
        <w:t>. Ja ārstējamo dzīvnieku skaits pārsniedz 10 % no metiena, jāveic ganāmpulka veselības pārbaude, neaizmirstot pārbaudīt sivēnmāšu veselību. Ja sivēnmātes neražo pietiekami daudz piena, ieskaitot jaunpienu, tas negatīvi ietekmē jaunpiena patēriņu starp sivēniem, un tā rezultātā pasliktinās sivēnu veselība.</w:t>
      </w:r>
    </w:p>
    <w:p w14:paraId="733CA572" w14:textId="77777777" w:rsidR="00672FC0" w:rsidRPr="00154588" w:rsidRDefault="00672FC0" w:rsidP="00154588">
      <w:pPr>
        <w:jc w:val="both"/>
        <w:rPr>
          <w:rFonts w:ascii="Times New Roman" w:hAnsi="Times New Roman"/>
          <w:noProof/>
          <w:sz w:val="24"/>
        </w:rPr>
      </w:pPr>
    </w:p>
    <w:p w14:paraId="78A40BB6" w14:textId="77777777" w:rsidR="00672FC0" w:rsidRPr="00154588" w:rsidRDefault="00672FC0" w:rsidP="00154588">
      <w:pPr>
        <w:pStyle w:val="Heading3"/>
        <w:ind w:left="0"/>
        <w:jc w:val="both"/>
        <w:rPr>
          <w:rFonts w:ascii="Times New Roman" w:hAnsi="Times New Roman"/>
          <w:noProof/>
          <w:sz w:val="24"/>
        </w:rPr>
      </w:pPr>
      <w:bookmarkStart w:id="130" w:name="_Toc46997592"/>
      <w:bookmarkStart w:id="131" w:name="_Toc47003118"/>
      <w:r>
        <w:rPr>
          <w:rFonts w:ascii="Times New Roman" w:hAnsi="Times New Roman"/>
          <w:sz w:val="24"/>
        </w:rPr>
        <w:t>Profilakse</w:t>
      </w:r>
      <w:bookmarkEnd w:id="130"/>
      <w:bookmarkEnd w:id="131"/>
    </w:p>
    <w:p w14:paraId="48622FE4" w14:textId="17A6B2C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Sivēnmātes vakcinēšana pirms atnešanās pasargā sivēnus no diarejas, tāpēc ir svarīgi, lai sivēnmāte ražotu pietiekami labas kvalitātes jaunpienu un lai tesmenis, kad sivēni piekļūst pupiem, būtu tīrs.</w:t>
      </w:r>
    </w:p>
    <w:p w14:paraId="79D41185" w14:textId="33E01D2A" w:rsidR="00672FC0" w:rsidRDefault="00672FC0" w:rsidP="00154588">
      <w:pPr>
        <w:jc w:val="both"/>
        <w:rPr>
          <w:rFonts w:ascii="Times New Roman" w:eastAsia="Book Antiqua" w:hAnsi="Times New Roman" w:cs="Book Antiqua"/>
          <w:noProof/>
          <w:sz w:val="24"/>
          <w:szCs w:val="8"/>
        </w:rPr>
      </w:pPr>
    </w:p>
    <w:p w14:paraId="37CBABDA" w14:textId="480DD4BF" w:rsidR="00BE5B60" w:rsidRDefault="00BE5B60" w:rsidP="00154588">
      <w:pPr>
        <w:jc w:val="both"/>
        <w:rPr>
          <w:rFonts w:ascii="Times New Roman" w:eastAsia="Book Antiqua" w:hAnsi="Times New Roman" w:cs="Book Antiqua"/>
          <w:noProof/>
          <w:sz w:val="24"/>
          <w:szCs w:val="8"/>
        </w:rPr>
      </w:pPr>
      <w:r>
        <w:rPr>
          <w:rFonts w:ascii="Times New Roman" w:hAnsi="Times New Roman"/>
          <w:noProof/>
          <w:sz w:val="24"/>
          <w:szCs w:val="8"/>
        </w:rPr>
        <w:drawing>
          <wp:inline distT="0" distB="0" distL="0" distR="0" wp14:anchorId="6B46A7D5" wp14:editId="23ECA1F4">
            <wp:extent cx="1892300" cy="12655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2300" cy="1265555"/>
                    </a:xfrm>
                    <a:prstGeom prst="rect">
                      <a:avLst/>
                    </a:prstGeom>
                    <a:noFill/>
                    <a:ln>
                      <a:noFill/>
                    </a:ln>
                  </pic:spPr>
                </pic:pic>
              </a:graphicData>
            </a:graphic>
          </wp:inline>
        </w:drawing>
      </w:r>
    </w:p>
    <w:p w14:paraId="79AF4AC8" w14:textId="77777777" w:rsidR="00BE5B60" w:rsidRPr="00154588" w:rsidRDefault="00BE5B60" w:rsidP="00154588">
      <w:pPr>
        <w:jc w:val="both"/>
        <w:rPr>
          <w:rFonts w:ascii="Times New Roman" w:eastAsia="Book Antiqua" w:hAnsi="Times New Roman" w:cs="Book Antiqua"/>
          <w:noProof/>
          <w:sz w:val="24"/>
          <w:szCs w:val="8"/>
        </w:rPr>
      </w:pPr>
    </w:p>
    <w:p w14:paraId="57B11766" w14:textId="479E74D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Sivēnu atnešanās kūts ir rūpīgi jātīra un jādezinficē, un tai pietiekami ilgi jābūt tukšai starp metieniem, lai grīdas paspētu nožūt, samazinot baktēriju daudzumu. Sivēniem nepieciešama silta un sausa vide bez caurvēja un ar slēptuvi, kur viņi var atpūsties un bez vajadzības nezaudēt enerģiju.</w:t>
      </w:r>
    </w:p>
    <w:p w14:paraId="3FDB761A" w14:textId="77777777" w:rsidR="00672FC0" w:rsidRPr="00154588" w:rsidRDefault="00672FC0" w:rsidP="00154588">
      <w:pPr>
        <w:jc w:val="both"/>
        <w:rPr>
          <w:rFonts w:ascii="Times New Roman" w:eastAsia="Book Antiqua" w:hAnsi="Times New Roman" w:cs="Book Antiqua"/>
          <w:noProof/>
          <w:sz w:val="24"/>
          <w:szCs w:val="26"/>
        </w:rPr>
      </w:pPr>
    </w:p>
    <w:p w14:paraId="614E9950" w14:textId="77777777" w:rsidR="00672FC0" w:rsidRPr="009940DD" w:rsidRDefault="00672FC0" w:rsidP="00154588">
      <w:pPr>
        <w:pStyle w:val="Heading2"/>
        <w:ind w:left="0"/>
        <w:jc w:val="both"/>
        <w:rPr>
          <w:rFonts w:ascii="Times New Roman" w:hAnsi="Times New Roman"/>
          <w:noProof/>
          <w:sz w:val="28"/>
          <w:szCs w:val="24"/>
        </w:rPr>
      </w:pPr>
      <w:bookmarkStart w:id="132" w:name="_Toc46997593"/>
      <w:bookmarkStart w:id="133" w:name="_Toc47003119"/>
      <w:r w:rsidRPr="009940DD">
        <w:rPr>
          <w:rFonts w:ascii="Times New Roman" w:hAnsi="Times New Roman"/>
          <w:sz w:val="28"/>
          <w:szCs w:val="24"/>
        </w:rPr>
        <w:t>“Trīsnedēļu” diareja un pēc atšķiršanas diareja</w:t>
      </w:r>
      <w:bookmarkEnd w:id="132"/>
      <w:bookmarkEnd w:id="133"/>
    </w:p>
    <w:p w14:paraId="15E8CC84" w14:textId="77777777" w:rsidR="00BE5B60" w:rsidRDefault="00BE5B60" w:rsidP="00154588">
      <w:pPr>
        <w:pStyle w:val="Heading3"/>
        <w:ind w:left="0"/>
        <w:jc w:val="both"/>
        <w:rPr>
          <w:rFonts w:ascii="Times New Roman" w:hAnsi="Times New Roman"/>
          <w:noProof/>
          <w:sz w:val="24"/>
        </w:rPr>
      </w:pPr>
    </w:p>
    <w:p w14:paraId="1F5C720C" w14:textId="24F63F58" w:rsidR="00672FC0" w:rsidRPr="00154588" w:rsidRDefault="00672FC0" w:rsidP="00154588">
      <w:pPr>
        <w:pStyle w:val="Heading3"/>
        <w:ind w:left="0"/>
        <w:jc w:val="both"/>
        <w:rPr>
          <w:rFonts w:ascii="Times New Roman" w:hAnsi="Times New Roman"/>
          <w:noProof/>
          <w:sz w:val="24"/>
        </w:rPr>
      </w:pPr>
      <w:bookmarkStart w:id="134" w:name="_Toc46997594"/>
      <w:bookmarkStart w:id="135" w:name="_Toc47003120"/>
      <w:r>
        <w:rPr>
          <w:rFonts w:ascii="Times New Roman" w:hAnsi="Times New Roman"/>
          <w:sz w:val="24"/>
        </w:rPr>
        <w:t>Diagnozes noteikšana</w:t>
      </w:r>
      <w:bookmarkEnd w:id="134"/>
      <w:bookmarkEnd w:id="135"/>
    </w:p>
    <w:p w14:paraId="389003FC" w14:textId="77777777"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b/>
          <w:bCs/>
          <w:i/>
          <w:iCs/>
          <w:sz w:val="24"/>
          <w:szCs w:val="20"/>
        </w:rPr>
        <w:t>“Trīsnedēļu” diareja</w:t>
      </w:r>
      <w:r>
        <w:rPr>
          <w:rFonts w:ascii="Times New Roman" w:hAnsi="Times New Roman"/>
          <w:sz w:val="24"/>
          <w:szCs w:val="20"/>
        </w:rPr>
        <w:t xml:space="preserve"> ir saistīta ar baktērijām – galvenokārt </w:t>
      </w:r>
      <w:r>
        <w:rPr>
          <w:rFonts w:ascii="Times New Roman" w:hAnsi="Times New Roman"/>
          <w:i/>
          <w:iCs/>
          <w:sz w:val="24"/>
          <w:szCs w:val="20"/>
        </w:rPr>
        <w:t>E. coli</w:t>
      </w:r>
      <w:r>
        <w:rPr>
          <w:rFonts w:ascii="Times New Roman" w:hAnsi="Times New Roman"/>
          <w:sz w:val="24"/>
          <w:szCs w:val="20"/>
        </w:rPr>
        <w:t xml:space="preserve">, parazītiem – galvenokārt </w:t>
      </w:r>
      <w:r>
        <w:rPr>
          <w:rFonts w:ascii="Times New Roman" w:hAnsi="Times New Roman"/>
          <w:i/>
          <w:iCs/>
          <w:sz w:val="24"/>
          <w:szCs w:val="20"/>
        </w:rPr>
        <w:t xml:space="preserve">Isospora suis </w:t>
      </w:r>
      <w:r>
        <w:rPr>
          <w:rFonts w:ascii="Times New Roman" w:hAnsi="Times New Roman"/>
          <w:sz w:val="24"/>
          <w:szCs w:val="20"/>
        </w:rPr>
        <w:t xml:space="preserve">vai vīrusiem, piemēram, rotavīrusu, bet ir atrasti arī citi infekcijas izraisītāji. </w:t>
      </w:r>
      <w:r>
        <w:rPr>
          <w:rFonts w:ascii="Times New Roman" w:hAnsi="Times New Roman"/>
          <w:i/>
          <w:sz w:val="24"/>
          <w:szCs w:val="20"/>
        </w:rPr>
        <w:t>Isospora sui</w:t>
      </w:r>
      <w:r>
        <w:rPr>
          <w:rFonts w:ascii="Times New Roman" w:hAnsi="Times New Roman"/>
          <w:sz w:val="24"/>
          <w:szCs w:val="20"/>
        </w:rPr>
        <w:t>s un rotavīrusu atrod arī dzīvniekiem bez klīniskiem simptomiem.</w:t>
      </w:r>
    </w:p>
    <w:p w14:paraId="11700787" w14:textId="77777777" w:rsidR="00BE5B60" w:rsidRDefault="00BE5B60" w:rsidP="00154588">
      <w:pPr>
        <w:pStyle w:val="BodyText"/>
        <w:spacing w:before="0"/>
        <w:ind w:left="0"/>
        <w:jc w:val="both"/>
        <w:rPr>
          <w:rFonts w:ascii="Times New Roman" w:hAnsi="Times New Roman"/>
          <w:b/>
          <w:i/>
          <w:noProof/>
          <w:sz w:val="24"/>
        </w:rPr>
      </w:pPr>
    </w:p>
    <w:p w14:paraId="07F5BB48" w14:textId="0C7980F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Pēcatšķiršanas</w:t>
      </w:r>
      <w:r>
        <w:rPr>
          <w:rFonts w:ascii="Times New Roman" w:hAnsi="Times New Roman"/>
          <w:b/>
          <w:bCs/>
          <w:sz w:val="24"/>
        </w:rPr>
        <w:t xml:space="preserve"> </w:t>
      </w:r>
      <w:r>
        <w:rPr>
          <w:rFonts w:ascii="Times New Roman" w:hAnsi="Times New Roman"/>
          <w:b/>
          <w:bCs/>
          <w:i/>
          <w:iCs/>
          <w:sz w:val="24"/>
        </w:rPr>
        <w:t>diareju</w:t>
      </w:r>
      <w:r>
        <w:rPr>
          <w:rFonts w:ascii="Times New Roman" w:hAnsi="Times New Roman"/>
          <w:sz w:val="24"/>
        </w:rPr>
        <w:t xml:space="preserve"> parasti novēro 5–14 dienas pēc atšķiršanas, un to bieži saista ar </w:t>
      </w:r>
      <w:r>
        <w:rPr>
          <w:rFonts w:ascii="Times New Roman" w:hAnsi="Times New Roman"/>
          <w:i/>
          <w:iCs/>
          <w:sz w:val="24"/>
        </w:rPr>
        <w:t>E. coli.</w:t>
      </w:r>
      <w:r>
        <w:rPr>
          <w:rFonts w:ascii="Times New Roman" w:hAnsi="Times New Roman"/>
          <w:sz w:val="24"/>
        </w:rPr>
        <w:t xml:space="preserve"> Simptomi ir dažādi – no subklīniskām infekcijām līdz pat </w:t>
      </w:r>
      <w:r w:rsidR="003B4CED">
        <w:rPr>
          <w:rFonts w:ascii="Times New Roman" w:hAnsi="Times New Roman"/>
          <w:sz w:val="24"/>
        </w:rPr>
        <w:t>per</w:t>
      </w:r>
      <w:r>
        <w:rPr>
          <w:rFonts w:ascii="Times New Roman" w:hAnsi="Times New Roman"/>
          <w:sz w:val="24"/>
        </w:rPr>
        <w:t xml:space="preserve">akūtām slimībām ar letālu iznākumu. Tūskas slimība šajā periodā ir perakūta slimība, un to izraisa </w:t>
      </w:r>
      <w:r>
        <w:rPr>
          <w:rFonts w:ascii="Times New Roman" w:hAnsi="Times New Roman"/>
          <w:i/>
          <w:iCs/>
          <w:sz w:val="24"/>
        </w:rPr>
        <w:t>E. coli</w:t>
      </w:r>
      <w:r>
        <w:rPr>
          <w:rFonts w:ascii="Times New Roman" w:hAnsi="Times New Roman"/>
          <w:sz w:val="24"/>
        </w:rPr>
        <w:t xml:space="preserve"> baktērijas, kas izdala verotoksīnu. Tūskas slimība bieži ir letāla, un, tai strauji progresējot, sivēni mēdz </w:t>
      </w:r>
      <w:r w:rsidR="003B4CED">
        <w:rPr>
          <w:rFonts w:ascii="Times New Roman" w:hAnsi="Times New Roman"/>
          <w:sz w:val="24"/>
        </w:rPr>
        <w:t>mirt</w:t>
      </w:r>
      <w:r>
        <w:rPr>
          <w:rFonts w:ascii="Times New Roman" w:hAnsi="Times New Roman"/>
          <w:sz w:val="24"/>
        </w:rPr>
        <w:t>, neuzrādot nekādus simptomus.</w:t>
      </w:r>
    </w:p>
    <w:p w14:paraId="3875793E" w14:textId="77777777" w:rsidR="00154588" w:rsidRPr="00154588" w:rsidRDefault="00154588" w:rsidP="00154588">
      <w:pPr>
        <w:jc w:val="both"/>
        <w:rPr>
          <w:rFonts w:ascii="Times New Roman" w:hAnsi="Times New Roman"/>
          <w:noProof/>
          <w:sz w:val="24"/>
        </w:rPr>
      </w:pPr>
    </w:p>
    <w:p w14:paraId="2217538C" w14:textId="5395D5F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Lai šajā laika posmā noteiktu diarejas etioloģisko diagnozi, atbildīgajam ārstam ieteicams pēc iespējas veikt sivēnu autopsijas un noteikt bakterioloģisko diagnozi, veicot arī jutīguma testu. Ja ir aizdomas par tūskas slimību, tas jānorāda nosūtījuma veidlapā.</w:t>
      </w:r>
    </w:p>
    <w:p w14:paraId="73ECEC43" w14:textId="77777777" w:rsidR="00672FC0" w:rsidRPr="00154588" w:rsidRDefault="00672FC0" w:rsidP="00154588">
      <w:pPr>
        <w:jc w:val="both"/>
        <w:rPr>
          <w:rFonts w:ascii="Times New Roman" w:eastAsia="Book Antiqua" w:hAnsi="Times New Roman" w:cs="Book Antiqua"/>
          <w:noProof/>
          <w:sz w:val="24"/>
          <w:szCs w:val="17"/>
        </w:rPr>
      </w:pPr>
    </w:p>
    <w:p w14:paraId="6330AE57" w14:textId="77777777" w:rsidR="00672FC0" w:rsidRPr="00154588" w:rsidRDefault="00672FC0" w:rsidP="00154588">
      <w:pPr>
        <w:pStyle w:val="Heading3"/>
        <w:ind w:left="0"/>
        <w:jc w:val="both"/>
        <w:rPr>
          <w:rFonts w:ascii="Times New Roman" w:hAnsi="Times New Roman"/>
          <w:noProof/>
          <w:sz w:val="24"/>
        </w:rPr>
      </w:pPr>
      <w:bookmarkStart w:id="136" w:name="_Toc46997595"/>
      <w:bookmarkStart w:id="137" w:name="_Toc47003121"/>
      <w:r>
        <w:rPr>
          <w:rFonts w:ascii="Times New Roman" w:hAnsi="Times New Roman"/>
          <w:sz w:val="24"/>
        </w:rPr>
        <w:t>Ārstēšana</w:t>
      </w:r>
      <w:bookmarkEnd w:id="136"/>
      <w:bookmarkEnd w:id="137"/>
    </w:p>
    <w:p w14:paraId="5D9D1DF0" w14:textId="363E3966" w:rsidR="00672FC0"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“Trīsnedēļu” diareja</w:t>
      </w:r>
      <w:r>
        <w:rPr>
          <w:rFonts w:ascii="Times New Roman" w:hAnsi="Times New Roman"/>
          <w:sz w:val="24"/>
        </w:rPr>
        <w:t xml:space="preserve"> – par to, kā ārstēt ar </w:t>
      </w:r>
      <w:r>
        <w:rPr>
          <w:rFonts w:ascii="Times New Roman" w:hAnsi="Times New Roman"/>
          <w:i/>
          <w:iCs/>
          <w:sz w:val="24"/>
        </w:rPr>
        <w:t>E. coli</w:t>
      </w:r>
      <w:r>
        <w:rPr>
          <w:rFonts w:ascii="Times New Roman" w:hAnsi="Times New Roman"/>
          <w:sz w:val="24"/>
        </w:rPr>
        <w:t xml:space="preserve"> saistītas diarejas, skatīt iepriekšējā sadaļā par sivēnu diarejām. Nav citu iedarbīgu vīrusu diarejas terapiju kā tikai elektrolītu šķīdumu izbarošana. </w:t>
      </w:r>
      <w:r>
        <w:rPr>
          <w:rFonts w:ascii="Times New Roman" w:hAnsi="Times New Roman"/>
          <w:i/>
          <w:iCs/>
          <w:sz w:val="24"/>
        </w:rPr>
        <w:t>I. suis</w:t>
      </w:r>
      <w:r>
        <w:rPr>
          <w:rFonts w:ascii="Times New Roman" w:hAnsi="Times New Roman"/>
          <w:sz w:val="24"/>
        </w:rPr>
        <w:t xml:space="preserve"> izraisītas ganāmpulka veselības problēmas jāārstē, ieviešot profilakses pasākumus, skatīt iepriekš.</w:t>
      </w:r>
    </w:p>
    <w:p w14:paraId="0C2CE1A3" w14:textId="77777777" w:rsidR="00BE5B60" w:rsidRPr="00154588" w:rsidRDefault="00BE5B60" w:rsidP="00154588">
      <w:pPr>
        <w:pStyle w:val="BodyText"/>
        <w:spacing w:before="0"/>
        <w:ind w:left="0"/>
        <w:jc w:val="both"/>
        <w:rPr>
          <w:rFonts w:ascii="Times New Roman" w:hAnsi="Times New Roman"/>
          <w:noProof/>
          <w:sz w:val="24"/>
        </w:rPr>
      </w:pPr>
    </w:p>
    <w:p w14:paraId="608582D2" w14:textId="187DC571"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Pēcatšķiršanas diareja</w:t>
      </w:r>
      <w:r>
        <w:rPr>
          <w:rFonts w:ascii="Times New Roman" w:hAnsi="Times New Roman"/>
          <w:sz w:val="24"/>
        </w:rPr>
        <w:t xml:space="preserve"> – ja diareju konstatē tikko atšķirtu cūku metienā, pirmais, kas jāveic, ir jāatņem vai krasi jāsamazina cūkām barība turpmāko 24 stundu laikā. Pēc tam barības </w:t>
      </w:r>
      <w:r>
        <w:rPr>
          <w:rFonts w:ascii="Times New Roman" w:hAnsi="Times New Roman"/>
          <w:sz w:val="24"/>
        </w:rPr>
        <w:lastRenderedPageBreak/>
        <w:t xml:space="preserve">apjoms pakāpeniski jāatjauno līdz nepieciešamajam daudzumam. Lai samazinātu dehidratācijas risku un kompensētu barības zudumu, cūkām jāpiedāvā elektrolīti. Lai normalizētu zarnu peristaltiku un uzlabotu higiēnu, pakaišiem ieteicams pievienot kūdru. Ja diareju nevar izārstēt ar šiem sākotnējiem pasākumiem, cūkas var ārstēt individuāli ar </w:t>
      </w:r>
      <w:r>
        <w:rPr>
          <w:rFonts w:ascii="Times New Roman" w:hAnsi="Times New Roman"/>
          <w:b/>
          <w:bCs/>
          <w:i/>
          <w:iCs/>
          <w:sz w:val="24"/>
        </w:rPr>
        <w:t>T/S</w:t>
      </w:r>
      <w:r>
        <w:rPr>
          <w:rFonts w:ascii="Times New Roman" w:hAnsi="Times New Roman"/>
          <w:sz w:val="24"/>
        </w:rPr>
        <w:t>, ievadot to parenterāli. Var izvēlēties citu antibiotiku, ja to pamato bakteriālā diagnoze un jutīguma tests.</w:t>
      </w:r>
    </w:p>
    <w:p w14:paraId="609B119F" w14:textId="77777777" w:rsidR="00BE5B60" w:rsidRDefault="00BE5B60" w:rsidP="00154588">
      <w:pPr>
        <w:pStyle w:val="BodyText"/>
        <w:spacing w:before="0"/>
        <w:ind w:left="0"/>
        <w:jc w:val="both"/>
        <w:rPr>
          <w:rFonts w:ascii="Times New Roman" w:hAnsi="Times New Roman"/>
          <w:noProof/>
          <w:sz w:val="24"/>
        </w:rPr>
      </w:pPr>
    </w:p>
    <w:p w14:paraId="7CF89710" w14:textId="7638156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Ja ar antibiotikām ārstējamo dzīvnieku skaits gadā pārsniedz 10 % no metieniem, jāuzsāk ganāmpulka veselības pārbaude. Smagos gadījumos un tad, ja ir skarta liela ganāmpulka daļa, var būt indicēta dzīvnieku grupas terapija (skatīt sadaļu “Stratēģijas dzīvnieku grupas terapijai”).</w:t>
      </w:r>
    </w:p>
    <w:p w14:paraId="67C84CC7" w14:textId="77777777" w:rsidR="00672FC0" w:rsidRPr="00154588" w:rsidRDefault="00672FC0" w:rsidP="00154588">
      <w:pPr>
        <w:jc w:val="both"/>
        <w:rPr>
          <w:rFonts w:ascii="Times New Roman" w:eastAsia="Book Antiqua" w:hAnsi="Times New Roman" w:cs="Book Antiqua"/>
          <w:noProof/>
          <w:sz w:val="24"/>
          <w:szCs w:val="17"/>
        </w:rPr>
      </w:pPr>
    </w:p>
    <w:p w14:paraId="0A3653D3" w14:textId="77777777" w:rsidR="00672FC0" w:rsidRPr="00154588" w:rsidRDefault="00672FC0" w:rsidP="00154588">
      <w:pPr>
        <w:pStyle w:val="Heading3"/>
        <w:ind w:left="0"/>
        <w:jc w:val="both"/>
        <w:rPr>
          <w:rFonts w:ascii="Times New Roman" w:hAnsi="Times New Roman"/>
          <w:noProof/>
          <w:sz w:val="24"/>
        </w:rPr>
      </w:pPr>
      <w:bookmarkStart w:id="138" w:name="_Toc46997596"/>
      <w:bookmarkStart w:id="139" w:name="_Toc47003122"/>
      <w:r>
        <w:rPr>
          <w:rFonts w:ascii="Times New Roman" w:hAnsi="Times New Roman"/>
          <w:sz w:val="24"/>
        </w:rPr>
        <w:t>Profilakse</w:t>
      </w:r>
      <w:bookmarkEnd w:id="138"/>
      <w:bookmarkEnd w:id="139"/>
    </w:p>
    <w:p w14:paraId="001E13E6" w14:textId="04AFB5B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Atšķiršanas process rada jaunajai cūkai stresu. Liela nozīme atšķiršanas laikā ir vecumam un svaram. Tiem metieniem, kas partijā dzimuši vēlu, vajadzīgs ilgs zīdīšanas periods. Citi pozitīvi faktori ir laba higiēna, pietiekams siltuma daudzums un labas kvalitātes barība ar pareizu saturu. Grupu nošķiršanas principam, ko īsteno, lai samazinātu baktēriju slodzi un ļautu veikt tīrīšanu, dezinfekciju un grīdu nosusināšanu, jāspēj nodrošināt labus, tīrus apstākļus boksos. Ja ganāmpulks atkārtoti cieš no pēcatšķiršanas diarejas, barībai var piejaukt cinka oksīdu, skatīt “Stratēģijas dzīvnieku grupas terapijai”.</w:t>
      </w:r>
    </w:p>
    <w:p w14:paraId="0DB92069" w14:textId="3C04A9AD" w:rsidR="00154588" w:rsidRDefault="00154588" w:rsidP="00154588">
      <w:pPr>
        <w:jc w:val="both"/>
        <w:rPr>
          <w:rFonts w:ascii="Times New Roman" w:hAnsi="Times New Roman"/>
          <w:noProof/>
          <w:sz w:val="24"/>
        </w:rPr>
      </w:pPr>
    </w:p>
    <w:p w14:paraId="19EE20E6" w14:textId="734EB742" w:rsidR="00BE5B60" w:rsidRDefault="00BE5B60" w:rsidP="00154588">
      <w:pPr>
        <w:jc w:val="both"/>
        <w:rPr>
          <w:rFonts w:ascii="Times New Roman" w:hAnsi="Times New Roman"/>
          <w:noProof/>
          <w:sz w:val="24"/>
        </w:rPr>
      </w:pPr>
      <w:r>
        <w:rPr>
          <w:rFonts w:ascii="Times New Roman" w:hAnsi="Times New Roman"/>
          <w:noProof/>
          <w:sz w:val="24"/>
        </w:rPr>
        <w:drawing>
          <wp:inline distT="0" distB="0" distL="0" distR="0" wp14:anchorId="6E583630" wp14:editId="2A534C06">
            <wp:extent cx="1696467" cy="15096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8916" cy="1520701"/>
                    </a:xfrm>
                    <a:prstGeom prst="rect">
                      <a:avLst/>
                    </a:prstGeom>
                    <a:noFill/>
                    <a:ln>
                      <a:noFill/>
                    </a:ln>
                  </pic:spPr>
                </pic:pic>
              </a:graphicData>
            </a:graphic>
          </wp:inline>
        </w:drawing>
      </w:r>
    </w:p>
    <w:p w14:paraId="08CA39CF" w14:textId="77777777" w:rsidR="00BE5B60" w:rsidRPr="00154588" w:rsidRDefault="00BE5B60" w:rsidP="00154588">
      <w:pPr>
        <w:jc w:val="both"/>
        <w:rPr>
          <w:rFonts w:ascii="Times New Roman" w:hAnsi="Times New Roman"/>
          <w:noProof/>
          <w:sz w:val="24"/>
        </w:rPr>
      </w:pPr>
    </w:p>
    <w:p w14:paraId="760279E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Lai novērstu tūskas slimību, sevišķi svarīgi ir ievērot vispārējos profilakses pasākumus, tostarp attiecībā uz barības saturu. Slimības gaita var būt tik strauja, ka cūkas krīt pirms terapijas uzsākšanas, un prognoze ārstēšanas gadījumā var būt nelabvēlīga. Vakcinācija pret tūskas slimību Zviedrijā ir izmēģināta, taču ar ierobežotiem panākumiem.</w:t>
      </w:r>
    </w:p>
    <w:p w14:paraId="580ADA0C" w14:textId="77777777" w:rsidR="00672FC0" w:rsidRPr="00154588" w:rsidRDefault="00672FC0" w:rsidP="00154588">
      <w:pPr>
        <w:jc w:val="both"/>
        <w:rPr>
          <w:rFonts w:ascii="Times New Roman" w:eastAsia="Book Antiqua" w:hAnsi="Times New Roman" w:cs="Book Antiqua"/>
          <w:noProof/>
          <w:sz w:val="24"/>
        </w:rPr>
      </w:pPr>
    </w:p>
    <w:p w14:paraId="335BDD72" w14:textId="77777777" w:rsidR="00672FC0" w:rsidRPr="009940DD" w:rsidRDefault="00672FC0" w:rsidP="00154588">
      <w:pPr>
        <w:pStyle w:val="Heading2"/>
        <w:ind w:left="0"/>
        <w:jc w:val="both"/>
        <w:rPr>
          <w:rFonts w:ascii="Times New Roman" w:hAnsi="Times New Roman"/>
          <w:noProof/>
          <w:sz w:val="28"/>
          <w:szCs w:val="24"/>
        </w:rPr>
      </w:pPr>
      <w:bookmarkStart w:id="140" w:name="_Toc46997597"/>
      <w:bookmarkStart w:id="141" w:name="_Toc47003123"/>
      <w:r w:rsidRPr="009940DD">
        <w:rPr>
          <w:rFonts w:ascii="Times New Roman" w:hAnsi="Times New Roman"/>
          <w:sz w:val="28"/>
          <w:szCs w:val="24"/>
        </w:rPr>
        <w:t>Diareja augošai un nobarojamai cūkai</w:t>
      </w:r>
      <w:bookmarkEnd w:id="140"/>
      <w:bookmarkEnd w:id="141"/>
    </w:p>
    <w:p w14:paraId="56696B17" w14:textId="77777777" w:rsidR="00BE5B60" w:rsidRDefault="00BE5B60" w:rsidP="00154588">
      <w:pPr>
        <w:pStyle w:val="Heading3"/>
        <w:ind w:left="0"/>
        <w:jc w:val="both"/>
        <w:rPr>
          <w:rFonts w:ascii="Times New Roman" w:hAnsi="Times New Roman"/>
          <w:noProof/>
          <w:sz w:val="24"/>
        </w:rPr>
      </w:pPr>
    </w:p>
    <w:p w14:paraId="664B2525" w14:textId="63DAA7EF" w:rsidR="00672FC0" w:rsidRPr="00154588" w:rsidRDefault="00672FC0" w:rsidP="00154588">
      <w:pPr>
        <w:pStyle w:val="Heading3"/>
        <w:ind w:left="0"/>
        <w:jc w:val="both"/>
        <w:rPr>
          <w:rFonts w:ascii="Times New Roman" w:hAnsi="Times New Roman"/>
          <w:noProof/>
          <w:sz w:val="24"/>
        </w:rPr>
      </w:pPr>
      <w:bookmarkStart w:id="142" w:name="_Toc46997598"/>
      <w:bookmarkStart w:id="143" w:name="_Toc47003124"/>
      <w:r>
        <w:rPr>
          <w:rFonts w:ascii="Times New Roman" w:hAnsi="Times New Roman"/>
          <w:sz w:val="24"/>
        </w:rPr>
        <w:t>Diagnozes noteikšana</w:t>
      </w:r>
      <w:bookmarkEnd w:id="142"/>
      <w:bookmarkEnd w:id="143"/>
    </w:p>
    <w:p w14:paraId="14C73ACB" w14:textId="12EF172A"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Zviedrijā laiku no atšķiršanas līdz nokaušanai bieži sadala divos posmos (izņemot laiku, kas seko tūlīt pēc atšķiršanas), vispirms nosakot cūkām augšanas periodu, kad tās nereti atrodas atsevišķā novietnē, un pēc tam – nobarošanas periodu pirms kaušanas. Diarejai augšanas perioda vēlākajā daļā un nobarošanas periodā var būt atšķirīgas etioloģijas. Tāpēc no cūkām ar diareju, izņemot novājējošām, jāņem bakteriālās kultūras paraugi. Ja cūkām fekālijās ir asinis vai asiņaina diareja, vienmēr jāņem paraugi iespējamas dizentērijas noteikšanai. Klīniskas problēmas var radīt gan </w:t>
      </w:r>
      <w:r>
        <w:rPr>
          <w:rFonts w:ascii="Times New Roman" w:hAnsi="Times New Roman"/>
          <w:i/>
          <w:iCs/>
          <w:sz w:val="24"/>
        </w:rPr>
        <w:t>Brachyspira spp</w:t>
      </w:r>
      <w:r>
        <w:rPr>
          <w:rFonts w:ascii="Times New Roman" w:hAnsi="Times New Roman"/>
          <w:sz w:val="24"/>
        </w:rPr>
        <w:t xml:space="preserve">., gan </w:t>
      </w:r>
      <w:r>
        <w:rPr>
          <w:rFonts w:ascii="Times New Roman" w:hAnsi="Times New Roman"/>
          <w:i/>
          <w:iCs/>
          <w:sz w:val="24"/>
        </w:rPr>
        <w:t>Lawsonia intracellularis</w:t>
      </w:r>
      <w:r>
        <w:rPr>
          <w:rFonts w:ascii="Times New Roman" w:hAnsi="Times New Roman"/>
          <w:sz w:val="24"/>
        </w:rPr>
        <w:t xml:space="preserve"> atsevišķi, bet tās bieži atrod jauktās kultūrās. Lai noteiktu pareizo diagnozi un ārstēšanu, klīniskie simptomi jāpamato ar autopsijas rezultātiem un bakteriālo uzsējumu rezultātiem vai PĶR. Diagnostikas pasākumu paketē jāiekļauj jutīguma pārbaude. Krasas izmaiņas barībā vai tās saturā var radīt diareju, ko bieži izraisa </w:t>
      </w:r>
      <w:r>
        <w:rPr>
          <w:rFonts w:ascii="Times New Roman" w:hAnsi="Times New Roman"/>
          <w:i/>
          <w:iCs/>
          <w:sz w:val="24"/>
        </w:rPr>
        <w:t>E. coli</w:t>
      </w:r>
      <w:r>
        <w:rPr>
          <w:rFonts w:ascii="Times New Roman" w:hAnsi="Times New Roman"/>
          <w:sz w:val="24"/>
        </w:rPr>
        <w:t>.</w:t>
      </w:r>
      <w:r>
        <w:rPr>
          <w:rFonts w:ascii="Times New Roman" w:hAnsi="Times New Roman"/>
          <w:i/>
          <w:sz w:val="24"/>
        </w:rPr>
        <w:t xml:space="preserve"> </w:t>
      </w:r>
      <w:r>
        <w:rPr>
          <w:rFonts w:ascii="Times New Roman" w:hAnsi="Times New Roman"/>
          <w:sz w:val="24"/>
        </w:rPr>
        <w:t>Parazīti to īpašās koncentrācijas vietās resnajās zarnās arī var izraisīt diareju šajā cūkas dzīves posmā.</w:t>
      </w:r>
    </w:p>
    <w:p w14:paraId="6FBB4004" w14:textId="77777777" w:rsidR="00BE5B60" w:rsidRPr="00154588" w:rsidRDefault="00BE5B60" w:rsidP="00154588">
      <w:pPr>
        <w:pStyle w:val="BodyText"/>
        <w:spacing w:before="0"/>
        <w:ind w:left="0"/>
        <w:jc w:val="both"/>
        <w:rPr>
          <w:rFonts w:ascii="Times New Roman" w:hAnsi="Times New Roman"/>
          <w:noProof/>
          <w:sz w:val="24"/>
        </w:rPr>
      </w:pPr>
    </w:p>
    <w:p w14:paraId="3A273951" w14:textId="77777777" w:rsidR="00672FC0" w:rsidRPr="00154588" w:rsidRDefault="00672FC0" w:rsidP="00154588">
      <w:pPr>
        <w:pStyle w:val="Heading3"/>
        <w:ind w:left="0"/>
        <w:jc w:val="both"/>
        <w:rPr>
          <w:rFonts w:ascii="Times New Roman" w:hAnsi="Times New Roman"/>
          <w:noProof/>
          <w:sz w:val="24"/>
        </w:rPr>
      </w:pPr>
      <w:bookmarkStart w:id="144" w:name="_Toc46997599"/>
      <w:bookmarkStart w:id="145" w:name="_Toc47003125"/>
      <w:r>
        <w:rPr>
          <w:rFonts w:ascii="Times New Roman" w:hAnsi="Times New Roman"/>
          <w:sz w:val="24"/>
        </w:rPr>
        <w:t>Ārstēšana</w:t>
      </w:r>
      <w:bookmarkEnd w:id="144"/>
      <w:bookmarkEnd w:id="145"/>
    </w:p>
    <w:p w14:paraId="4A2CF3D2" w14:textId="0C0AB67D"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Visos diarejas gadījumos dzīvniekiem piedāvā šķidrumus, vēlams ar elektrolītiem. Resno zarnu infekcijas bieži izraisa </w:t>
      </w:r>
      <w:r>
        <w:rPr>
          <w:rFonts w:ascii="Times New Roman" w:hAnsi="Times New Roman"/>
          <w:i/>
          <w:iCs/>
          <w:sz w:val="24"/>
        </w:rPr>
        <w:t>Brachyspira spp</w:t>
      </w:r>
      <w:r>
        <w:rPr>
          <w:rFonts w:ascii="Times New Roman" w:hAnsi="Times New Roman"/>
          <w:sz w:val="24"/>
        </w:rPr>
        <w:t>., un vienīgie efektīvie anti</w:t>
      </w:r>
      <w:r w:rsidR="003B4CED">
        <w:rPr>
          <w:rFonts w:ascii="Times New Roman" w:hAnsi="Times New Roman"/>
          <w:sz w:val="24"/>
        </w:rPr>
        <w:t>mikrobiālie</w:t>
      </w:r>
      <w:r>
        <w:rPr>
          <w:rFonts w:ascii="Times New Roman" w:hAnsi="Times New Roman"/>
          <w:sz w:val="24"/>
        </w:rPr>
        <w:t xml:space="preserve"> līdzekļi ir pleiromutilīni un, iespējams, </w:t>
      </w:r>
      <w:r>
        <w:rPr>
          <w:rFonts w:ascii="Times New Roman" w:hAnsi="Times New Roman"/>
          <w:b/>
          <w:bCs/>
          <w:i/>
          <w:iCs/>
          <w:sz w:val="24"/>
        </w:rPr>
        <w:t>tilozīns</w:t>
      </w:r>
      <w:r>
        <w:rPr>
          <w:rFonts w:ascii="Times New Roman" w:hAnsi="Times New Roman"/>
          <w:sz w:val="24"/>
        </w:rPr>
        <w:t xml:space="preserve">. Ja noteikts </w:t>
      </w:r>
      <w:r>
        <w:rPr>
          <w:rFonts w:ascii="Times New Roman" w:hAnsi="Times New Roman"/>
          <w:i/>
          <w:iCs/>
          <w:sz w:val="24"/>
        </w:rPr>
        <w:t>B. hyodysenteriae</w:t>
      </w:r>
      <w:r>
        <w:rPr>
          <w:rFonts w:ascii="Times New Roman" w:hAnsi="Times New Roman"/>
          <w:sz w:val="24"/>
        </w:rPr>
        <w:t xml:space="preserve">, mērķim jābūt ganāmpulka attīrīšanai. </w:t>
      </w:r>
      <w:r>
        <w:rPr>
          <w:rFonts w:ascii="Times New Roman" w:hAnsi="Times New Roman"/>
          <w:i/>
          <w:iCs/>
          <w:sz w:val="24"/>
        </w:rPr>
        <w:t>Lawsonia intracellularis</w:t>
      </w:r>
      <w:r>
        <w:rPr>
          <w:rFonts w:ascii="Times New Roman" w:hAnsi="Times New Roman"/>
          <w:sz w:val="24"/>
        </w:rPr>
        <w:t xml:space="preserve"> infekciju gadījumā izvēles zāles ir </w:t>
      </w:r>
      <w:r>
        <w:rPr>
          <w:rFonts w:ascii="Times New Roman" w:hAnsi="Times New Roman"/>
          <w:b/>
          <w:bCs/>
          <w:i/>
          <w:iCs/>
          <w:sz w:val="24"/>
        </w:rPr>
        <w:t>tilozīns</w:t>
      </w:r>
      <w:r>
        <w:rPr>
          <w:rFonts w:ascii="Times New Roman" w:hAnsi="Times New Roman"/>
          <w:sz w:val="24"/>
        </w:rPr>
        <w:t xml:space="preserve">. Alternatīvi var izmantot </w:t>
      </w:r>
      <w:r>
        <w:rPr>
          <w:rFonts w:ascii="Times New Roman" w:hAnsi="Times New Roman"/>
          <w:b/>
          <w:bCs/>
          <w:i/>
          <w:iCs/>
          <w:sz w:val="24"/>
        </w:rPr>
        <w:t>hlortetraciklīnu</w:t>
      </w:r>
      <w:r>
        <w:rPr>
          <w:rFonts w:ascii="Times New Roman" w:hAnsi="Times New Roman"/>
          <w:sz w:val="24"/>
        </w:rPr>
        <w:t xml:space="preserve">, bet to nedrīkst lietot bez pamatojuma ar bakteriālo uzsējumu rezultātiem. </w:t>
      </w:r>
      <w:r>
        <w:rPr>
          <w:rFonts w:ascii="Times New Roman" w:hAnsi="Times New Roman"/>
          <w:i/>
          <w:iCs/>
          <w:sz w:val="24"/>
        </w:rPr>
        <w:t>Lawsonia intracellularis</w:t>
      </w:r>
      <w:r>
        <w:rPr>
          <w:rFonts w:ascii="Times New Roman" w:hAnsi="Times New Roman"/>
          <w:sz w:val="24"/>
        </w:rPr>
        <w:t xml:space="preserve"> parasti ir jutīgs pret tiamulīnu, taču šīs antibiotikas jārezervē </w:t>
      </w:r>
      <w:r>
        <w:rPr>
          <w:rFonts w:ascii="Times New Roman" w:hAnsi="Times New Roman"/>
          <w:i/>
          <w:iCs/>
          <w:sz w:val="24"/>
        </w:rPr>
        <w:t>Brachyspira spp</w:t>
      </w:r>
      <w:r>
        <w:rPr>
          <w:rFonts w:ascii="Times New Roman" w:hAnsi="Times New Roman"/>
          <w:sz w:val="24"/>
        </w:rPr>
        <w:t xml:space="preserve">. ārstēšanai. Infekcijas, ko izraisa </w:t>
      </w:r>
      <w:r>
        <w:rPr>
          <w:rFonts w:ascii="Times New Roman" w:hAnsi="Times New Roman"/>
          <w:i/>
          <w:iCs/>
          <w:sz w:val="24"/>
        </w:rPr>
        <w:t>L. intracellularis</w:t>
      </w:r>
      <w:r>
        <w:rPr>
          <w:rFonts w:ascii="Times New Roman" w:hAnsi="Times New Roman"/>
          <w:sz w:val="24"/>
        </w:rPr>
        <w:t>, drīkst ārstēt ar pleiromutilīniem tikai tad, ja nav citu alternatīvu, jo nekritiska lietošana palielina mikroorganismu rezistences veidošanās risku.</w:t>
      </w:r>
    </w:p>
    <w:p w14:paraId="7785EAE8" w14:textId="77777777" w:rsidR="008838C4" w:rsidRPr="00154588" w:rsidRDefault="008838C4" w:rsidP="00154588">
      <w:pPr>
        <w:pStyle w:val="BodyText"/>
        <w:spacing w:before="0"/>
        <w:ind w:left="0"/>
        <w:jc w:val="both"/>
        <w:rPr>
          <w:rFonts w:ascii="Times New Roman" w:hAnsi="Times New Roman"/>
          <w:noProof/>
          <w:sz w:val="24"/>
        </w:rPr>
      </w:pPr>
    </w:p>
    <w:p w14:paraId="469C4916" w14:textId="5BB5349B" w:rsidR="00672FC0" w:rsidRPr="008838C4" w:rsidRDefault="00672FC0" w:rsidP="008838C4">
      <w:pPr>
        <w:jc w:val="both"/>
        <w:rPr>
          <w:rFonts w:ascii="Times New Roman" w:eastAsia="Book Antiqua" w:hAnsi="Times New Roman" w:cs="Book Antiqua"/>
          <w:noProof/>
          <w:sz w:val="24"/>
          <w:szCs w:val="20"/>
        </w:rPr>
      </w:pPr>
      <w:r>
        <w:rPr>
          <w:rFonts w:ascii="Times New Roman" w:hAnsi="Times New Roman"/>
          <w:b/>
          <w:bCs/>
          <w:i/>
          <w:iCs/>
          <w:sz w:val="24"/>
        </w:rPr>
        <w:t>Trimetoprims/sulfanilamīdi</w:t>
      </w:r>
      <w:r>
        <w:rPr>
          <w:rFonts w:ascii="Times New Roman" w:hAnsi="Times New Roman"/>
          <w:sz w:val="24"/>
        </w:rPr>
        <w:t xml:space="preserve"> (T/S) ir izvēles zāles </w:t>
      </w:r>
      <w:r>
        <w:rPr>
          <w:rFonts w:ascii="Times New Roman" w:hAnsi="Times New Roman"/>
          <w:i/>
          <w:iCs/>
          <w:sz w:val="24"/>
        </w:rPr>
        <w:t>E. coli</w:t>
      </w:r>
      <w:r>
        <w:rPr>
          <w:rFonts w:ascii="Times New Roman" w:hAnsi="Times New Roman"/>
          <w:sz w:val="24"/>
        </w:rPr>
        <w:t xml:space="preserve"> izraisītas diarejas gadījumos. Ja uz T/S nav reakcijas, citu antibiotiku lietošana jāpamato ar bakteriālo uzsējumu un jutīguma testa rezultātiem.</w:t>
      </w:r>
    </w:p>
    <w:p w14:paraId="121D0A4E" w14:textId="77777777" w:rsidR="00154588" w:rsidRPr="00154588" w:rsidRDefault="00154588" w:rsidP="00154588">
      <w:pPr>
        <w:jc w:val="both"/>
        <w:rPr>
          <w:rFonts w:ascii="Times New Roman" w:hAnsi="Times New Roman"/>
          <w:noProof/>
          <w:sz w:val="24"/>
        </w:rPr>
      </w:pPr>
    </w:p>
    <w:p w14:paraId="1D03377F" w14:textId="77777777" w:rsidR="00672FC0" w:rsidRPr="00154588" w:rsidRDefault="00672FC0" w:rsidP="00154588">
      <w:pPr>
        <w:pStyle w:val="Heading3"/>
        <w:ind w:left="0"/>
        <w:jc w:val="both"/>
        <w:rPr>
          <w:rFonts w:ascii="Times New Roman" w:hAnsi="Times New Roman"/>
          <w:noProof/>
          <w:sz w:val="24"/>
        </w:rPr>
      </w:pPr>
      <w:bookmarkStart w:id="146" w:name="_Toc46997600"/>
      <w:bookmarkStart w:id="147" w:name="_Toc47003126"/>
      <w:r>
        <w:rPr>
          <w:rFonts w:ascii="Times New Roman" w:hAnsi="Times New Roman"/>
          <w:sz w:val="24"/>
        </w:rPr>
        <w:t>Profilakse</w:t>
      </w:r>
      <w:bookmarkEnd w:id="146"/>
      <w:bookmarkEnd w:id="147"/>
    </w:p>
    <w:p w14:paraId="1F74C1DB" w14:textId="2B35C744"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Pārvietojot cūkas uz jaunām novietnēm, ir svarīgi ievērot labu higiēnu, nodrošināt siltu vidi un augstas kvalitātes barību. Audzējot cūkas pa partijām un nodrošinot aizgaldu tīrīšanu un dezinfekciju, un pietiekami ilgu laiku, lai grīdas u. c. varētu nožūt, samazinās baktēriju slodze un boksos rodas labvēlīgs mikroklimats. Cūkām augot vecākām, tās kļūst mazāk atkarīgas no papildu siltuma. Vasarā pārliecīga karstuma dēļ higiēniskie apstākļi boksos var pasliktināties, cūkām meklējot vēsākas atpūtas vietas.</w:t>
      </w:r>
    </w:p>
    <w:p w14:paraId="2770995D" w14:textId="77777777" w:rsidR="008838C4" w:rsidRPr="00154588" w:rsidRDefault="008838C4" w:rsidP="00154588">
      <w:pPr>
        <w:pStyle w:val="BodyText"/>
        <w:spacing w:before="0"/>
        <w:ind w:left="0"/>
        <w:jc w:val="both"/>
        <w:rPr>
          <w:rFonts w:ascii="Times New Roman" w:hAnsi="Times New Roman"/>
          <w:noProof/>
          <w:sz w:val="24"/>
        </w:rPr>
      </w:pPr>
    </w:p>
    <w:p w14:paraId="5D3DA34F" w14:textId="492A4EA6"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ganāmpulkā konstatē </w:t>
      </w:r>
      <w:r>
        <w:rPr>
          <w:rFonts w:ascii="Times New Roman" w:hAnsi="Times New Roman"/>
          <w:i/>
          <w:iCs/>
          <w:sz w:val="24"/>
        </w:rPr>
        <w:t>Brachyspira hyodysenteriae</w:t>
      </w:r>
      <w:r>
        <w:rPr>
          <w:rFonts w:ascii="Times New Roman" w:hAnsi="Times New Roman"/>
          <w:sz w:val="24"/>
        </w:rPr>
        <w:t>, jāuzsāk sanitārās apstrādes programma. Sanitārajā apstrādē ietilpst kūts iztukšošana, tīrīšana, dezinfekcija un žāvēšana. Pirms cūkas laiž sakoptajā un sausajā kūtī, visiem vecākdzīvniekiem jāveic terapija ar timulīnu. Dzīvnieki, kas paredzēti kaušanai vai pārdošanai, nedrīkst atgriezties kūtīs. Sanitārā apstrāde jāveic rūpīgi, un to vēlams veikt vasarā. Šī ir arī laba iespēja, kad veikt pastiprinātus pasākumus grauzēju iznīcināšanai.</w:t>
      </w:r>
    </w:p>
    <w:p w14:paraId="77181310" w14:textId="77777777" w:rsidR="008838C4" w:rsidRPr="00154588" w:rsidRDefault="008838C4" w:rsidP="00154588">
      <w:pPr>
        <w:pStyle w:val="BodyText"/>
        <w:spacing w:before="0"/>
        <w:ind w:left="0"/>
        <w:jc w:val="both"/>
        <w:rPr>
          <w:rFonts w:ascii="Times New Roman" w:hAnsi="Times New Roman"/>
          <w:noProof/>
          <w:sz w:val="24"/>
        </w:rPr>
      </w:pPr>
    </w:p>
    <w:p w14:paraId="20AEE2BF"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Var apsvērt sanitāros pasākumus </w:t>
      </w:r>
      <w:r>
        <w:rPr>
          <w:rFonts w:ascii="Times New Roman" w:hAnsi="Times New Roman"/>
          <w:i/>
          <w:iCs/>
          <w:sz w:val="24"/>
        </w:rPr>
        <w:t>Lawsonia intracellularis</w:t>
      </w:r>
      <w:r>
        <w:rPr>
          <w:rFonts w:ascii="Times New Roman" w:hAnsi="Times New Roman"/>
          <w:sz w:val="24"/>
        </w:rPr>
        <w:t xml:space="preserve"> un </w:t>
      </w:r>
      <w:r>
        <w:rPr>
          <w:rFonts w:ascii="Times New Roman" w:hAnsi="Times New Roman"/>
          <w:i/>
          <w:iCs/>
          <w:sz w:val="24"/>
        </w:rPr>
        <w:t>Brachyspira pilosicoli</w:t>
      </w:r>
      <w:r>
        <w:rPr>
          <w:rFonts w:ascii="Times New Roman" w:hAnsi="Times New Roman"/>
          <w:sz w:val="24"/>
        </w:rPr>
        <w:t xml:space="preserve"> izskaušanai, bet tie ir dārgi un grūti īstenojami. Nepilnīga sanitārā apstrāde un atkārtota infekcijas ieviešanās jaunu dzīvnieku pirkšanas rezultātā rada augstu atkārtotas inficēšanās risku. Tirgū ir pieejama dzīva vakcīna pret </w:t>
      </w:r>
      <w:r>
        <w:rPr>
          <w:rFonts w:ascii="Times New Roman" w:hAnsi="Times New Roman"/>
          <w:i/>
          <w:iCs/>
          <w:sz w:val="24"/>
        </w:rPr>
        <w:t>Lawsonia</w:t>
      </w:r>
      <w:r>
        <w:rPr>
          <w:rFonts w:ascii="Times New Roman" w:hAnsi="Times New Roman"/>
          <w:sz w:val="24"/>
        </w:rPr>
        <w:t>.</w:t>
      </w:r>
    </w:p>
    <w:p w14:paraId="703D7314" w14:textId="77777777" w:rsidR="00672FC0" w:rsidRPr="00154588" w:rsidRDefault="00672FC0" w:rsidP="00154588">
      <w:pPr>
        <w:jc w:val="both"/>
        <w:rPr>
          <w:rFonts w:ascii="Times New Roman" w:eastAsia="Book Antiqua" w:hAnsi="Times New Roman" w:cs="Book Antiqua"/>
          <w:noProof/>
          <w:sz w:val="24"/>
          <w:szCs w:val="26"/>
        </w:rPr>
      </w:pPr>
    </w:p>
    <w:p w14:paraId="0074C13A" w14:textId="77777777" w:rsidR="00672FC0" w:rsidRPr="00E2764A" w:rsidRDefault="00672FC0" w:rsidP="00154588">
      <w:pPr>
        <w:pStyle w:val="Heading2"/>
        <w:ind w:left="0"/>
        <w:jc w:val="both"/>
        <w:rPr>
          <w:rFonts w:ascii="Times New Roman" w:hAnsi="Times New Roman"/>
          <w:noProof/>
          <w:sz w:val="28"/>
          <w:szCs w:val="24"/>
        </w:rPr>
      </w:pPr>
      <w:bookmarkStart w:id="148" w:name="_Toc46997601"/>
      <w:bookmarkStart w:id="149" w:name="_Toc47003127"/>
      <w:r w:rsidRPr="00E2764A">
        <w:rPr>
          <w:rFonts w:ascii="Times New Roman" w:hAnsi="Times New Roman"/>
          <w:sz w:val="28"/>
          <w:szCs w:val="24"/>
        </w:rPr>
        <w:t>Cūku pēcatšķiršanas vispārējās novājēšanas sindroms (</w:t>
      </w:r>
      <w:r w:rsidRPr="00E2764A">
        <w:rPr>
          <w:rFonts w:ascii="Times New Roman" w:hAnsi="Times New Roman"/>
          <w:i/>
          <w:iCs/>
          <w:sz w:val="28"/>
          <w:szCs w:val="24"/>
        </w:rPr>
        <w:t>PMWS</w:t>
      </w:r>
      <w:r w:rsidRPr="00E2764A">
        <w:rPr>
          <w:rFonts w:ascii="Times New Roman" w:hAnsi="Times New Roman"/>
          <w:sz w:val="28"/>
          <w:szCs w:val="24"/>
        </w:rPr>
        <w:t>)</w:t>
      </w:r>
      <w:bookmarkEnd w:id="148"/>
      <w:bookmarkEnd w:id="149"/>
    </w:p>
    <w:p w14:paraId="12D10FA7" w14:textId="77777777" w:rsidR="00E2764A" w:rsidRDefault="00E2764A" w:rsidP="00154588">
      <w:pPr>
        <w:pStyle w:val="BodyText"/>
        <w:spacing w:before="0"/>
        <w:ind w:left="0"/>
        <w:jc w:val="both"/>
        <w:rPr>
          <w:rFonts w:ascii="Times New Roman" w:hAnsi="Times New Roman"/>
          <w:i/>
          <w:iCs/>
          <w:sz w:val="24"/>
        </w:rPr>
      </w:pPr>
    </w:p>
    <w:p w14:paraId="1A258465" w14:textId="34EA126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i/>
          <w:iCs/>
          <w:sz w:val="24"/>
        </w:rPr>
        <w:t>PMWS</w:t>
      </w:r>
      <w:r>
        <w:rPr>
          <w:rFonts w:ascii="Times New Roman" w:hAnsi="Times New Roman"/>
          <w:sz w:val="24"/>
        </w:rPr>
        <w:t xml:space="preserve"> ir saistīts ar cūku 2. tipa cirkovīrusu (</w:t>
      </w:r>
      <w:r>
        <w:rPr>
          <w:rFonts w:ascii="Times New Roman" w:hAnsi="Times New Roman"/>
          <w:i/>
          <w:iCs/>
          <w:sz w:val="24"/>
        </w:rPr>
        <w:t>PCV2</w:t>
      </w:r>
      <w:r>
        <w:rPr>
          <w:rFonts w:ascii="Times New Roman" w:hAnsi="Times New Roman"/>
          <w:sz w:val="24"/>
        </w:rPr>
        <w:t>). Infekciju var novērst, vakcinējot sivēnmātes un/vai jauno cūku. Antibiotiku terapija nav indicēta.</w:t>
      </w:r>
    </w:p>
    <w:p w14:paraId="2C54E49F" w14:textId="77777777" w:rsidR="00672FC0" w:rsidRPr="00154588" w:rsidRDefault="00672FC0" w:rsidP="00154588">
      <w:pPr>
        <w:jc w:val="both"/>
        <w:rPr>
          <w:rFonts w:ascii="Times New Roman" w:eastAsia="Book Antiqua" w:hAnsi="Times New Roman" w:cs="Book Antiqua"/>
          <w:noProof/>
          <w:sz w:val="24"/>
          <w:szCs w:val="15"/>
        </w:rPr>
      </w:pPr>
    </w:p>
    <w:p w14:paraId="4FD36324" w14:textId="6B7BDE2D" w:rsidR="00672FC0" w:rsidRPr="00154588" w:rsidRDefault="008838C4" w:rsidP="008838C4">
      <w:pPr>
        <w:jc w:val="center"/>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09627910" wp14:editId="5CFED619">
            <wp:extent cx="3243533" cy="16614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8958" cy="1674439"/>
                    </a:xfrm>
                    <a:prstGeom prst="rect">
                      <a:avLst/>
                    </a:prstGeom>
                    <a:noFill/>
                    <a:ln>
                      <a:noFill/>
                    </a:ln>
                  </pic:spPr>
                </pic:pic>
              </a:graphicData>
            </a:graphic>
          </wp:inline>
        </w:drawing>
      </w:r>
    </w:p>
    <w:p w14:paraId="50901F84" w14:textId="77777777" w:rsidR="00154588" w:rsidRPr="00154588" w:rsidRDefault="00154588" w:rsidP="00154588">
      <w:pPr>
        <w:jc w:val="both"/>
        <w:rPr>
          <w:rFonts w:ascii="Times New Roman" w:eastAsia="Book Antiqua" w:hAnsi="Times New Roman" w:cs="Book Antiqua"/>
          <w:noProof/>
          <w:sz w:val="24"/>
          <w:szCs w:val="20"/>
        </w:rPr>
      </w:pPr>
    </w:p>
    <w:p w14:paraId="42AADC32" w14:textId="77777777" w:rsidR="00672FC0" w:rsidRPr="00E2764A" w:rsidRDefault="00672FC0" w:rsidP="00E2764A">
      <w:pPr>
        <w:pStyle w:val="Heading1"/>
        <w:rPr>
          <w:sz w:val="28"/>
          <w:szCs w:val="32"/>
        </w:rPr>
      </w:pPr>
      <w:bookmarkStart w:id="150" w:name="_TOC_250022"/>
      <w:bookmarkStart w:id="151" w:name="_Toc46997602"/>
      <w:bookmarkStart w:id="152" w:name="_Toc47003128"/>
      <w:r w:rsidRPr="00E2764A">
        <w:rPr>
          <w:sz w:val="28"/>
          <w:szCs w:val="32"/>
        </w:rPr>
        <w:t>Elpceļu infekcijas</w:t>
      </w:r>
      <w:bookmarkEnd w:id="150"/>
      <w:bookmarkEnd w:id="151"/>
      <w:bookmarkEnd w:id="152"/>
    </w:p>
    <w:p w14:paraId="685C99FF" w14:textId="77777777" w:rsidR="00E2764A" w:rsidRDefault="00E2764A" w:rsidP="00154588">
      <w:pPr>
        <w:pStyle w:val="BodyText"/>
        <w:spacing w:before="0"/>
        <w:ind w:left="0"/>
        <w:jc w:val="both"/>
        <w:rPr>
          <w:rFonts w:ascii="Times New Roman" w:hAnsi="Times New Roman"/>
          <w:sz w:val="24"/>
        </w:rPr>
      </w:pPr>
    </w:p>
    <w:p w14:paraId="2FCE4966" w14:textId="58985E0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Cūku elpceļu infekciju izraisītāji bieži ir baktērijas, bet šīs infekcijas bieži ir sekundāras vai vīrusu infekciju radīti sarežģījumi. Visplašāk izplatītie primārie infekcijas izraisītāji ir </w:t>
      </w:r>
      <w:r>
        <w:rPr>
          <w:rFonts w:ascii="Times New Roman" w:hAnsi="Times New Roman"/>
          <w:i/>
          <w:iCs/>
          <w:sz w:val="24"/>
        </w:rPr>
        <w:t>Mycoplasma hyopneumoniae</w:t>
      </w:r>
      <w:r>
        <w:rPr>
          <w:rFonts w:ascii="Times New Roman" w:hAnsi="Times New Roman"/>
          <w:sz w:val="24"/>
        </w:rPr>
        <w:t xml:space="preserve"> un </w:t>
      </w:r>
      <w:r>
        <w:rPr>
          <w:rFonts w:ascii="Times New Roman" w:hAnsi="Times New Roman"/>
          <w:i/>
          <w:iCs/>
          <w:sz w:val="24"/>
        </w:rPr>
        <w:t>Actinobacillus pleuropneumoniae</w:t>
      </w:r>
      <w:r>
        <w:rPr>
          <w:rFonts w:ascii="Times New Roman" w:hAnsi="Times New Roman"/>
          <w:sz w:val="24"/>
        </w:rPr>
        <w:t xml:space="preserve">. Ar elpošanas ceļu infekcijām visbiežāk slimo dzīvnieki nobarošanas periodā, bet tās var skart arī jaunākas cūkas. Nereti novēro sekundāras infekcijas, kurās bieži konstatē </w:t>
      </w:r>
      <w:r>
        <w:rPr>
          <w:rFonts w:ascii="Times New Roman" w:hAnsi="Times New Roman"/>
          <w:i/>
          <w:iCs/>
          <w:sz w:val="24"/>
        </w:rPr>
        <w:t>Pasteurella multocida</w:t>
      </w:r>
      <w:r>
        <w:rPr>
          <w:rFonts w:ascii="Times New Roman" w:hAnsi="Times New Roman"/>
          <w:sz w:val="24"/>
        </w:rPr>
        <w:t xml:space="preserve"> mikroorganismu. Toksīnus izdaloša </w:t>
      </w:r>
      <w:r>
        <w:rPr>
          <w:rFonts w:ascii="Times New Roman" w:hAnsi="Times New Roman"/>
          <w:i/>
          <w:iCs/>
          <w:sz w:val="24"/>
        </w:rPr>
        <w:t>P. multocida</w:t>
      </w:r>
      <w:r>
        <w:rPr>
          <w:rFonts w:ascii="Times New Roman" w:hAnsi="Times New Roman"/>
          <w:sz w:val="24"/>
        </w:rPr>
        <w:t xml:space="preserve"> baktērija ir atrofiskā rinīta etioloģijas elements.</w:t>
      </w:r>
    </w:p>
    <w:p w14:paraId="17E2A2BA" w14:textId="77777777" w:rsidR="00672FC0" w:rsidRPr="00154588" w:rsidRDefault="00672FC0" w:rsidP="00154588">
      <w:pPr>
        <w:jc w:val="both"/>
        <w:rPr>
          <w:rFonts w:ascii="Times New Roman" w:eastAsia="Book Antiqua" w:hAnsi="Times New Roman" w:cs="Book Antiqua"/>
          <w:noProof/>
          <w:sz w:val="24"/>
          <w:szCs w:val="18"/>
        </w:rPr>
      </w:pPr>
    </w:p>
    <w:p w14:paraId="6C8976C9" w14:textId="77777777" w:rsidR="00672FC0" w:rsidRPr="00154588" w:rsidRDefault="00672FC0" w:rsidP="00154588">
      <w:pPr>
        <w:pStyle w:val="Heading3"/>
        <w:ind w:left="0"/>
        <w:jc w:val="both"/>
        <w:rPr>
          <w:rFonts w:ascii="Times New Roman" w:hAnsi="Times New Roman"/>
          <w:noProof/>
          <w:sz w:val="24"/>
        </w:rPr>
      </w:pPr>
      <w:bookmarkStart w:id="153" w:name="_Toc46997603"/>
      <w:bookmarkStart w:id="154" w:name="_Toc47003129"/>
      <w:r>
        <w:rPr>
          <w:rFonts w:ascii="Times New Roman" w:hAnsi="Times New Roman"/>
          <w:sz w:val="24"/>
        </w:rPr>
        <w:t>Diagnozes noteikšana</w:t>
      </w:r>
      <w:bookmarkEnd w:id="153"/>
      <w:bookmarkEnd w:id="154"/>
    </w:p>
    <w:p w14:paraId="1AF2CD16" w14:textId="0867A0A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Elpceļu bakteriālo infekciju diagnozi vislabāk noteikt, pamatojoties uz dažādu vecuma grupu dzīvnieku autopsijām un/vai seroloģiskajiem testiem. Izaudzēt </w:t>
      </w:r>
      <w:r>
        <w:rPr>
          <w:rFonts w:ascii="Times New Roman" w:hAnsi="Times New Roman"/>
          <w:i/>
          <w:iCs/>
          <w:sz w:val="24"/>
        </w:rPr>
        <w:t>M. hyopneumoniae</w:t>
      </w:r>
      <w:r>
        <w:rPr>
          <w:rFonts w:ascii="Times New Roman" w:hAnsi="Times New Roman"/>
          <w:sz w:val="24"/>
        </w:rPr>
        <w:t xml:space="preserve"> kultūru ir sarežģīti un laikietilpīgi. </w:t>
      </w:r>
      <w:r>
        <w:rPr>
          <w:rFonts w:ascii="Times New Roman" w:hAnsi="Times New Roman"/>
          <w:i/>
          <w:iCs/>
          <w:sz w:val="24"/>
        </w:rPr>
        <w:t>A. pleuropneumoniae</w:t>
      </w:r>
      <w:r>
        <w:rPr>
          <w:rFonts w:ascii="Times New Roman" w:hAnsi="Times New Roman"/>
          <w:sz w:val="24"/>
        </w:rPr>
        <w:t xml:space="preserve"> var izolēt tikai no akūti skartiem plaušu audiem. Tā kā </w:t>
      </w:r>
      <w:r>
        <w:rPr>
          <w:rFonts w:ascii="Times New Roman" w:hAnsi="Times New Roman"/>
          <w:i/>
          <w:iCs/>
          <w:sz w:val="24"/>
        </w:rPr>
        <w:t>P. multocida</w:t>
      </w:r>
      <w:r>
        <w:rPr>
          <w:rFonts w:ascii="Times New Roman" w:hAnsi="Times New Roman"/>
          <w:sz w:val="24"/>
        </w:rPr>
        <w:t xml:space="preserve"> ir bieži sastopams sekundāro blakusinfekciju cēlonis, seroloģija nav piemērota kā diagnostikas līdzeklis. Jāveic uzsējumi </w:t>
      </w:r>
      <w:r>
        <w:rPr>
          <w:rFonts w:ascii="Times New Roman" w:hAnsi="Times New Roman"/>
          <w:i/>
          <w:iCs/>
          <w:sz w:val="24"/>
        </w:rPr>
        <w:t>P. multocida</w:t>
      </w:r>
      <w:r>
        <w:rPr>
          <w:rFonts w:ascii="Times New Roman" w:hAnsi="Times New Roman"/>
          <w:sz w:val="24"/>
        </w:rPr>
        <w:t xml:space="preserve"> kultūras noteikšanai, vēlams, veicot jutīguma </w:t>
      </w:r>
      <w:r w:rsidR="003B4CED">
        <w:rPr>
          <w:rFonts w:ascii="Times New Roman" w:hAnsi="Times New Roman"/>
          <w:sz w:val="24"/>
        </w:rPr>
        <w:t>pārbaudi pret antimikrobiālajiem līdzekļiem</w:t>
      </w:r>
      <w:r>
        <w:rPr>
          <w:rFonts w:ascii="Times New Roman" w:hAnsi="Times New Roman"/>
          <w:sz w:val="24"/>
        </w:rPr>
        <w:t xml:space="preserve">. Atrofiskā rinīta diagnozes noteikšanai jāidentificē toksīnus izdalošais </w:t>
      </w:r>
      <w:r>
        <w:rPr>
          <w:rFonts w:ascii="Times New Roman" w:hAnsi="Times New Roman"/>
          <w:i/>
          <w:iCs/>
          <w:sz w:val="24"/>
        </w:rPr>
        <w:t>P. multocida</w:t>
      </w:r>
      <w:r>
        <w:rPr>
          <w:rFonts w:ascii="Times New Roman" w:hAnsi="Times New Roman"/>
          <w:sz w:val="24"/>
        </w:rPr>
        <w:t xml:space="preserve"> celms.</w:t>
      </w:r>
    </w:p>
    <w:p w14:paraId="6FB27744" w14:textId="77777777" w:rsidR="00672FC0" w:rsidRPr="00154588" w:rsidRDefault="00672FC0" w:rsidP="00154588">
      <w:pPr>
        <w:jc w:val="both"/>
        <w:rPr>
          <w:rFonts w:ascii="Times New Roman" w:eastAsia="Book Antiqua" w:hAnsi="Times New Roman" w:cs="Book Antiqua"/>
          <w:noProof/>
          <w:sz w:val="24"/>
          <w:szCs w:val="20"/>
        </w:rPr>
      </w:pPr>
    </w:p>
    <w:p w14:paraId="2C966756" w14:textId="02164647" w:rsidR="00672FC0" w:rsidRPr="00154588" w:rsidRDefault="008838C4" w:rsidP="008838C4">
      <w:pPr>
        <w:jc w:val="center"/>
        <w:rPr>
          <w:rFonts w:ascii="Times New Roman" w:eastAsia="Book Antiqua" w:hAnsi="Times New Roman" w:cs="Book Antiqua"/>
          <w:noProof/>
          <w:sz w:val="24"/>
          <w:szCs w:val="28"/>
        </w:rPr>
      </w:pPr>
      <w:r>
        <w:rPr>
          <w:rFonts w:ascii="Times New Roman" w:hAnsi="Times New Roman"/>
          <w:noProof/>
          <w:sz w:val="24"/>
          <w:szCs w:val="28"/>
        </w:rPr>
        <w:drawing>
          <wp:inline distT="0" distB="0" distL="0" distR="0" wp14:anchorId="251FC522" wp14:editId="34FC8BB5">
            <wp:extent cx="3140015" cy="23113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0831" cy="2326677"/>
                    </a:xfrm>
                    <a:prstGeom prst="rect">
                      <a:avLst/>
                    </a:prstGeom>
                    <a:noFill/>
                    <a:ln>
                      <a:noFill/>
                    </a:ln>
                  </pic:spPr>
                </pic:pic>
              </a:graphicData>
            </a:graphic>
          </wp:inline>
        </w:drawing>
      </w:r>
    </w:p>
    <w:p w14:paraId="4415F37A" w14:textId="77777777" w:rsidR="00154588" w:rsidRPr="00154588" w:rsidRDefault="00154588" w:rsidP="00154588">
      <w:pPr>
        <w:jc w:val="both"/>
        <w:rPr>
          <w:rFonts w:ascii="Times New Roman" w:eastAsia="Book Antiqua" w:hAnsi="Times New Roman" w:cs="Book Antiqua"/>
          <w:noProof/>
          <w:sz w:val="24"/>
          <w:szCs w:val="20"/>
        </w:rPr>
      </w:pPr>
    </w:p>
    <w:p w14:paraId="1D004E8C" w14:textId="77777777" w:rsidR="00672FC0" w:rsidRPr="00154588" w:rsidRDefault="00672FC0" w:rsidP="00154588">
      <w:pPr>
        <w:pStyle w:val="Heading3"/>
        <w:ind w:left="0"/>
        <w:jc w:val="both"/>
        <w:rPr>
          <w:rFonts w:ascii="Times New Roman" w:hAnsi="Times New Roman"/>
          <w:noProof/>
          <w:sz w:val="24"/>
        </w:rPr>
      </w:pPr>
      <w:bookmarkStart w:id="155" w:name="_Toc46997604"/>
      <w:bookmarkStart w:id="156" w:name="_Toc47003130"/>
      <w:r>
        <w:rPr>
          <w:rFonts w:ascii="Times New Roman" w:hAnsi="Times New Roman"/>
          <w:sz w:val="24"/>
        </w:rPr>
        <w:t>Ārstēšana</w:t>
      </w:r>
      <w:bookmarkEnd w:id="155"/>
      <w:bookmarkEnd w:id="156"/>
    </w:p>
    <w:p w14:paraId="2FD20E01"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Piemērotas un efektīvas antibiotikas izvēle nav viegls uzdevums. Jāņem paraugi bakteriālajiem uzsējumiem, papildus veicot jutīguma testu, kad vien tas iespējams. Elpceļu infekciju apkarošanai cūku ganāmpulkos nepieciešama pastāvīga uzraudzība un novērtēšana. Ja ganāmpulkā ir plaši un smagi uzliesmojumi, var būt indicēta dzīvnieku grupas terapija, skatīt “Stratēģijas dzīvnieku grupas terapijai”.</w:t>
      </w:r>
    </w:p>
    <w:p w14:paraId="286FF83C" w14:textId="77777777" w:rsidR="00672FC0" w:rsidRPr="00154588" w:rsidRDefault="00672FC0" w:rsidP="00154588">
      <w:pPr>
        <w:jc w:val="both"/>
        <w:rPr>
          <w:rFonts w:ascii="Times New Roman" w:eastAsia="Book Antiqua" w:hAnsi="Times New Roman" w:cs="Book Antiqua"/>
          <w:noProof/>
          <w:sz w:val="24"/>
          <w:szCs w:val="26"/>
        </w:rPr>
      </w:pPr>
    </w:p>
    <w:p w14:paraId="6A92CE4A" w14:textId="77777777" w:rsidR="00672FC0" w:rsidRPr="00E2764A" w:rsidRDefault="00672FC0" w:rsidP="00154588">
      <w:pPr>
        <w:jc w:val="both"/>
        <w:rPr>
          <w:rFonts w:ascii="Times New Roman" w:hAnsi="Times New Roman"/>
          <w:b/>
          <w:noProof/>
          <w:sz w:val="28"/>
          <w:szCs w:val="24"/>
        </w:rPr>
      </w:pPr>
      <w:r w:rsidRPr="00E2764A">
        <w:rPr>
          <w:rFonts w:ascii="Times New Roman" w:hAnsi="Times New Roman"/>
          <w:b/>
          <w:i/>
          <w:iCs/>
          <w:sz w:val="28"/>
          <w:szCs w:val="24"/>
        </w:rPr>
        <w:t>Mycoplasma hyopneumoniae</w:t>
      </w:r>
    </w:p>
    <w:p w14:paraId="0636652D" w14:textId="77777777" w:rsidR="00E2764A" w:rsidRDefault="00E2764A" w:rsidP="00154588">
      <w:pPr>
        <w:pStyle w:val="BodyText"/>
        <w:spacing w:before="0"/>
        <w:ind w:left="0"/>
        <w:jc w:val="both"/>
        <w:rPr>
          <w:rFonts w:ascii="Times New Roman" w:hAnsi="Times New Roman"/>
          <w:i/>
          <w:iCs/>
          <w:sz w:val="24"/>
        </w:rPr>
      </w:pPr>
    </w:p>
    <w:p w14:paraId="1D00EB70" w14:textId="438CA8D9" w:rsidR="00672FC0" w:rsidRDefault="00672FC0" w:rsidP="00154588">
      <w:pPr>
        <w:pStyle w:val="BodyText"/>
        <w:spacing w:before="0"/>
        <w:ind w:left="0"/>
        <w:jc w:val="both"/>
        <w:rPr>
          <w:rFonts w:ascii="Times New Roman" w:hAnsi="Times New Roman"/>
          <w:noProof/>
          <w:sz w:val="24"/>
        </w:rPr>
      </w:pPr>
      <w:r>
        <w:rPr>
          <w:rFonts w:ascii="Times New Roman" w:hAnsi="Times New Roman"/>
          <w:i/>
          <w:iCs/>
          <w:sz w:val="24"/>
        </w:rPr>
        <w:t>M. hyopneumoniae</w:t>
      </w:r>
      <w:r>
        <w:rPr>
          <w:rFonts w:ascii="Times New Roman" w:hAnsi="Times New Roman"/>
          <w:sz w:val="24"/>
        </w:rPr>
        <w:t xml:space="preserve"> infekcijas nobarojamo cūku partijās bieži progresē, izpaužoties kā vājš klepus. Citi klīniskie simptomi ir retāk sastopami, kaut arī iepriekš neārstēti dzīvnieki var ciest no akūtas pneimonijas, kas var līdzināties akūtai </w:t>
      </w:r>
      <w:r>
        <w:rPr>
          <w:rFonts w:ascii="Times New Roman" w:hAnsi="Times New Roman"/>
          <w:i/>
          <w:iCs/>
          <w:sz w:val="24"/>
        </w:rPr>
        <w:t>A. pleuropneumoniae</w:t>
      </w:r>
      <w:r>
        <w:rPr>
          <w:rFonts w:ascii="Times New Roman" w:hAnsi="Times New Roman"/>
          <w:sz w:val="24"/>
        </w:rPr>
        <w:t xml:space="preserve"> infekcijai. Infekcijas, ko izraisa </w:t>
      </w:r>
      <w:r>
        <w:rPr>
          <w:rFonts w:ascii="Times New Roman" w:hAnsi="Times New Roman"/>
          <w:i/>
          <w:iCs/>
          <w:sz w:val="24"/>
        </w:rPr>
        <w:t>M. hyopneumoniae</w:t>
      </w:r>
      <w:r>
        <w:rPr>
          <w:rFonts w:ascii="Times New Roman" w:hAnsi="Times New Roman"/>
          <w:sz w:val="24"/>
        </w:rPr>
        <w:t>, parasti ir hroniskas, un tās jāārstē tikai tad, ja ir apdraudēta dzīvnieku labturība. Infekcija ganāmpulkā parasti izplatās lēni un kaušanas laikā bieži sasniedz maksimumu. Vispārējo stāvokli tā bieži nepasliktina, un slimības pazīmes atklāj tikai kaušanas laikā.</w:t>
      </w:r>
    </w:p>
    <w:p w14:paraId="35F7B8A7" w14:textId="77777777" w:rsidR="008838C4" w:rsidRPr="00154588" w:rsidRDefault="008838C4" w:rsidP="00154588">
      <w:pPr>
        <w:pStyle w:val="BodyText"/>
        <w:spacing w:before="0"/>
        <w:ind w:left="0"/>
        <w:jc w:val="both"/>
        <w:rPr>
          <w:rFonts w:ascii="Times New Roman" w:hAnsi="Times New Roman"/>
          <w:noProof/>
          <w:sz w:val="24"/>
        </w:rPr>
      </w:pPr>
    </w:p>
    <w:p w14:paraId="4754F982" w14:textId="4E4446B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Cūkām, kuras augšanas periodā inficējas ar </w:t>
      </w:r>
      <w:r>
        <w:rPr>
          <w:rFonts w:ascii="Times New Roman" w:hAnsi="Times New Roman"/>
          <w:i/>
          <w:iCs/>
          <w:sz w:val="24"/>
        </w:rPr>
        <w:t>M. hyopneumoniae</w:t>
      </w:r>
      <w:r>
        <w:rPr>
          <w:rFonts w:ascii="Times New Roman" w:hAnsi="Times New Roman"/>
          <w:sz w:val="24"/>
        </w:rPr>
        <w:t xml:space="preserve">, var iestāties sauss klepus. Ja pasliktinās dzīvnieku vispārējais stāvoklis vai infekcija ir plaši izplatīta, jāapsver ārstēšana. Zviedrijas apstākļos izvēles zāles ir tetraciklīns (TET), bet </w:t>
      </w:r>
      <w:r>
        <w:rPr>
          <w:rFonts w:ascii="Times New Roman" w:hAnsi="Times New Roman"/>
          <w:i/>
          <w:iCs/>
          <w:sz w:val="24"/>
        </w:rPr>
        <w:t>M. hyopneumoniae</w:t>
      </w:r>
      <w:r>
        <w:rPr>
          <w:rFonts w:ascii="Times New Roman" w:hAnsi="Times New Roman"/>
          <w:sz w:val="24"/>
        </w:rPr>
        <w:t xml:space="preserve"> baktērijas ir jutīgas arī pret pleiromutilīniem, piemēram, tiamulīnu. Kaut arī tiamulīns tomēr jārezervē </w:t>
      </w:r>
      <w:r>
        <w:rPr>
          <w:rFonts w:ascii="Times New Roman" w:hAnsi="Times New Roman"/>
          <w:i/>
          <w:iCs/>
          <w:sz w:val="24"/>
        </w:rPr>
        <w:t>Brachyspira hyodysenteriae</w:t>
      </w:r>
      <w:r>
        <w:rPr>
          <w:rFonts w:ascii="Times New Roman" w:hAnsi="Times New Roman"/>
          <w:sz w:val="24"/>
        </w:rPr>
        <w:t xml:space="preserve"> infekciju ārstēšanai, to var izmantot stratēģiski, piemēram, slimību izskaušanas programmās vai ganāmpulka attīrīšanai. Trešā iespēja varētu būt enrofloksacīns, kas bieži ir iedarbīgs pret </w:t>
      </w:r>
      <w:r>
        <w:rPr>
          <w:rFonts w:ascii="Times New Roman" w:hAnsi="Times New Roman"/>
          <w:i/>
          <w:iCs/>
          <w:sz w:val="24"/>
        </w:rPr>
        <w:t>M. hyopneumoniae</w:t>
      </w:r>
      <w:r>
        <w:rPr>
          <w:rFonts w:ascii="Times New Roman" w:hAnsi="Times New Roman"/>
          <w:sz w:val="24"/>
        </w:rPr>
        <w:t>, taču šo anti</w:t>
      </w:r>
      <w:r w:rsidR="007B06EE">
        <w:rPr>
          <w:rFonts w:ascii="Times New Roman" w:hAnsi="Times New Roman"/>
          <w:sz w:val="24"/>
        </w:rPr>
        <w:t>mikrobiālo</w:t>
      </w:r>
      <w:r>
        <w:rPr>
          <w:rFonts w:ascii="Times New Roman" w:hAnsi="Times New Roman"/>
          <w:sz w:val="24"/>
        </w:rPr>
        <w:t xml:space="preserve"> līdzekli nevajadzētu lietot bez iepriekšējas bakterioloģiskās diagnozes un jutīguma testa.</w:t>
      </w:r>
    </w:p>
    <w:p w14:paraId="21F4D78E" w14:textId="77777777" w:rsidR="00672FC0" w:rsidRPr="00154588" w:rsidRDefault="00672FC0" w:rsidP="00154588">
      <w:pPr>
        <w:jc w:val="both"/>
        <w:rPr>
          <w:rFonts w:ascii="Times New Roman" w:eastAsia="Book Antiqua" w:hAnsi="Times New Roman" w:cs="Book Antiqua"/>
          <w:noProof/>
          <w:sz w:val="24"/>
          <w:szCs w:val="26"/>
        </w:rPr>
      </w:pPr>
    </w:p>
    <w:p w14:paraId="48FE2892" w14:textId="5B1843A0" w:rsidR="00672FC0" w:rsidRPr="00E2764A" w:rsidRDefault="00672FC0" w:rsidP="00154588">
      <w:pPr>
        <w:pStyle w:val="Heading2"/>
        <w:ind w:left="0"/>
        <w:jc w:val="both"/>
        <w:rPr>
          <w:rFonts w:ascii="Times New Roman" w:hAnsi="Times New Roman"/>
          <w:noProof/>
          <w:sz w:val="28"/>
          <w:szCs w:val="24"/>
        </w:rPr>
      </w:pPr>
      <w:bookmarkStart w:id="157" w:name="_Toc46997605"/>
      <w:bookmarkStart w:id="158" w:name="_Toc47003131"/>
      <w:r w:rsidRPr="00E2764A">
        <w:rPr>
          <w:rFonts w:ascii="Times New Roman" w:hAnsi="Times New Roman"/>
          <w:i/>
          <w:iCs/>
          <w:sz w:val="28"/>
          <w:szCs w:val="24"/>
        </w:rPr>
        <w:t>Actinobacillus pleuropneumoniae</w:t>
      </w:r>
      <w:bookmarkEnd w:id="157"/>
      <w:bookmarkEnd w:id="158"/>
    </w:p>
    <w:p w14:paraId="392BE01C" w14:textId="77777777" w:rsidR="00E2764A" w:rsidRDefault="00E2764A" w:rsidP="00154588">
      <w:pPr>
        <w:pStyle w:val="BodyText"/>
        <w:spacing w:before="0"/>
        <w:ind w:left="0"/>
        <w:jc w:val="both"/>
        <w:rPr>
          <w:rFonts w:ascii="Times New Roman" w:hAnsi="Times New Roman"/>
          <w:i/>
          <w:iCs/>
          <w:sz w:val="24"/>
        </w:rPr>
      </w:pPr>
    </w:p>
    <w:p w14:paraId="7254AFB5" w14:textId="7D538742"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i/>
          <w:iCs/>
          <w:sz w:val="24"/>
        </w:rPr>
        <w:t>A. pleuropneumoniae</w:t>
      </w:r>
      <w:r>
        <w:rPr>
          <w:rFonts w:ascii="Times New Roman" w:hAnsi="Times New Roman"/>
          <w:sz w:val="24"/>
        </w:rPr>
        <w:t xml:space="preserve"> izraisīto infekciju klīniskie simptomi ir atšķirīgi – no simptomiem, kurus patoloģisku izmaiņu veidā (parasti kā pleirītu) atklāj, dzīvnieku nokaujot, līdz smagiem, akūtiem simptomiem ar augstu ķermeņa temperatūru (&gt;40 °C), anoreksiju un augstu mirstību. Dzīvnieku nokaujot, bieži konstatē fibrīna nogulsnes uz sirds un plaušām. V</w:t>
      </w:r>
      <w:r w:rsidR="007B06EE">
        <w:rPr>
          <w:rFonts w:ascii="Times New Roman" w:hAnsi="Times New Roman"/>
          <w:sz w:val="24"/>
        </w:rPr>
        <w:t>ieglu</w:t>
      </w:r>
      <w:r>
        <w:rPr>
          <w:rFonts w:ascii="Times New Roman" w:hAnsi="Times New Roman"/>
          <w:sz w:val="24"/>
        </w:rPr>
        <w:t xml:space="preserve"> uzliesmojumu gadījumos novēro tikai dažus dzīvniekus ar klepu, paaugstinātu ķermeņa temperatūru un samazinātu ēstgribu. Šīm cūkām ieteicamā ārstēšana ir individuālas sistēmiskas prokaīna benzilpenicilīna injekcijas 5–7 dienas. Zviedrijas Zāļu aģentūra iesaka lielāku dienas devu, nekā norādījuši ražotāji, proti, 25–30 mg/kg dienā (20 mg/kg </w:t>
      </w:r>
      <w:r>
        <w:rPr>
          <w:rFonts w:ascii="Times New Roman" w:hAnsi="Times New Roman"/>
          <w:i/>
          <w:iCs/>
          <w:sz w:val="24"/>
        </w:rPr>
        <w:t xml:space="preserve">SID </w:t>
      </w:r>
      <w:r>
        <w:rPr>
          <w:rFonts w:ascii="Times New Roman" w:hAnsi="Times New Roman"/>
          <w:sz w:val="24"/>
        </w:rPr>
        <w:t>vietā</w:t>
      </w:r>
      <w:r>
        <w:rPr>
          <w:rStyle w:val="FootnoteReference"/>
          <w:rFonts w:ascii="Times New Roman" w:hAnsi="Times New Roman"/>
          <w:noProof/>
          <w:sz w:val="24"/>
        </w:rPr>
        <w:footnoteReference w:customMarkFollows="1" w:id="1"/>
        <w:t>3</w:t>
      </w:r>
      <w:r>
        <w:rPr>
          <w:rFonts w:ascii="Times New Roman" w:hAnsi="Times New Roman"/>
          <w:sz w:val="24"/>
        </w:rPr>
        <w:t>). Ārstēšanu ar antibiotikām var papildināt ar NPL. Smagākos gadījumos, kad infekcija ir plaši izplatīta ganāmpulkā, var būt indicēta grupas terapija ar TET, un gadījumos, kad ir augsta mirstība un zems iepriekšminēto anti</w:t>
      </w:r>
      <w:r w:rsidR="007B06EE">
        <w:rPr>
          <w:rFonts w:ascii="Times New Roman" w:hAnsi="Times New Roman"/>
          <w:sz w:val="24"/>
        </w:rPr>
        <w:t>mik</w:t>
      </w:r>
      <w:r w:rsidR="006C2238">
        <w:rPr>
          <w:rFonts w:ascii="Times New Roman" w:hAnsi="Times New Roman"/>
          <w:sz w:val="24"/>
        </w:rPr>
        <w:t>robiālo</w:t>
      </w:r>
      <w:r>
        <w:rPr>
          <w:rFonts w:ascii="Times New Roman" w:hAnsi="Times New Roman"/>
          <w:sz w:val="24"/>
        </w:rPr>
        <w:t xml:space="preserve"> līdzekļu iedarbīgums, var mēģināt izmantot enrofloksacīnu, bet tikai tad, ja to pamato bakteriālo uzsējumu rezultāti un no akreditētas laboratorijas ir saņemti jutīguma testu rezultāti.</w:t>
      </w:r>
    </w:p>
    <w:p w14:paraId="35E595F6" w14:textId="77777777" w:rsidR="00672FC0" w:rsidRPr="00154588" w:rsidRDefault="00672FC0" w:rsidP="00154588">
      <w:pPr>
        <w:jc w:val="both"/>
        <w:rPr>
          <w:rFonts w:ascii="Times New Roman" w:eastAsia="Book Antiqua" w:hAnsi="Times New Roman" w:cs="Book Antiqua"/>
          <w:noProof/>
          <w:sz w:val="24"/>
          <w:szCs w:val="26"/>
        </w:rPr>
      </w:pPr>
    </w:p>
    <w:p w14:paraId="43B6C4BA" w14:textId="77777777" w:rsidR="00672FC0" w:rsidRPr="00E2764A" w:rsidRDefault="00672FC0" w:rsidP="00154588">
      <w:pPr>
        <w:pStyle w:val="Heading2"/>
        <w:ind w:left="0"/>
        <w:jc w:val="both"/>
        <w:rPr>
          <w:rFonts w:ascii="Times New Roman" w:hAnsi="Times New Roman"/>
          <w:noProof/>
          <w:sz w:val="28"/>
          <w:szCs w:val="24"/>
        </w:rPr>
      </w:pPr>
      <w:bookmarkStart w:id="159" w:name="_Toc46997606"/>
      <w:bookmarkStart w:id="160" w:name="_Toc47003132"/>
      <w:r w:rsidRPr="00E2764A">
        <w:rPr>
          <w:rFonts w:ascii="Times New Roman" w:hAnsi="Times New Roman"/>
          <w:i/>
          <w:iCs/>
          <w:sz w:val="28"/>
          <w:szCs w:val="24"/>
        </w:rPr>
        <w:t>Pasteurella multocida</w:t>
      </w:r>
      <w:bookmarkEnd w:id="159"/>
      <w:bookmarkEnd w:id="160"/>
    </w:p>
    <w:p w14:paraId="5CFF619C" w14:textId="77777777" w:rsidR="00E2764A" w:rsidRDefault="00E2764A" w:rsidP="00154588">
      <w:pPr>
        <w:jc w:val="both"/>
        <w:rPr>
          <w:rFonts w:ascii="Times New Roman" w:hAnsi="Times New Roman"/>
          <w:sz w:val="24"/>
        </w:rPr>
      </w:pPr>
    </w:p>
    <w:p w14:paraId="55A5DC8D" w14:textId="634158FA"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sz w:val="24"/>
        </w:rPr>
        <w:t xml:space="preserve">Tā kā </w:t>
      </w:r>
      <w:r>
        <w:rPr>
          <w:rFonts w:ascii="Times New Roman" w:hAnsi="Times New Roman"/>
          <w:i/>
          <w:iCs/>
          <w:sz w:val="24"/>
        </w:rPr>
        <w:t>Pasteurella multocida</w:t>
      </w:r>
      <w:r>
        <w:rPr>
          <w:rFonts w:ascii="Times New Roman" w:hAnsi="Times New Roman"/>
          <w:sz w:val="24"/>
        </w:rPr>
        <w:t xml:space="preserve"> ir izplatīts patogēns, ko saista ar sekundāru infekciju, ārstēšanai jābūt vērstai pret šo patogēnu. Zviedrijas apstākļos </w:t>
      </w:r>
      <w:r>
        <w:rPr>
          <w:rFonts w:ascii="Times New Roman" w:hAnsi="Times New Roman"/>
          <w:i/>
          <w:iCs/>
          <w:sz w:val="24"/>
        </w:rPr>
        <w:t xml:space="preserve">P. multocida baktērija </w:t>
      </w:r>
      <w:r>
        <w:rPr>
          <w:rFonts w:ascii="Times New Roman" w:hAnsi="Times New Roman"/>
          <w:b/>
          <w:bCs/>
          <w:i/>
          <w:iCs/>
          <w:sz w:val="24"/>
        </w:rPr>
        <w:t>bieži vien ir jutīga pret prokaīna benzilpenicilīnu</w:t>
      </w:r>
      <w:r>
        <w:rPr>
          <w:rFonts w:ascii="Times New Roman" w:hAnsi="Times New Roman"/>
          <w:sz w:val="24"/>
        </w:rPr>
        <w:t>, proti, izvēles zālēm.</w:t>
      </w:r>
    </w:p>
    <w:p w14:paraId="27E733FE" w14:textId="77777777" w:rsidR="008838C4" w:rsidRDefault="008838C4" w:rsidP="00154588">
      <w:pPr>
        <w:pStyle w:val="BodyText"/>
        <w:spacing w:before="0"/>
        <w:ind w:left="0"/>
        <w:jc w:val="both"/>
        <w:rPr>
          <w:rFonts w:ascii="Times New Roman" w:hAnsi="Times New Roman"/>
          <w:noProof/>
          <w:sz w:val="24"/>
        </w:rPr>
      </w:pPr>
    </w:p>
    <w:p w14:paraId="570AE3EA" w14:textId="57EE110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Kaut arī iepriekš minētie mikroorganismi cūku elpceļu infekcijas gadījumos ir sastopami visbiežāk, var atrast arī citus. Ja klīnicists novēro vāji izteiktu terapeitisko iedarbību vai arī tās nav vispār, vienmēr ir jāiegūst bakteriālās kultūras paraugi un jāveic jutīguma testi, lai ārstēšana būtu pareiza un </w:t>
      </w:r>
      <w:r w:rsidR="006C2238">
        <w:rPr>
          <w:rFonts w:ascii="Times New Roman" w:hAnsi="Times New Roman"/>
          <w:sz w:val="24"/>
        </w:rPr>
        <w:t>piesardzīga</w:t>
      </w:r>
      <w:r>
        <w:rPr>
          <w:rFonts w:ascii="Times New Roman" w:hAnsi="Times New Roman"/>
          <w:sz w:val="24"/>
        </w:rPr>
        <w:t>.</w:t>
      </w:r>
    </w:p>
    <w:p w14:paraId="57D667EA" w14:textId="77777777" w:rsidR="00672FC0" w:rsidRPr="00154588" w:rsidRDefault="00672FC0" w:rsidP="00154588">
      <w:pPr>
        <w:jc w:val="both"/>
        <w:rPr>
          <w:rFonts w:ascii="Times New Roman" w:eastAsia="Book Antiqua" w:hAnsi="Times New Roman" w:cs="Book Antiqua"/>
          <w:noProof/>
          <w:sz w:val="24"/>
          <w:szCs w:val="18"/>
        </w:rPr>
      </w:pPr>
    </w:p>
    <w:p w14:paraId="575D6907" w14:textId="77777777" w:rsidR="00672FC0" w:rsidRPr="00154588" w:rsidRDefault="00672FC0" w:rsidP="00154588">
      <w:pPr>
        <w:pStyle w:val="Heading3"/>
        <w:ind w:left="0"/>
        <w:jc w:val="both"/>
        <w:rPr>
          <w:rFonts w:ascii="Times New Roman" w:hAnsi="Times New Roman"/>
          <w:noProof/>
          <w:sz w:val="24"/>
        </w:rPr>
      </w:pPr>
      <w:bookmarkStart w:id="161" w:name="_Toc46997607"/>
      <w:bookmarkStart w:id="162" w:name="_Toc47003133"/>
      <w:r>
        <w:rPr>
          <w:rFonts w:ascii="Times New Roman" w:hAnsi="Times New Roman"/>
          <w:sz w:val="24"/>
        </w:rPr>
        <w:t>Profilakse</w:t>
      </w:r>
      <w:bookmarkEnd w:id="161"/>
      <w:bookmarkEnd w:id="162"/>
    </w:p>
    <w:p w14:paraId="303CA4BF" w14:textId="1D98266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Cūku elpceļu infekciju profilaksei stingri jāievēro prakse audzēt cūkas pa partijām saskaņā ar principu</w:t>
      </w:r>
      <w:r w:rsidR="006C2238">
        <w:rPr>
          <w:rFonts w:ascii="Times New Roman" w:hAnsi="Times New Roman"/>
          <w:sz w:val="24"/>
        </w:rPr>
        <w:t xml:space="preserve"> “visi iekšā, visi ārā”</w:t>
      </w:r>
      <w:r>
        <w:rPr>
          <w:rFonts w:ascii="Times New Roman" w:hAnsi="Times New Roman"/>
          <w:sz w:val="24"/>
        </w:rPr>
        <w:t xml:space="preserve">. Lielākos ganāmpulkos dzīvnieki jāsadala pa vecuma grupām. “Pārpalikušās” vecākās cūkas, kas atpalikušas no savas grupas, nekad nelaiž kūtī ar jauno cūku grupu. Vides faktoriem, piemēram, atbilstošai temperatūrai un gaisa kvalitātei, optimāli jāatbilst gan tikko atšķirtas, gan kaujamas cūkas vajadzībām, un, ņemot vērā cūku atšķirīgās prasības pret vidi, tas ir vēl viens iemesls cūku stingrai dalīšanai pēc vecuma. Temperatūra kūtī, kas paredzēta jaundzimušām cūkām, nedrīkst būt zemāka par 22 °C. Pusaugu cūkām temperatūra pakāpeniski jāpazemina līdz 15 °C. Mērķim jābūt gaisa apmaiņas nodrošināšanai ar pienācīgas ventilācijas starpniecību, lai saglabātu labu gaisa kvalitāti. Apsaimniekošanas prakse, kas jāievēro cūku veselības saglabāšanai un ekonomiski ilgtspējīga ienākumu līmeņa </w:t>
      </w:r>
      <w:r>
        <w:rPr>
          <w:rFonts w:ascii="Times New Roman" w:hAnsi="Times New Roman"/>
          <w:sz w:val="24"/>
        </w:rPr>
        <w:lastRenderedPageBreak/>
        <w:t>gūšanai, paredz rūpīgu kūts, eju un boksu tīrīšanu, pienācīgu dezinfekciju un pietiekami ilga žūšanas laika nodrošināšanu, kā arī aizgaldu atstāšanu tukšu (vismaz 3–7 dienas atkarībā no iekštelpu temperatūras) starp partijām.</w:t>
      </w:r>
    </w:p>
    <w:p w14:paraId="7F90C069" w14:textId="3DB0898D" w:rsidR="00C2581B" w:rsidRDefault="00C2581B">
      <w:pPr>
        <w:rPr>
          <w:rFonts w:ascii="Times New Roman" w:hAnsi="Times New Roman"/>
          <w:noProof/>
          <w:sz w:val="24"/>
        </w:rPr>
      </w:pPr>
      <w:r>
        <w:br w:type="page"/>
      </w:r>
    </w:p>
    <w:p w14:paraId="0463A919" w14:textId="77777777" w:rsidR="001652BA" w:rsidRPr="00154588" w:rsidRDefault="001652BA" w:rsidP="00154588">
      <w:pPr>
        <w:jc w:val="both"/>
        <w:rPr>
          <w:rFonts w:ascii="Times New Roman" w:hAnsi="Times New Roman"/>
          <w:noProof/>
          <w:sz w:val="24"/>
        </w:rPr>
      </w:pPr>
    </w:p>
    <w:p w14:paraId="2290B2F3" w14:textId="77777777" w:rsidR="00672FC0" w:rsidRPr="00E2764A" w:rsidRDefault="00672FC0" w:rsidP="00E2764A">
      <w:pPr>
        <w:pStyle w:val="Heading1"/>
        <w:rPr>
          <w:sz w:val="28"/>
          <w:szCs w:val="32"/>
        </w:rPr>
      </w:pPr>
      <w:bookmarkStart w:id="163" w:name="_TOC_250021"/>
      <w:bookmarkStart w:id="164" w:name="_Toc46997608"/>
      <w:bookmarkStart w:id="165" w:name="_Toc47003134"/>
      <w:r w:rsidRPr="00E2764A">
        <w:rPr>
          <w:sz w:val="28"/>
          <w:szCs w:val="32"/>
        </w:rPr>
        <w:t>Mastīts sivēnmātēm</w:t>
      </w:r>
      <w:bookmarkEnd w:id="163"/>
      <w:bookmarkEnd w:id="164"/>
      <w:bookmarkEnd w:id="165"/>
    </w:p>
    <w:p w14:paraId="144955C5" w14:textId="77777777" w:rsidR="00E2764A" w:rsidRDefault="00E2764A" w:rsidP="00154588">
      <w:pPr>
        <w:pStyle w:val="BodyText"/>
        <w:spacing w:before="0"/>
        <w:ind w:left="0"/>
        <w:jc w:val="both"/>
        <w:rPr>
          <w:rFonts w:ascii="Times New Roman" w:hAnsi="Times New Roman"/>
          <w:sz w:val="24"/>
        </w:rPr>
      </w:pPr>
    </w:p>
    <w:p w14:paraId="242DE1FB" w14:textId="194C043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Trīs galvenie sivēnmāšu mastīta veidi ir šādi:  1) akūta agalaktija, kas bieži skar arī tesmeni, agrīnajā pēcdzemdību periodā, turpmāk par to skatīt vairāk; 2) akūts klīniskais mastīts laktācijas laikā, kas parasti skar atsevišķus tesmeņa dziedzerus, un 3) hronisks mastīts cietstāves periodā, kas bieži izpaužas kā abscesi. Visus trīs veidus izraisa baktērijas, bet ārstēšana ir atšķirīga.</w:t>
      </w:r>
    </w:p>
    <w:p w14:paraId="0F431B86" w14:textId="77777777" w:rsidR="00672FC0" w:rsidRPr="00154588" w:rsidRDefault="00672FC0" w:rsidP="00154588">
      <w:pPr>
        <w:jc w:val="both"/>
        <w:rPr>
          <w:rFonts w:ascii="Times New Roman" w:eastAsia="Book Antiqua" w:hAnsi="Times New Roman" w:cs="Book Antiqua"/>
          <w:noProof/>
          <w:sz w:val="24"/>
          <w:szCs w:val="18"/>
        </w:rPr>
      </w:pPr>
    </w:p>
    <w:p w14:paraId="1C83A625" w14:textId="77777777" w:rsidR="00672FC0" w:rsidRPr="00154588" w:rsidRDefault="00672FC0" w:rsidP="00154588">
      <w:pPr>
        <w:pStyle w:val="Heading3"/>
        <w:ind w:left="0"/>
        <w:jc w:val="both"/>
        <w:rPr>
          <w:rFonts w:ascii="Times New Roman" w:hAnsi="Times New Roman"/>
          <w:noProof/>
          <w:sz w:val="24"/>
        </w:rPr>
      </w:pPr>
      <w:bookmarkStart w:id="166" w:name="_Toc46997609"/>
      <w:bookmarkStart w:id="167" w:name="_Toc47003135"/>
      <w:r>
        <w:rPr>
          <w:rFonts w:ascii="Times New Roman" w:hAnsi="Times New Roman"/>
          <w:sz w:val="24"/>
        </w:rPr>
        <w:t>Diagnozes noteikšana</w:t>
      </w:r>
      <w:bookmarkEnd w:id="166"/>
      <w:bookmarkEnd w:id="167"/>
    </w:p>
    <w:p w14:paraId="01899158" w14:textId="4D6AA2A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Agrāk lietotais termins “sivēnmāšu agalaktija” attiecas uz sindromu agrīnajā pēcdzemdību periodā, turpretim mūsdienās lieto modernākos terminus “pēcdzemdību disgalaktijas sindroms” (PDS) vai “mastīts, metrīts un agalaktija” (MMA). Agrīni simptomi ir sivēnmāšu anoreksija un sivēnu izsalkums. Sivēnmātei bieži paaugstinās temperatūra, pārsniedzot 40 °C, un pasliktinās vispārējais stāvoklis. Palpējot tesmeni, bieži nosaka vienu vai vairākus pietūkušus un siltus tesmeņa dziedzerus. Bieži vien ir izdalījumi no vulvas, jo metrīts ir slimības kompleksa elements.</w:t>
      </w:r>
    </w:p>
    <w:p w14:paraId="33729046" w14:textId="77777777" w:rsidR="00C2581B" w:rsidRDefault="00C2581B" w:rsidP="00154588">
      <w:pPr>
        <w:pStyle w:val="BodyText"/>
        <w:spacing w:before="0"/>
        <w:ind w:left="0"/>
        <w:jc w:val="both"/>
        <w:rPr>
          <w:rFonts w:ascii="Times New Roman" w:hAnsi="Times New Roman"/>
          <w:noProof/>
          <w:sz w:val="24"/>
        </w:rPr>
      </w:pPr>
    </w:p>
    <w:p w14:paraId="15997D6A" w14:textId="0B2E308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Mastīta gadījumos etioloģijā bieži ir </w:t>
      </w:r>
      <w:r>
        <w:rPr>
          <w:rFonts w:ascii="Times New Roman" w:hAnsi="Times New Roman"/>
          <w:i/>
          <w:iCs/>
          <w:sz w:val="24"/>
        </w:rPr>
        <w:t>E. coli</w:t>
      </w:r>
      <w:r>
        <w:rPr>
          <w:rFonts w:ascii="Times New Roman" w:hAnsi="Times New Roman"/>
          <w:sz w:val="24"/>
        </w:rPr>
        <w:t>. Uzskata, ka vidē esošās baktērijas iekļūst tesmenī caur pupa kanāliem un izraisa akūtu iekaisuma reakciju. No tesmeņa ir izdalīti arī streptokoki un stafilokoki.</w:t>
      </w:r>
    </w:p>
    <w:p w14:paraId="51F59CCA" w14:textId="77777777" w:rsidR="00C2581B" w:rsidRDefault="00C2581B" w:rsidP="00154588">
      <w:pPr>
        <w:pStyle w:val="BodyText"/>
        <w:spacing w:before="0"/>
        <w:ind w:left="0"/>
        <w:jc w:val="both"/>
        <w:rPr>
          <w:rFonts w:ascii="Times New Roman" w:hAnsi="Times New Roman"/>
          <w:noProof/>
          <w:sz w:val="24"/>
        </w:rPr>
      </w:pPr>
    </w:p>
    <w:p w14:paraId="3C6D17F0" w14:textId="4D15A20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Mastīts, kas veidojas vēlāk laktācijas laikā un pēc tam, kad iestājusies cietstāve, parasti ietekmē atsevišķus tesmeņa dziedzerus, neradot sistēmiskus simptomus. Bieži konstatē streptokokus un stafilokokus, bet ir atrastas arī citas baktērijas – gan aerobās, gan anaerobās.</w:t>
      </w:r>
    </w:p>
    <w:p w14:paraId="754879C0" w14:textId="77777777" w:rsidR="00C2581B" w:rsidRDefault="00C2581B" w:rsidP="00154588">
      <w:pPr>
        <w:pStyle w:val="BodyText"/>
        <w:spacing w:before="0"/>
        <w:ind w:left="0"/>
        <w:jc w:val="both"/>
        <w:rPr>
          <w:rFonts w:ascii="Times New Roman" w:hAnsi="Times New Roman"/>
          <w:noProof/>
          <w:sz w:val="24"/>
        </w:rPr>
      </w:pPr>
    </w:p>
    <w:p w14:paraId="403C1BA8" w14:textId="568CDEB4"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Hronisks mastīts bieži izpaužas kā tesmeņa abscess. Etioloģijā ir aktinoze vai aktinomikoze, kā arī streptokoki un stafilokoki. Diagnozi nosaka, palpējot tesmeni. Abscess var aptvert visu tesmeņa dziedzeri, vai arī tas var parādīties kā zemādas vīnogu ķekars.</w:t>
      </w:r>
    </w:p>
    <w:p w14:paraId="5CFDC682" w14:textId="77777777" w:rsidR="00672FC0" w:rsidRPr="00154588" w:rsidRDefault="00672FC0" w:rsidP="00154588">
      <w:pPr>
        <w:jc w:val="both"/>
        <w:rPr>
          <w:rFonts w:ascii="Times New Roman" w:eastAsia="Book Antiqua" w:hAnsi="Times New Roman" w:cs="Book Antiqua"/>
          <w:noProof/>
          <w:sz w:val="24"/>
          <w:szCs w:val="18"/>
        </w:rPr>
      </w:pPr>
    </w:p>
    <w:p w14:paraId="0EB55833" w14:textId="77777777" w:rsidR="00672FC0" w:rsidRPr="00154588" w:rsidRDefault="00672FC0" w:rsidP="00154588">
      <w:pPr>
        <w:pStyle w:val="Heading3"/>
        <w:ind w:left="0"/>
        <w:jc w:val="both"/>
        <w:rPr>
          <w:rFonts w:ascii="Times New Roman" w:hAnsi="Times New Roman"/>
          <w:noProof/>
          <w:sz w:val="24"/>
        </w:rPr>
      </w:pPr>
      <w:bookmarkStart w:id="168" w:name="_Toc46997610"/>
      <w:bookmarkStart w:id="169" w:name="_Toc47003136"/>
      <w:r>
        <w:rPr>
          <w:rFonts w:ascii="Times New Roman" w:hAnsi="Times New Roman"/>
          <w:sz w:val="24"/>
        </w:rPr>
        <w:t>Ārstēšana</w:t>
      </w:r>
      <w:bookmarkEnd w:id="168"/>
      <w:bookmarkEnd w:id="169"/>
    </w:p>
    <w:p w14:paraId="5E055060" w14:textId="434308E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Ārstējot PDS, ir svarīga agrīna diagnozes noteikšana un atbilstoša ārstēšana. Pirmais pasākums ir oksitocīna injicēšana sivēnmātei, stimulējot piena izdalīšanos, lai sivēni varētu zīst. Sistēmiski ievadot NPL, sivēnmātei var mazināt sāpes un diskomfortu.</w:t>
      </w:r>
    </w:p>
    <w:p w14:paraId="72D53235" w14:textId="77777777" w:rsidR="00C2581B" w:rsidRDefault="00C2581B" w:rsidP="00154588">
      <w:pPr>
        <w:pStyle w:val="BodyText"/>
        <w:spacing w:before="0"/>
        <w:ind w:left="0"/>
        <w:jc w:val="both"/>
        <w:rPr>
          <w:rFonts w:ascii="Times New Roman" w:hAnsi="Times New Roman"/>
          <w:noProof/>
          <w:sz w:val="24"/>
        </w:rPr>
      </w:pPr>
    </w:p>
    <w:p w14:paraId="0CE96764" w14:textId="62860C5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Viegla PDS gadījumos ārstēšana ar antibiotikām parasti nav nepieciešama. Tomēr, ja dzīvnieka vispārējais stāvoklis ir pasliktināts un ir paaugstināta temperatūra taisnajā zarnā, ir indicēta ārstēšana ar antibiotikām un/vai NPL. Izvēles zāles ir T/S. Ja T/S nepalīdz, loģiskā alternatīva būtu prokaīna benzilpenicilīns, bet var </w:t>
      </w:r>
      <w:r w:rsidR="006C2238">
        <w:rPr>
          <w:rFonts w:ascii="Times New Roman" w:hAnsi="Times New Roman"/>
          <w:sz w:val="24"/>
        </w:rPr>
        <w:t>lietot</w:t>
      </w:r>
      <w:r>
        <w:rPr>
          <w:rFonts w:ascii="Times New Roman" w:hAnsi="Times New Roman"/>
          <w:sz w:val="24"/>
        </w:rPr>
        <w:t xml:space="preserve"> arī citas zāles atkarībā no indikācijām, pamatojoties uz uzsējumu un jutīguma testu rezultātiem.</w:t>
      </w:r>
    </w:p>
    <w:p w14:paraId="6F326ABC" w14:textId="77777777" w:rsidR="00154588" w:rsidRPr="00154588" w:rsidRDefault="00154588" w:rsidP="00154588">
      <w:pPr>
        <w:jc w:val="both"/>
        <w:rPr>
          <w:rFonts w:ascii="Times New Roman" w:hAnsi="Times New Roman"/>
          <w:noProof/>
          <w:sz w:val="24"/>
        </w:rPr>
      </w:pPr>
    </w:p>
    <w:p w14:paraId="601924A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Mastīts laktācijas otrajā pusē un pēc cietstāves iestāšanās parasti neietekmē sivēnmātes temperatūru vai vispārējo stāvokli. Izvēles zāles ir prokaīna benzilpenicilīns, jo attiecīgās baktērijas parasti ir jutīgas pret penicilīnu.</w:t>
      </w:r>
    </w:p>
    <w:p w14:paraId="2EB7AF98" w14:textId="77777777" w:rsidR="00C2581B" w:rsidRDefault="00C2581B" w:rsidP="00154588">
      <w:pPr>
        <w:pStyle w:val="BodyText"/>
        <w:spacing w:before="0"/>
        <w:ind w:left="0"/>
        <w:jc w:val="both"/>
        <w:rPr>
          <w:rFonts w:ascii="Times New Roman" w:hAnsi="Times New Roman"/>
          <w:noProof/>
          <w:sz w:val="24"/>
        </w:rPr>
      </w:pPr>
    </w:p>
    <w:p w14:paraId="3F9F3B6F" w14:textId="6A392E72"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Sivēnmātes ar tesmeņa abscesiem nedrīkst ārstēt ar antibiotikām, jo baktērijas ir sekvestrētas un nav sasniedzamas. Sivēnmātes ar tesmeņa abscesiem jānosūta kaušanai. Ja tas kaut kāda iemesla dēļ nav iespējams, tās jātur izolācijā līdz atnešanās brīdim, kā arī nākamās laktācijas laikā.</w:t>
      </w:r>
    </w:p>
    <w:p w14:paraId="5AB7F055" w14:textId="77777777" w:rsidR="00672FC0" w:rsidRPr="00154588" w:rsidRDefault="00672FC0" w:rsidP="00154588">
      <w:pPr>
        <w:jc w:val="both"/>
        <w:rPr>
          <w:rFonts w:ascii="Times New Roman" w:eastAsia="Book Antiqua" w:hAnsi="Times New Roman" w:cs="Book Antiqua"/>
          <w:noProof/>
          <w:sz w:val="24"/>
          <w:szCs w:val="18"/>
        </w:rPr>
      </w:pPr>
    </w:p>
    <w:p w14:paraId="5D8BD301" w14:textId="77777777" w:rsidR="00672FC0" w:rsidRPr="00154588" w:rsidRDefault="00672FC0" w:rsidP="00154588">
      <w:pPr>
        <w:pStyle w:val="Heading3"/>
        <w:ind w:left="0"/>
        <w:jc w:val="both"/>
        <w:rPr>
          <w:rFonts w:ascii="Times New Roman" w:hAnsi="Times New Roman"/>
          <w:noProof/>
          <w:sz w:val="24"/>
        </w:rPr>
      </w:pPr>
      <w:bookmarkStart w:id="170" w:name="_Toc46997611"/>
      <w:bookmarkStart w:id="171" w:name="_Toc47003137"/>
      <w:r>
        <w:rPr>
          <w:rFonts w:ascii="Times New Roman" w:hAnsi="Times New Roman"/>
          <w:sz w:val="24"/>
        </w:rPr>
        <w:lastRenderedPageBreak/>
        <w:t>Profilakse</w:t>
      </w:r>
      <w:bookmarkEnd w:id="170"/>
      <w:bookmarkEnd w:id="171"/>
    </w:p>
    <w:p w14:paraId="582ABD4E" w14:textId="57D82E70" w:rsidR="00672FC0"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Saslimstību ar PDS</w:t>
      </w:r>
      <w:r>
        <w:rPr>
          <w:rFonts w:ascii="Times New Roman" w:hAnsi="Times New Roman"/>
          <w:sz w:val="24"/>
        </w:rPr>
        <w:t xml:space="preserve"> Zviedrijas cūku ganāmpulkos parasti novēro apmēram 10 % atnešanās gadījumu. Lai saslimstība nepalielinātos, ir svarīgi nodrošināt higiēnu atnešanās boksā, kā arī rūpēties par labu barības un ūdens higiēnu. Nozīme ir arī barības daudzumam un saturam. Lielāks diarejas biežums sivēniem var norādīt uz subklīniska PDS problēmu.</w:t>
      </w:r>
    </w:p>
    <w:p w14:paraId="1B7A5ED3" w14:textId="77777777" w:rsidR="00C2581B" w:rsidRPr="00154588" w:rsidRDefault="00C2581B" w:rsidP="00154588">
      <w:pPr>
        <w:pStyle w:val="BodyText"/>
        <w:spacing w:before="0"/>
        <w:ind w:left="0"/>
        <w:jc w:val="both"/>
        <w:rPr>
          <w:rFonts w:ascii="Times New Roman" w:hAnsi="Times New Roman"/>
          <w:noProof/>
          <w:sz w:val="24"/>
        </w:rPr>
      </w:pPr>
    </w:p>
    <w:p w14:paraId="7AAD4168" w14:textId="409479DA"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Ja saslimstība pārsniedz 10 %, ganāmpulka veterinārārstam jāveic ganāmpulka veselības izpēte pamatcēloņu noteikšanai un dialogā ar lauksaimnieku/īpašnieku jāvienojas par pasākumiem stāvokļa uzlabošanai.</w:t>
      </w:r>
    </w:p>
    <w:p w14:paraId="1B1378B0" w14:textId="77777777" w:rsidR="00C2581B" w:rsidRPr="00154588" w:rsidRDefault="00C2581B" w:rsidP="00154588">
      <w:pPr>
        <w:pStyle w:val="BodyText"/>
        <w:spacing w:before="0"/>
        <w:ind w:left="0"/>
        <w:jc w:val="both"/>
        <w:rPr>
          <w:rFonts w:ascii="Times New Roman" w:hAnsi="Times New Roman"/>
          <w:noProof/>
          <w:sz w:val="24"/>
        </w:rPr>
      </w:pPr>
    </w:p>
    <w:p w14:paraId="63B33E72" w14:textId="5509BF45" w:rsidR="00672FC0"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Laktācijas otrajā pusē</w:t>
      </w:r>
      <w:r>
        <w:rPr>
          <w:rFonts w:ascii="Times New Roman" w:hAnsi="Times New Roman"/>
          <w:sz w:val="24"/>
        </w:rPr>
        <w:t xml:space="preserve"> un pēc cietstāves iestāšanās sivēnmātes ar pupu un tesmeņu bojājumiem ārstē mastīta profilaksei, pirms bojājumi ir kļuvuši hroniski. Slikta piena ražošana var būt sekundāra parādība pēc subklīniska mastīta, jo sivēni ir izsalkuši un kļūst vardarbīgāki, cenšoties zīst. Svarīgi arī, lai sivēnmātes, īpaši jaunās sivēnmātes, laktācijas laikā nezaudētu pārāk daudz svara un būtu labā stāvoklī.</w:t>
      </w:r>
    </w:p>
    <w:p w14:paraId="71FB90E8" w14:textId="77777777" w:rsidR="00C2581B" w:rsidRPr="00154588" w:rsidRDefault="00C2581B" w:rsidP="00154588">
      <w:pPr>
        <w:pStyle w:val="BodyText"/>
        <w:spacing w:before="0"/>
        <w:ind w:left="0"/>
        <w:jc w:val="both"/>
        <w:rPr>
          <w:rFonts w:ascii="Times New Roman" w:hAnsi="Times New Roman"/>
          <w:noProof/>
          <w:sz w:val="24"/>
        </w:rPr>
      </w:pPr>
    </w:p>
    <w:p w14:paraId="4844EA01" w14:textId="6CF08DA9" w:rsidR="00CB3F38" w:rsidRDefault="00672FC0" w:rsidP="00154588">
      <w:pPr>
        <w:pStyle w:val="BodyText"/>
        <w:spacing w:before="0"/>
        <w:ind w:left="0"/>
        <w:jc w:val="both"/>
        <w:rPr>
          <w:rFonts w:ascii="Times New Roman" w:hAnsi="Times New Roman"/>
          <w:sz w:val="24"/>
        </w:rPr>
      </w:pPr>
      <w:r>
        <w:rPr>
          <w:rFonts w:ascii="Times New Roman" w:hAnsi="Times New Roman"/>
          <w:sz w:val="24"/>
        </w:rPr>
        <w:t xml:space="preserve">Laba higiēna un infekciju profilakse ganāmpulkā ir ļoti svarīga, lai </w:t>
      </w:r>
      <w:r>
        <w:rPr>
          <w:rFonts w:ascii="Times New Roman" w:hAnsi="Times New Roman"/>
          <w:b/>
          <w:bCs/>
          <w:i/>
          <w:iCs/>
          <w:sz w:val="24"/>
        </w:rPr>
        <w:t>abscesu skartu tesmeņu</w:t>
      </w:r>
      <w:r>
        <w:rPr>
          <w:rFonts w:ascii="Times New Roman" w:hAnsi="Times New Roman"/>
          <w:sz w:val="24"/>
        </w:rPr>
        <w:t xml:space="preserve"> būtu mazāk. Pēc sivēnu atšķiršanas sivēnmātes ir uzņēmīgas pret infekcijām, jo neslauktie tesmeņi var inficēties caur pupu​ kanāliem. Tā kā pēc sivēnu atšķiršanas sivēnmātes bieži atrodas kopā, jāpalpē visu sivēnmāšu tesmeņi, lai noteiktu tos dzīvniekus, kurus nedrīkst laist kopā ar veselajiem. Tesmeņa palpēšana atkārtoti jāveic apsēklošanas laikā un pārbaudot, kā notiek meklēšanās, kad cietstāvošais tesmenis ir mīkstāks un abscesus vieglāk atrast. Slimās sivēnmātes jānosūta kaušanai, ja tas ir iespējams, vai vismaz jātur atsevišķi no citiem dzīvniekiem.</w:t>
      </w:r>
    </w:p>
    <w:p w14:paraId="63777584" w14:textId="77777777" w:rsidR="00CB3F38" w:rsidRDefault="00CB3F38">
      <w:pPr>
        <w:rPr>
          <w:rFonts w:ascii="Times New Roman" w:eastAsia="Book Antiqua" w:hAnsi="Times New Roman"/>
          <w:sz w:val="24"/>
          <w:szCs w:val="20"/>
        </w:rPr>
      </w:pPr>
      <w:r>
        <w:rPr>
          <w:rFonts w:ascii="Times New Roman" w:hAnsi="Times New Roman"/>
          <w:sz w:val="24"/>
        </w:rPr>
        <w:br w:type="page"/>
      </w:r>
    </w:p>
    <w:p w14:paraId="7C35B264" w14:textId="77777777" w:rsidR="00154588" w:rsidRPr="00154588" w:rsidRDefault="00154588" w:rsidP="00154588">
      <w:pPr>
        <w:jc w:val="both"/>
        <w:rPr>
          <w:rFonts w:ascii="Times New Roman" w:hAnsi="Times New Roman"/>
          <w:noProof/>
          <w:sz w:val="24"/>
        </w:rPr>
      </w:pPr>
    </w:p>
    <w:p w14:paraId="12CAC9A2" w14:textId="77777777" w:rsidR="00672FC0" w:rsidRPr="00FF4115" w:rsidRDefault="00672FC0" w:rsidP="00FF4115">
      <w:pPr>
        <w:pStyle w:val="Heading1"/>
        <w:rPr>
          <w:sz w:val="28"/>
          <w:szCs w:val="32"/>
        </w:rPr>
      </w:pPr>
      <w:bookmarkStart w:id="172" w:name="_Toc46997612"/>
      <w:bookmarkStart w:id="173" w:name="_Toc47003138"/>
      <w:r w:rsidRPr="00FF4115">
        <w:rPr>
          <w:sz w:val="28"/>
          <w:szCs w:val="32"/>
        </w:rPr>
        <w:t>Balsta un kustību sistēmas infekcijas – artrīts</w:t>
      </w:r>
      <w:bookmarkEnd w:id="172"/>
      <w:bookmarkEnd w:id="173"/>
    </w:p>
    <w:p w14:paraId="4D538CC3" w14:textId="77777777" w:rsidR="00E2764A" w:rsidRDefault="00E2764A" w:rsidP="00154588">
      <w:pPr>
        <w:pStyle w:val="BodyText"/>
        <w:spacing w:before="0"/>
        <w:ind w:left="0"/>
        <w:jc w:val="both"/>
        <w:rPr>
          <w:rFonts w:ascii="Times New Roman" w:hAnsi="Times New Roman"/>
          <w:sz w:val="24"/>
        </w:rPr>
      </w:pPr>
    </w:p>
    <w:p w14:paraId="64AB3AE4" w14:textId="506BA98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Klibums ir visbiežākais cēlonis piena sivēnu ārstēšanai ar antibiotikām, jo Zviedrijas apstākļos klibumu ārstē apmēram 10 % dzīvnieku. Etioloģiskie ierosinātāji galvenokārt ir streptokoki, stafilokoki vai</w:t>
      </w:r>
      <w:r>
        <w:rPr>
          <w:rFonts w:ascii="Times New Roman" w:hAnsi="Times New Roman"/>
          <w:i/>
          <w:iCs/>
          <w:sz w:val="24"/>
        </w:rPr>
        <w:t xml:space="preserve"> E. coli</w:t>
      </w:r>
      <w:r>
        <w:rPr>
          <w:rFonts w:ascii="Times New Roman" w:hAnsi="Times New Roman"/>
          <w:sz w:val="24"/>
        </w:rPr>
        <w:t xml:space="preserve">, bet problēmas var radīt arī </w:t>
      </w:r>
      <w:r>
        <w:rPr>
          <w:rFonts w:ascii="Times New Roman" w:hAnsi="Times New Roman"/>
          <w:i/>
          <w:iCs/>
          <w:sz w:val="24"/>
        </w:rPr>
        <w:t>Trueperella pyogenes</w:t>
      </w:r>
      <w:r>
        <w:rPr>
          <w:rFonts w:ascii="Times New Roman" w:hAnsi="Times New Roman"/>
          <w:sz w:val="24"/>
        </w:rPr>
        <w:t xml:space="preserve">. Profilaksei jābūt vērstai uz kāju un pēdu traumu samazināšanu. Vairāki pētījumi ir parādījuši, ka no artrīta ārstētie sivēni aug lēnāk nekā attiecīgā metina neārstētie sivēni. Artrītu un klibumu nobarojamām cūkām bieži saista ar grampozitīvām baktērijām, bet </w:t>
      </w:r>
      <w:r>
        <w:rPr>
          <w:rFonts w:ascii="Times New Roman" w:hAnsi="Times New Roman"/>
          <w:i/>
          <w:iCs/>
          <w:sz w:val="24"/>
        </w:rPr>
        <w:t>Mycoplasma hyosynoviae</w:t>
      </w:r>
      <w:r>
        <w:rPr>
          <w:rFonts w:ascii="Times New Roman" w:hAnsi="Times New Roman"/>
          <w:sz w:val="24"/>
        </w:rPr>
        <w:t xml:space="preserve"> arī var būt ganāmpulka veselības problēmu cēlonis. Inficēšanās ar </w:t>
      </w:r>
      <w:r>
        <w:rPr>
          <w:rFonts w:ascii="Times New Roman" w:hAnsi="Times New Roman"/>
          <w:i/>
          <w:iCs/>
          <w:sz w:val="24"/>
        </w:rPr>
        <w:t xml:space="preserve">Erysipelothrix rhusiopathiae </w:t>
      </w:r>
      <w:r>
        <w:rPr>
          <w:rFonts w:ascii="Times New Roman" w:hAnsi="Times New Roman"/>
          <w:sz w:val="24"/>
        </w:rPr>
        <w:t>var radīt problēmas ārā turētos ganāmpulkos, un šādu ganāmpulku īpašniekiem jāapsver dzīvnieku vakcinācija.</w:t>
      </w:r>
    </w:p>
    <w:p w14:paraId="17FF280E" w14:textId="77777777" w:rsidR="00672FC0" w:rsidRPr="00154588" w:rsidRDefault="00672FC0" w:rsidP="00154588">
      <w:pPr>
        <w:jc w:val="both"/>
        <w:rPr>
          <w:rFonts w:ascii="Times New Roman" w:eastAsia="Book Antiqua" w:hAnsi="Times New Roman" w:cs="Book Antiqua"/>
          <w:noProof/>
          <w:sz w:val="24"/>
          <w:szCs w:val="18"/>
        </w:rPr>
      </w:pPr>
    </w:p>
    <w:p w14:paraId="32B051CA" w14:textId="77777777" w:rsidR="00672FC0" w:rsidRPr="00154588" w:rsidRDefault="00672FC0" w:rsidP="00154588">
      <w:pPr>
        <w:pStyle w:val="Heading3"/>
        <w:ind w:left="0"/>
        <w:jc w:val="both"/>
        <w:rPr>
          <w:rFonts w:ascii="Times New Roman" w:hAnsi="Times New Roman"/>
          <w:noProof/>
          <w:sz w:val="24"/>
        </w:rPr>
      </w:pPr>
      <w:bookmarkStart w:id="174" w:name="_Toc46997613"/>
      <w:bookmarkStart w:id="175" w:name="_Toc47003139"/>
      <w:r>
        <w:rPr>
          <w:rFonts w:ascii="Times New Roman" w:hAnsi="Times New Roman"/>
          <w:sz w:val="24"/>
        </w:rPr>
        <w:t>Diagnozes noteikšana</w:t>
      </w:r>
      <w:bookmarkEnd w:id="174"/>
      <w:bookmarkEnd w:id="175"/>
    </w:p>
    <w:p w14:paraId="313E8EC5" w14:textId="0D5C21B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Septiņdesmit pieciem procentiem no visām cūkām, kuras Zviedrijas apstākļos ārstēja no klibuma, ārstēšanu veica pirmajās trīs dzīves nedēļās (2013. gadā). Simptomi papildus klibumam ir pietūkušas un sāpīgas locītavas un dažreiz paaugstināta temperatūra taisnajā zarnā. Nopietnos gadījumos, kad septicēmijas dēļ slimībā ir radušies sarežģījumi, dzīvniekiem var novērot nomāktu vispārējo stāvokli. Agrīna slimības atklāšana un ārstēšana ir svarīga, lai nepieļautu hroniskas izmaiņas. Klibumu var izraisīt arī traumatiski bojājumi un abrazīvas grīdas. Lai noteiktu pareizu diagnozi, nepieciešama rūpīga klīniskā izmeklēšana.</w:t>
      </w:r>
    </w:p>
    <w:p w14:paraId="47F7F3FB" w14:textId="77777777" w:rsidR="00672FC0" w:rsidRPr="00154588" w:rsidRDefault="00672FC0" w:rsidP="00154588">
      <w:pPr>
        <w:jc w:val="both"/>
        <w:rPr>
          <w:rFonts w:ascii="Times New Roman" w:eastAsia="Book Antiqua" w:hAnsi="Times New Roman" w:cs="Book Antiqua"/>
          <w:noProof/>
          <w:sz w:val="24"/>
          <w:szCs w:val="18"/>
        </w:rPr>
      </w:pPr>
    </w:p>
    <w:p w14:paraId="0E57CAEA" w14:textId="77777777" w:rsidR="00672FC0" w:rsidRPr="00154588" w:rsidRDefault="00672FC0" w:rsidP="00154588">
      <w:pPr>
        <w:pStyle w:val="Heading3"/>
        <w:ind w:left="0"/>
        <w:jc w:val="both"/>
        <w:rPr>
          <w:rFonts w:ascii="Times New Roman" w:hAnsi="Times New Roman"/>
          <w:noProof/>
          <w:sz w:val="24"/>
        </w:rPr>
      </w:pPr>
      <w:bookmarkStart w:id="176" w:name="_Toc46997614"/>
      <w:bookmarkStart w:id="177" w:name="_Toc47003140"/>
      <w:r>
        <w:rPr>
          <w:rFonts w:ascii="Times New Roman" w:hAnsi="Times New Roman"/>
          <w:sz w:val="24"/>
        </w:rPr>
        <w:t>Ārstēšana</w:t>
      </w:r>
      <w:bookmarkEnd w:id="176"/>
      <w:bookmarkEnd w:id="177"/>
    </w:p>
    <w:p w14:paraId="5910279B" w14:textId="77777777" w:rsidR="00672FC0" w:rsidRPr="00154588" w:rsidRDefault="00672FC0" w:rsidP="00154588">
      <w:pPr>
        <w:jc w:val="both"/>
        <w:rPr>
          <w:rFonts w:ascii="Times New Roman" w:hAnsi="Times New Roman"/>
          <w:i/>
          <w:noProof/>
          <w:sz w:val="24"/>
        </w:rPr>
      </w:pPr>
      <w:r>
        <w:rPr>
          <w:rFonts w:ascii="Times New Roman" w:hAnsi="Times New Roman"/>
          <w:i/>
          <w:sz w:val="24"/>
        </w:rPr>
        <w:t>Piena sivēni</w:t>
      </w:r>
    </w:p>
    <w:p w14:paraId="48908498" w14:textId="77FBD024" w:rsidR="00672FC0" w:rsidRDefault="00672FC0" w:rsidP="00154588">
      <w:pPr>
        <w:pStyle w:val="BodyText"/>
        <w:spacing w:before="0"/>
        <w:ind w:left="0"/>
        <w:jc w:val="both"/>
        <w:rPr>
          <w:rFonts w:ascii="Times New Roman" w:hAnsi="Times New Roman"/>
          <w:noProof/>
          <w:sz w:val="24"/>
        </w:rPr>
      </w:pPr>
      <w:r>
        <w:rPr>
          <w:rFonts w:ascii="Times New Roman" w:hAnsi="Times New Roman"/>
          <w:b/>
          <w:bCs/>
          <w:i/>
          <w:iCs/>
          <w:sz w:val="24"/>
        </w:rPr>
        <w:t>Streptococcus dysgalactiae</w:t>
      </w:r>
      <w:r>
        <w:rPr>
          <w:rFonts w:ascii="Times New Roman" w:hAnsi="Times New Roman"/>
          <w:sz w:val="24"/>
        </w:rPr>
        <w:t xml:space="preserve"> apakšsuga </w:t>
      </w:r>
      <w:r>
        <w:rPr>
          <w:rFonts w:ascii="Times New Roman" w:hAnsi="Times New Roman"/>
          <w:i/>
          <w:iCs/>
          <w:sz w:val="24"/>
        </w:rPr>
        <w:t>equisimilis</w:t>
      </w:r>
      <w:r>
        <w:rPr>
          <w:rFonts w:ascii="Times New Roman" w:hAnsi="Times New Roman"/>
          <w:sz w:val="24"/>
        </w:rPr>
        <w:t xml:space="preserve"> ir visizplatītākais patogēns, ko Zviedrijā izolē septiskā artrīta gadījumos. Tāpēc izvēles zāles ir prokaīna benzilpenicilīns. Ja no artrīta/klibuma ārstē vairāk nekā 10 % sivēnu, ir jāveic ganāmpulka veselības pārbaude. </w:t>
      </w:r>
      <w:r>
        <w:rPr>
          <w:rFonts w:ascii="Times New Roman" w:hAnsi="Times New Roman"/>
          <w:i/>
          <w:iCs/>
          <w:sz w:val="24"/>
        </w:rPr>
        <w:t>Staphylococcus hyicus</w:t>
      </w:r>
      <w:r>
        <w:rPr>
          <w:rFonts w:ascii="Times New Roman" w:hAnsi="Times New Roman"/>
          <w:sz w:val="24"/>
        </w:rPr>
        <w:t xml:space="preserve"> arī var izraisīt artrītu, un tā celmi bieži izdala beta-laktamāzi. Prokaīna benzilpenicilīna alternatīva ir </w:t>
      </w:r>
      <w:r>
        <w:rPr>
          <w:rFonts w:ascii="Times New Roman" w:hAnsi="Times New Roman"/>
          <w:b/>
          <w:bCs/>
          <w:i/>
          <w:iCs/>
          <w:sz w:val="24"/>
        </w:rPr>
        <w:t>T/S</w:t>
      </w:r>
      <w:r>
        <w:rPr>
          <w:rFonts w:ascii="Times New Roman" w:hAnsi="Times New Roman"/>
          <w:sz w:val="24"/>
        </w:rPr>
        <w:t>, kas parasti ir iedarbīgs pret</w:t>
      </w:r>
      <w:r>
        <w:rPr>
          <w:rFonts w:ascii="Times New Roman" w:hAnsi="Times New Roman"/>
          <w:i/>
          <w:iCs/>
          <w:sz w:val="24"/>
        </w:rPr>
        <w:t xml:space="preserve"> E. coli</w:t>
      </w:r>
      <w:r>
        <w:rPr>
          <w:rFonts w:ascii="Times New Roman" w:hAnsi="Times New Roman"/>
          <w:sz w:val="24"/>
        </w:rPr>
        <w:t xml:space="preserve"> izraisītu artrītu. T/S lietošana jāpamato ar jutīguma testu. </w:t>
      </w:r>
      <w:r>
        <w:rPr>
          <w:rFonts w:ascii="Times New Roman" w:hAnsi="Times New Roman"/>
          <w:b/>
          <w:bCs/>
          <w:i/>
          <w:iCs/>
          <w:sz w:val="24"/>
        </w:rPr>
        <w:t>Streptococcus suis</w:t>
      </w:r>
      <w:r>
        <w:rPr>
          <w:rFonts w:ascii="Times New Roman" w:hAnsi="Times New Roman"/>
          <w:sz w:val="24"/>
        </w:rPr>
        <w:t xml:space="preserve">, kas var izraisīt arī meningītu un smagu artrītu, ir atrasts Zviedrijā lielākos daudzumos, nekā to varētu paredzēt. </w:t>
      </w:r>
      <w:r>
        <w:rPr>
          <w:rFonts w:ascii="Times New Roman" w:hAnsi="Times New Roman"/>
          <w:i/>
          <w:iCs/>
          <w:sz w:val="24"/>
        </w:rPr>
        <w:t>Sr. suis</w:t>
      </w:r>
      <w:r>
        <w:rPr>
          <w:rFonts w:ascii="Times New Roman" w:hAnsi="Times New Roman"/>
          <w:sz w:val="24"/>
        </w:rPr>
        <w:t xml:space="preserve"> ir jutīgs pret penicilīnu.</w:t>
      </w:r>
    </w:p>
    <w:p w14:paraId="126CDC8F" w14:textId="77777777" w:rsidR="00C2581B" w:rsidRPr="00154588" w:rsidRDefault="00C2581B" w:rsidP="00154588">
      <w:pPr>
        <w:pStyle w:val="BodyText"/>
        <w:spacing w:before="0"/>
        <w:ind w:left="0"/>
        <w:jc w:val="both"/>
        <w:rPr>
          <w:rFonts w:ascii="Times New Roman" w:hAnsi="Times New Roman"/>
          <w:noProof/>
          <w:sz w:val="24"/>
        </w:rPr>
      </w:pPr>
    </w:p>
    <w:p w14:paraId="6B3B8F10" w14:textId="77777777" w:rsidR="00672FC0" w:rsidRPr="00154588" w:rsidRDefault="00672FC0" w:rsidP="00154588">
      <w:pPr>
        <w:jc w:val="both"/>
        <w:rPr>
          <w:rFonts w:ascii="Times New Roman" w:hAnsi="Times New Roman"/>
          <w:i/>
          <w:noProof/>
          <w:sz w:val="24"/>
        </w:rPr>
      </w:pPr>
      <w:r>
        <w:rPr>
          <w:rFonts w:ascii="Times New Roman" w:hAnsi="Times New Roman"/>
          <w:i/>
          <w:sz w:val="24"/>
        </w:rPr>
        <w:t>Nobarojamas cūkas</w:t>
      </w:r>
    </w:p>
    <w:p w14:paraId="66EC3C77"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Izvēlētās zāles, ārstējot nobarojamas cūkas ar artrītu, ir prokaīna benzilpenicilīns. Ja prokaīna benzilpenicilīns neiedarbojas, izraisītājs var būt beta-laktamāzi izdalošie stafilokoki, un šajā gadījumā alternatīva ir T/S. Ja kā cēlonis identificēta </w:t>
      </w:r>
      <w:r>
        <w:rPr>
          <w:rFonts w:ascii="Times New Roman" w:hAnsi="Times New Roman"/>
          <w:b/>
          <w:bCs/>
          <w:i/>
          <w:iCs/>
          <w:sz w:val="24"/>
        </w:rPr>
        <w:t xml:space="preserve">Mycoplasma hyosynoviae, </w:t>
      </w:r>
      <w:r>
        <w:rPr>
          <w:rFonts w:ascii="Times New Roman" w:hAnsi="Times New Roman"/>
          <w:sz w:val="24"/>
        </w:rPr>
        <w:t>indicētās zāles ir TET.</w:t>
      </w:r>
    </w:p>
    <w:p w14:paraId="3309AF86" w14:textId="77777777" w:rsidR="00154588" w:rsidRPr="00154588" w:rsidRDefault="00154588" w:rsidP="00154588">
      <w:pPr>
        <w:jc w:val="both"/>
        <w:rPr>
          <w:rFonts w:ascii="Times New Roman" w:hAnsi="Times New Roman"/>
          <w:noProof/>
          <w:sz w:val="24"/>
        </w:rPr>
      </w:pPr>
    </w:p>
    <w:p w14:paraId="02548C6B" w14:textId="006DAA5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Par ganāmpulka veselību atbildīgajam veterinārārstam un lauksaimniekam/īpašniekam vienmēr jābūt gataviem pamatot ārstniecisko izvēli ar autopsijas datiem un paraugiem no slimajām cūkām, tostarp jutīguma testu rezultātiem, lai nonāktu pie etioloģiskās diagnozes.</w:t>
      </w:r>
    </w:p>
    <w:p w14:paraId="009B8F36" w14:textId="77777777" w:rsidR="00672FC0" w:rsidRPr="00154588" w:rsidRDefault="00672FC0" w:rsidP="00154588">
      <w:pPr>
        <w:jc w:val="both"/>
        <w:rPr>
          <w:rFonts w:ascii="Times New Roman" w:eastAsia="Book Antiqua" w:hAnsi="Times New Roman" w:cs="Book Antiqua"/>
          <w:noProof/>
          <w:sz w:val="24"/>
          <w:szCs w:val="18"/>
        </w:rPr>
      </w:pPr>
    </w:p>
    <w:p w14:paraId="6AD1AFC8" w14:textId="77777777" w:rsidR="00672FC0" w:rsidRPr="00154588" w:rsidRDefault="00672FC0" w:rsidP="00154588">
      <w:pPr>
        <w:pStyle w:val="Heading3"/>
        <w:ind w:left="0"/>
        <w:jc w:val="both"/>
        <w:rPr>
          <w:rFonts w:ascii="Times New Roman" w:hAnsi="Times New Roman"/>
          <w:noProof/>
          <w:sz w:val="24"/>
        </w:rPr>
      </w:pPr>
      <w:bookmarkStart w:id="178" w:name="_Toc46997615"/>
      <w:bookmarkStart w:id="179" w:name="_Toc47003141"/>
      <w:r>
        <w:rPr>
          <w:rFonts w:ascii="Times New Roman" w:hAnsi="Times New Roman"/>
          <w:sz w:val="24"/>
        </w:rPr>
        <w:t>Profilakse</w:t>
      </w:r>
      <w:bookmarkEnd w:id="178"/>
      <w:bookmarkEnd w:id="179"/>
    </w:p>
    <w:p w14:paraId="09518018" w14:textId="06EF36E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Visu veidu čūlas, plēstas brūces, ādas un gļotādas traumatiski bojājumi palielina infekciju risku, kas var izraisīt artrītu. Plēstas brūces uz purna un nobrāzumi uz karpālajām locītavām sivēniem, kas cīnās par piekļuvi pupiem, var izraisīt artrītu un klibumu. Gan sivēnu, gan sivēnmāšu slimību profilaksei ir nepieciešama laba sivēnmātes aprūpe un pietiekams pakaišu daudzums, kā arī labas kvalitātes grīdas segums.</w:t>
      </w:r>
    </w:p>
    <w:p w14:paraId="5677FAD6" w14:textId="221A8C68" w:rsidR="00672FC0" w:rsidRDefault="00672FC0" w:rsidP="00154588">
      <w:pPr>
        <w:jc w:val="both"/>
        <w:rPr>
          <w:rFonts w:ascii="Times New Roman" w:eastAsia="Book Antiqua" w:hAnsi="Times New Roman" w:cs="Book Antiqua"/>
          <w:noProof/>
          <w:sz w:val="24"/>
          <w:szCs w:val="20"/>
        </w:rPr>
      </w:pPr>
    </w:p>
    <w:p w14:paraId="6F89485C" w14:textId="77777777" w:rsidR="00C2581B" w:rsidRPr="00154588" w:rsidRDefault="00C2581B" w:rsidP="00154588">
      <w:pPr>
        <w:jc w:val="both"/>
        <w:rPr>
          <w:rFonts w:ascii="Times New Roman" w:eastAsia="Book Antiqua" w:hAnsi="Times New Roman" w:cs="Book Antiqua"/>
          <w:noProof/>
          <w:sz w:val="24"/>
          <w:szCs w:val="25"/>
        </w:rPr>
      </w:pPr>
    </w:p>
    <w:p w14:paraId="53DECED0" w14:textId="77777777" w:rsidR="00672FC0" w:rsidRPr="00FF4115" w:rsidRDefault="00672FC0" w:rsidP="00FF4115">
      <w:pPr>
        <w:pStyle w:val="Heading1"/>
        <w:rPr>
          <w:sz w:val="28"/>
          <w:szCs w:val="32"/>
        </w:rPr>
      </w:pPr>
      <w:bookmarkStart w:id="180" w:name="_TOC_250020"/>
      <w:bookmarkStart w:id="181" w:name="_Toc46997616"/>
      <w:bookmarkStart w:id="182" w:name="_Toc47003142"/>
      <w:r w:rsidRPr="00FF4115">
        <w:rPr>
          <w:sz w:val="28"/>
          <w:szCs w:val="32"/>
        </w:rPr>
        <w:t>Stratēģijas dzīvnieku grupas terapijai</w:t>
      </w:r>
      <w:bookmarkEnd w:id="180"/>
      <w:bookmarkEnd w:id="181"/>
      <w:bookmarkEnd w:id="182"/>
    </w:p>
    <w:p w14:paraId="7536FFC6" w14:textId="77777777" w:rsidR="00FF4115" w:rsidRDefault="00FF4115" w:rsidP="00154588">
      <w:pPr>
        <w:pStyle w:val="BodyText"/>
        <w:spacing w:before="0"/>
        <w:ind w:left="0"/>
        <w:jc w:val="both"/>
        <w:rPr>
          <w:rFonts w:ascii="Times New Roman" w:hAnsi="Times New Roman"/>
          <w:sz w:val="24"/>
        </w:rPr>
      </w:pPr>
    </w:p>
    <w:p w14:paraId="25B0F10F" w14:textId="1AF74E1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Ganāmpulkiem, kuros ir smagi un plaši izplatīti bakteriālo infekciju izraisīti slimību uzliesmojumi, var būt indicēta grupas terapija. Grupas terapiju nekad nedrīkst īstenot regulāri vai izmantot profilakses pasākumu aizstāšanai. Pirms uzsāk dzīvnieku grupas terapiju, vienmēr jānosaka etioloģiskā diagnoze, tostarp veicot autopsijas un bakteriālos uzsējumus ar jutīguma testiem. Anti</w:t>
      </w:r>
      <w:r w:rsidR="006C2238">
        <w:rPr>
          <w:rFonts w:ascii="Times New Roman" w:hAnsi="Times New Roman"/>
          <w:sz w:val="24"/>
        </w:rPr>
        <w:t>mikrobiālo</w:t>
      </w:r>
      <w:r>
        <w:rPr>
          <w:rFonts w:ascii="Times New Roman" w:hAnsi="Times New Roman"/>
          <w:sz w:val="24"/>
        </w:rPr>
        <w:t xml:space="preserve"> līdzekli var ievadīt caur barošanas vai ūdens apgādes sistēmu. Nav sagaidāms, ka dzīvnieki ar nomāktu vispārējo stāvokli apēdīs un izdzers parastos daudzumus, tāpēc tie jāārstē individuāli un sistēmiski.</w:t>
      </w:r>
    </w:p>
    <w:p w14:paraId="101C8AB8" w14:textId="77777777" w:rsidR="00672FC0" w:rsidRPr="00154588" w:rsidRDefault="00672FC0" w:rsidP="00154588">
      <w:pPr>
        <w:jc w:val="both"/>
        <w:rPr>
          <w:rFonts w:ascii="Times New Roman" w:eastAsia="Book Antiqua" w:hAnsi="Times New Roman" w:cs="Book Antiqua"/>
          <w:noProof/>
          <w:sz w:val="24"/>
          <w:szCs w:val="18"/>
        </w:rPr>
      </w:pPr>
    </w:p>
    <w:p w14:paraId="32026626" w14:textId="77777777" w:rsidR="00672FC0" w:rsidRPr="00154588" w:rsidRDefault="00672FC0" w:rsidP="00154588">
      <w:pPr>
        <w:pStyle w:val="Heading3"/>
        <w:ind w:left="0"/>
        <w:jc w:val="both"/>
        <w:rPr>
          <w:rFonts w:ascii="Times New Roman" w:hAnsi="Times New Roman"/>
          <w:noProof/>
          <w:sz w:val="24"/>
        </w:rPr>
      </w:pPr>
      <w:bookmarkStart w:id="183" w:name="_Toc46997617"/>
      <w:bookmarkStart w:id="184" w:name="_Toc47003143"/>
      <w:r>
        <w:rPr>
          <w:rFonts w:ascii="Times New Roman" w:hAnsi="Times New Roman"/>
          <w:sz w:val="24"/>
        </w:rPr>
        <w:t>Kuņģa un zarnu trakta infekcija</w:t>
      </w:r>
      <w:bookmarkEnd w:id="183"/>
      <w:bookmarkEnd w:id="184"/>
    </w:p>
    <w:p w14:paraId="51F1006D" w14:textId="3F899CB1"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Kuņģa un zarnu trakta traucējumi atšķiršanas laikā nav retums un ir diezgan izplatīta indikācija cūku grupas terapijai. Pirms šādu ārstēšanu uzsāk, jāveic rūpīga ganāmpulka veselības izpēte, lai sāktu pareizu profilaksi.</w:t>
      </w:r>
    </w:p>
    <w:p w14:paraId="1D4D164C" w14:textId="77777777" w:rsidR="00C2581B" w:rsidRPr="00154588" w:rsidRDefault="00C2581B" w:rsidP="00154588">
      <w:pPr>
        <w:pStyle w:val="BodyText"/>
        <w:spacing w:before="0"/>
        <w:ind w:left="0"/>
        <w:jc w:val="both"/>
        <w:rPr>
          <w:rFonts w:ascii="Times New Roman" w:hAnsi="Times New Roman"/>
          <w:noProof/>
          <w:sz w:val="24"/>
        </w:rPr>
      </w:pPr>
    </w:p>
    <w:p w14:paraId="25AA3F53"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Ja pēcatšķiršanas diareja, neraugoties uz profilaktiskajiem pasākumiem, vairākkārt atkārtojas, barībai var piejaukt cinka oksīdu (ZnO) jau atšķiršanas posma sākumā. ZnO saturošu barību 2500 ppm koncentrācijā var izbarot cūkām ne ilgāk kā 14 dienas. Ilgāka izbarošana var izraisīt intoksikāciju.</w:t>
      </w:r>
    </w:p>
    <w:p w14:paraId="0F4C11F2" w14:textId="77777777" w:rsidR="00672FC0" w:rsidRPr="00154588" w:rsidRDefault="00672FC0" w:rsidP="00154588">
      <w:pPr>
        <w:jc w:val="both"/>
        <w:rPr>
          <w:rFonts w:ascii="Times New Roman" w:eastAsia="Book Antiqua" w:hAnsi="Times New Roman" w:cs="Book Antiqua"/>
          <w:noProof/>
          <w:sz w:val="24"/>
          <w:szCs w:val="18"/>
        </w:rPr>
      </w:pPr>
    </w:p>
    <w:p w14:paraId="74592CA1" w14:textId="77777777" w:rsidR="00672FC0" w:rsidRPr="00154588" w:rsidRDefault="00672FC0" w:rsidP="00154588">
      <w:pPr>
        <w:pStyle w:val="Heading3"/>
        <w:ind w:left="0"/>
        <w:jc w:val="both"/>
        <w:rPr>
          <w:rFonts w:ascii="Times New Roman" w:hAnsi="Times New Roman"/>
          <w:noProof/>
          <w:sz w:val="24"/>
        </w:rPr>
      </w:pPr>
      <w:bookmarkStart w:id="185" w:name="_Toc46997618"/>
      <w:bookmarkStart w:id="186" w:name="_Toc47003144"/>
      <w:r>
        <w:rPr>
          <w:rFonts w:ascii="Times New Roman" w:hAnsi="Times New Roman"/>
          <w:sz w:val="24"/>
        </w:rPr>
        <w:t>Elpceļu infekcijas</w:t>
      </w:r>
      <w:bookmarkEnd w:id="185"/>
      <w:bookmarkEnd w:id="186"/>
    </w:p>
    <w:p w14:paraId="1C1213C7" w14:textId="62DC44F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Ganāmpulkiem, kuros ir smagi un plaši izplatīti elpceļu slimību uzliesmojumi, pēc profilaktisko pasākumu izmēģināšanas var apsvērt iespēju veikt grupas terapiju, ja ir zināms etioloģiskais izraisītājs. Izvēles zāles </w:t>
      </w:r>
      <w:r>
        <w:rPr>
          <w:rFonts w:ascii="Times New Roman" w:hAnsi="Times New Roman"/>
          <w:i/>
          <w:iCs/>
          <w:sz w:val="24"/>
        </w:rPr>
        <w:t>M. hyopneumoniae</w:t>
      </w:r>
      <w:r>
        <w:rPr>
          <w:rFonts w:ascii="Times New Roman" w:hAnsi="Times New Roman"/>
          <w:sz w:val="24"/>
        </w:rPr>
        <w:t xml:space="preserve"> un </w:t>
      </w:r>
      <w:r>
        <w:rPr>
          <w:rFonts w:ascii="Times New Roman" w:hAnsi="Times New Roman"/>
          <w:i/>
          <w:iCs/>
          <w:sz w:val="24"/>
        </w:rPr>
        <w:t>A. pleuropneumoniae</w:t>
      </w:r>
      <w:r>
        <w:rPr>
          <w:rFonts w:ascii="Times New Roman" w:hAnsi="Times New Roman"/>
          <w:sz w:val="24"/>
        </w:rPr>
        <w:t xml:space="preserve"> gadījumos ir </w:t>
      </w:r>
      <w:r>
        <w:rPr>
          <w:rFonts w:ascii="Times New Roman" w:hAnsi="Times New Roman"/>
          <w:b/>
          <w:bCs/>
          <w:i/>
          <w:iCs/>
          <w:sz w:val="24"/>
        </w:rPr>
        <w:t>tetraciklīns</w:t>
      </w:r>
      <w:r>
        <w:rPr>
          <w:rFonts w:ascii="Times New Roman" w:hAnsi="Times New Roman"/>
          <w:sz w:val="24"/>
        </w:rPr>
        <w:t>. Pamatojoties uz jutīguma testu, var būt indicēti alternatīvi anti</w:t>
      </w:r>
      <w:r w:rsidR="006C2238">
        <w:rPr>
          <w:rFonts w:ascii="Times New Roman" w:hAnsi="Times New Roman"/>
          <w:sz w:val="24"/>
        </w:rPr>
        <w:t>mikrobiālie</w:t>
      </w:r>
      <w:r>
        <w:rPr>
          <w:rFonts w:ascii="Times New Roman" w:hAnsi="Times New Roman"/>
          <w:sz w:val="24"/>
        </w:rPr>
        <w:t xml:space="preserve"> līdzekļi.</w:t>
      </w:r>
    </w:p>
    <w:p w14:paraId="159F71A3" w14:textId="78E44328" w:rsidR="00CB3F38" w:rsidRDefault="00CB3F38">
      <w:pPr>
        <w:rPr>
          <w:rFonts w:ascii="Times New Roman" w:hAnsi="Times New Roman"/>
          <w:noProof/>
          <w:sz w:val="24"/>
        </w:rPr>
      </w:pPr>
      <w:r>
        <w:rPr>
          <w:rFonts w:ascii="Times New Roman" w:hAnsi="Times New Roman"/>
          <w:noProof/>
          <w:sz w:val="24"/>
        </w:rPr>
        <w:br w:type="page"/>
      </w:r>
    </w:p>
    <w:p w14:paraId="67F15F8C" w14:textId="77777777" w:rsidR="00154588" w:rsidRPr="00154588" w:rsidRDefault="00154588" w:rsidP="0015458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2581B" w14:paraId="5A5B695D" w14:textId="77777777" w:rsidTr="00C2581B">
        <w:tc>
          <w:tcPr>
            <w:tcW w:w="9288" w:type="dxa"/>
          </w:tcPr>
          <w:p w14:paraId="2E7F07CF" w14:textId="72D373DE" w:rsidR="00C2581B" w:rsidRDefault="00C2581B" w:rsidP="00FF4115">
            <w:pPr>
              <w:pStyle w:val="Heading1"/>
              <w:jc w:val="center"/>
              <w:rPr>
                <w:noProof/>
              </w:rPr>
            </w:pPr>
            <w:bookmarkStart w:id="187" w:name="_Toc47003145"/>
            <w:r w:rsidRPr="00FF4115">
              <w:rPr>
                <w:sz w:val="28"/>
                <w:szCs w:val="32"/>
              </w:rPr>
              <w:t>Aitu slimības</w:t>
            </w:r>
            <w:bookmarkEnd w:id="187"/>
          </w:p>
        </w:tc>
      </w:tr>
    </w:tbl>
    <w:p w14:paraId="468A9508" w14:textId="77777777" w:rsidR="00672FC0" w:rsidRPr="00154588" w:rsidRDefault="00672FC0" w:rsidP="00154588">
      <w:pPr>
        <w:jc w:val="both"/>
        <w:rPr>
          <w:rFonts w:ascii="Times New Roman" w:eastAsia="Book Antiqua" w:hAnsi="Times New Roman" w:cs="Book Antiqua"/>
          <w:noProof/>
          <w:sz w:val="24"/>
          <w:szCs w:val="14"/>
        </w:rPr>
      </w:pPr>
    </w:p>
    <w:p w14:paraId="51737749" w14:textId="77777777" w:rsidR="00C2581B" w:rsidRDefault="00672FC0" w:rsidP="00154588">
      <w:pPr>
        <w:jc w:val="both"/>
        <w:rPr>
          <w:rFonts w:ascii="Times New Roman" w:hAnsi="Times New Roman"/>
          <w:i/>
          <w:noProof/>
          <w:sz w:val="24"/>
        </w:rPr>
      </w:pPr>
      <w:r>
        <w:rPr>
          <w:rFonts w:ascii="Times New Roman" w:hAnsi="Times New Roman"/>
          <w:i/>
          <w:sz w:val="24"/>
        </w:rPr>
        <w:t>Katarīna Gustafsone [Katarina Gustafsson], veterinārās medicīnas zinātņu doktore, Dr. phil.</w:t>
      </w:r>
    </w:p>
    <w:p w14:paraId="4D843AEF" w14:textId="30EEBA72" w:rsidR="00672FC0" w:rsidRPr="00154588" w:rsidRDefault="00672FC0" w:rsidP="00154588">
      <w:pPr>
        <w:jc w:val="both"/>
        <w:rPr>
          <w:rFonts w:ascii="Times New Roman" w:hAnsi="Times New Roman"/>
          <w:i/>
          <w:noProof/>
          <w:sz w:val="24"/>
        </w:rPr>
      </w:pPr>
      <w:r>
        <w:rPr>
          <w:rFonts w:ascii="Times New Roman" w:hAnsi="Times New Roman"/>
          <w:i/>
          <w:sz w:val="24"/>
        </w:rPr>
        <w:t>Ulrika Kēniga [Ulrika König], veterinārās medicīnas zinātņu doktore</w:t>
      </w:r>
    </w:p>
    <w:p w14:paraId="64D5B34C" w14:textId="77777777" w:rsidR="00672FC0" w:rsidRPr="00154588" w:rsidRDefault="00672FC0" w:rsidP="00154588">
      <w:pPr>
        <w:jc w:val="both"/>
        <w:rPr>
          <w:rFonts w:ascii="Times New Roman" w:hAnsi="Times New Roman"/>
          <w:i/>
          <w:noProof/>
          <w:sz w:val="24"/>
        </w:rPr>
      </w:pPr>
      <w:r>
        <w:rPr>
          <w:rFonts w:ascii="Times New Roman" w:hAnsi="Times New Roman"/>
          <w:i/>
          <w:sz w:val="24"/>
        </w:rPr>
        <w:t>Kārina Lindkvista Friska [Karin Lindqvist-Frisk], veterinārās medicīnas zinātņu doktore</w:t>
      </w:r>
    </w:p>
    <w:p w14:paraId="754C4798" w14:textId="77777777" w:rsidR="00672FC0" w:rsidRPr="00154588" w:rsidRDefault="00672FC0" w:rsidP="00154588">
      <w:pPr>
        <w:jc w:val="both"/>
        <w:rPr>
          <w:rFonts w:ascii="Times New Roman" w:eastAsia="Book Antiqua" w:hAnsi="Times New Roman" w:cs="Book Antiqua"/>
          <w:i/>
          <w:noProof/>
          <w:sz w:val="24"/>
          <w:szCs w:val="27"/>
        </w:rPr>
      </w:pPr>
    </w:p>
    <w:p w14:paraId="0A637C05" w14:textId="77777777" w:rsidR="00672FC0" w:rsidRPr="00FF4115" w:rsidRDefault="00672FC0" w:rsidP="00FF4115">
      <w:pPr>
        <w:pStyle w:val="Heading1"/>
        <w:rPr>
          <w:b/>
          <w:bCs/>
          <w:noProof/>
          <w:sz w:val="28"/>
          <w:szCs w:val="32"/>
        </w:rPr>
      </w:pPr>
      <w:bookmarkStart w:id="188" w:name="_TOC_250019"/>
      <w:bookmarkStart w:id="189" w:name="_Toc47003146"/>
      <w:r w:rsidRPr="00FF4115">
        <w:rPr>
          <w:b/>
          <w:bCs/>
          <w:sz w:val="28"/>
          <w:szCs w:val="32"/>
        </w:rPr>
        <w:t>Mastīts</w:t>
      </w:r>
      <w:bookmarkEnd w:id="188"/>
      <w:bookmarkEnd w:id="189"/>
    </w:p>
    <w:p w14:paraId="7B577435" w14:textId="77777777" w:rsidR="00FF4115" w:rsidRDefault="00FF4115" w:rsidP="00154588">
      <w:pPr>
        <w:pStyle w:val="BodyText"/>
        <w:spacing w:before="0"/>
        <w:ind w:left="0"/>
        <w:jc w:val="both"/>
        <w:rPr>
          <w:rFonts w:ascii="Times New Roman" w:hAnsi="Times New Roman"/>
          <w:sz w:val="24"/>
        </w:rPr>
      </w:pPr>
    </w:p>
    <w:p w14:paraId="25999194" w14:textId="2C6A0BE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Mastīts ir izplatīta un nozīmīga slimība Zviedrijas gaļas un/vai piena aitu ganāmpulkos. Visbiežāk sastopamā baktērija ir </w:t>
      </w:r>
      <w:r>
        <w:rPr>
          <w:rFonts w:ascii="Times New Roman" w:hAnsi="Times New Roman"/>
          <w:i/>
          <w:iCs/>
          <w:sz w:val="24"/>
        </w:rPr>
        <w:t>Staphylococcus (S.) aureus</w:t>
      </w:r>
      <w:r>
        <w:rPr>
          <w:rFonts w:ascii="Times New Roman" w:hAnsi="Times New Roman"/>
          <w:sz w:val="24"/>
        </w:rPr>
        <w:t>.</w:t>
      </w:r>
    </w:p>
    <w:p w14:paraId="0F72925E" w14:textId="77777777" w:rsidR="00672FC0" w:rsidRPr="00154588" w:rsidRDefault="00672FC0" w:rsidP="00154588">
      <w:pPr>
        <w:jc w:val="both"/>
        <w:rPr>
          <w:rFonts w:ascii="Times New Roman" w:eastAsia="Book Antiqua" w:hAnsi="Times New Roman" w:cs="Book Antiqua"/>
          <w:noProof/>
          <w:sz w:val="24"/>
          <w:szCs w:val="18"/>
        </w:rPr>
      </w:pPr>
    </w:p>
    <w:p w14:paraId="3965CB15" w14:textId="77777777" w:rsidR="00672FC0" w:rsidRPr="00154588" w:rsidRDefault="00672FC0" w:rsidP="00154588">
      <w:pPr>
        <w:pStyle w:val="Heading3"/>
        <w:ind w:left="0"/>
        <w:jc w:val="both"/>
        <w:rPr>
          <w:rFonts w:ascii="Times New Roman" w:hAnsi="Times New Roman"/>
          <w:noProof/>
          <w:sz w:val="24"/>
        </w:rPr>
      </w:pPr>
      <w:bookmarkStart w:id="190" w:name="_Toc46997619"/>
      <w:bookmarkStart w:id="191" w:name="_Toc47003147"/>
      <w:r>
        <w:rPr>
          <w:rFonts w:ascii="Times New Roman" w:hAnsi="Times New Roman"/>
          <w:sz w:val="24"/>
        </w:rPr>
        <w:t>Diagnozes noteikšana</w:t>
      </w:r>
      <w:bookmarkEnd w:id="190"/>
      <w:bookmarkEnd w:id="191"/>
    </w:p>
    <w:p w14:paraId="112CC18B" w14:textId="615FBD4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Klīniskie simptomi ir, piemēram, drudzis, anoreksija, recekļi pienā, pietūcis tesmenis un sāpes, kas reproduktīva vecuma aitai bieži parādās kā klibums. Neatkarīgi no mastīta veida jāņem paraugi bakteriālajiem uzsējumiem. Subklīniskos gadījumus var noteikt, izmantojot Kalifornijas mastīta testu (</w:t>
      </w:r>
      <w:r>
        <w:rPr>
          <w:rFonts w:ascii="Times New Roman" w:hAnsi="Times New Roman"/>
          <w:i/>
          <w:iCs/>
          <w:sz w:val="24"/>
        </w:rPr>
        <w:t>CMT</w:t>
      </w:r>
      <w:r>
        <w:rPr>
          <w:rFonts w:ascii="Times New Roman" w:hAnsi="Times New Roman"/>
          <w:sz w:val="24"/>
        </w:rPr>
        <w:t xml:space="preserve">). Bakteriālajiem uzsējumiem ņem piena paraugus no tesmeņa pusēm ar </w:t>
      </w:r>
      <w:r>
        <w:rPr>
          <w:rFonts w:ascii="Times New Roman" w:hAnsi="Times New Roman"/>
          <w:i/>
          <w:iCs/>
          <w:sz w:val="24"/>
        </w:rPr>
        <w:t>CMT</w:t>
      </w:r>
      <w:r>
        <w:rPr>
          <w:rFonts w:ascii="Times New Roman" w:hAnsi="Times New Roman"/>
          <w:sz w:val="24"/>
        </w:rPr>
        <w:t xml:space="preserve"> reakciju &gt;2. Piena paraugu, ievietotu piemērotā vidē, nosūta uz akreditētu laboratoriju (laboratoriju).</w:t>
      </w:r>
    </w:p>
    <w:p w14:paraId="7D09ADF6" w14:textId="77777777" w:rsidR="00672FC0" w:rsidRPr="00154588" w:rsidRDefault="00672FC0" w:rsidP="00154588">
      <w:pPr>
        <w:jc w:val="both"/>
        <w:rPr>
          <w:rFonts w:ascii="Times New Roman" w:eastAsia="Book Antiqua" w:hAnsi="Times New Roman" w:cs="Book Antiqua"/>
          <w:noProof/>
          <w:sz w:val="24"/>
          <w:szCs w:val="18"/>
        </w:rPr>
      </w:pPr>
    </w:p>
    <w:p w14:paraId="7763A69B" w14:textId="77777777" w:rsidR="00672FC0" w:rsidRPr="00154588" w:rsidRDefault="00672FC0" w:rsidP="00154588">
      <w:pPr>
        <w:pStyle w:val="Heading3"/>
        <w:ind w:left="0"/>
        <w:jc w:val="both"/>
        <w:rPr>
          <w:rFonts w:ascii="Times New Roman" w:hAnsi="Times New Roman"/>
          <w:noProof/>
          <w:sz w:val="24"/>
        </w:rPr>
      </w:pPr>
      <w:bookmarkStart w:id="192" w:name="_Toc46997620"/>
      <w:bookmarkStart w:id="193" w:name="_Toc47003148"/>
      <w:r>
        <w:rPr>
          <w:rFonts w:ascii="Times New Roman" w:hAnsi="Times New Roman"/>
          <w:sz w:val="24"/>
        </w:rPr>
        <w:t>Ārstēšana</w:t>
      </w:r>
      <w:bookmarkEnd w:id="192"/>
      <w:bookmarkEnd w:id="193"/>
    </w:p>
    <w:p w14:paraId="44FB8C68" w14:textId="68630CF0"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Akūtam klīniskajam mastītam bieži ir slikta prognoze, īpaši, ja ārstēšanu uzsāk ar kavēšanos. Ja aitai sākas gangrēna (“zilais maiss”), labturības apsvērumu dēļ dzīvnieks ir jāeitanazē. Ārstēšanas laikā aitu nošķir no citām, bet patur kopā ar tās jēriem, ja aitai ir laktācija. Ja aitu ārstē no </w:t>
      </w:r>
      <w:r>
        <w:rPr>
          <w:rFonts w:ascii="Times New Roman" w:hAnsi="Times New Roman"/>
          <w:i/>
          <w:iCs/>
          <w:sz w:val="24"/>
        </w:rPr>
        <w:t>S. aureus</w:t>
      </w:r>
      <w:r>
        <w:rPr>
          <w:rFonts w:ascii="Times New Roman" w:hAnsi="Times New Roman"/>
          <w:sz w:val="24"/>
        </w:rPr>
        <w:t xml:space="preserve"> izraisīta akūta klīniska mastīta vai pēc jēru atšķiršanas mastīts kļūst hronisks, tā jānokauj.</w:t>
      </w:r>
    </w:p>
    <w:p w14:paraId="07B217C4" w14:textId="77777777" w:rsidR="00C2581B" w:rsidRPr="00154588" w:rsidRDefault="00C2581B" w:rsidP="00154588">
      <w:pPr>
        <w:pStyle w:val="BodyText"/>
        <w:spacing w:before="0"/>
        <w:ind w:left="0"/>
        <w:jc w:val="both"/>
        <w:rPr>
          <w:rFonts w:ascii="Times New Roman" w:hAnsi="Times New Roman"/>
          <w:noProof/>
          <w:sz w:val="24"/>
        </w:rPr>
      </w:pPr>
    </w:p>
    <w:p w14:paraId="0228D4EB" w14:textId="3017B4C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ir prokaīna benzilpenicilīns 20 mg/kg devā intramuskulāri </w:t>
      </w:r>
      <w:r>
        <w:rPr>
          <w:rFonts w:ascii="Times New Roman" w:hAnsi="Times New Roman"/>
          <w:i/>
          <w:iCs/>
          <w:sz w:val="24"/>
        </w:rPr>
        <w:t>SID</w:t>
      </w:r>
      <w:r>
        <w:rPr>
          <w:rStyle w:val="FootnoteReference"/>
          <w:rFonts w:ascii="Times New Roman" w:hAnsi="Times New Roman"/>
          <w:noProof/>
          <w:sz w:val="24"/>
        </w:rPr>
        <w:footnoteReference w:customMarkFollows="1" w:id="2"/>
        <w:t>4</w:t>
      </w:r>
      <w:r>
        <w:rPr>
          <w:rFonts w:ascii="Times New Roman" w:hAnsi="Times New Roman"/>
          <w:i/>
          <w:iCs/>
          <w:sz w:val="24"/>
        </w:rPr>
        <w:t xml:space="preserve"> </w:t>
      </w:r>
      <w:r>
        <w:rPr>
          <w:rFonts w:ascii="Times New Roman" w:hAnsi="Times New Roman"/>
          <w:sz w:val="24"/>
        </w:rPr>
        <w:t xml:space="preserve">5 dienas. Mastītu, ko izraisa beta-laktamāzi izdalošie stafilokoki vai </w:t>
      </w:r>
      <w:r>
        <w:rPr>
          <w:rFonts w:ascii="Times New Roman" w:hAnsi="Times New Roman"/>
          <w:i/>
          <w:iCs/>
          <w:sz w:val="24"/>
        </w:rPr>
        <w:t>E. coli,</w:t>
      </w:r>
      <w:r>
        <w:rPr>
          <w:rFonts w:ascii="Times New Roman" w:hAnsi="Times New Roman"/>
          <w:sz w:val="24"/>
        </w:rPr>
        <w:t xml:space="preserve"> nevajadzētu ārstēt ar antibiotikām, tas pats attiecas uz hroniskiem gadījumiem. Tam ir vismaz divi iemesli: 1) reakcija uz ārstēšanu parasti ir vāja un 2) atbrīvojoties no aitas, kurai ir pret penicilīnu noturīgi </w:t>
      </w:r>
      <w:r>
        <w:rPr>
          <w:rFonts w:ascii="Times New Roman" w:hAnsi="Times New Roman"/>
          <w:i/>
          <w:iCs/>
          <w:sz w:val="24"/>
        </w:rPr>
        <w:t xml:space="preserve">S. aureus </w:t>
      </w:r>
      <w:r>
        <w:rPr>
          <w:rFonts w:ascii="Times New Roman" w:hAnsi="Times New Roman"/>
          <w:sz w:val="24"/>
        </w:rPr>
        <w:t>mikroorganismi</w:t>
      </w:r>
      <w:r>
        <w:rPr>
          <w:rFonts w:ascii="Times New Roman" w:hAnsi="Times New Roman"/>
          <w:i/>
          <w:iCs/>
          <w:sz w:val="24"/>
        </w:rPr>
        <w:t xml:space="preserve">, </w:t>
      </w:r>
      <w:r>
        <w:rPr>
          <w:rFonts w:ascii="Times New Roman" w:hAnsi="Times New Roman"/>
          <w:sz w:val="24"/>
        </w:rPr>
        <w:t>ganāmpulks atbrīvojas arī no šiem rezistences gēniem, samazinot mikroorganismu rezistences veidošanās risku ganāmpulkā/populācijā.</w:t>
      </w:r>
    </w:p>
    <w:p w14:paraId="20D73868" w14:textId="77777777" w:rsidR="00154588" w:rsidRPr="00154588" w:rsidRDefault="00154588" w:rsidP="00154588">
      <w:pPr>
        <w:jc w:val="both"/>
        <w:rPr>
          <w:rFonts w:ascii="Times New Roman" w:eastAsia="Calibri" w:hAnsi="Times New Roman" w:cs="Calibri"/>
          <w:noProof/>
          <w:sz w:val="24"/>
          <w:szCs w:val="16"/>
        </w:rPr>
      </w:pPr>
    </w:p>
    <w:p w14:paraId="65C2EE7D" w14:textId="3C171206"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Zviedrijā ir ierobežota pieredze aitu ārstēšanā no mastīta tikai ar intramammārajiem līdzekļiem. Ja aitām jāizmanto slaucamām govīm paredzētie intramammārie līdzekļi, devu pielāgo saskaņā ar kaskādes principu un izmanto šļirci ar šaurāku galu. Jērus nedrīkst pielaist pie mātes pupa 1–2 stundas pēc intramammār</w:t>
      </w:r>
      <w:r w:rsidR="006C2238">
        <w:rPr>
          <w:rFonts w:ascii="Times New Roman" w:hAnsi="Times New Roman"/>
          <w:sz w:val="24"/>
        </w:rPr>
        <w:t>ā injektora</w:t>
      </w:r>
      <w:r>
        <w:rPr>
          <w:rFonts w:ascii="Times New Roman" w:hAnsi="Times New Roman"/>
          <w:sz w:val="24"/>
        </w:rPr>
        <w:t xml:space="preserve"> ievadīšanas.</w:t>
      </w:r>
    </w:p>
    <w:p w14:paraId="1E3F419D" w14:textId="77777777" w:rsidR="00C2581B" w:rsidRPr="00154588" w:rsidRDefault="00C2581B" w:rsidP="00154588">
      <w:pPr>
        <w:pStyle w:val="BodyText"/>
        <w:spacing w:before="0"/>
        <w:ind w:left="0"/>
        <w:jc w:val="both"/>
        <w:rPr>
          <w:rFonts w:ascii="Times New Roman" w:hAnsi="Times New Roman"/>
          <w:noProof/>
          <w:sz w:val="24"/>
        </w:rPr>
      </w:pPr>
    </w:p>
    <w:p w14:paraId="02442DF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Antibiotiku terapiju var papildināt ar atbalstošu ārstēšanu, nodrošinot NPL un biežu slaukšanu, pirms kuras var veikt oksitocīna injekcijas.</w:t>
      </w:r>
    </w:p>
    <w:p w14:paraId="0CA34C0C" w14:textId="77777777" w:rsidR="00672FC0" w:rsidRPr="00154588" w:rsidRDefault="00672FC0" w:rsidP="00154588">
      <w:pPr>
        <w:jc w:val="both"/>
        <w:rPr>
          <w:rFonts w:ascii="Times New Roman" w:eastAsia="Book Antiqua" w:hAnsi="Times New Roman" w:cs="Book Antiqua"/>
          <w:noProof/>
          <w:sz w:val="24"/>
          <w:szCs w:val="29"/>
        </w:rPr>
      </w:pPr>
    </w:p>
    <w:p w14:paraId="6FA92580" w14:textId="77777777" w:rsidR="00672FC0" w:rsidRPr="00FF4115" w:rsidRDefault="00672FC0" w:rsidP="00FF4115">
      <w:pPr>
        <w:pStyle w:val="Heading1"/>
        <w:rPr>
          <w:b/>
          <w:bCs/>
          <w:noProof/>
          <w:sz w:val="28"/>
          <w:szCs w:val="32"/>
        </w:rPr>
      </w:pPr>
      <w:bookmarkStart w:id="194" w:name="_TOC_250018"/>
      <w:bookmarkStart w:id="195" w:name="_Toc46997621"/>
      <w:bookmarkStart w:id="196" w:name="_Toc47003149"/>
      <w:r w:rsidRPr="00FF4115">
        <w:rPr>
          <w:b/>
          <w:bCs/>
          <w:sz w:val="28"/>
          <w:szCs w:val="32"/>
        </w:rPr>
        <w:t>Metrīts</w:t>
      </w:r>
      <w:bookmarkEnd w:id="194"/>
      <w:bookmarkEnd w:id="195"/>
      <w:bookmarkEnd w:id="196"/>
    </w:p>
    <w:p w14:paraId="29CBCAB5" w14:textId="77777777" w:rsidR="00FF4115" w:rsidRDefault="00FF4115" w:rsidP="00154588">
      <w:pPr>
        <w:pStyle w:val="BodyText"/>
        <w:spacing w:before="0"/>
        <w:ind w:left="0"/>
        <w:jc w:val="both"/>
        <w:rPr>
          <w:rFonts w:ascii="Times New Roman" w:hAnsi="Times New Roman"/>
          <w:sz w:val="24"/>
        </w:rPr>
      </w:pPr>
    </w:p>
    <w:p w14:paraId="471098B9" w14:textId="68D40B8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Metrītu parasti izraisa oportūnistiskas vides baktērijas, kas mēdz būt gan grampozitīvas, gan gramnegatīvas, un pamatcēloņi nereti mēdz būt jēri ar lielu svaru, nepareiza augļa guļa, dzemdību palīdzība aitai, nedzīvi augļi, dzemdes prolapss un augļa membrānu retence (PR). </w:t>
      </w:r>
      <w:r>
        <w:rPr>
          <w:rFonts w:ascii="Times New Roman" w:hAnsi="Times New Roman"/>
          <w:sz w:val="24"/>
        </w:rPr>
        <w:lastRenderedPageBreak/>
        <w:t>Metrīta gadījumi aitu ganāmpulkos kopumā ir sporadiski.</w:t>
      </w:r>
    </w:p>
    <w:p w14:paraId="62BFDE3A" w14:textId="77777777" w:rsidR="00672FC0" w:rsidRPr="00154588" w:rsidRDefault="00672FC0" w:rsidP="00154588">
      <w:pPr>
        <w:jc w:val="both"/>
        <w:rPr>
          <w:rFonts w:ascii="Times New Roman" w:eastAsia="Book Antiqua" w:hAnsi="Times New Roman" w:cs="Book Antiqua"/>
          <w:noProof/>
          <w:sz w:val="24"/>
          <w:szCs w:val="18"/>
        </w:rPr>
      </w:pPr>
    </w:p>
    <w:p w14:paraId="75BD3BEC" w14:textId="77777777" w:rsidR="00672FC0" w:rsidRPr="00154588" w:rsidRDefault="00672FC0" w:rsidP="00154588">
      <w:pPr>
        <w:pStyle w:val="Heading3"/>
        <w:ind w:left="0"/>
        <w:jc w:val="both"/>
        <w:rPr>
          <w:rFonts w:ascii="Times New Roman" w:hAnsi="Times New Roman"/>
          <w:noProof/>
          <w:sz w:val="24"/>
        </w:rPr>
      </w:pPr>
      <w:bookmarkStart w:id="197" w:name="_Toc46997622"/>
      <w:bookmarkStart w:id="198" w:name="_Toc47003150"/>
      <w:r>
        <w:rPr>
          <w:rFonts w:ascii="Times New Roman" w:hAnsi="Times New Roman"/>
          <w:sz w:val="24"/>
        </w:rPr>
        <w:t>Diagnozes noteikšana</w:t>
      </w:r>
      <w:bookmarkEnd w:id="197"/>
      <w:bookmarkEnd w:id="198"/>
    </w:p>
    <w:p w14:paraId="77B0B94D"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Aitām ar metrītu bieži ir pasliktināts vispārējais stāvoklis un citi klīniski simptomi, piemēram, drudzis, anoreksija, smakojoši izdalījumi no vulvas, un parasti tās stāv ar izliektu muguru.</w:t>
      </w:r>
    </w:p>
    <w:p w14:paraId="51C1C6D1" w14:textId="77777777" w:rsidR="00672FC0" w:rsidRPr="00154588" w:rsidRDefault="00672FC0" w:rsidP="00154588">
      <w:pPr>
        <w:jc w:val="both"/>
        <w:rPr>
          <w:rFonts w:ascii="Times New Roman" w:eastAsia="Book Antiqua" w:hAnsi="Times New Roman" w:cs="Book Antiqua"/>
          <w:noProof/>
          <w:sz w:val="24"/>
          <w:szCs w:val="17"/>
        </w:rPr>
      </w:pPr>
    </w:p>
    <w:p w14:paraId="11F525E8" w14:textId="77777777" w:rsidR="00672FC0" w:rsidRPr="00154588" w:rsidRDefault="00672FC0" w:rsidP="00154588">
      <w:pPr>
        <w:pStyle w:val="Heading3"/>
        <w:ind w:left="0"/>
        <w:jc w:val="both"/>
        <w:rPr>
          <w:rFonts w:ascii="Times New Roman" w:hAnsi="Times New Roman"/>
          <w:noProof/>
          <w:sz w:val="24"/>
        </w:rPr>
      </w:pPr>
      <w:bookmarkStart w:id="199" w:name="_Toc46997623"/>
      <w:bookmarkStart w:id="200" w:name="_Toc47003151"/>
      <w:r>
        <w:rPr>
          <w:rFonts w:ascii="Times New Roman" w:hAnsi="Times New Roman"/>
          <w:sz w:val="24"/>
        </w:rPr>
        <w:t>Ārstēšana</w:t>
      </w:r>
      <w:bookmarkEnd w:id="199"/>
      <w:bookmarkEnd w:id="200"/>
    </w:p>
    <w:p w14:paraId="04BBF0EE" w14:textId="7554304C"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Aitu māte ar metrītu un pasliktinātu vispārējo stāvokli jāizolē kopā ar jēriem. Izvēles zāles ir sistēmiski ievadīts prokaīna benzilpenicilīns 20 mg/kg devā intramuskulāri </w:t>
      </w:r>
      <w:r>
        <w:rPr>
          <w:rFonts w:ascii="Times New Roman" w:hAnsi="Times New Roman"/>
          <w:i/>
          <w:iCs/>
          <w:sz w:val="24"/>
        </w:rPr>
        <w:t>SID</w:t>
      </w:r>
      <w:r>
        <w:rPr>
          <w:rFonts w:ascii="Times New Roman" w:hAnsi="Times New Roman"/>
          <w:sz w:val="24"/>
        </w:rPr>
        <w:t xml:space="preserve"> 5–7 dienas. Alternatīvs anti</w:t>
      </w:r>
      <w:r w:rsidR="006C2238">
        <w:rPr>
          <w:rFonts w:ascii="Times New Roman" w:hAnsi="Times New Roman"/>
          <w:sz w:val="24"/>
        </w:rPr>
        <w:t>mikrobiālais</w:t>
      </w:r>
      <w:r>
        <w:rPr>
          <w:rFonts w:ascii="Times New Roman" w:hAnsi="Times New Roman"/>
          <w:sz w:val="24"/>
        </w:rPr>
        <w:t xml:space="preserve"> līdzeklis var būt TET, ja tā lietošanu pamato baktēriju uzsējumu un jutīguma testu rezultāti. Ieteicamā deva ir 10 mg/kg intramuskulāri </w:t>
      </w:r>
      <w:r>
        <w:rPr>
          <w:rFonts w:ascii="Times New Roman" w:hAnsi="Times New Roman"/>
          <w:i/>
          <w:iCs/>
          <w:sz w:val="24"/>
        </w:rPr>
        <w:t>SID</w:t>
      </w:r>
      <w:r>
        <w:rPr>
          <w:rFonts w:ascii="Times New Roman" w:hAnsi="Times New Roman"/>
          <w:sz w:val="24"/>
        </w:rPr>
        <w:t xml:space="preserve"> vai 20 mg/kg intramuskulāri ik pēc 48 stundām.</w:t>
      </w:r>
    </w:p>
    <w:p w14:paraId="4A0828B3" w14:textId="77777777" w:rsidR="00C2581B" w:rsidRPr="00154588" w:rsidRDefault="00C2581B" w:rsidP="00154588">
      <w:pPr>
        <w:pStyle w:val="BodyText"/>
        <w:spacing w:before="0"/>
        <w:ind w:left="0"/>
        <w:jc w:val="both"/>
        <w:rPr>
          <w:rFonts w:ascii="Times New Roman" w:hAnsi="Times New Roman"/>
          <w:noProof/>
          <w:sz w:val="24"/>
        </w:rPr>
      </w:pPr>
    </w:p>
    <w:p w14:paraId="39167E0D" w14:textId="63E88C6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Antibiotiku terapijas atbalstam var lietot NPL un IV šķidrumus.</w:t>
      </w:r>
    </w:p>
    <w:p w14:paraId="3F52A20D" w14:textId="77777777" w:rsidR="00C2581B" w:rsidRDefault="00C2581B" w:rsidP="00154588">
      <w:pPr>
        <w:pStyle w:val="BodyText"/>
        <w:spacing w:before="0"/>
        <w:ind w:left="0"/>
        <w:jc w:val="both"/>
        <w:rPr>
          <w:rFonts w:ascii="Times New Roman" w:hAnsi="Times New Roman"/>
          <w:noProof/>
          <w:sz w:val="24"/>
        </w:rPr>
      </w:pPr>
    </w:p>
    <w:p w14:paraId="2EEE9D47" w14:textId="601F96D3"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Prognozi uzskata par labvēlīgu, un auglība parasti necieš, ja dzīvnieks labi reaģē uz terapiju.</w:t>
      </w:r>
    </w:p>
    <w:p w14:paraId="36EA0F25" w14:textId="77777777" w:rsidR="00C2581B" w:rsidRPr="00154588" w:rsidRDefault="00C2581B" w:rsidP="00154588">
      <w:pPr>
        <w:pStyle w:val="BodyText"/>
        <w:spacing w:before="0"/>
        <w:ind w:left="0"/>
        <w:jc w:val="both"/>
        <w:rPr>
          <w:rFonts w:ascii="Times New Roman" w:hAnsi="Times New Roman"/>
          <w:noProof/>
          <w:sz w:val="24"/>
        </w:rPr>
      </w:pPr>
    </w:p>
    <w:p w14:paraId="13147D7E" w14:textId="450231D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Aitu mātes ar PR un/vai endometrītu, ja to vispārējais stāvoklis nav pasliktinājies, jāārstē konservatīvi, jo aitu lielākā daļa atveseļojas pati bez sarežģījumiem.</w:t>
      </w:r>
    </w:p>
    <w:p w14:paraId="141F164E" w14:textId="77777777" w:rsidR="00672FC0" w:rsidRPr="00154588" w:rsidRDefault="00672FC0" w:rsidP="00154588">
      <w:pPr>
        <w:jc w:val="both"/>
        <w:rPr>
          <w:rFonts w:ascii="Times New Roman" w:eastAsia="Book Antiqua" w:hAnsi="Times New Roman" w:cs="Book Antiqua"/>
          <w:noProof/>
          <w:sz w:val="24"/>
          <w:szCs w:val="28"/>
        </w:rPr>
      </w:pPr>
    </w:p>
    <w:p w14:paraId="07A76569" w14:textId="77777777" w:rsidR="00672FC0" w:rsidRPr="00780F03" w:rsidRDefault="00672FC0" w:rsidP="00780F03">
      <w:pPr>
        <w:pStyle w:val="Heading1"/>
        <w:rPr>
          <w:b/>
          <w:bCs/>
          <w:sz w:val="28"/>
          <w:szCs w:val="32"/>
        </w:rPr>
      </w:pPr>
      <w:bookmarkStart w:id="201" w:name="_TOC_250017"/>
      <w:bookmarkStart w:id="202" w:name="_Toc46997624"/>
      <w:bookmarkStart w:id="203" w:name="_Toc47003152"/>
      <w:r w:rsidRPr="00780F03">
        <w:rPr>
          <w:b/>
          <w:bCs/>
          <w:sz w:val="28"/>
          <w:szCs w:val="32"/>
        </w:rPr>
        <w:t>Septicēmija un “ūdeņainās mutes” sindroms</w:t>
      </w:r>
      <w:bookmarkEnd w:id="201"/>
      <w:bookmarkEnd w:id="202"/>
      <w:bookmarkEnd w:id="203"/>
    </w:p>
    <w:p w14:paraId="62B44889" w14:textId="77777777" w:rsidR="00FF4115" w:rsidRDefault="00FF4115" w:rsidP="00154588">
      <w:pPr>
        <w:pStyle w:val="BodyText"/>
        <w:spacing w:before="0"/>
        <w:ind w:left="0"/>
        <w:jc w:val="both"/>
        <w:rPr>
          <w:rFonts w:ascii="Times New Roman" w:hAnsi="Times New Roman"/>
          <w:sz w:val="24"/>
        </w:rPr>
      </w:pPr>
    </w:p>
    <w:p w14:paraId="3D9BAE65" w14:textId="0A2C5B3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Septicēmiju, kas Zviedrijā ir reti sastopama aitu slimība, bieži izraisa </w:t>
      </w:r>
      <w:r>
        <w:rPr>
          <w:rFonts w:ascii="Times New Roman" w:hAnsi="Times New Roman"/>
          <w:i/>
          <w:iCs/>
          <w:sz w:val="24"/>
        </w:rPr>
        <w:t>E. coli,</w:t>
      </w:r>
      <w:r>
        <w:rPr>
          <w:rFonts w:ascii="Times New Roman" w:hAnsi="Times New Roman"/>
          <w:sz w:val="24"/>
        </w:rPr>
        <w:t xml:space="preserve"> un tā skar jaundzimušus jērus ar imūndeficītu, ko parasti rada nepietiekama mātes antivielu daudzuma uzņemšana ar jaunpienu. Slimību dažreiz novēro jēriem, kas jaunāki par 4 nedēļām. Lielbritānijā “ūdeņainās mutes” sindromu jēriem, kas jaunāki par 3 dienām, saista ar </w:t>
      </w:r>
      <w:r>
        <w:rPr>
          <w:rFonts w:ascii="Times New Roman" w:hAnsi="Times New Roman"/>
          <w:i/>
          <w:iCs/>
          <w:sz w:val="24"/>
        </w:rPr>
        <w:t>E. coli</w:t>
      </w:r>
      <w:r>
        <w:rPr>
          <w:rFonts w:ascii="Times New Roman" w:hAnsi="Times New Roman"/>
          <w:sz w:val="24"/>
        </w:rPr>
        <w:t xml:space="preserve"> infekcijām un bakterēmiju. Pēdējos gados (2013.) par šādiem gadījumiem ziņots arī Zviedrijā. Ja rodas aizdomas, ka ganāmpulkā varētu būt ar “ūdeņainās mutes” sindromu saistītas veselības problēmas, ātri jāuzsāk profilakses pasākumi, lai nodrošinātu kārtību rīcībai ar kvalitatīvu jaunpienu un tā izbarošanas kārtību.</w:t>
      </w:r>
    </w:p>
    <w:p w14:paraId="187E3B3A" w14:textId="77777777" w:rsidR="00672FC0" w:rsidRPr="00154588" w:rsidRDefault="00672FC0" w:rsidP="00154588">
      <w:pPr>
        <w:jc w:val="both"/>
        <w:rPr>
          <w:rFonts w:ascii="Times New Roman" w:hAnsi="Times New Roman"/>
          <w:noProof/>
          <w:sz w:val="24"/>
        </w:rPr>
      </w:pPr>
    </w:p>
    <w:p w14:paraId="3DB2CE14" w14:textId="77777777" w:rsidR="00672FC0" w:rsidRPr="00154588" w:rsidRDefault="00672FC0" w:rsidP="00154588">
      <w:pPr>
        <w:pStyle w:val="Heading3"/>
        <w:ind w:left="0"/>
        <w:jc w:val="both"/>
        <w:rPr>
          <w:rFonts w:ascii="Times New Roman" w:hAnsi="Times New Roman"/>
          <w:noProof/>
          <w:sz w:val="24"/>
        </w:rPr>
      </w:pPr>
      <w:bookmarkStart w:id="204" w:name="_Toc46997625"/>
      <w:bookmarkStart w:id="205" w:name="_Toc47003153"/>
      <w:r>
        <w:rPr>
          <w:rFonts w:ascii="Times New Roman" w:hAnsi="Times New Roman"/>
          <w:sz w:val="24"/>
        </w:rPr>
        <w:t>Diagnozes noteikšana</w:t>
      </w:r>
      <w:bookmarkEnd w:id="204"/>
      <w:bookmarkEnd w:id="205"/>
    </w:p>
    <w:p w14:paraId="0F989CF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Septicēmijas diagnozi nosaka autopsijas laikā, tostarp veicot bakteriālos uzsējumus. Ja jauniem jēriem 1–3 dienu vecumā ir simptomi, kas liecina par smagu vispārējo stāvokli, izteikta siekalošanās, uzpūsts vēders un aukstas ekstremitātes, tas vieš aizdomas par “ūdeņainās mutes” sindromu. Slimības skartajiem jēriem ķermeņa temperatūra reti kad ir paaugstināta.</w:t>
      </w:r>
    </w:p>
    <w:p w14:paraId="6CCACFC6" w14:textId="77777777" w:rsidR="00672FC0" w:rsidRPr="00154588" w:rsidRDefault="00672FC0" w:rsidP="00154588">
      <w:pPr>
        <w:jc w:val="both"/>
        <w:rPr>
          <w:rFonts w:ascii="Times New Roman" w:eastAsia="Book Antiqua" w:hAnsi="Times New Roman" w:cs="Book Antiqua"/>
          <w:noProof/>
          <w:sz w:val="24"/>
          <w:szCs w:val="17"/>
        </w:rPr>
      </w:pPr>
    </w:p>
    <w:p w14:paraId="3B91DE88" w14:textId="77777777" w:rsidR="00672FC0" w:rsidRPr="00154588" w:rsidRDefault="00672FC0" w:rsidP="00154588">
      <w:pPr>
        <w:pStyle w:val="Heading3"/>
        <w:ind w:left="0"/>
        <w:jc w:val="both"/>
        <w:rPr>
          <w:rFonts w:ascii="Times New Roman" w:hAnsi="Times New Roman"/>
          <w:noProof/>
          <w:sz w:val="24"/>
        </w:rPr>
      </w:pPr>
      <w:bookmarkStart w:id="206" w:name="_Toc46997626"/>
      <w:bookmarkStart w:id="207" w:name="_Toc47003154"/>
      <w:r>
        <w:rPr>
          <w:rFonts w:ascii="Times New Roman" w:hAnsi="Times New Roman"/>
          <w:sz w:val="24"/>
        </w:rPr>
        <w:t>Septicēmijas ārstēšana</w:t>
      </w:r>
      <w:bookmarkEnd w:id="206"/>
      <w:bookmarkEnd w:id="207"/>
    </w:p>
    <w:p w14:paraId="6612EE22" w14:textId="17587D1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septicēmijas gadījumā ir trimetoprims/sulfanilamīdi (T/S) 15–22,5 mg/kg devā, ko injicē sistēmiski </w:t>
      </w:r>
      <w:r>
        <w:rPr>
          <w:rFonts w:ascii="Times New Roman" w:hAnsi="Times New Roman"/>
          <w:i/>
          <w:iCs/>
          <w:sz w:val="24"/>
        </w:rPr>
        <w:t>BID</w:t>
      </w:r>
      <w:r>
        <w:rPr>
          <w:rFonts w:ascii="Times New Roman" w:hAnsi="Times New Roman"/>
          <w:sz w:val="24"/>
        </w:rPr>
        <w:t xml:space="preserve"> 3–5 dienas. Prognoze parasti ir ļoti slikta, un anti</w:t>
      </w:r>
      <w:r w:rsidR="006C2238">
        <w:rPr>
          <w:rFonts w:ascii="Times New Roman" w:hAnsi="Times New Roman"/>
          <w:sz w:val="24"/>
        </w:rPr>
        <w:t>mikrobiālās</w:t>
      </w:r>
      <w:r>
        <w:rPr>
          <w:rFonts w:ascii="Times New Roman" w:hAnsi="Times New Roman"/>
          <w:sz w:val="24"/>
        </w:rPr>
        <w:t xml:space="preserve"> terapijas atbalstam jānodrošina šķidrumi intravenozi, NPL, papildu barība (piens vai tā aizstājējs), papildu siltums un insolācija utt. pēc vajadzības.</w:t>
      </w:r>
    </w:p>
    <w:p w14:paraId="7F466950" w14:textId="77777777" w:rsidR="00672FC0" w:rsidRPr="00154588" w:rsidRDefault="00672FC0" w:rsidP="00154588">
      <w:pPr>
        <w:jc w:val="both"/>
        <w:rPr>
          <w:rFonts w:ascii="Times New Roman" w:eastAsia="Book Antiqua" w:hAnsi="Times New Roman" w:cs="Book Antiqua"/>
          <w:noProof/>
          <w:sz w:val="24"/>
          <w:szCs w:val="25"/>
        </w:rPr>
      </w:pPr>
    </w:p>
    <w:p w14:paraId="4B430F88" w14:textId="77777777" w:rsidR="00672FC0" w:rsidRPr="00780F03" w:rsidRDefault="00672FC0" w:rsidP="00780F03">
      <w:pPr>
        <w:pStyle w:val="Heading1"/>
        <w:rPr>
          <w:b/>
          <w:bCs/>
          <w:noProof/>
          <w:sz w:val="28"/>
          <w:szCs w:val="32"/>
        </w:rPr>
      </w:pPr>
      <w:bookmarkStart w:id="208" w:name="_TOC_250016"/>
      <w:bookmarkStart w:id="209" w:name="_Toc46997627"/>
      <w:bookmarkStart w:id="210" w:name="_Toc47003155"/>
      <w:r w:rsidRPr="00780F03">
        <w:rPr>
          <w:b/>
          <w:bCs/>
          <w:sz w:val="28"/>
          <w:szCs w:val="32"/>
        </w:rPr>
        <w:t>Enterīts</w:t>
      </w:r>
      <w:bookmarkEnd w:id="208"/>
      <w:bookmarkEnd w:id="209"/>
      <w:bookmarkEnd w:id="210"/>
    </w:p>
    <w:p w14:paraId="05722D48" w14:textId="77777777" w:rsidR="00780F03" w:rsidRDefault="00780F03" w:rsidP="00154588">
      <w:pPr>
        <w:pStyle w:val="BodyText"/>
        <w:spacing w:before="0"/>
        <w:ind w:left="0"/>
        <w:jc w:val="both"/>
        <w:rPr>
          <w:rFonts w:ascii="Times New Roman" w:hAnsi="Times New Roman"/>
          <w:sz w:val="24"/>
        </w:rPr>
      </w:pPr>
    </w:p>
    <w:p w14:paraId="66B7BCC8" w14:textId="5228E1F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Jēriem enterīts ir daudzfaktoru slimība, kas ir ļoti atkarīga no apsaimniekošanas un vides faktoriem. Plaši sastopami patogēni ir </w:t>
      </w:r>
      <w:r>
        <w:rPr>
          <w:rFonts w:ascii="Times New Roman" w:hAnsi="Times New Roman"/>
          <w:i/>
          <w:iCs/>
          <w:sz w:val="24"/>
        </w:rPr>
        <w:t>Eimeria spp</w:t>
      </w:r>
      <w:r>
        <w:rPr>
          <w:rFonts w:ascii="Times New Roman" w:hAnsi="Times New Roman"/>
          <w:sz w:val="24"/>
        </w:rPr>
        <w:t xml:space="preserve">. (kokcīdijas) un </w:t>
      </w:r>
      <w:r>
        <w:rPr>
          <w:rFonts w:ascii="Times New Roman" w:hAnsi="Times New Roman"/>
          <w:i/>
          <w:iCs/>
          <w:sz w:val="24"/>
        </w:rPr>
        <w:t>E. coli</w:t>
      </w:r>
      <w:r>
        <w:rPr>
          <w:rFonts w:ascii="Times New Roman" w:hAnsi="Times New Roman"/>
          <w:sz w:val="24"/>
        </w:rPr>
        <w:t>.</w:t>
      </w:r>
    </w:p>
    <w:p w14:paraId="31D21F78" w14:textId="77777777" w:rsidR="00672FC0" w:rsidRPr="00154588" w:rsidRDefault="00672FC0" w:rsidP="00154588">
      <w:pPr>
        <w:jc w:val="both"/>
        <w:rPr>
          <w:rFonts w:ascii="Times New Roman" w:eastAsia="Book Antiqua" w:hAnsi="Times New Roman" w:cs="Book Antiqua"/>
          <w:noProof/>
          <w:sz w:val="24"/>
          <w:szCs w:val="17"/>
        </w:rPr>
      </w:pPr>
    </w:p>
    <w:p w14:paraId="650E1E20" w14:textId="77777777" w:rsidR="00672FC0" w:rsidRPr="00154588" w:rsidRDefault="00672FC0" w:rsidP="00780F03">
      <w:pPr>
        <w:pStyle w:val="Heading3"/>
        <w:keepNext/>
        <w:ind w:left="0"/>
        <w:jc w:val="both"/>
        <w:rPr>
          <w:rFonts w:ascii="Times New Roman" w:hAnsi="Times New Roman"/>
          <w:noProof/>
          <w:sz w:val="24"/>
        </w:rPr>
      </w:pPr>
      <w:bookmarkStart w:id="211" w:name="_Toc46997628"/>
      <w:bookmarkStart w:id="212" w:name="_Toc47003156"/>
      <w:r>
        <w:rPr>
          <w:rFonts w:ascii="Times New Roman" w:hAnsi="Times New Roman"/>
          <w:sz w:val="24"/>
        </w:rPr>
        <w:lastRenderedPageBreak/>
        <w:t>Diagnozes noteikšana</w:t>
      </w:r>
      <w:bookmarkEnd w:id="211"/>
      <w:bookmarkEnd w:id="212"/>
    </w:p>
    <w:p w14:paraId="69A6A22A" w14:textId="77777777" w:rsidR="00672FC0" w:rsidRPr="00154588" w:rsidRDefault="00672FC0" w:rsidP="00780F03">
      <w:pPr>
        <w:pStyle w:val="BodyText"/>
        <w:keepNext/>
        <w:spacing w:before="0"/>
        <w:ind w:left="0"/>
        <w:jc w:val="both"/>
        <w:rPr>
          <w:rFonts w:ascii="Times New Roman" w:hAnsi="Times New Roman"/>
          <w:noProof/>
          <w:sz w:val="24"/>
        </w:rPr>
      </w:pPr>
      <w:r>
        <w:rPr>
          <w:rFonts w:ascii="Times New Roman" w:hAnsi="Times New Roman"/>
          <w:sz w:val="24"/>
        </w:rPr>
        <w:t>Ja ir aizdomas par kokcidiozi, klīnicistam, izmeklējot jēru grupu, ir jāņem vērā klīniskā aina, kā arī laboratorijas rezultāti, kas gūti no fekāliju paraugiem un/vai autopsijām.</w:t>
      </w:r>
    </w:p>
    <w:p w14:paraId="38A81EB8" w14:textId="77777777" w:rsidR="00672FC0" w:rsidRPr="00154588" w:rsidRDefault="00672FC0" w:rsidP="00154588">
      <w:pPr>
        <w:jc w:val="both"/>
        <w:rPr>
          <w:rFonts w:ascii="Times New Roman" w:eastAsia="Book Antiqua" w:hAnsi="Times New Roman" w:cs="Book Antiqua"/>
          <w:noProof/>
          <w:sz w:val="24"/>
          <w:szCs w:val="17"/>
        </w:rPr>
      </w:pPr>
    </w:p>
    <w:p w14:paraId="24AF3D2E" w14:textId="77777777" w:rsidR="00672FC0" w:rsidRPr="00154588" w:rsidRDefault="00672FC0" w:rsidP="00154588">
      <w:pPr>
        <w:pStyle w:val="Heading3"/>
        <w:ind w:left="0"/>
        <w:jc w:val="both"/>
        <w:rPr>
          <w:rFonts w:ascii="Times New Roman" w:hAnsi="Times New Roman"/>
          <w:noProof/>
          <w:sz w:val="24"/>
        </w:rPr>
      </w:pPr>
      <w:bookmarkStart w:id="213" w:name="_Toc46997629"/>
      <w:bookmarkStart w:id="214" w:name="_Toc47003157"/>
      <w:r>
        <w:rPr>
          <w:rFonts w:ascii="Times New Roman" w:hAnsi="Times New Roman"/>
          <w:sz w:val="24"/>
        </w:rPr>
        <w:t>Ārstēšana</w:t>
      </w:r>
      <w:bookmarkEnd w:id="213"/>
      <w:bookmarkEnd w:id="214"/>
    </w:p>
    <w:p w14:paraId="71CADA5C" w14:textId="7C3B144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Izvēles zāles pret kokcidiozi ir daži kokcidiostatiskie līdzekļi, piemēram, toltrazurils (T). T ievada iekšķīgi lietojama šķīduma veidā visiem jēriem grupā, kur ir kokcidioze. Labākos terapijas rezultātus novēro metafilaktiski, proti, ārstējot inficētu dzīvnieku grupas, kurās dzīvniekiem vēl nav parādījušies klīniskie simptomi.</w:t>
      </w:r>
    </w:p>
    <w:p w14:paraId="3BD7F44F" w14:textId="77777777" w:rsidR="00A75179" w:rsidRDefault="00A75179" w:rsidP="00154588">
      <w:pPr>
        <w:pStyle w:val="BodyText"/>
        <w:spacing w:before="0"/>
        <w:ind w:left="0"/>
        <w:jc w:val="both"/>
        <w:rPr>
          <w:rFonts w:ascii="Times New Roman" w:hAnsi="Times New Roman"/>
          <w:noProof/>
          <w:sz w:val="24"/>
        </w:rPr>
      </w:pPr>
    </w:p>
    <w:p w14:paraId="0E27F4A9" w14:textId="046044C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Ārstējot vienu vai tikai dažus dzīvniekus, ieteicams lietot sulfonilamīdu preparātus pastas veidā (50 %), devā, kas atbilst 0,4 g/kg ķermeņa svara, </w:t>
      </w:r>
      <w:r>
        <w:rPr>
          <w:rFonts w:ascii="Times New Roman" w:hAnsi="Times New Roman"/>
          <w:i/>
          <w:iCs/>
          <w:sz w:val="24"/>
        </w:rPr>
        <w:t xml:space="preserve">SID </w:t>
      </w:r>
      <w:r>
        <w:rPr>
          <w:rFonts w:ascii="Times New Roman" w:hAnsi="Times New Roman"/>
          <w:sz w:val="24"/>
        </w:rPr>
        <w:t xml:space="preserve">trīs dienas iekšķīgi. Alternatīva var būt sistēmiska terapija, ievadot T/S intramuskulāri 15–22,5 mg/kg devā </w:t>
      </w:r>
      <w:r>
        <w:rPr>
          <w:rFonts w:ascii="Times New Roman" w:hAnsi="Times New Roman"/>
          <w:i/>
          <w:iCs/>
          <w:sz w:val="24"/>
        </w:rPr>
        <w:t>SID</w:t>
      </w:r>
      <w:r>
        <w:rPr>
          <w:rFonts w:ascii="Times New Roman" w:hAnsi="Times New Roman"/>
          <w:sz w:val="24"/>
        </w:rPr>
        <w:t xml:space="preserve"> trīs dienas.</w:t>
      </w:r>
    </w:p>
    <w:p w14:paraId="115935D5" w14:textId="77777777" w:rsidR="00154588" w:rsidRPr="00154588" w:rsidRDefault="00154588" w:rsidP="00154588">
      <w:pPr>
        <w:jc w:val="both"/>
        <w:rPr>
          <w:rFonts w:ascii="Times New Roman" w:hAnsi="Times New Roman"/>
          <w:noProof/>
          <w:sz w:val="24"/>
        </w:rPr>
      </w:pPr>
    </w:p>
    <w:p w14:paraId="44CF8569" w14:textId="77777777" w:rsidR="00672FC0" w:rsidRPr="00780F03" w:rsidRDefault="00672FC0" w:rsidP="00780F03">
      <w:pPr>
        <w:pStyle w:val="Heading1"/>
        <w:rPr>
          <w:b/>
          <w:bCs/>
          <w:noProof/>
          <w:sz w:val="28"/>
          <w:szCs w:val="32"/>
        </w:rPr>
      </w:pPr>
      <w:bookmarkStart w:id="215" w:name="_TOC_250015"/>
      <w:bookmarkStart w:id="216" w:name="_Toc46997630"/>
      <w:bookmarkStart w:id="217" w:name="_Toc47003158"/>
      <w:r w:rsidRPr="00780F03">
        <w:rPr>
          <w:b/>
          <w:bCs/>
          <w:sz w:val="28"/>
          <w:szCs w:val="32"/>
        </w:rPr>
        <w:t>Artrīts</w:t>
      </w:r>
      <w:bookmarkEnd w:id="215"/>
      <w:bookmarkEnd w:id="216"/>
      <w:bookmarkEnd w:id="217"/>
    </w:p>
    <w:p w14:paraId="1158BD09" w14:textId="77777777" w:rsidR="00780F03" w:rsidRDefault="00780F03" w:rsidP="00154588">
      <w:pPr>
        <w:pStyle w:val="BodyText"/>
        <w:spacing w:before="0"/>
        <w:ind w:left="0"/>
        <w:jc w:val="both"/>
        <w:rPr>
          <w:rFonts w:ascii="Times New Roman" w:hAnsi="Times New Roman"/>
          <w:sz w:val="24"/>
        </w:rPr>
      </w:pPr>
    </w:p>
    <w:p w14:paraId="683DD6A6" w14:textId="357CD734"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Jēriem bieži novēro artrītu kā sekundāru parādību pie anaplazmozes, nabas infekcijām vai dažreiz – septicēmijas. Par septicēmijas ārstēšanu skatīt iepriekš. Pierādīts, ka Zviedrijā aitām artrītu izraisa stafilokoki, streptokoki, </w:t>
      </w:r>
      <w:r>
        <w:rPr>
          <w:rFonts w:ascii="Times New Roman" w:hAnsi="Times New Roman"/>
          <w:i/>
          <w:iCs/>
          <w:sz w:val="24"/>
        </w:rPr>
        <w:t>E. coli</w:t>
      </w:r>
      <w:r>
        <w:rPr>
          <w:rFonts w:ascii="Times New Roman" w:hAnsi="Times New Roman"/>
          <w:sz w:val="24"/>
        </w:rPr>
        <w:t xml:space="preserve"> un retāk – </w:t>
      </w:r>
      <w:r>
        <w:rPr>
          <w:rFonts w:ascii="Times New Roman" w:hAnsi="Times New Roman"/>
          <w:i/>
          <w:iCs/>
          <w:sz w:val="24"/>
        </w:rPr>
        <w:t>Erysipelothrix rhusiopathiae</w:t>
      </w:r>
      <w:r>
        <w:rPr>
          <w:rFonts w:ascii="Times New Roman" w:hAnsi="Times New Roman"/>
          <w:sz w:val="24"/>
        </w:rPr>
        <w:t>. Ja artrīts kļūst par ganāmpulka veselības problēmu, ir jāizpēta predisponējošie faktori, piemēram, higiēniskie apstākļi jēru atnešanās laikā, grīdu virsmas un pakaišu daudzums, kā arī problēmas ar ērcēm.</w:t>
      </w:r>
    </w:p>
    <w:p w14:paraId="27607F6A" w14:textId="77777777" w:rsidR="00672FC0" w:rsidRPr="00154588" w:rsidRDefault="00672FC0" w:rsidP="00154588">
      <w:pPr>
        <w:jc w:val="both"/>
        <w:rPr>
          <w:rFonts w:ascii="Times New Roman" w:hAnsi="Times New Roman"/>
          <w:noProof/>
          <w:sz w:val="24"/>
        </w:rPr>
      </w:pPr>
    </w:p>
    <w:p w14:paraId="3C04C892" w14:textId="77777777" w:rsidR="00672FC0" w:rsidRPr="00154588" w:rsidRDefault="00672FC0" w:rsidP="00154588">
      <w:pPr>
        <w:pStyle w:val="Heading3"/>
        <w:ind w:left="0"/>
        <w:jc w:val="both"/>
        <w:rPr>
          <w:rFonts w:ascii="Times New Roman" w:hAnsi="Times New Roman"/>
          <w:noProof/>
          <w:sz w:val="24"/>
        </w:rPr>
      </w:pPr>
      <w:bookmarkStart w:id="218" w:name="_Toc46997631"/>
      <w:bookmarkStart w:id="219" w:name="_Toc47003159"/>
      <w:r>
        <w:rPr>
          <w:rFonts w:ascii="Times New Roman" w:hAnsi="Times New Roman"/>
          <w:sz w:val="24"/>
        </w:rPr>
        <w:t>Diagnozes noteikšana</w:t>
      </w:r>
      <w:bookmarkEnd w:id="218"/>
      <w:bookmarkEnd w:id="219"/>
    </w:p>
    <w:p w14:paraId="1E8F525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Artrīta klīniskie simptomi ir pasliktināts vispārējais stāvoklis un klibums, drudzis, pietūkušas locītavas utt. Locītavu pietūkums mēdz būt dažāds, un diagnozi ne vienmēr ir viegli noteikt, īpaši </w:t>
      </w:r>
      <w:r>
        <w:rPr>
          <w:rFonts w:ascii="Times New Roman" w:hAnsi="Times New Roman"/>
          <w:i/>
          <w:iCs/>
          <w:sz w:val="24"/>
        </w:rPr>
        <w:t xml:space="preserve">E. rhusiopathiae </w:t>
      </w:r>
      <w:r>
        <w:rPr>
          <w:rFonts w:ascii="Times New Roman" w:hAnsi="Times New Roman"/>
          <w:sz w:val="24"/>
        </w:rPr>
        <w:t>infekciju gadījumā</w:t>
      </w:r>
      <w:r>
        <w:rPr>
          <w:rFonts w:ascii="Times New Roman" w:hAnsi="Times New Roman"/>
          <w:i/>
          <w:iCs/>
          <w:sz w:val="24"/>
        </w:rPr>
        <w:t>.</w:t>
      </w:r>
      <w:r>
        <w:rPr>
          <w:rFonts w:ascii="Times New Roman" w:hAnsi="Times New Roman"/>
          <w:sz w:val="24"/>
        </w:rPr>
        <w:t xml:space="preserve"> Ja ganāmpulkā novēro vairākus gadījumus, ieteicams veikt viena vai vairāku inficēto jēru autopsijas, kā arī diagnostikas paketē iekļaut bakteriālo uzsējumu izpēti un jutīguma testu veikšanu.</w:t>
      </w:r>
    </w:p>
    <w:p w14:paraId="7B55DFFD" w14:textId="77777777" w:rsidR="00672FC0" w:rsidRPr="00154588" w:rsidRDefault="00672FC0" w:rsidP="00154588">
      <w:pPr>
        <w:jc w:val="both"/>
        <w:rPr>
          <w:rFonts w:ascii="Times New Roman" w:hAnsi="Times New Roman"/>
          <w:noProof/>
          <w:sz w:val="24"/>
        </w:rPr>
      </w:pPr>
    </w:p>
    <w:p w14:paraId="287EE2B3" w14:textId="77777777" w:rsidR="00672FC0" w:rsidRPr="00154588" w:rsidRDefault="00672FC0" w:rsidP="00154588">
      <w:pPr>
        <w:pStyle w:val="Heading3"/>
        <w:ind w:left="0"/>
        <w:jc w:val="both"/>
        <w:rPr>
          <w:rFonts w:ascii="Times New Roman" w:hAnsi="Times New Roman"/>
          <w:noProof/>
          <w:sz w:val="24"/>
        </w:rPr>
      </w:pPr>
      <w:bookmarkStart w:id="220" w:name="_Toc46997632"/>
      <w:bookmarkStart w:id="221" w:name="_Toc47003160"/>
      <w:r>
        <w:rPr>
          <w:rFonts w:ascii="Times New Roman" w:hAnsi="Times New Roman"/>
          <w:sz w:val="24"/>
        </w:rPr>
        <w:t>Ārstēšana</w:t>
      </w:r>
      <w:bookmarkEnd w:id="220"/>
      <w:bookmarkEnd w:id="221"/>
    </w:p>
    <w:p w14:paraId="26CBB52F" w14:textId="50D286A9"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ir sistēmiski ievadīts prokaīna benzilpenicilīns 20 mg/kg devā intramuskulāri </w:t>
      </w:r>
      <w:r>
        <w:rPr>
          <w:rFonts w:ascii="Times New Roman" w:hAnsi="Times New Roman"/>
          <w:i/>
          <w:iCs/>
          <w:sz w:val="24"/>
        </w:rPr>
        <w:t>BID</w:t>
      </w:r>
      <w:r>
        <w:rPr>
          <w:rFonts w:ascii="Times New Roman" w:hAnsi="Times New Roman"/>
          <w:sz w:val="24"/>
        </w:rPr>
        <w:t xml:space="preserve"> (</w:t>
      </w:r>
      <w:r>
        <w:rPr>
          <w:rFonts w:ascii="Times New Roman" w:hAnsi="Times New Roman"/>
          <w:i/>
          <w:iCs/>
          <w:sz w:val="24"/>
        </w:rPr>
        <w:t>SIC!</w:t>
      </w:r>
      <w:r>
        <w:rPr>
          <w:rFonts w:ascii="Times New Roman" w:hAnsi="Times New Roman"/>
          <w:sz w:val="24"/>
        </w:rPr>
        <w:t xml:space="preserve">) 10–14 dienas. Alternatīvi devu palielina līdz 40 mg/kg intramuskulāri </w:t>
      </w:r>
      <w:r>
        <w:rPr>
          <w:rFonts w:ascii="Times New Roman" w:hAnsi="Times New Roman"/>
          <w:i/>
          <w:iCs/>
          <w:sz w:val="24"/>
        </w:rPr>
        <w:t>SID</w:t>
      </w:r>
      <w:r>
        <w:rPr>
          <w:rFonts w:ascii="Times New Roman" w:hAnsi="Times New Roman"/>
          <w:sz w:val="24"/>
        </w:rPr>
        <w:t>. Anti</w:t>
      </w:r>
      <w:r w:rsidR="006C2238">
        <w:rPr>
          <w:rFonts w:ascii="Times New Roman" w:hAnsi="Times New Roman"/>
          <w:sz w:val="24"/>
        </w:rPr>
        <w:t>mikrobiālās</w:t>
      </w:r>
      <w:r>
        <w:rPr>
          <w:rFonts w:ascii="Times New Roman" w:hAnsi="Times New Roman"/>
          <w:sz w:val="24"/>
        </w:rPr>
        <w:t xml:space="preserve"> terapijas atbalstam var lietot NPL. Jēriem nedrīkst izdarīt injekcijas kaklā, jo vietējā reakcija var būt sāpīga un jēri vairs nespēj zīst.</w:t>
      </w:r>
    </w:p>
    <w:p w14:paraId="6FF2A2D7" w14:textId="77777777" w:rsidR="00672FC0" w:rsidRPr="00154588" w:rsidRDefault="00672FC0" w:rsidP="00154588">
      <w:pPr>
        <w:jc w:val="both"/>
        <w:rPr>
          <w:rFonts w:ascii="Times New Roman" w:eastAsia="Book Antiqua" w:hAnsi="Times New Roman" w:cs="Book Antiqua"/>
          <w:noProof/>
          <w:sz w:val="24"/>
          <w:szCs w:val="18"/>
        </w:rPr>
      </w:pPr>
    </w:p>
    <w:p w14:paraId="4A5DF8FB" w14:textId="34AD333E" w:rsidR="00672FC0" w:rsidRPr="00154588" w:rsidRDefault="00A75179" w:rsidP="00154588">
      <w:pPr>
        <w:jc w:val="both"/>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17A19A29" wp14:editId="2CF3703B">
            <wp:extent cx="3562709" cy="24308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6507" cy="2433421"/>
                    </a:xfrm>
                    <a:prstGeom prst="rect">
                      <a:avLst/>
                    </a:prstGeom>
                    <a:noFill/>
                    <a:ln>
                      <a:noFill/>
                    </a:ln>
                  </pic:spPr>
                </pic:pic>
              </a:graphicData>
            </a:graphic>
          </wp:inline>
        </w:drawing>
      </w:r>
    </w:p>
    <w:p w14:paraId="4023521E" w14:textId="77777777" w:rsidR="00154588" w:rsidRPr="00154588" w:rsidRDefault="00154588" w:rsidP="00154588">
      <w:pPr>
        <w:jc w:val="both"/>
        <w:rPr>
          <w:rFonts w:ascii="Times New Roman" w:eastAsia="Book Antiqua" w:hAnsi="Times New Roman" w:cs="Book Antiqua"/>
          <w:noProof/>
          <w:sz w:val="24"/>
          <w:szCs w:val="20"/>
        </w:rPr>
      </w:pPr>
    </w:p>
    <w:p w14:paraId="483150BA" w14:textId="77777777" w:rsidR="00672FC0" w:rsidRPr="00780F03" w:rsidRDefault="00672FC0" w:rsidP="00780F03">
      <w:pPr>
        <w:pStyle w:val="Heading1"/>
        <w:rPr>
          <w:b/>
          <w:bCs/>
          <w:noProof/>
          <w:sz w:val="28"/>
          <w:szCs w:val="32"/>
        </w:rPr>
      </w:pPr>
      <w:bookmarkStart w:id="222" w:name="_TOC_250014"/>
      <w:bookmarkStart w:id="223" w:name="_Toc46997633"/>
      <w:bookmarkStart w:id="224" w:name="_Toc47003161"/>
      <w:r w:rsidRPr="00780F03">
        <w:rPr>
          <w:b/>
          <w:bCs/>
          <w:sz w:val="28"/>
          <w:szCs w:val="32"/>
        </w:rPr>
        <w:lastRenderedPageBreak/>
        <w:t>Zoles abscess</w:t>
      </w:r>
      <w:bookmarkEnd w:id="222"/>
      <w:bookmarkEnd w:id="223"/>
      <w:bookmarkEnd w:id="224"/>
    </w:p>
    <w:p w14:paraId="3E0BF7DF" w14:textId="77777777" w:rsidR="00780F03" w:rsidRDefault="00780F03" w:rsidP="00154588">
      <w:pPr>
        <w:pStyle w:val="BodyText"/>
        <w:spacing w:before="0"/>
        <w:ind w:left="0"/>
        <w:jc w:val="both"/>
        <w:rPr>
          <w:rFonts w:ascii="Times New Roman" w:hAnsi="Times New Roman"/>
          <w:sz w:val="24"/>
        </w:rPr>
      </w:pPr>
    </w:p>
    <w:p w14:paraId="26F2D480" w14:textId="12255A7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Abscesi naga zolē rodas sporādiski visās vecuma grupās. Durtas brūces, ko radījuši asi priekšmeti pakaišos vai ganībās, biežāk novēro jēriem, jo nagu zoles viņiem ir plānākas nekā pieaugušiem dzīvniekiem. Neārstēts zoles abscess parasti atveras spontāni pie koronārās saites vai retāk – interdigitālajā zonā. Iekaisuma process dažkārt izplatās distālajā falangas locītavā, radot sliktu prognozi.</w:t>
      </w:r>
    </w:p>
    <w:p w14:paraId="4CCEFFAD" w14:textId="77777777" w:rsidR="00672FC0" w:rsidRPr="00154588" w:rsidRDefault="00672FC0" w:rsidP="00154588">
      <w:pPr>
        <w:jc w:val="both"/>
        <w:rPr>
          <w:rFonts w:ascii="Times New Roman" w:eastAsia="Book Antiqua" w:hAnsi="Times New Roman" w:cs="Book Antiqua"/>
          <w:noProof/>
          <w:sz w:val="24"/>
          <w:szCs w:val="17"/>
        </w:rPr>
      </w:pPr>
    </w:p>
    <w:p w14:paraId="3C336D22" w14:textId="77777777" w:rsidR="00672FC0" w:rsidRPr="00154588" w:rsidRDefault="00672FC0" w:rsidP="00154588">
      <w:pPr>
        <w:pStyle w:val="Heading3"/>
        <w:ind w:left="0"/>
        <w:jc w:val="both"/>
        <w:rPr>
          <w:rFonts w:ascii="Times New Roman" w:hAnsi="Times New Roman"/>
          <w:noProof/>
          <w:sz w:val="24"/>
        </w:rPr>
      </w:pPr>
      <w:bookmarkStart w:id="225" w:name="_Toc46997634"/>
      <w:bookmarkStart w:id="226" w:name="_Toc47003162"/>
      <w:r>
        <w:rPr>
          <w:rFonts w:ascii="Times New Roman" w:hAnsi="Times New Roman"/>
          <w:sz w:val="24"/>
        </w:rPr>
        <w:t>Diagnozes noteikšana</w:t>
      </w:r>
      <w:bookmarkEnd w:id="225"/>
      <w:bookmarkEnd w:id="226"/>
    </w:p>
    <w:p w14:paraId="1BEE90AA" w14:textId="2B4A819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Tipiski klīniskie simptomi ir smags pietūkums virs koronārās saites un klibums, parasti vienā kājā.</w:t>
      </w:r>
    </w:p>
    <w:p w14:paraId="2A307F09" w14:textId="77777777" w:rsidR="00672FC0" w:rsidRPr="00154588" w:rsidRDefault="00672FC0" w:rsidP="00154588">
      <w:pPr>
        <w:jc w:val="both"/>
        <w:rPr>
          <w:rFonts w:ascii="Times New Roman" w:eastAsia="Book Antiqua" w:hAnsi="Times New Roman" w:cs="Book Antiqua"/>
          <w:noProof/>
          <w:sz w:val="24"/>
          <w:szCs w:val="17"/>
        </w:rPr>
      </w:pPr>
    </w:p>
    <w:p w14:paraId="2186355E" w14:textId="77777777" w:rsidR="00672FC0" w:rsidRPr="00154588" w:rsidRDefault="00672FC0" w:rsidP="00154588">
      <w:pPr>
        <w:pStyle w:val="Heading3"/>
        <w:ind w:left="0"/>
        <w:jc w:val="both"/>
        <w:rPr>
          <w:rFonts w:ascii="Times New Roman" w:hAnsi="Times New Roman"/>
          <w:noProof/>
          <w:sz w:val="24"/>
        </w:rPr>
      </w:pPr>
      <w:bookmarkStart w:id="227" w:name="_Toc46997635"/>
      <w:bookmarkStart w:id="228" w:name="_Toc47003163"/>
      <w:r>
        <w:rPr>
          <w:rFonts w:ascii="Times New Roman" w:hAnsi="Times New Roman"/>
          <w:sz w:val="24"/>
        </w:rPr>
        <w:t>Ārstēšana</w:t>
      </w:r>
      <w:bookmarkEnd w:id="227"/>
      <w:bookmarkEnd w:id="228"/>
    </w:p>
    <w:p w14:paraId="34BA1A5C" w14:textId="2C7193A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ir prokaīna benzilpenicilīns, ko ievada intramuskulāri 20 mg/kg devā </w:t>
      </w:r>
      <w:r>
        <w:rPr>
          <w:rFonts w:ascii="Times New Roman" w:hAnsi="Times New Roman"/>
          <w:i/>
          <w:iCs/>
          <w:sz w:val="24"/>
        </w:rPr>
        <w:t>SID</w:t>
      </w:r>
      <w:r>
        <w:rPr>
          <w:rFonts w:ascii="Times New Roman" w:hAnsi="Times New Roman"/>
          <w:sz w:val="24"/>
        </w:rPr>
        <w:t xml:space="preserve"> 5–7 dienas. Sāpju un diskomforta mazināšanai var </w:t>
      </w:r>
      <w:r w:rsidR="006C2238">
        <w:rPr>
          <w:rFonts w:ascii="Times New Roman" w:hAnsi="Times New Roman"/>
          <w:sz w:val="24"/>
        </w:rPr>
        <w:t>lietot</w:t>
      </w:r>
      <w:r>
        <w:rPr>
          <w:rFonts w:ascii="Times New Roman" w:hAnsi="Times New Roman"/>
          <w:sz w:val="24"/>
        </w:rPr>
        <w:t xml:space="preserve"> NPL.</w:t>
      </w:r>
    </w:p>
    <w:p w14:paraId="629212A3" w14:textId="77777777" w:rsidR="00672FC0" w:rsidRPr="00154588" w:rsidRDefault="00672FC0" w:rsidP="00154588">
      <w:pPr>
        <w:jc w:val="both"/>
        <w:rPr>
          <w:rFonts w:ascii="Times New Roman" w:eastAsia="Book Antiqua" w:hAnsi="Times New Roman" w:cs="Book Antiqua"/>
          <w:noProof/>
          <w:sz w:val="24"/>
          <w:szCs w:val="26"/>
        </w:rPr>
      </w:pPr>
    </w:p>
    <w:p w14:paraId="18E1E18A" w14:textId="77777777" w:rsidR="00672FC0" w:rsidRPr="00780F03" w:rsidRDefault="00672FC0" w:rsidP="00780F03">
      <w:pPr>
        <w:pStyle w:val="Heading1"/>
        <w:rPr>
          <w:b/>
          <w:bCs/>
          <w:noProof/>
          <w:sz w:val="28"/>
          <w:szCs w:val="32"/>
        </w:rPr>
      </w:pPr>
      <w:bookmarkStart w:id="229" w:name="_TOC_250013"/>
      <w:bookmarkStart w:id="230" w:name="_Toc46997636"/>
      <w:bookmarkStart w:id="231" w:name="_Toc47003164"/>
      <w:r w:rsidRPr="00780F03">
        <w:rPr>
          <w:b/>
          <w:bCs/>
          <w:sz w:val="28"/>
          <w:szCs w:val="32"/>
        </w:rPr>
        <w:t>Pēdu puve</w:t>
      </w:r>
      <w:bookmarkEnd w:id="229"/>
      <w:bookmarkEnd w:id="230"/>
      <w:bookmarkEnd w:id="231"/>
    </w:p>
    <w:p w14:paraId="5DFEB998" w14:textId="77777777" w:rsidR="00780F03" w:rsidRDefault="00780F03" w:rsidP="00154588">
      <w:pPr>
        <w:pStyle w:val="BodyText"/>
        <w:spacing w:before="0"/>
        <w:ind w:left="0"/>
        <w:jc w:val="both"/>
        <w:rPr>
          <w:rFonts w:ascii="Times New Roman" w:hAnsi="Times New Roman"/>
          <w:sz w:val="24"/>
        </w:rPr>
      </w:pPr>
    </w:p>
    <w:p w14:paraId="2C963B4F" w14:textId="20B1BF2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Pēdu puve bieži seko pēc bakteriālas infekcijas, parasti ar </w:t>
      </w:r>
      <w:r>
        <w:rPr>
          <w:rFonts w:ascii="Times New Roman" w:hAnsi="Times New Roman"/>
          <w:i/>
          <w:iCs/>
          <w:sz w:val="24"/>
        </w:rPr>
        <w:t>Fusobacterium necrophorum</w:t>
      </w:r>
      <w:r>
        <w:rPr>
          <w:rFonts w:ascii="Times New Roman" w:hAnsi="Times New Roman"/>
          <w:sz w:val="24"/>
        </w:rPr>
        <w:t xml:space="preserve">, kas inficē ādu interdigitālajā zonā, radot stāvokli, kas līdzinās ekzēmai. Traumētā, inficētā āda pēc tam sekundāri inficējas ar </w:t>
      </w:r>
      <w:r>
        <w:rPr>
          <w:rFonts w:ascii="Times New Roman" w:hAnsi="Times New Roman"/>
          <w:i/>
          <w:iCs/>
          <w:sz w:val="24"/>
        </w:rPr>
        <w:t>Dichelobacter nodosus</w:t>
      </w:r>
      <w:r>
        <w:rPr>
          <w:rFonts w:ascii="Times New Roman" w:hAnsi="Times New Roman"/>
          <w:sz w:val="24"/>
        </w:rPr>
        <w:t>, kas spēj izšķīdināt naga raga kārtu un izraisīt pēdu puvi.</w:t>
      </w:r>
    </w:p>
    <w:p w14:paraId="1A6E06D1" w14:textId="77777777" w:rsidR="00672FC0" w:rsidRPr="00154588" w:rsidRDefault="00672FC0" w:rsidP="00154588">
      <w:pPr>
        <w:jc w:val="both"/>
        <w:rPr>
          <w:rFonts w:ascii="Times New Roman" w:eastAsia="Book Antiqua" w:hAnsi="Times New Roman" w:cs="Book Antiqua"/>
          <w:noProof/>
          <w:sz w:val="24"/>
          <w:szCs w:val="17"/>
        </w:rPr>
      </w:pPr>
    </w:p>
    <w:p w14:paraId="0A082D7C" w14:textId="77777777" w:rsidR="00672FC0" w:rsidRPr="00154588" w:rsidRDefault="00672FC0" w:rsidP="00154588">
      <w:pPr>
        <w:pStyle w:val="Heading3"/>
        <w:ind w:left="0"/>
        <w:jc w:val="both"/>
        <w:rPr>
          <w:rFonts w:ascii="Times New Roman" w:hAnsi="Times New Roman"/>
          <w:noProof/>
          <w:sz w:val="24"/>
        </w:rPr>
      </w:pPr>
      <w:bookmarkStart w:id="232" w:name="_Toc46997637"/>
      <w:bookmarkStart w:id="233" w:name="_Toc47003165"/>
      <w:r>
        <w:rPr>
          <w:rFonts w:ascii="Times New Roman" w:hAnsi="Times New Roman"/>
          <w:sz w:val="24"/>
        </w:rPr>
        <w:t>Diagnozes noteikšana</w:t>
      </w:r>
      <w:bookmarkEnd w:id="232"/>
      <w:bookmarkEnd w:id="233"/>
    </w:p>
    <w:p w14:paraId="76C5B24E" w14:textId="7A3254D8"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Pēdu puves diagnozi nosaka pēc nekrotizējošam iekaisumam raksturīgiem klīniskajiem simptomiem interdigitālajā zonā, tostarp nagu mīkstajā mediālajā raga kārtā. Parasti ganāmpulkā šie simptomi ir vairākiem dzīvniekiem. Smagos gadījumos iekaisuma process aptver arī zoles raga kārtu. Interdigitālajā zonā novēro smakojošu eksudātu, un dzīvniekiem ir dažādas pakāpes klibums vienā vai vairākās kājās.</w:t>
      </w:r>
    </w:p>
    <w:p w14:paraId="19564663" w14:textId="77777777" w:rsidR="00672FC0" w:rsidRPr="00154588" w:rsidRDefault="00672FC0" w:rsidP="00154588">
      <w:pPr>
        <w:jc w:val="both"/>
        <w:rPr>
          <w:rFonts w:ascii="Times New Roman" w:eastAsia="Book Antiqua" w:hAnsi="Times New Roman" w:cs="Book Antiqua"/>
          <w:noProof/>
          <w:sz w:val="24"/>
          <w:szCs w:val="17"/>
        </w:rPr>
      </w:pPr>
    </w:p>
    <w:p w14:paraId="1DD6F4BF" w14:textId="77777777" w:rsidR="00672FC0" w:rsidRPr="00154588" w:rsidRDefault="00672FC0" w:rsidP="00154588">
      <w:pPr>
        <w:pStyle w:val="Heading3"/>
        <w:ind w:left="0"/>
        <w:jc w:val="both"/>
        <w:rPr>
          <w:rFonts w:ascii="Times New Roman" w:hAnsi="Times New Roman"/>
          <w:noProof/>
          <w:sz w:val="24"/>
        </w:rPr>
      </w:pPr>
      <w:bookmarkStart w:id="234" w:name="_Toc46997638"/>
      <w:bookmarkStart w:id="235" w:name="_Toc47003166"/>
      <w:r>
        <w:rPr>
          <w:rFonts w:ascii="Times New Roman" w:hAnsi="Times New Roman"/>
          <w:sz w:val="24"/>
        </w:rPr>
        <w:t>Ārstēšana</w:t>
      </w:r>
      <w:bookmarkEnd w:id="234"/>
      <w:bookmarkEnd w:id="235"/>
    </w:p>
    <w:p w14:paraId="5A780061" w14:textId="77EDD5C8"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Zviedrijas apstākļos parasti labi palīdz slimības skarto dzīvnieku ārstēšana ar ilgstošas darbības tetraciklīnu.</w:t>
      </w:r>
    </w:p>
    <w:p w14:paraId="7A2F4879" w14:textId="77777777" w:rsidR="00BD7EEA" w:rsidRPr="00154588" w:rsidRDefault="00BD7EEA" w:rsidP="00154588">
      <w:pPr>
        <w:pStyle w:val="BodyText"/>
        <w:spacing w:before="0"/>
        <w:ind w:left="0"/>
        <w:jc w:val="both"/>
        <w:rPr>
          <w:rFonts w:ascii="Times New Roman" w:hAnsi="Times New Roman"/>
          <w:noProof/>
          <w:sz w:val="24"/>
        </w:rPr>
      </w:pPr>
    </w:p>
    <w:p w14:paraId="48B35D88" w14:textId="4D7DE2A7"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Mēģinot izskaust pēdu puvi, klīnicistam jāapvieno šādi pasākumi:</w:t>
      </w:r>
    </w:p>
    <w:p w14:paraId="716CEF1D" w14:textId="77777777" w:rsidR="00BD7EEA" w:rsidRPr="00154588" w:rsidRDefault="00BD7EEA" w:rsidP="00154588">
      <w:pPr>
        <w:pStyle w:val="BodyText"/>
        <w:spacing w:before="0"/>
        <w:ind w:left="0"/>
        <w:jc w:val="both"/>
        <w:rPr>
          <w:rFonts w:ascii="Times New Roman" w:hAnsi="Times New Roman"/>
          <w:noProof/>
          <w:sz w:val="24"/>
        </w:rPr>
      </w:pPr>
    </w:p>
    <w:p w14:paraId="24181182" w14:textId="08C2779F" w:rsidR="00672FC0" w:rsidRPr="00154588" w:rsidRDefault="00BD7EEA" w:rsidP="00BD7EEA">
      <w:pPr>
        <w:pStyle w:val="BodyText"/>
        <w:spacing w:before="0"/>
        <w:ind w:left="284"/>
        <w:jc w:val="both"/>
        <w:rPr>
          <w:rFonts w:ascii="Times New Roman" w:hAnsi="Times New Roman"/>
          <w:noProof/>
          <w:sz w:val="24"/>
        </w:rPr>
      </w:pPr>
      <w:r>
        <w:rPr>
          <w:rFonts w:ascii="Times New Roman" w:hAnsi="Times New Roman"/>
          <w:sz w:val="24"/>
        </w:rPr>
        <w:t>1) hroniski slimo dzīvnieku izkaušana;</w:t>
      </w:r>
    </w:p>
    <w:p w14:paraId="4A647FAB" w14:textId="77BE5944" w:rsidR="00672FC0" w:rsidRPr="00154588" w:rsidRDefault="00BD7EEA" w:rsidP="00BD7EEA">
      <w:pPr>
        <w:pStyle w:val="BodyText"/>
        <w:spacing w:before="0"/>
        <w:ind w:left="284"/>
        <w:jc w:val="both"/>
        <w:rPr>
          <w:rFonts w:ascii="Times New Roman" w:hAnsi="Times New Roman"/>
          <w:noProof/>
          <w:sz w:val="24"/>
        </w:rPr>
      </w:pPr>
      <w:r>
        <w:rPr>
          <w:rFonts w:ascii="Times New Roman" w:hAnsi="Times New Roman"/>
          <w:sz w:val="24"/>
        </w:rPr>
        <w:t>2) atkārtotas kāju vannas ar cinka sulfātu un</w:t>
      </w:r>
    </w:p>
    <w:p w14:paraId="0C829BFD" w14:textId="10152AAC" w:rsidR="00672FC0" w:rsidRPr="00154588" w:rsidRDefault="00BD7EEA" w:rsidP="00BD7EEA">
      <w:pPr>
        <w:pStyle w:val="BodyText"/>
        <w:spacing w:before="0"/>
        <w:ind w:left="284"/>
        <w:jc w:val="both"/>
        <w:rPr>
          <w:rFonts w:ascii="Times New Roman" w:hAnsi="Times New Roman"/>
          <w:noProof/>
          <w:sz w:val="24"/>
        </w:rPr>
      </w:pPr>
      <w:r>
        <w:rPr>
          <w:rFonts w:ascii="Times New Roman" w:hAnsi="Times New Roman"/>
          <w:sz w:val="24"/>
        </w:rPr>
        <w:t>3) TET injekcijas, vienlaikus veicot vismaz pirmo pēdu vannu.</w:t>
      </w:r>
    </w:p>
    <w:p w14:paraId="343D592D" w14:textId="77777777" w:rsidR="00154588" w:rsidRPr="00154588" w:rsidRDefault="00154588" w:rsidP="00154588">
      <w:pPr>
        <w:jc w:val="both"/>
        <w:rPr>
          <w:rFonts w:ascii="Times New Roman" w:hAnsi="Times New Roman"/>
          <w:noProof/>
          <w:sz w:val="24"/>
        </w:rPr>
      </w:pPr>
    </w:p>
    <w:p w14:paraId="663A0771" w14:textId="77777777" w:rsidR="00672FC0" w:rsidRPr="00780F03" w:rsidRDefault="00672FC0" w:rsidP="00780F03">
      <w:pPr>
        <w:pStyle w:val="Heading1"/>
        <w:rPr>
          <w:b/>
          <w:bCs/>
          <w:noProof/>
          <w:sz w:val="28"/>
          <w:szCs w:val="32"/>
        </w:rPr>
      </w:pPr>
      <w:bookmarkStart w:id="236" w:name="_TOC_250012"/>
      <w:bookmarkStart w:id="237" w:name="_Toc46997639"/>
      <w:bookmarkStart w:id="238" w:name="_Toc47003167"/>
      <w:r w:rsidRPr="00780F03">
        <w:rPr>
          <w:b/>
          <w:bCs/>
          <w:sz w:val="28"/>
          <w:szCs w:val="32"/>
        </w:rPr>
        <w:t>Pneimonija</w:t>
      </w:r>
      <w:bookmarkEnd w:id="236"/>
      <w:bookmarkEnd w:id="237"/>
      <w:bookmarkEnd w:id="238"/>
    </w:p>
    <w:p w14:paraId="4C132091" w14:textId="77777777" w:rsidR="00780F03" w:rsidRDefault="00780F03" w:rsidP="00BD7EEA">
      <w:pPr>
        <w:pStyle w:val="BodyText"/>
        <w:spacing w:before="0"/>
        <w:ind w:left="0"/>
        <w:jc w:val="both"/>
        <w:rPr>
          <w:rFonts w:ascii="Times New Roman" w:hAnsi="Times New Roman"/>
          <w:sz w:val="24"/>
        </w:rPr>
      </w:pPr>
    </w:p>
    <w:p w14:paraId="37B27DBD" w14:textId="70B432F0" w:rsidR="00672FC0" w:rsidRPr="00154588" w:rsidRDefault="00672FC0" w:rsidP="00BD7EEA">
      <w:pPr>
        <w:pStyle w:val="BodyText"/>
        <w:spacing w:before="0"/>
        <w:ind w:left="0"/>
        <w:jc w:val="both"/>
        <w:rPr>
          <w:rFonts w:ascii="Times New Roman" w:hAnsi="Times New Roman"/>
          <w:noProof/>
          <w:sz w:val="24"/>
        </w:rPr>
      </w:pPr>
      <w:r>
        <w:rPr>
          <w:rFonts w:ascii="Times New Roman" w:hAnsi="Times New Roman"/>
          <w:sz w:val="24"/>
        </w:rPr>
        <w:t xml:space="preserve">Zviedrijas aitu ganāmpulkos elpceļu infekcijas ir samērā izplatītas, taču zināšanas par to etioloģiskajiem izraisītājiem – baktērijām, vīrusiem un parazītiem – ir ierobežotas. Ganāmpulkos ar elpceļu slimībām bieži atrod </w:t>
      </w:r>
      <w:r>
        <w:rPr>
          <w:rFonts w:ascii="Times New Roman" w:hAnsi="Times New Roman"/>
          <w:i/>
          <w:iCs/>
          <w:sz w:val="24"/>
        </w:rPr>
        <w:t>Mycoplasma ovipneumoniae,</w:t>
      </w:r>
      <w:r>
        <w:rPr>
          <w:rFonts w:ascii="Times New Roman" w:hAnsi="Times New Roman"/>
          <w:sz w:val="24"/>
        </w:rPr>
        <w:t xml:space="preserve"> </w:t>
      </w:r>
      <w:r>
        <w:rPr>
          <w:rFonts w:ascii="Times New Roman" w:hAnsi="Times New Roman"/>
          <w:i/>
          <w:iCs/>
          <w:sz w:val="24"/>
        </w:rPr>
        <w:t>Pasteurella multocida</w:t>
      </w:r>
      <w:r>
        <w:rPr>
          <w:rFonts w:ascii="Times New Roman" w:hAnsi="Times New Roman"/>
          <w:sz w:val="24"/>
        </w:rPr>
        <w:t xml:space="preserve"> un </w:t>
      </w:r>
      <w:r>
        <w:rPr>
          <w:rFonts w:ascii="Times New Roman" w:hAnsi="Times New Roman"/>
          <w:i/>
          <w:iCs/>
          <w:sz w:val="24"/>
        </w:rPr>
        <w:t>Mannheimia haemolytica</w:t>
      </w:r>
      <w:r>
        <w:rPr>
          <w:rFonts w:ascii="Times New Roman" w:hAnsi="Times New Roman"/>
          <w:sz w:val="24"/>
        </w:rPr>
        <w:t xml:space="preserve">. Nelielā pētījumā, kas veikts 2008. gadā, diezgan bieža atradne bija </w:t>
      </w:r>
      <w:r>
        <w:rPr>
          <w:rFonts w:ascii="Times New Roman" w:hAnsi="Times New Roman"/>
          <w:i/>
          <w:iCs/>
          <w:sz w:val="24"/>
        </w:rPr>
        <w:t>M. ovipneumoniae</w:t>
      </w:r>
      <w:r>
        <w:rPr>
          <w:rFonts w:ascii="Times New Roman" w:hAnsi="Times New Roman"/>
          <w:sz w:val="24"/>
        </w:rPr>
        <w:t>, savukārt vīrusu, parazītu un citas bakteriālās infekcijas bija retāk sastopamas. Ja ganāmpulkā ir elpceļu slimību problēmas, jāveic ganāmpulka veselības pārbaude, izpētot predisponējošos faktorus.</w:t>
      </w:r>
    </w:p>
    <w:p w14:paraId="558E86F6" w14:textId="77777777" w:rsidR="00672FC0" w:rsidRPr="00154588" w:rsidRDefault="00672FC0" w:rsidP="00154588">
      <w:pPr>
        <w:jc w:val="both"/>
        <w:rPr>
          <w:rFonts w:ascii="Times New Roman" w:hAnsi="Times New Roman"/>
          <w:noProof/>
          <w:sz w:val="24"/>
        </w:rPr>
      </w:pPr>
    </w:p>
    <w:p w14:paraId="57DC7A43" w14:textId="77777777" w:rsidR="00672FC0" w:rsidRPr="00154588" w:rsidRDefault="00672FC0" w:rsidP="00154588">
      <w:pPr>
        <w:pStyle w:val="Heading3"/>
        <w:ind w:left="0"/>
        <w:jc w:val="both"/>
        <w:rPr>
          <w:rFonts w:ascii="Times New Roman" w:hAnsi="Times New Roman"/>
          <w:noProof/>
          <w:sz w:val="24"/>
        </w:rPr>
      </w:pPr>
      <w:bookmarkStart w:id="239" w:name="_Toc46997640"/>
      <w:bookmarkStart w:id="240" w:name="_Toc47003168"/>
      <w:r>
        <w:rPr>
          <w:rFonts w:ascii="Times New Roman" w:hAnsi="Times New Roman"/>
          <w:sz w:val="24"/>
        </w:rPr>
        <w:lastRenderedPageBreak/>
        <w:t>Diagnozes noteikšana</w:t>
      </w:r>
      <w:bookmarkEnd w:id="239"/>
      <w:bookmarkEnd w:id="240"/>
    </w:p>
    <w:p w14:paraId="404B2F96"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i/>
          <w:iCs/>
          <w:sz w:val="24"/>
        </w:rPr>
        <w:t>M. ovipneumoniae</w:t>
      </w:r>
      <w:r>
        <w:rPr>
          <w:rFonts w:ascii="Times New Roman" w:hAnsi="Times New Roman"/>
          <w:sz w:val="24"/>
        </w:rPr>
        <w:t xml:space="preserve"> bieži izraisa klepu, nepasliktinot dzīvnieku vispārējo stāvokli, savukārt </w:t>
      </w:r>
      <w:r>
        <w:rPr>
          <w:rFonts w:ascii="Times New Roman" w:hAnsi="Times New Roman"/>
          <w:i/>
          <w:iCs/>
          <w:sz w:val="24"/>
        </w:rPr>
        <w:t>P. multocida</w:t>
      </w:r>
      <w:r>
        <w:rPr>
          <w:rFonts w:ascii="Times New Roman" w:hAnsi="Times New Roman"/>
          <w:sz w:val="24"/>
        </w:rPr>
        <w:t xml:space="preserve"> un </w:t>
      </w:r>
      <w:r>
        <w:rPr>
          <w:rFonts w:ascii="Times New Roman" w:hAnsi="Times New Roman"/>
          <w:i/>
          <w:iCs/>
          <w:sz w:val="24"/>
        </w:rPr>
        <w:t>M. hemolytica</w:t>
      </w:r>
      <w:r>
        <w:rPr>
          <w:rFonts w:ascii="Times New Roman" w:hAnsi="Times New Roman"/>
          <w:sz w:val="24"/>
        </w:rPr>
        <w:t xml:space="preserve"> bieži izraisa dažāda smaguma klīniskos simptomus; iespējami perakūti pēkšņas nāves gadījumi bez elpceļu slimības pazīmēm.</w:t>
      </w:r>
    </w:p>
    <w:p w14:paraId="4166F465" w14:textId="77777777" w:rsidR="00BD7EEA" w:rsidRDefault="00BD7EEA" w:rsidP="00154588">
      <w:pPr>
        <w:pStyle w:val="BodyText"/>
        <w:spacing w:before="0"/>
        <w:ind w:left="0"/>
        <w:jc w:val="both"/>
        <w:rPr>
          <w:rFonts w:ascii="Times New Roman" w:hAnsi="Times New Roman"/>
          <w:noProof/>
          <w:sz w:val="24"/>
        </w:rPr>
      </w:pPr>
    </w:p>
    <w:p w14:paraId="41FFA69D" w14:textId="349C0FBE"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Var novērot klīniskos simptomus, piemēram, klepu, aizdusu, drudzi un/vai pasliktinātu vispārējo stāvokli. Baktērijas, ieskaitot mikoplazmu, var atrast autopsijas un mikrobioloģiskās izmeklēšanas laikā (kultūra/PĶR) vai ņemot paraugus kaušanas laikā. Zviedrijas pieredze liecina par to, ka deguna uztriepēm ir ierobežota nozīme.</w:t>
      </w:r>
    </w:p>
    <w:p w14:paraId="538B5220" w14:textId="77777777" w:rsidR="00BD7EEA" w:rsidRPr="00154588" w:rsidRDefault="00BD7EEA" w:rsidP="00154588">
      <w:pPr>
        <w:pStyle w:val="BodyText"/>
        <w:spacing w:before="0"/>
        <w:ind w:left="0"/>
        <w:jc w:val="both"/>
        <w:rPr>
          <w:rFonts w:ascii="Times New Roman" w:hAnsi="Times New Roman"/>
          <w:noProof/>
          <w:sz w:val="24"/>
        </w:rPr>
      </w:pPr>
    </w:p>
    <w:p w14:paraId="07A7A8A9"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Lai izpētītu ar vīrusiem vai parazītiem saistīto etioloģiju, var ņemt seroloģiskos paraugus un/vai veikt fēču analīzi.</w:t>
      </w:r>
    </w:p>
    <w:p w14:paraId="45FE03C8" w14:textId="77777777" w:rsidR="00672FC0" w:rsidRPr="00154588" w:rsidRDefault="00672FC0" w:rsidP="00154588">
      <w:pPr>
        <w:jc w:val="both"/>
        <w:rPr>
          <w:rFonts w:ascii="Times New Roman" w:eastAsia="Book Antiqua" w:hAnsi="Times New Roman" w:cs="Book Antiqua"/>
          <w:noProof/>
          <w:sz w:val="24"/>
          <w:szCs w:val="18"/>
        </w:rPr>
      </w:pPr>
    </w:p>
    <w:p w14:paraId="3CE3E5D3" w14:textId="77777777" w:rsidR="00672FC0" w:rsidRPr="00154588" w:rsidRDefault="00672FC0" w:rsidP="00154588">
      <w:pPr>
        <w:pStyle w:val="Heading3"/>
        <w:ind w:left="0"/>
        <w:jc w:val="both"/>
        <w:rPr>
          <w:rFonts w:ascii="Times New Roman" w:hAnsi="Times New Roman"/>
          <w:noProof/>
          <w:sz w:val="24"/>
        </w:rPr>
      </w:pPr>
      <w:bookmarkStart w:id="241" w:name="_Toc46997641"/>
      <w:bookmarkStart w:id="242" w:name="_Toc47003169"/>
      <w:r>
        <w:rPr>
          <w:rFonts w:ascii="Times New Roman" w:hAnsi="Times New Roman"/>
          <w:sz w:val="24"/>
        </w:rPr>
        <w:t>Ārstēšana</w:t>
      </w:r>
      <w:bookmarkEnd w:id="241"/>
      <w:bookmarkEnd w:id="242"/>
    </w:p>
    <w:p w14:paraId="7D705FF1" w14:textId="3AB47225"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ārstējot elpceļu slimības, ir prokaīna benzilpenicilīns, ko 20 mg/kg devā ievada intramuskulāri </w:t>
      </w:r>
      <w:r>
        <w:rPr>
          <w:rFonts w:ascii="Times New Roman" w:hAnsi="Times New Roman"/>
          <w:i/>
          <w:iCs/>
          <w:sz w:val="24"/>
        </w:rPr>
        <w:t>BID</w:t>
      </w:r>
      <w:r>
        <w:rPr>
          <w:rFonts w:ascii="Times New Roman" w:hAnsi="Times New Roman"/>
          <w:sz w:val="24"/>
        </w:rPr>
        <w:t xml:space="preserve"> (</w:t>
      </w:r>
      <w:r>
        <w:rPr>
          <w:rFonts w:ascii="Times New Roman" w:hAnsi="Times New Roman"/>
          <w:i/>
          <w:iCs/>
          <w:sz w:val="24"/>
        </w:rPr>
        <w:t>SIC!</w:t>
      </w:r>
      <w:r>
        <w:rPr>
          <w:rFonts w:ascii="Times New Roman" w:hAnsi="Times New Roman"/>
          <w:sz w:val="24"/>
        </w:rPr>
        <w:t xml:space="preserve">) piecas dienas. Alternatīva terapija var būt 40 mg/kg intramuskulāri </w:t>
      </w:r>
      <w:r>
        <w:rPr>
          <w:rFonts w:ascii="Times New Roman" w:hAnsi="Times New Roman"/>
          <w:i/>
          <w:iCs/>
          <w:sz w:val="24"/>
        </w:rPr>
        <w:t>SID</w:t>
      </w:r>
      <w:r>
        <w:rPr>
          <w:rFonts w:ascii="Times New Roman" w:hAnsi="Times New Roman"/>
          <w:sz w:val="24"/>
        </w:rPr>
        <w:t xml:space="preserve"> piecas dienas. Trešā iespēja ir izmantot ilgstošas darbības prokaīna benzilpenicilīnu, ko ievada 30 mg/kg devās intramuskulāri </w:t>
      </w:r>
      <w:r>
        <w:rPr>
          <w:rFonts w:ascii="Times New Roman" w:hAnsi="Times New Roman"/>
          <w:i/>
          <w:iCs/>
          <w:sz w:val="24"/>
        </w:rPr>
        <w:t>SID</w:t>
      </w:r>
      <w:r>
        <w:rPr>
          <w:rFonts w:ascii="Times New Roman" w:hAnsi="Times New Roman"/>
          <w:sz w:val="24"/>
        </w:rPr>
        <w:t xml:space="preserve"> piecas dienas.</w:t>
      </w:r>
    </w:p>
    <w:p w14:paraId="378BBDAC" w14:textId="77777777" w:rsidR="00BD7EEA" w:rsidRPr="00154588" w:rsidRDefault="00BD7EEA" w:rsidP="00154588">
      <w:pPr>
        <w:pStyle w:val="BodyText"/>
        <w:spacing w:before="0"/>
        <w:ind w:left="0"/>
        <w:jc w:val="both"/>
        <w:rPr>
          <w:rFonts w:ascii="Times New Roman" w:hAnsi="Times New Roman"/>
          <w:noProof/>
          <w:sz w:val="24"/>
        </w:rPr>
      </w:pPr>
    </w:p>
    <w:p w14:paraId="5B1DA925"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apstiprināta </w:t>
      </w:r>
      <w:r>
        <w:rPr>
          <w:rFonts w:ascii="Times New Roman" w:hAnsi="Times New Roman"/>
          <w:i/>
          <w:iCs/>
          <w:sz w:val="24"/>
        </w:rPr>
        <w:t>M. ovipneumonie</w:t>
      </w:r>
      <w:r>
        <w:rPr>
          <w:rFonts w:ascii="Times New Roman" w:hAnsi="Times New Roman"/>
          <w:sz w:val="24"/>
        </w:rPr>
        <w:t xml:space="preserve"> klātbūtne vai par to ir aizdomas, izvēles zāles Zviedrijas apstākļos ir tetraciklīns (TET), ko ievada intramuskulāri 10 mg/kg devās </w:t>
      </w:r>
      <w:r>
        <w:rPr>
          <w:rFonts w:ascii="Times New Roman" w:hAnsi="Times New Roman"/>
          <w:i/>
          <w:iCs/>
          <w:sz w:val="24"/>
        </w:rPr>
        <w:t>SID</w:t>
      </w:r>
      <w:r>
        <w:rPr>
          <w:rFonts w:ascii="Times New Roman" w:hAnsi="Times New Roman"/>
          <w:sz w:val="24"/>
        </w:rPr>
        <w:t xml:space="preserve"> 5–7 dienas vai 20 mg/kg devās 2–3 reizes, injicējot intramuskulāri ik pēc 48 stundām. Ilgstošas darbības TET var ievadīt 20 mg/kg devās 2–3 reizes ar 60 stundu intervālu.</w:t>
      </w:r>
    </w:p>
    <w:p w14:paraId="1BEECF61" w14:textId="77777777" w:rsidR="00672FC0" w:rsidRPr="00154588" w:rsidRDefault="00672FC0" w:rsidP="00154588">
      <w:pPr>
        <w:jc w:val="both"/>
        <w:rPr>
          <w:rFonts w:ascii="Times New Roman" w:hAnsi="Times New Roman"/>
          <w:noProof/>
          <w:sz w:val="24"/>
        </w:rPr>
      </w:pPr>
    </w:p>
    <w:p w14:paraId="33967509" w14:textId="77777777" w:rsidR="00672FC0" w:rsidRPr="00780F03" w:rsidRDefault="00672FC0" w:rsidP="00780F03">
      <w:pPr>
        <w:pStyle w:val="Heading1"/>
        <w:rPr>
          <w:b/>
          <w:bCs/>
          <w:noProof/>
          <w:sz w:val="28"/>
          <w:szCs w:val="32"/>
        </w:rPr>
      </w:pPr>
      <w:bookmarkStart w:id="243" w:name="_TOC_250011"/>
      <w:bookmarkStart w:id="244" w:name="_Toc46997642"/>
      <w:bookmarkStart w:id="245" w:name="_Toc47003170"/>
      <w:r w:rsidRPr="00780F03">
        <w:rPr>
          <w:b/>
          <w:bCs/>
          <w:sz w:val="28"/>
          <w:szCs w:val="32"/>
        </w:rPr>
        <w:t>Listerioze</w:t>
      </w:r>
      <w:bookmarkEnd w:id="243"/>
      <w:bookmarkEnd w:id="244"/>
      <w:bookmarkEnd w:id="245"/>
    </w:p>
    <w:p w14:paraId="595915C9" w14:textId="77777777" w:rsidR="00780F03" w:rsidRDefault="00780F03" w:rsidP="00154588">
      <w:pPr>
        <w:pStyle w:val="BodyText"/>
        <w:spacing w:before="0"/>
        <w:ind w:left="0"/>
        <w:jc w:val="both"/>
        <w:rPr>
          <w:rFonts w:ascii="Times New Roman" w:hAnsi="Times New Roman"/>
          <w:sz w:val="24"/>
        </w:rPr>
      </w:pPr>
    </w:p>
    <w:p w14:paraId="7163A091" w14:textId="6323394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Encefalīts ir visizplatītākā listeriozes izpausme Zviedrijā, un sporādiski gadījumi ir novērojami ziemā. Par nozīmīgu riska faktoru uzskata ar augsni piesārņotu skābbarību, kuras pH &gt;5. Laboratorijai, kas noteikusi diagnozi, par apstiprinātajiem gadījumiem saskaņā ar likumu par zoonozēm jāziņo valsts iestādēm. Kopš tūkstošgades mijas katru gadu ziņo par 30–35 gadījumiem.</w:t>
      </w:r>
    </w:p>
    <w:p w14:paraId="1613DF4D" w14:textId="77777777" w:rsidR="00672FC0" w:rsidRPr="00154588" w:rsidRDefault="00672FC0" w:rsidP="00154588">
      <w:pPr>
        <w:jc w:val="both"/>
        <w:rPr>
          <w:rFonts w:ascii="Times New Roman" w:eastAsia="Book Antiqua" w:hAnsi="Times New Roman" w:cs="Book Antiqua"/>
          <w:noProof/>
          <w:sz w:val="24"/>
          <w:szCs w:val="18"/>
        </w:rPr>
      </w:pPr>
    </w:p>
    <w:p w14:paraId="136A53EF" w14:textId="77777777" w:rsidR="00672FC0" w:rsidRPr="00154588" w:rsidRDefault="00672FC0" w:rsidP="00154588">
      <w:pPr>
        <w:pStyle w:val="Heading3"/>
        <w:ind w:left="0"/>
        <w:jc w:val="both"/>
        <w:rPr>
          <w:rFonts w:ascii="Times New Roman" w:hAnsi="Times New Roman"/>
          <w:noProof/>
          <w:sz w:val="24"/>
        </w:rPr>
      </w:pPr>
      <w:bookmarkStart w:id="246" w:name="_Toc46997643"/>
      <w:bookmarkStart w:id="247" w:name="_Toc47003171"/>
      <w:r>
        <w:rPr>
          <w:rFonts w:ascii="Times New Roman" w:hAnsi="Times New Roman"/>
          <w:sz w:val="24"/>
        </w:rPr>
        <w:t>Diagnozes noteikšana</w:t>
      </w:r>
      <w:bookmarkEnd w:id="246"/>
      <w:bookmarkEnd w:id="247"/>
    </w:p>
    <w:p w14:paraId="7122ABD2"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Ar encefalītu slimajiem dzīvniekiem ir pasliktināts vispārējais stāvoklis, dažreiz drudzis, bieži – vienpusēja parēze sejas daļā, siekalošanās un CNS traucējumi, piemēram, pārvietošanās pa apli vai atrašanās guļus stāvoklī ar piespiedu kārtā uz vienu pusi atliektu galvu un kaklu. Diagnozi nosaka autopsijas laikā.</w:t>
      </w:r>
    </w:p>
    <w:p w14:paraId="5A2699BD" w14:textId="77777777" w:rsidR="00672FC0" w:rsidRPr="00154588" w:rsidRDefault="00672FC0" w:rsidP="00154588">
      <w:pPr>
        <w:jc w:val="both"/>
        <w:rPr>
          <w:rFonts w:ascii="Times New Roman" w:eastAsia="Book Antiqua" w:hAnsi="Times New Roman" w:cs="Book Antiqua"/>
          <w:noProof/>
          <w:sz w:val="24"/>
          <w:szCs w:val="18"/>
        </w:rPr>
      </w:pPr>
    </w:p>
    <w:p w14:paraId="15E4CAA5" w14:textId="77777777" w:rsidR="00672FC0" w:rsidRPr="00154588" w:rsidRDefault="00672FC0" w:rsidP="00154588">
      <w:pPr>
        <w:pStyle w:val="Heading3"/>
        <w:ind w:left="0"/>
        <w:jc w:val="both"/>
        <w:rPr>
          <w:rFonts w:ascii="Times New Roman" w:hAnsi="Times New Roman"/>
          <w:noProof/>
          <w:sz w:val="24"/>
        </w:rPr>
      </w:pPr>
      <w:bookmarkStart w:id="248" w:name="_Toc46997644"/>
      <w:bookmarkStart w:id="249" w:name="_Toc47003172"/>
      <w:r>
        <w:rPr>
          <w:rFonts w:ascii="Times New Roman" w:hAnsi="Times New Roman"/>
          <w:sz w:val="24"/>
        </w:rPr>
        <w:t>Ārstēšana</w:t>
      </w:r>
      <w:bookmarkEnd w:id="248"/>
      <w:bookmarkEnd w:id="249"/>
    </w:p>
    <w:p w14:paraId="555A7109" w14:textId="2B172F85"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Saskaņā ar kaskādes principu var izmantot benzilpenicilīna nātrija sāli, ko ievada devās pa 12 mg/kg intramuskulāri vai intravenozi – vēlams otrajā no abiem veidiem, ja dzīvniekam ir izteikti klīniski simptomi, – </w:t>
      </w:r>
      <w:r>
        <w:rPr>
          <w:rFonts w:ascii="Times New Roman" w:hAnsi="Times New Roman"/>
          <w:i/>
          <w:iCs/>
          <w:sz w:val="24"/>
        </w:rPr>
        <w:t>BID</w:t>
      </w:r>
      <w:r>
        <w:rPr>
          <w:rFonts w:ascii="Times New Roman" w:hAnsi="Times New Roman"/>
          <w:sz w:val="24"/>
        </w:rPr>
        <w:t xml:space="preserve"> 7 dienas. Ja dzīvnieka stāvoklis ir mazāk smags, prokaīna benzilpenicilīnu var ievadīt 60 mg/kg sākuma devā (</w:t>
      </w:r>
      <w:r>
        <w:rPr>
          <w:rFonts w:ascii="Times New Roman" w:hAnsi="Times New Roman"/>
          <w:i/>
          <w:iCs/>
          <w:sz w:val="24"/>
        </w:rPr>
        <w:t>SIC!</w:t>
      </w:r>
      <w:r>
        <w:rPr>
          <w:rFonts w:ascii="Times New Roman" w:hAnsi="Times New Roman"/>
          <w:sz w:val="24"/>
        </w:rPr>
        <w:t xml:space="preserve">) intramuskulāri, turpinot injekcijas devās pa 40 mg/kg </w:t>
      </w:r>
      <w:r>
        <w:rPr>
          <w:rFonts w:ascii="Times New Roman" w:hAnsi="Times New Roman"/>
          <w:i/>
          <w:iCs/>
          <w:sz w:val="24"/>
        </w:rPr>
        <w:t>SID</w:t>
      </w:r>
      <w:r>
        <w:rPr>
          <w:rFonts w:ascii="Times New Roman" w:hAnsi="Times New Roman"/>
          <w:sz w:val="24"/>
        </w:rPr>
        <w:t xml:space="preserve"> ne mazāk kā 6 dienas. Trešā iespēja ir dot benzilpenicilīna nātrija sāli devās pa 12 mg/kg </w:t>
      </w:r>
      <w:r>
        <w:rPr>
          <w:rFonts w:ascii="Times New Roman" w:hAnsi="Times New Roman"/>
          <w:i/>
          <w:iCs/>
          <w:sz w:val="24"/>
        </w:rPr>
        <w:t>BID,</w:t>
      </w:r>
      <w:r>
        <w:rPr>
          <w:rFonts w:ascii="Times New Roman" w:hAnsi="Times New Roman"/>
          <w:sz w:val="24"/>
        </w:rPr>
        <w:t xml:space="preserve"> līdz simptomi pavājinās, un pēc tam pāriet uz prokaīna benzilpenicilīnu </w:t>
      </w:r>
      <w:r>
        <w:rPr>
          <w:rFonts w:ascii="Times New Roman" w:hAnsi="Times New Roman"/>
          <w:i/>
          <w:iCs/>
          <w:sz w:val="24"/>
        </w:rPr>
        <w:t>SID</w:t>
      </w:r>
      <w:r>
        <w:rPr>
          <w:rFonts w:ascii="Times New Roman" w:hAnsi="Times New Roman"/>
          <w:sz w:val="24"/>
        </w:rPr>
        <w:t xml:space="preserve"> devās pa 40 mg/kg.</w:t>
      </w:r>
    </w:p>
    <w:p w14:paraId="3386CBDF" w14:textId="77777777" w:rsidR="00BD7EEA" w:rsidRPr="00154588" w:rsidRDefault="00BD7EEA" w:rsidP="00154588">
      <w:pPr>
        <w:pStyle w:val="BodyText"/>
        <w:spacing w:before="0"/>
        <w:ind w:left="0"/>
        <w:jc w:val="both"/>
        <w:rPr>
          <w:rFonts w:ascii="Times New Roman" w:hAnsi="Times New Roman"/>
          <w:noProof/>
          <w:sz w:val="24"/>
        </w:rPr>
      </w:pPr>
    </w:p>
    <w:p w14:paraId="09AF3BD7" w14:textId="7556D05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Prognoze ir diezgan slikta, un veiksmīgam iznākumam nepieciešama agrīna un enerģiska terapija. Anti</w:t>
      </w:r>
      <w:r w:rsidR="006C2238">
        <w:rPr>
          <w:rFonts w:ascii="Times New Roman" w:hAnsi="Times New Roman"/>
          <w:sz w:val="24"/>
        </w:rPr>
        <w:t>mikrobiālās</w:t>
      </w:r>
      <w:r>
        <w:rPr>
          <w:rFonts w:ascii="Times New Roman" w:hAnsi="Times New Roman"/>
          <w:sz w:val="24"/>
        </w:rPr>
        <w:t xml:space="preserve"> terapijas atbalstam jānodrošina NPL un citas zāles pēc nepieciešamības. Abortu gadījumos ārstēšanā nedrīkst lietot antibiotikas.</w:t>
      </w:r>
    </w:p>
    <w:p w14:paraId="22976B38" w14:textId="77777777" w:rsidR="00672FC0" w:rsidRPr="00154588" w:rsidRDefault="00672FC0" w:rsidP="00154588">
      <w:pPr>
        <w:jc w:val="both"/>
        <w:rPr>
          <w:rFonts w:ascii="Times New Roman" w:eastAsia="Book Antiqua" w:hAnsi="Times New Roman" w:cs="Book Antiqua"/>
          <w:noProof/>
          <w:sz w:val="24"/>
          <w:szCs w:val="26"/>
        </w:rPr>
      </w:pPr>
    </w:p>
    <w:p w14:paraId="25F8FB18" w14:textId="77777777" w:rsidR="00672FC0" w:rsidRPr="00780F03" w:rsidRDefault="00672FC0" w:rsidP="00780F03">
      <w:pPr>
        <w:pStyle w:val="Heading1"/>
        <w:rPr>
          <w:b/>
          <w:bCs/>
          <w:noProof/>
          <w:sz w:val="28"/>
          <w:szCs w:val="32"/>
        </w:rPr>
      </w:pPr>
      <w:bookmarkStart w:id="250" w:name="_TOC_250010"/>
      <w:bookmarkStart w:id="251" w:name="_Toc46997645"/>
      <w:bookmarkStart w:id="252" w:name="_Toc47003173"/>
      <w:r w:rsidRPr="00780F03">
        <w:rPr>
          <w:b/>
          <w:bCs/>
          <w:sz w:val="28"/>
          <w:szCs w:val="32"/>
        </w:rPr>
        <w:t>Acu infekcijas</w:t>
      </w:r>
      <w:bookmarkEnd w:id="250"/>
      <w:bookmarkEnd w:id="251"/>
      <w:bookmarkEnd w:id="252"/>
    </w:p>
    <w:p w14:paraId="1254BA3A" w14:textId="77777777" w:rsidR="00780F03" w:rsidRDefault="00780F03" w:rsidP="00154588">
      <w:pPr>
        <w:pStyle w:val="BodyText"/>
        <w:spacing w:before="0"/>
        <w:ind w:left="0"/>
        <w:jc w:val="both"/>
        <w:rPr>
          <w:rFonts w:ascii="Times New Roman" w:hAnsi="Times New Roman"/>
          <w:sz w:val="24"/>
        </w:rPr>
      </w:pPr>
    </w:p>
    <w:p w14:paraId="5BC58097" w14:textId="5809FDA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Aitām sporādiski mēdz būt acu infekcijas, taču dažreiz tās ietekmē ganāmpulka veselību.</w:t>
      </w:r>
    </w:p>
    <w:p w14:paraId="646EB314" w14:textId="77777777" w:rsidR="00BD7EEA" w:rsidRDefault="00BD7EEA" w:rsidP="00154588">
      <w:pPr>
        <w:pStyle w:val="BodyText"/>
        <w:spacing w:before="0"/>
        <w:ind w:left="0"/>
        <w:jc w:val="both"/>
        <w:rPr>
          <w:rFonts w:ascii="Times New Roman" w:hAnsi="Times New Roman"/>
          <w:noProof/>
          <w:sz w:val="24"/>
        </w:rPr>
      </w:pPr>
    </w:p>
    <w:p w14:paraId="42E2F586" w14:textId="1CA61C3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Etioloģija Zviedrijā lielākoties nav zināma, bet uzsējumu rezultāti infekcijas uzliesmojumu laikā ganāmpulkos liecina, ka dominējošās baktērijas ir, piemēram, </w:t>
      </w:r>
      <w:r>
        <w:rPr>
          <w:rFonts w:ascii="Times New Roman" w:hAnsi="Times New Roman"/>
          <w:i/>
          <w:sz w:val="24"/>
        </w:rPr>
        <w:t xml:space="preserve">Mycoplasma conjunctivitis, Listeria monocytogenes </w:t>
      </w:r>
      <w:r>
        <w:rPr>
          <w:rFonts w:ascii="Times New Roman" w:hAnsi="Times New Roman"/>
          <w:sz w:val="24"/>
        </w:rPr>
        <w:t xml:space="preserve">un </w:t>
      </w:r>
      <w:r>
        <w:rPr>
          <w:rFonts w:ascii="Times New Roman" w:hAnsi="Times New Roman"/>
          <w:i/>
          <w:sz w:val="24"/>
        </w:rPr>
        <w:t>Moraxella </w:t>
      </w:r>
      <w:r>
        <w:rPr>
          <w:rFonts w:ascii="Times New Roman" w:hAnsi="Times New Roman"/>
          <w:i/>
          <w:iCs/>
          <w:sz w:val="24"/>
        </w:rPr>
        <w:t>spp</w:t>
      </w:r>
      <w:r>
        <w:rPr>
          <w:rFonts w:ascii="Times New Roman" w:hAnsi="Times New Roman"/>
          <w:sz w:val="24"/>
        </w:rPr>
        <w:t>. Lesteras un Tekselas šķirņu aitām salīdzinoši bieži veidojas iedzimts plakstiņa entro</w:t>
      </w:r>
      <w:r w:rsidR="00D95E52">
        <w:rPr>
          <w:rFonts w:ascii="Times New Roman" w:hAnsi="Times New Roman"/>
          <w:sz w:val="24"/>
        </w:rPr>
        <w:t>pijs</w:t>
      </w:r>
      <w:r>
        <w:rPr>
          <w:rFonts w:ascii="Times New Roman" w:hAnsi="Times New Roman"/>
          <w:sz w:val="24"/>
        </w:rPr>
        <w:t>, kas var izraisīt sekundāras traumatiskas radzenes čūlas, īpaši jauniem jēriem.</w:t>
      </w:r>
    </w:p>
    <w:p w14:paraId="17F1F943" w14:textId="77777777" w:rsidR="00672FC0" w:rsidRPr="00154588" w:rsidRDefault="00672FC0" w:rsidP="00154588">
      <w:pPr>
        <w:jc w:val="both"/>
        <w:rPr>
          <w:rFonts w:ascii="Times New Roman" w:hAnsi="Times New Roman"/>
          <w:noProof/>
          <w:sz w:val="24"/>
        </w:rPr>
      </w:pPr>
    </w:p>
    <w:p w14:paraId="38F4422D" w14:textId="77777777" w:rsidR="00672FC0" w:rsidRPr="00154588" w:rsidRDefault="00672FC0" w:rsidP="00154588">
      <w:pPr>
        <w:pStyle w:val="Heading3"/>
        <w:ind w:left="0"/>
        <w:jc w:val="both"/>
        <w:rPr>
          <w:rFonts w:ascii="Times New Roman" w:hAnsi="Times New Roman"/>
          <w:noProof/>
          <w:sz w:val="24"/>
        </w:rPr>
      </w:pPr>
      <w:bookmarkStart w:id="253" w:name="_Toc46997646"/>
      <w:bookmarkStart w:id="254" w:name="_Toc47003174"/>
      <w:r>
        <w:rPr>
          <w:rFonts w:ascii="Times New Roman" w:hAnsi="Times New Roman"/>
          <w:sz w:val="24"/>
        </w:rPr>
        <w:t>Diagnozes noteikšana</w:t>
      </w:r>
      <w:bookmarkEnd w:id="253"/>
      <w:bookmarkEnd w:id="254"/>
    </w:p>
    <w:p w14:paraId="0D9B9317"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Klīniskie simptomi, ko bieži novēro, ir asaru pilnas (asarojošas) un/vai aizvērtas acis, kas norāda uz sāpēm, hiperēmiska acs ābola gļotāda un/vai apduļķota radzene. Etioloģisko ierosinātāju var noteikt, ņemot bakteriālos paraugus un veicot uzsējumus.</w:t>
      </w:r>
    </w:p>
    <w:p w14:paraId="24668B8F" w14:textId="77777777" w:rsidR="00672FC0" w:rsidRPr="00154588" w:rsidRDefault="00672FC0" w:rsidP="00154588">
      <w:pPr>
        <w:jc w:val="both"/>
        <w:rPr>
          <w:rFonts w:ascii="Times New Roman" w:eastAsia="Book Antiqua" w:hAnsi="Times New Roman" w:cs="Book Antiqua"/>
          <w:noProof/>
          <w:sz w:val="24"/>
          <w:szCs w:val="18"/>
        </w:rPr>
      </w:pPr>
    </w:p>
    <w:p w14:paraId="0D04BB41" w14:textId="77777777" w:rsidR="00672FC0" w:rsidRPr="00154588" w:rsidRDefault="00672FC0" w:rsidP="00154588">
      <w:pPr>
        <w:pStyle w:val="Heading3"/>
        <w:ind w:left="0"/>
        <w:jc w:val="both"/>
        <w:rPr>
          <w:rFonts w:ascii="Times New Roman" w:hAnsi="Times New Roman"/>
          <w:noProof/>
          <w:sz w:val="24"/>
        </w:rPr>
      </w:pPr>
      <w:bookmarkStart w:id="255" w:name="_Toc46997647"/>
      <w:bookmarkStart w:id="256" w:name="_Toc47003175"/>
      <w:r>
        <w:rPr>
          <w:rFonts w:ascii="Times New Roman" w:hAnsi="Times New Roman"/>
          <w:sz w:val="24"/>
        </w:rPr>
        <w:t>Ārstēšana</w:t>
      </w:r>
      <w:bookmarkEnd w:id="255"/>
      <w:bookmarkEnd w:id="256"/>
    </w:p>
    <w:p w14:paraId="2728AE52" w14:textId="6D4DCFA4"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Ārstēšana ir visiedarbīgākā, ja to uzsāk iekaisuma procesa agrīnā stadijā. Vietēja ārstēšana ieteicama tikai tajos gadījumos, kad simptomi skar acs virspusējās struktūras. Vietējo ārstēšanu vienmēr veic abām acīm pat tad, ja šķietami skarta tikai viena acs. Antibiotikas aitu acu infekciju vietējai ārstēšanai var iegādāties ar recepti, kas izsniegta, pamatojoties uz licenci, vai arī var izmantot piemērotus liellopiem paredzētus intramammāros līdzekļus (lietojot tos “nereģistrētām indikācijām”), ja reģistrēti produkti nav pieejami.</w:t>
      </w:r>
    </w:p>
    <w:p w14:paraId="3DA539D3" w14:textId="77777777" w:rsidR="00BD7EEA" w:rsidRDefault="00BD7EEA" w:rsidP="00154588">
      <w:pPr>
        <w:pStyle w:val="BodyText"/>
        <w:spacing w:before="0"/>
        <w:ind w:left="0"/>
        <w:jc w:val="both"/>
        <w:rPr>
          <w:rFonts w:ascii="Times New Roman" w:hAnsi="Times New Roman"/>
          <w:noProof/>
          <w:sz w:val="24"/>
        </w:rPr>
      </w:pPr>
    </w:p>
    <w:p w14:paraId="5EB450CA" w14:textId="1F655ADA"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Plakstiņa entropi</w:t>
      </w:r>
      <w:r w:rsidR="00D95E52">
        <w:rPr>
          <w:rFonts w:ascii="Times New Roman" w:hAnsi="Times New Roman"/>
          <w:sz w:val="24"/>
        </w:rPr>
        <w:t>js</w:t>
      </w:r>
      <w:r>
        <w:rPr>
          <w:rFonts w:ascii="Times New Roman" w:hAnsi="Times New Roman"/>
          <w:sz w:val="24"/>
        </w:rPr>
        <w:t xml:space="preserve"> jākoriģē, plānojot selekciju un izvēloties dzīvniekus ar vēlamo uzbūvi. Vienam atsevišķam dzīvniekam, kas cieš, var veikt ķirurģisku korekciju.</w:t>
      </w:r>
    </w:p>
    <w:p w14:paraId="7BCF38FD" w14:textId="77777777" w:rsidR="00BD7EEA" w:rsidRDefault="00BD7EEA" w:rsidP="00154588">
      <w:pPr>
        <w:pStyle w:val="BodyText"/>
        <w:spacing w:before="0"/>
        <w:ind w:left="0"/>
        <w:jc w:val="both"/>
        <w:rPr>
          <w:rFonts w:ascii="Times New Roman" w:hAnsi="Times New Roman"/>
          <w:noProof/>
          <w:sz w:val="24"/>
        </w:rPr>
      </w:pPr>
    </w:p>
    <w:p w14:paraId="468C2D6C" w14:textId="75BD89C5"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apstiprināta inficēšanās ar mikoplazmu vai par to ir aizdomas, ieteicams katru dienu apstrādāt acis ar hlortetraciklīnu saturošu acu ziedi, ko lieto vietēji 3–5 dienas. Alternatīva ir sistēmiska terapija ar oksitetraciklīnu, ko ievada intramuskulāri 10 mg/kg devās </w:t>
      </w:r>
      <w:r>
        <w:rPr>
          <w:rFonts w:ascii="Times New Roman" w:hAnsi="Times New Roman"/>
          <w:i/>
          <w:iCs/>
          <w:sz w:val="24"/>
        </w:rPr>
        <w:t>SID</w:t>
      </w:r>
      <w:r>
        <w:rPr>
          <w:rFonts w:ascii="Times New Roman" w:hAnsi="Times New Roman"/>
          <w:sz w:val="24"/>
        </w:rPr>
        <w:t xml:space="preserve"> 3–5 dienas vai 20 mg/kg devās atkārtoti pēc 48 stundām.</w:t>
      </w:r>
    </w:p>
    <w:p w14:paraId="035B40BC" w14:textId="77777777" w:rsidR="00BD7EEA" w:rsidRPr="00154588" w:rsidRDefault="00BD7EEA" w:rsidP="00154588">
      <w:pPr>
        <w:pStyle w:val="BodyText"/>
        <w:spacing w:before="0"/>
        <w:ind w:left="0"/>
        <w:jc w:val="both"/>
        <w:rPr>
          <w:rFonts w:ascii="Times New Roman" w:hAnsi="Times New Roman"/>
          <w:noProof/>
          <w:sz w:val="24"/>
        </w:rPr>
      </w:pPr>
    </w:p>
    <w:p w14:paraId="0AB7727C" w14:textId="48650F55"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aizdomas par inficēšanos ar </w:t>
      </w:r>
      <w:r>
        <w:rPr>
          <w:rFonts w:ascii="Times New Roman" w:hAnsi="Times New Roman"/>
          <w:i/>
          <w:iCs/>
          <w:sz w:val="24"/>
        </w:rPr>
        <w:t>Moraxella spp</w:t>
      </w:r>
      <w:r>
        <w:rPr>
          <w:rFonts w:ascii="Times New Roman" w:hAnsi="Times New Roman"/>
          <w:sz w:val="24"/>
        </w:rPr>
        <w:t xml:space="preserve">., </w:t>
      </w:r>
      <w:r>
        <w:rPr>
          <w:rFonts w:ascii="Times New Roman" w:hAnsi="Times New Roman"/>
          <w:i/>
          <w:iCs/>
          <w:sz w:val="24"/>
        </w:rPr>
        <w:t>Listeria spp</w:t>
      </w:r>
      <w:r>
        <w:rPr>
          <w:rFonts w:ascii="Times New Roman" w:hAnsi="Times New Roman"/>
          <w:sz w:val="24"/>
        </w:rPr>
        <w:t>. vai kādu citu pret penicilīnu jutīgu baktēriju, var ārstēt vietēji ar kloksacilīnu saturošu acu ziedi, veicot apstrādi divas reizes ar 48 stundu intervālu. Alternatīvi var ārstēt vietēji ar piemērotu, liellopiem paredzētu intramammāro līdzekli, kas satur benzilpenicilīnu (lietojot to “nereģistrētām indikācijām”), vai ar hlortetraciklīnu saturošu acu ziedi, veicot apstrādi vienreiz dienā trīs dienas. Var apsvērt arī sistēmiskas oksitetraciklīna injekcijas.</w:t>
      </w:r>
    </w:p>
    <w:p w14:paraId="1C35C7E0" w14:textId="680A1A33" w:rsidR="00BD7EEA" w:rsidRDefault="00BD7EEA">
      <w:pPr>
        <w:rPr>
          <w:rFonts w:ascii="Times New Roman" w:hAnsi="Times New Roman"/>
          <w:noProof/>
          <w:sz w:val="24"/>
        </w:rPr>
      </w:pPr>
      <w:r>
        <w:br w:type="page"/>
      </w:r>
    </w:p>
    <w:p w14:paraId="669C0D10" w14:textId="77777777" w:rsidR="00154588" w:rsidRPr="00154588" w:rsidRDefault="00154588" w:rsidP="0015458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BD7EEA" w14:paraId="6F209D31" w14:textId="77777777" w:rsidTr="00BD7EEA">
        <w:tc>
          <w:tcPr>
            <w:tcW w:w="9288" w:type="dxa"/>
          </w:tcPr>
          <w:p w14:paraId="18BB93C5" w14:textId="59EB6CB5" w:rsidR="00BD7EEA" w:rsidRDefault="00BD7EEA" w:rsidP="00780F03">
            <w:pPr>
              <w:pStyle w:val="Heading1"/>
              <w:jc w:val="center"/>
              <w:rPr>
                <w:noProof/>
              </w:rPr>
            </w:pPr>
            <w:bookmarkStart w:id="257" w:name="_Toc47003176"/>
            <w:r w:rsidRPr="00780F03">
              <w:rPr>
                <w:sz w:val="28"/>
                <w:szCs w:val="32"/>
              </w:rPr>
              <w:t>Kazu slimības</w:t>
            </w:r>
            <w:bookmarkEnd w:id="257"/>
          </w:p>
        </w:tc>
      </w:tr>
    </w:tbl>
    <w:p w14:paraId="67F94304" w14:textId="77777777" w:rsidR="00672FC0" w:rsidRPr="00154588" w:rsidRDefault="00672FC0" w:rsidP="00154588">
      <w:pPr>
        <w:jc w:val="both"/>
        <w:rPr>
          <w:rFonts w:ascii="Times New Roman" w:eastAsia="Book Antiqua" w:hAnsi="Times New Roman" w:cs="Book Antiqua"/>
          <w:noProof/>
          <w:sz w:val="24"/>
          <w:szCs w:val="14"/>
        </w:rPr>
      </w:pPr>
    </w:p>
    <w:p w14:paraId="608CF11A" w14:textId="77777777" w:rsidR="00672FC0" w:rsidRPr="00154588" w:rsidRDefault="00672FC0" w:rsidP="00154588">
      <w:pPr>
        <w:jc w:val="both"/>
        <w:rPr>
          <w:rFonts w:ascii="Times New Roman" w:hAnsi="Times New Roman"/>
          <w:i/>
          <w:noProof/>
          <w:sz w:val="24"/>
        </w:rPr>
      </w:pPr>
      <w:r>
        <w:rPr>
          <w:rFonts w:ascii="Times New Roman" w:hAnsi="Times New Roman"/>
          <w:i/>
          <w:sz w:val="24"/>
        </w:rPr>
        <w:t>Ilva Pēšone, veterinārās medicīnas zinātņu doktore, Dr. phil.</w:t>
      </w:r>
    </w:p>
    <w:p w14:paraId="1A0A6DEE" w14:textId="77777777" w:rsidR="00672FC0" w:rsidRPr="00154588" w:rsidRDefault="00672FC0" w:rsidP="00154588">
      <w:pPr>
        <w:jc w:val="both"/>
        <w:rPr>
          <w:rFonts w:ascii="Times New Roman" w:eastAsia="Book Antiqua" w:hAnsi="Times New Roman" w:cs="Book Antiqua"/>
          <w:i/>
          <w:noProof/>
          <w:sz w:val="24"/>
          <w:szCs w:val="27"/>
        </w:rPr>
      </w:pPr>
    </w:p>
    <w:p w14:paraId="1D280420" w14:textId="77777777" w:rsidR="00672FC0" w:rsidRPr="00780F03" w:rsidRDefault="00672FC0" w:rsidP="00780F03">
      <w:pPr>
        <w:pStyle w:val="Heading1"/>
        <w:rPr>
          <w:b/>
          <w:bCs/>
          <w:noProof/>
          <w:sz w:val="28"/>
          <w:szCs w:val="32"/>
        </w:rPr>
      </w:pPr>
      <w:bookmarkStart w:id="258" w:name="_TOC_250009"/>
      <w:bookmarkStart w:id="259" w:name="_Toc46997648"/>
      <w:bookmarkStart w:id="260" w:name="_Toc47003177"/>
      <w:r w:rsidRPr="00780F03">
        <w:rPr>
          <w:b/>
          <w:bCs/>
          <w:sz w:val="28"/>
          <w:szCs w:val="32"/>
        </w:rPr>
        <w:t>Ievads</w:t>
      </w:r>
      <w:bookmarkEnd w:id="258"/>
      <w:bookmarkEnd w:id="259"/>
      <w:bookmarkEnd w:id="260"/>
    </w:p>
    <w:p w14:paraId="5CAF021E" w14:textId="77777777" w:rsidR="00780F03" w:rsidRDefault="00780F03" w:rsidP="00154588">
      <w:pPr>
        <w:pStyle w:val="BodyText"/>
        <w:spacing w:before="0"/>
        <w:ind w:left="0"/>
        <w:jc w:val="both"/>
        <w:rPr>
          <w:rFonts w:ascii="Times New Roman" w:hAnsi="Times New Roman"/>
          <w:sz w:val="24"/>
        </w:rPr>
      </w:pPr>
    </w:p>
    <w:p w14:paraId="2333101A" w14:textId="67A4F23F"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Zviedrijā kazām ir reģistrēts tikai viens anti</w:t>
      </w:r>
      <w:r w:rsidR="00D95E52">
        <w:rPr>
          <w:rFonts w:ascii="Times New Roman" w:hAnsi="Times New Roman"/>
          <w:sz w:val="24"/>
        </w:rPr>
        <w:t>mikrobiāls</w:t>
      </w:r>
      <w:r>
        <w:rPr>
          <w:rFonts w:ascii="Times New Roman" w:hAnsi="Times New Roman"/>
          <w:sz w:val="24"/>
        </w:rPr>
        <w:t xml:space="preserve"> līdzeklis, proti, prokaīna benzilpenicilīns (</w:t>
      </w:r>
      <w:r>
        <w:rPr>
          <w:rFonts w:ascii="Times New Roman" w:hAnsi="Times New Roman"/>
          <w:i/>
          <w:iCs/>
          <w:sz w:val="24"/>
        </w:rPr>
        <w:t>Penovet®, Boehringer Ingelheim Vetmedica, FASS VET</w:t>
      </w:r>
      <w:r>
        <w:rPr>
          <w:rFonts w:ascii="Times New Roman" w:hAnsi="Times New Roman"/>
          <w:sz w:val="24"/>
        </w:rPr>
        <w:t>,  Zviedrija 2015). Jebkurām citām zālēm, ko lieto ārstēšanai, ir jāatbilst ES kaskādes principam. Tā kā tetraciklīna injekcijas kazām var radīt stipras sāpes, jādod priekšroka citiem anti</w:t>
      </w:r>
      <w:r w:rsidR="00D95E52">
        <w:rPr>
          <w:rFonts w:ascii="Times New Roman" w:hAnsi="Times New Roman"/>
          <w:sz w:val="24"/>
        </w:rPr>
        <w:t>mikrobiālajiem</w:t>
      </w:r>
      <w:r>
        <w:rPr>
          <w:rFonts w:ascii="Times New Roman" w:hAnsi="Times New Roman"/>
          <w:sz w:val="24"/>
        </w:rPr>
        <w:t xml:space="preserve"> līdzekļiem, ja prokaīna benzilpenicilīna iedarbīgums nav sagaidāms.</w:t>
      </w:r>
    </w:p>
    <w:p w14:paraId="78FD6C11" w14:textId="77777777" w:rsidR="00672FC0" w:rsidRPr="00154588" w:rsidRDefault="00672FC0" w:rsidP="00154588">
      <w:pPr>
        <w:jc w:val="both"/>
        <w:rPr>
          <w:rFonts w:ascii="Times New Roman" w:eastAsia="Book Antiqua" w:hAnsi="Times New Roman" w:cs="Book Antiqua"/>
          <w:noProof/>
          <w:sz w:val="24"/>
          <w:szCs w:val="26"/>
        </w:rPr>
      </w:pPr>
    </w:p>
    <w:p w14:paraId="2D27B1FA" w14:textId="77777777" w:rsidR="00672FC0" w:rsidRPr="00780F03" w:rsidRDefault="00672FC0" w:rsidP="00780F03">
      <w:pPr>
        <w:pStyle w:val="Heading1"/>
        <w:rPr>
          <w:b/>
          <w:bCs/>
          <w:noProof/>
          <w:sz w:val="28"/>
          <w:szCs w:val="32"/>
        </w:rPr>
      </w:pPr>
      <w:bookmarkStart w:id="261" w:name="_TOC_250008"/>
      <w:bookmarkStart w:id="262" w:name="_Toc46997649"/>
      <w:bookmarkStart w:id="263" w:name="_Toc47003178"/>
      <w:r w:rsidRPr="00780F03">
        <w:rPr>
          <w:b/>
          <w:bCs/>
          <w:sz w:val="28"/>
          <w:szCs w:val="32"/>
        </w:rPr>
        <w:t>Mastīts</w:t>
      </w:r>
      <w:bookmarkEnd w:id="261"/>
      <w:bookmarkEnd w:id="262"/>
      <w:bookmarkEnd w:id="263"/>
    </w:p>
    <w:p w14:paraId="0991BC4A" w14:textId="77777777" w:rsidR="00780F03" w:rsidRDefault="00780F03" w:rsidP="00154588">
      <w:pPr>
        <w:pStyle w:val="BodyText"/>
        <w:spacing w:before="0"/>
        <w:ind w:left="0"/>
        <w:jc w:val="both"/>
        <w:rPr>
          <w:rFonts w:ascii="Times New Roman" w:hAnsi="Times New Roman"/>
          <w:sz w:val="24"/>
        </w:rPr>
      </w:pPr>
    </w:p>
    <w:p w14:paraId="66E38994" w14:textId="4D31C65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Mastīts ir visnozīmīgākā ar ražošanu saistītā slimība slaucamo kazu ganāmpulkos. Labai tesmeņa veselībai ir svarīga nozīme no dzīvnieku labturības, kā arī no pārtikas nekaitīguma viedokļa. Tesmeņa patogēni, kurus visbiežāk izolē no piena kazām Zviedrijā, ir </w:t>
      </w:r>
      <w:r>
        <w:rPr>
          <w:rFonts w:ascii="Times New Roman" w:hAnsi="Times New Roman"/>
          <w:i/>
          <w:iCs/>
          <w:sz w:val="24"/>
        </w:rPr>
        <w:t>Staphylococcus (S.) aureus</w:t>
      </w:r>
      <w:r>
        <w:rPr>
          <w:rFonts w:ascii="Times New Roman" w:hAnsi="Times New Roman"/>
          <w:sz w:val="24"/>
        </w:rPr>
        <w:t xml:space="preserve"> un koagulāzes negatīvie stafilokoki (KONS). Subklīnisko mastītu novēro biežāk nekā klīnisko.</w:t>
      </w:r>
    </w:p>
    <w:p w14:paraId="4221D0BA" w14:textId="77777777" w:rsidR="00672FC0" w:rsidRPr="00154588" w:rsidRDefault="00672FC0" w:rsidP="00154588">
      <w:pPr>
        <w:jc w:val="both"/>
        <w:rPr>
          <w:rFonts w:ascii="Times New Roman" w:hAnsi="Times New Roman"/>
          <w:noProof/>
          <w:sz w:val="24"/>
        </w:rPr>
      </w:pPr>
    </w:p>
    <w:p w14:paraId="265140DF" w14:textId="77777777" w:rsidR="00672FC0" w:rsidRPr="00154588" w:rsidRDefault="00672FC0" w:rsidP="00154588">
      <w:pPr>
        <w:pStyle w:val="Heading3"/>
        <w:ind w:left="0"/>
        <w:jc w:val="both"/>
        <w:rPr>
          <w:rFonts w:ascii="Times New Roman" w:hAnsi="Times New Roman"/>
          <w:noProof/>
          <w:sz w:val="24"/>
        </w:rPr>
      </w:pPr>
      <w:bookmarkStart w:id="264" w:name="_Toc46997650"/>
      <w:bookmarkStart w:id="265" w:name="_Toc47003179"/>
      <w:r>
        <w:rPr>
          <w:rFonts w:ascii="Times New Roman" w:hAnsi="Times New Roman"/>
          <w:sz w:val="24"/>
        </w:rPr>
        <w:t>Diagnozes noteikšana</w:t>
      </w:r>
      <w:bookmarkEnd w:id="264"/>
      <w:bookmarkEnd w:id="265"/>
    </w:p>
    <w:p w14:paraId="0CACFB8A" w14:textId="520E4F56"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Piena paraugi bakteriālajiem uzsējumiem jāņem no tās tesmeņa puses, kurā ir klīniskā mastīta simptomi – pietūkuši dziedzeri un izmaiņas pienā. Subklīniska mastīta diagnozes noteikšanai var izmantot Kalifornijas mastīta testu (</w:t>
      </w:r>
      <w:r>
        <w:rPr>
          <w:rFonts w:ascii="Times New Roman" w:hAnsi="Times New Roman"/>
          <w:i/>
          <w:iCs/>
          <w:sz w:val="24"/>
        </w:rPr>
        <w:t>CMT</w:t>
      </w:r>
      <w:r>
        <w:rPr>
          <w:rFonts w:ascii="Times New Roman" w:hAnsi="Times New Roman"/>
          <w:sz w:val="24"/>
        </w:rPr>
        <w:t xml:space="preserve">). Paraugus ņem no tām tesmeņa pusēm, kurās </w:t>
      </w:r>
      <w:r>
        <w:rPr>
          <w:rFonts w:ascii="Times New Roman" w:hAnsi="Times New Roman"/>
          <w:i/>
          <w:iCs/>
          <w:sz w:val="24"/>
        </w:rPr>
        <w:t>CMT</w:t>
      </w:r>
      <w:r>
        <w:rPr>
          <w:rFonts w:ascii="Times New Roman" w:hAnsi="Times New Roman"/>
          <w:sz w:val="24"/>
        </w:rPr>
        <w:t xml:space="preserve"> reakcija ir &gt;2. Subklīniskā mastīta gadījumos piena paraugi, ievietoti piemērotā vidē, jānosūta uz akreditētu laboratoriju – ja iespējams, atdzesētā veidā.</w:t>
      </w:r>
    </w:p>
    <w:p w14:paraId="633A945A" w14:textId="77777777" w:rsidR="00672FC0" w:rsidRPr="00154588" w:rsidRDefault="00672FC0" w:rsidP="00154588">
      <w:pPr>
        <w:jc w:val="both"/>
        <w:rPr>
          <w:rFonts w:ascii="Times New Roman" w:eastAsia="Book Antiqua" w:hAnsi="Times New Roman" w:cs="Book Antiqua"/>
          <w:noProof/>
          <w:sz w:val="24"/>
          <w:szCs w:val="17"/>
        </w:rPr>
      </w:pPr>
    </w:p>
    <w:p w14:paraId="595A3BE0" w14:textId="77777777" w:rsidR="00672FC0" w:rsidRPr="00154588" w:rsidRDefault="00672FC0" w:rsidP="00154588">
      <w:pPr>
        <w:pStyle w:val="Heading3"/>
        <w:ind w:left="0"/>
        <w:jc w:val="both"/>
        <w:rPr>
          <w:rFonts w:ascii="Times New Roman" w:hAnsi="Times New Roman"/>
          <w:noProof/>
          <w:sz w:val="24"/>
        </w:rPr>
      </w:pPr>
      <w:bookmarkStart w:id="266" w:name="_Toc46997651"/>
      <w:bookmarkStart w:id="267" w:name="_Toc47003180"/>
      <w:r>
        <w:rPr>
          <w:rFonts w:ascii="Times New Roman" w:hAnsi="Times New Roman"/>
          <w:sz w:val="24"/>
        </w:rPr>
        <w:t>Ārstēšana</w:t>
      </w:r>
      <w:bookmarkEnd w:id="266"/>
      <w:bookmarkEnd w:id="267"/>
    </w:p>
    <w:p w14:paraId="2CC798C9" w14:textId="26A1333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terapija kazu akūta klīniskā mastīta gadījumā ir sistēmiskas prokaīna benzilpenicilīna injekcijas intramuskulāri 20 mg/kg devās </w:t>
      </w:r>
      <w:r>
        <w:rPr>
          <w:rFonts w:ascii="Times New Roman" w:hAnsi="Times New Roman"/>
          <w:i/>
          <w:iCs/>
          <w:sz w:val="24"/>
        </w:rPr>
        <w:t>SID</w:t>
      </w:r>
      <w:r>
        <w:rPr>
          <w:rFonts w:ascii="Times New Roman" w:hAnsi="Times New Roman"/>
          <w:sz w:val="24"/>
        </w:rPr>
        <w:t xml:space="preserve"> piecas dienas. Ja </w:t>
      </w:r>
      <w:r>
        <w:rPr>
          <w:rFonts w:ascii="Times New Roman" w:hAnsi="Times New Roman"/>
          <w:i/>
          <w:iCs/>
          <w:sz w:val="24"/>
        </w:rPr>
        <w:t>S. aureus</w:t>
      </w:r>
      <w:r>
        <w:rPr>
          <w:rFonts w:ascii="Times New Roman" w:hAnsi="Times New Roman"/>
          <w:sz w:val="24"/>
        </w:rPr>
        <w:t xml:space="preserve"> ir identificēts kā etioloģiskais izraisītājs, parenterālo ārstēšanu var apvienot ar īslaicīgas darbības penicilīnu saturošiem intramammārajiem līdzekļiem, ko infūziju veidā ievada slimības skartajā tesmeņa pusē </w:t>
      </w:r>
      <w:r>
        <w:rPr>
          <w:rFonts w:ascii="Times New Roman" w:hAnsi="Times New Roman"/>
          <w:i/>
          <w:iCs/>
          <w:sz w:val="24"/>
        </w:rPr>
        <w:t>SID</w:t>
      </w:r>
      <w:r>
        <w:rPr>
          <w:rFonts w:ascii="Times New Roman" w:hAnsi="Times New Roman"/>
          <w:sz w:val="24"/>
        </w:rPr>
        <w:t xml:space="preserve"> piecas dienas. Intramammāro līdzekļu infūzija jāveic pēc slaukšanas, un kazlēnus nedrīkst laist pie mātes pupa, līdz nav pagājušas divas stundas. Anti</w:t>
      </w:r>
      <w:r w:rsidR="00D95E52">
        <w:rPr>
          <w:rFonts w:ascii="Times New Roman" w:hAnsi="Times New Roman"/>
          <w:sz w:val="24"/>
        </w:rPr>
        <w:t>mikrobiālās</w:t>
      </w:r>
      <w:r>
        <w:rPr>
          <w:rFonts w:ascii="Times New Roman" w:hAnsi="Times New Roman"/>
          <w:sz w:val="24"/>
        </w:rPr>
        <w:t xml:space="preserve"> terapijas atbalstam var veikt papildu slaukšanu, oksitocīna injekcijas piena izdalīšanās stimulēšanai un nodrošināt NPL atkarībā no simptomiem.</w:t>
      </w:r>
    </w:p>
    <w:p w14:paraId="0B50A515" w14:textId="77777777" w:rsidR="00BD7EEA" w:rsidRDefault="00BD7EEA" w:rsidP="00154588">
      <w:pPr>
        <w:pStyle w:val="BodyText"/>
        <w:spacing w:before="0"/>
        <w:ind w:left="0"/>
        <w:jc w:val="both"/>
        <w:rPr>
          <w:rFonts w:ascii="Times New Roman" w:hAnsi="Times New Roman"/>
          <w:noProof/>
          <w:sz w:val="24"/>
        </w:rPr>
      </w:pPr>
    </w:p>
    <w:p w14:paraId="0A06A327" w14:textId="332AB309" w:rsidR="00672FC0" w:rsidRPr="00BD7EEA" w:rsidRDefault="00672FC0" w:rsidP="00154588">
      <w:pPr>
        <w:pStyle w:val="BodyText"/>
        <w:spacing w:before="0"/>
        <w:ind w:left="0"/>
        <w:jc w:val="both"/>
        <w:rPr>
          <w:rFonts w:ascii="Times New Roman" w:hAnsi="Times New Roman"/>
          <w:i/>
          <w:noProof/>
          <w:sz w:val="24"/>
        </w:rPr>
      </w:pPr>
      <w:r>
        <w:rPr>
          <w:rFonts w:ascii="Times New Roman" w:hAnsi="Times New Roman"/>
          <w:sz w:val="24"/>
        </w:rPr>
        <w:t xml:space="preserve">Dzīvniekus ar hronisku klīnisku vai saasinātu mastītu vai mastītu, ko izraisījuši </w:t>
      </w:r>
      <w:r>
        <w:rPr>
          <w:rFonts w:ascii="Times New Roman" w:hAnsi="Times New Roman"/>
          <w:i/>
          <w:iCs/>
          <w:sz w:val="24"/>
        </w:rPr>
        <w:t>E. coli</w:t>
      </w:r>
      <w:r>
        <w:rPr>
          <w:rFonts w:ascii="Times New Roman" w:hAnsi="Times New Roman"/>
          <w:sz w:val="24"/>
        </w:rPr>
        <w:t xml:space="preserve"> vai beta laktamāzi izdalošie stafilokoki, iepriekšminēto iemeslu dēļ (slikta prognoze, ne</w:t>
      </w:r>
      <w:r w:rsidR="00D95E52">
        <w:rPr>
          <w:rFonts w:ascii="Times New Roman" w:hAnsi="Times New Roman"/>
          <w:sz w:val="24"/>
        </w:rPr>
        <w:t>piesardzīga</w:t>
      </w:r>
      <w:r>
        <w:rPr>
          <w:rFonts w:ascii="Times New Roman" w:hAnsi="Times New Roman"/>
          <w:sz w:val="24"/>
        </w:rPr>
        <w:t xml:space="preserve"> antibiotiku lietošana un mikroorganismu rezistences izplatīšanās risks ganāmpulkos) nedrīkst ārstēt ar antibiotikām. Subklīnisko mastītu var ārstēt ar penicilīnu saturošiem ilgstošas darbības intramammārajiem līdzekļiem abās tesmeņa daļās, iestājoties cietstāvei. Ievadot intramammār</w:t>
      </w:r>
      <w:r w:rsidR="00D95E52">
        <w:rPr>
          <w:rFonts w:ascii="Times New Roman" w:hAnsi="Times New Roman"/>
          <w:sz w:val="24"/>
        </w:rPr>
        <w:t>os</w:t>
      </w:r>
      <w:r>
        <w:rPr>
          <w:rFonts w:ascii="Times New Roman" w:hAnsi="Times New Roman"/>
          <w:sz w:val="24"/>
        </w:rPr>
        <w:t xml:space="preserve"> </w:t>
      </w:r>
      <w:r w:rsidR="00D95E52">
        <w:rPr>
          <w:rFonts w:ascii="Times New Roman" w:hAnsi="Times New Roman"/>
          <w:sz w:val="24"/>
        </w:rPr>
        <w:t>injektorus</w:t>
      </w:r>
      <w:r>
        <w:rPr>
          <w:rFonts w:ascii="Times New Roman" w:hAnsi="Times New Roman"/>
          <w:sz w:val="24"/>
        </w:rPr>
        <w:t>, ir jāievēro aseptikas principi un jārūpējas, lai netiktu bojāti pupu kanāli.</w:t>
      </w:r>
    </w:p>
    <w:p w14:paraId="3BADCE55" w14:textId="77777777" w:rsidR="00672FC0" w:rsidRPr="00154588" w:rsidRDefault="00672FC0" w:rsidP="00154588">
      <w:pPr>
        <w:jc w:val="both"/>
        <w:rPr>
          <w:rFonts w:ascii="Times New Roman" w:eastAsia="Book Antiqua" w:hAnsi="Times New Roman" w:cs="Book Antiqua"/>
          <w:noProof/>
          <w:sz w:val="24"/>
          <w:szCs w:val="26"/>
        </w:rPr>
      </w:pPr>
    </w:p>
    <w:p w14:paraId="15D17171" w14:textId="77777777" w:rsidR="00672FC0" w:rsidRPr="00780F03" w:rsidRDefault="00672FC0" w:rsidP="00780F03">
      <w:pPr>
        <w:pStyle w:val="Heading1"/>
        <w:rPr>
          <w:b/>
          <w:bCs/>
          <w:noProof/>
          <w:sz w:val="28"/>
          <w:szCs w:val="32"/>
        </w:rPr>
      </w:pPr>
      <w:bookmarkStart w:id="268" w:name="_TOC_250007"/>
      <w:bookmarkStart w:id="269" w:name="_Toc46997652"/>
      <w:bookmarkStart w:id="270" w:name="_Toc47003181"/>
      <w:r w:rsidRPr="00780F03">
        <w:rPr>
          <w:b/>
          <w:bCs/>
          <w:sz w:val="28"/>
          <w:szCs w:val="32"/>
        </w:rPr>
        <w:t>Metrīts</w:t>
      </w:r>
      <w:bookmarkEnd w:id="268"/>
      <w:bookmarkEnd w:id="269"/>
      <w:bookmarkEnd w:id="270"/>
    </w:p>
    <w:p w14:paraId="156B56F4" w14:textId="77777777" w:rsidR="00780F03" w:rsidRDefault="00780F03" w:rsidP="00154588">
      <w:pPr>
        <w:pStyle w:val="BodyText"/>
        <w:spacing w:before="0"/>
        <w:ind w:left="0"/>
        <w:jc w:val="both"/>
        <w:rPr>
          <w:rFonts w:ascii="Times New Roman" w:hAnsi="Times New Roman"/>
          <w:sz w:val="24"/>
        </w:rPr>
      </w:pPr>
    </w:p>
    <w:p w14:paraId="1EF9B85F" w14:textId="5DA4C6CC"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Metrīts var izraisīt stipru drudzi, vēdera un ārējo dzimumorgānu sāpes, dažreiz smakojošus izdalījumus no maksts. Normāli pēcdzemdību izdalījumi ir sārti rozā krāsā, un tajos var būt </w:t>
      </w:r>
      <w:r>
        <w:rPr>
          <w:rFonts w:ascii="Times New Roman" w:hAnsi="Times New Roman"/>
          <w:sz w:val="24"/>
        </w:rPr>
        <w:lastRenderedPageBreak/>
        <w:t>sabiezējumi, bet ne strutas. Normāla dzemdes involūcija notiek apmēram divās, dažreiz trīs nedēļās.</w:t>
      </w:r>
    </w:p>
    <w:p w14:paraId="6D22D074" w14:textId="77777777" w:rsidR="00672FC0" w:rsidRPr="00154588" w:rsidRDefault="00672FC0" w:rsidP="00154588">
      <w:pPr>
        <w:jc w:val="both"/>
        <w:rPr>
          <w:rFonts w:ascii="Times New Roman" w:eastAsia="Book Antiqua" w:hAnsi="Times New Roman" w:cs="Book Antiqua"/>
          <w:noProof/>
          <w:sz w:val="24"/>
          <w:szCs w:val="18"/>
        </w:rPr>
      </w:pPr>
    </w:p>
    <w:p w14:paraId="6BA3D7F7" w14:textId="77777777" w:rsidR="00672FC0" w:rsidRPr="00154588" w:rsidRDefault="00672FC0" w:rsidP="00154588">
      <w:pPr>
        <w:pStyle w:val="Heading3"/>
        <w:ind w:left="0"/>
        <w:jc w:val="both"/>
        <w:rPr>
          <w:rFonts w:ascii="Times New Roman" w:hAnsi="Times New Roman"/>
          <w:noProof/>
          <w:sz w:val="24"/>
        </w:rPr>
      </w:pPr>
      <w:bookmarkStart w:id="271" w:name="_Toc46997653"/>
      <w:bookmarkStart w:id="272" w:name="_Toc47003182"/>
      <w:r>
        <w:rPr>
          <w:rFonts w:ascii="Times New Roman" w:hAnsi="Times New Roman"/>
          <w:sz w:val="24"/>
        </w:rPr>
        <w:t>Diagnozes noteikšana</w:t>
      </w:r>
      <w:bookmarkEnd w:id="271"/>
      <w:bookmarkEnd w:id="272"/>
    </w:p>
    <w:p w14:paraId="07A1193E"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Klīniskos simptomus nosaka, veicot klīnisko izmeklēšanu.</w:t>
      </w:r>
    </w:p>
    <w:p w14:paraId="4A521266" w14:textId="77777777" w:rsidR="00672FC0" w:rsidRPr="00154588" w:rsidRDefault="00672FC0" w:rsidP="00154588">
      <w:pPr>
        <w:jc w:val="both"/>
        <w:rPr>
          <w:rFonts w:ascii="Times New Roman" w:eastAsia="Book Antiqua" w:hAnsi="Times New Roman" w:cs="Book Antiqua"/>
          <w:noProof/>
          <w:sz w:val="24"/>
          <w:szCs w:val="17"/>
        </w:rPr>
      </w:pPr>
    </w:p>
    <w:p w14:paraId="4998B9B5" w14:textId="77777777" w:rsidR="00672FC0" w:rsidRPr="00154588" w:rsidRDefault="00672FC0" w:rsidP="00154588">
      <w:pPr>
        <w:pStyle w:val="Heading3"/>
        <w:ind w:left="0"/>
        <w:jc w:val="both"/>
        <w:rPr>
          <w:rFonts w:ascii="Times New Roman" w:hAnsi="Times New Roman"/>
          <w:noProof/>
          <w:sz w:val="24"/>
        </w:rPr>
      </w:pPr>
      <w:bookmarkStart w:id="273" w:name="_Toc46997654"/>
      <w:bookmarkStart w:id="274" w:name="_Toc47003183"/>
      <w:r>
        <w:rPr>
          <w:rFonts w:ascii="Times New Roman" w:hAnsi="Times New Roman"/>
          <w:sz w:val="24"/>
        </w:rPr>
        <w:t>Ārstēšana</w:t>
      </w:r>
      <w:bookmarkEnd w:id="273"/>
      <w:bookmarkEnd w:id="274"/>
    </w:p>
    <w:p w14:paraId="031928C1"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ārstējot metrītu ar paaugstinātu ķermeņa temperatūru un/vai nomāktu vispārējo stāvokli, ir prokaīna benzilpenicilīns devās pa 20 mg/kg intramuskulāri </w:t>
      </w:r>
      <w:r>
        <w:rPr>
          <w:rFonts w:ascii="Times New Roman" w:hAnsi="Times New Roman"/>
          <w:i/>
          <w:iCs/>
          <w:sz w:val="24"/>
        </w:rPr>
        <w:t>SID</w:t>
      </w:r>
      <w:r>
        <w:rPr>
          <w:rFonts w:ascii="Times New Roman" w:hAnsi="Times New Roman"/>
          <w:sz w:val="24"/>
        </w:rPr>
        <w:t xml:space="preserve"> 5 dienas.</w:t>
      </w:r>
    </w:p>
    <w:p w14:paraId="773D18FA" w14:textId="77777777" w:rsidR="00672FC0" w:rsidRPr="00154588" w:rsidRDefault="00672FC0" w:rsidP="00154588">
      <w:pPr>
        <w:jc w:val="both"/>
        <w:rPr>
          <w:rFonts w:ascii="Times New Roman" w:eastAsia="Book Antiqua" w:hAnsi="Times New Roman" w:cs="Book Antiqua"/>
          <w:noProof/>
          <w:sz w:val="24"/>
          <w:szCs w:val="26"/>
        </w:rPr>
      </w:pPr>
    </w:p>
    <w:p w14:paraId="7DF416BF" w14:textId="77777777" w:rsidR="00672FC0" w:rsidRPr="00780F03" w:rsidRDefault="00672FC0" w:rsidP="00780F03">
      <w:pPr>
        <w:pStyle w:val="Heading1"/>
        <w:rPr>
          <w:b/>
          <w:bCs/>
          <w:noProof/>
          <w:sz w:val="28"/>
          <w:szCs w:val="32"/>
        </w:rPr>
      </w:pPr>
      <w:bookmarkStart w:id="275" w:name="_TOC_250006"/>
      <w:bookmarkStart w:id="276" w:name="_Toc46997655"/>
      <w:bookmarkStart w:id="277" w:name="_Toc47003184"/>
      <w:r w:rsidRPr="00780F03">
        <w:rPr>
          <w:b/>
          <w:bCs/>
          <w:sz w:val="28"/>
          <w:szCs w:val="32"/>
        </w:rPr>
        <w:t>Septicēmija</w:t>
      </w:r>
      <w:bookmarkEnd w:id="275"/>
      <w:bookmarkEnd w:id="276"/>
      <w:bookmarkEnd w:id="277"/>
    </w:p>
    <w:p w14:paraId="094EF043" w14:textId="77777777" w:rsidR="00780F03" w:rsidRDefault="00780F03" w:rsidP="00154588">
      <w:pPr>
        <w:pStyle w:val="BodyText"/>
        <w:spacing w:before="0"/>
        <w:ind w:left="0"/>
        <w:jc w:val="both"/>
        <w:rPr>
          <w:rFonts w:ascii="Times New Roman" w:hAnsi="Times New Roman"/>
          <w:sz w:val="24"/>
        </w:rPr>
      </w:pPr>
    </w:p>
    <w:p w14:paraId="18198BC2" w14:textId="354A955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Zviedrijas apstākļos septicēmijas etioloģiskais izraisītājs ar vislielāko varbūtību ir </w:t>
      </w:r>
      <w:r>
        <w:rPr>
          <w:rFonts w:ascii="Times New Roman" w:hAnsi="Times New Roman"/>
          <w:i/>
          <w:iCs/>
          <w:sz w:val="24"/>
        </w:rPr>
        <w:t>E. coli,</w:t>
      </w:r>
      <w:r>
        <w:rPr>
          <w:rFonts w:ascii="Times New Roman" w:hAnsi="Times New Roman"/>
          <w:sz w:val="24"/>
        </w:rPr>
        <w:t xml:space="preserve"> kas var ietekmēt jaundzimušos kazlēnus ar imūnsistēmas deficītu. Kazlēni, tāpat kā visi pārējie atgremotājdzīvnieku mazuļi, ir atkarīgi no pietiekami labas kvalitātes jaunpiena, lai iegūtu aizsardzības spējas pret patogēniem.</w:t>
      </w:r>
    </w:p>
    <w:p w14:paraId="27135A62" w14:textId="77777777" w:rsidR="00672FC0" w:rsidRPr="00154588" w:rsidRDefault="00672FC0" w:rsidP="00154588">
      <w:pPr>
        <w:jc w:val="both"/>
        <w:rPr>
          <w:rFonts w:ascii="Times New Roman" w:eastAsia="Book Antiqua" w:hAnsi="Times New Roman" w:cs="Book Antiqua"/>
          <w:noProof/>
          <w:sz w:val="24"/>
          <w:szCs w:val="18"/>
        </w:rPr>
      </w:pPr>
    </w:p>
    <w:p w14:paraId="2C7F3154" w14:textId="77777777" w:rsidR="00672FC0" w:rsidRPr="00154588" w:rsidRDefault="00672FC0" w:rsidP="00154588">
      <w:pPr>
        <w:pStyle w:val="Heading3"/>
        <w:ind w:left="0"/>
        <w:jc w:val="both"/>
        <w:rPr>
          <w:rFonts w:ascii="Times New Roman" w:hAnsi="Times New Roman"/>
          <w:noProof/>
          <w:sz w:val="24"/>
        </w:rPr>
      </w:pPr>
      <w:bookmarkStart w:id="278" w:name="_Toc46997656"/>
      <w:bookmarkStart w:id="279" w:name="_Toc47003185"/>
      <w:r>
        <w:rPr>
          <w:rFonts w:ascii="Times New Roman" w:hAnsi="Times New Roman"/>
          <w:sz w:val="24"/>
        </w:rPr>
        <w:t>Diagnozes noteikšana</w:t>
      </w:r>
      <w:bookmarkEnd w:id="278"/>
      <w:bookmarkEnd w:id="279"/>
    </w:p>
    <w:p w14:paraId="2694212F"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Papildus klīniskajai izmeklēšanai var veikt autopsijas un ņemt paraugus bakteriālajiem uzsējumiem un jutīguma testiem.</w:t>
      </w:r>
    </w:p>
    <w:p w14:paraId="1BC9CE5C" w14:textId="77777777" w:rsidR="00672FC0" w:rsidRPr="00154588" w:rsidRDefault="00672FC0" w:rsidP="00154588">
      <w:pPr>
        <w:jc w:val="both"/>
        <w:rPr>
          <w:rFonts w:ascii="Times New Roman" w:eastAsia="Book Antiqua" w:hAnsi="Times New Roman" w:cs="Book Antiqua"/>
          <w:noProof/>
          <w:sz w:val="24"/>
          <w:szCs w:val="18"/>
        </w:rPr>
      </w:pPr>
    </w:p>
    <w:p w14:paraId="27FE616F" w14:textId="77777777" w:rsidR="00672FC0" w:rsidRPr="00154588" w:rsidRDefault="00672FC0" w:rsidP="00154588">
      <w:pPr>
        <w:pStyle w:val="Heading3"/>
        <w:ind w:left="0"/>
        <w:jc w:val="both"/>
        <w:rPr>
          <w:rFonts w:ascii="Times New Roman" w:hAnsi="Times New Roman"/>
          <w:noProof/>
          <w:sz w:val="24"/>
        </w:rPr>
      </w:pPr>
      <w:bookmarkStart w:id="280" w:name="_Toc46997657"/>
      <w:bookmarkStart w:id="281" w:name="_Toc47003186"/>
      <w:r>
        <w:rPr>
          <w:rFonts w:ascii="Times New Roman" w:hAnsi="Times New Roman"/>
          <w:sz w:val="24"/>
        </w:rPr>
        <w:t>Ārstēšana</w:t>
      </w:r>
      <w:bookmarkEnd w:id="280"/>
      <w:bookmarkEnd w:id="281"/>
    </w:p>
    <w:p w14:paraId="64ECBA23" w14:textId="74E78FCA"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Izvēles zāles Zviedrijas apstākļos ir T/S devās pa 15–22,5 mg/kg, ko ievada intramuskulāri vai intravenozi </w:t>
      </w:r>
      <w:r>
        <w:rPr>
          <w:rFonts w:ascii="Times New Roman" w:hAnsi="Times New Roman"/>
          <w:i/>
          <w:iCs/>
          <w:sz w:val="24"/>
        </w:rPr>
        <w:t>BID</w:t>
      </w:r>
      <w:r>
        <w:rPr>
          <w:rFonts w:ascii="Times New Roman" w:hAnsi="Times New Roman"/>
          <w:sz w:val="24"/>
        </w:rPr>
        <w:t xml:space="preserve"> 3–5 dienas. Pirmā injekcija jāveic intravenozi, lai ātri sasniegtu augstu koncentrāciju.</w:t>
      </w:r>
    </w:p>
    <w:p w14:paraId="49C3383A" w14:textId="77777777" w:rsidR="00BD7EEA" w:rsidRPr="00154588" w:rsidRDefault="00BD7EEA" w:rsidP="00154588">
      <w:pPr>
        <w:pStyle w:val="BodyText"/>
        <w:spacing w:before="0"/>
        <w:ind w:left="0"/>
        <w:jc w:val="both"/>
        <w:rPr>
          <w:rFonts w:ascii="Times New Roman" w:hAnsi="Times New Roman"/>
          <w:noProof/>
          <w:sz w:val="24"/>
        </w:rPr>
      </w:pPr>
    </w:p>
    <w:p w14:paraId="68ADB03F" w14:textId="727BE18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Prognoze parasti ir slikta. Ārstējot septicēmiju, anti</w:t>
      </w:r>
      <w:r w:rsidR="00D95E52">
        <w:rPr>
          <w:rFonts w:ascii="Times New Roman" w:hAnsi="Times New Roman"/>
          <w:sz w:val="24"/>
        </w:rPr>
        <w:t>mikrobiālās</w:t>
      </w:r>
      <w:r>
        <w:rPr>
          <w:rFonts w:ascii="Times New Roman" w:hAnsi="Times New Roman"/>
          <w:sz w:val="24"/>
        </w:rPr>
        <w:t xml:space="preserve"> terapijas atbalstam vienmēr jānodrošina arī citi pasākumi un ārstēšana.</w:t>
      </w:r>
    </w:p>
    <w:p w14:paraId="414CB735" w14:textId="77777777" w:rsidR="00154588" w:rsidRPr="00154588" w:rsidRDefault="00154588" w:rsidP="00154588">
      <w:pPr>
        <w:jc w:val="both"/>
        <w:rPr>
          <w:rFonts w:ascii="Times New Roman" w:hAnsi="Times New Roman"/>
          <w:noProof/>
          <w:sz w:val="24"/>
        </w:rPr>
      </w:pPr>
    </w:p>
    <w:p w14:paraId="7FF3BC0E" w14:textId="77777777" w:rsidR="00672FC0" w:rsidRPr="00780F03" w:rsidRDefault="00672FC0" w:rsidP="00780F03">
      <w:pPr>
        <w:pStyle w:val="Heading1"/>
        <w:rPr>
          <w:b/>
          <w:bCs/>
          <w:noProof/>
        </w:rPr>
      </w:pPr>
      <w:bookmarkStart w:id="282" w:name="_TOC_250005"/>
      <w:bookmarkStart w:id="283" w:name="_Toc46997658"/>
      <w:bookmarkStart w:id="284" w:name="_Toc47003187"/>
      <w:r w:rsidRPr="00780F03">
        <w:rPr>
          <w:b/>
          <w:bCs/>
          <w:sz w:val="28"/>
          <w:szCs w:val="32"/>
        </w:rPr>
        <w:t>Enterīts</w:t>
      </w:r>
      <w:bookmarkEnd w:id="282"/>
      <w:bookmarkEnd w:id="283"/>
      <w:bookmarkEnd w:id="284"/>
    </w:p>
    <w:p w14:paraId="46F987FE" w14:textId="77777777" w:rsidR="00780F03" w:rsidRDefault="00780F03" w:rsidP="00154588">
      <w:pPr>
        <w:pStyle w:val="BodyText"/>
        <w:spacing w:before="0"/>
        <w:ind w:left="0"/>
        <w:jc w:val="both"/>
        <w:rPr>
          <w:rFonts w:ascii="Times New Roman" w:hAnsi="Times New Roman"/>
          <w:sz w:val="24"/>
        </w:rPr>
      </w:pPr>
    </w:p>
    <w:p w14:paraId="44824FC9" w14:textId="30CF7D0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Diareju visbiežāk novēro kazlēniem. Zviedrijas apstākļos visizplatītākās patogēnās baktērijas, pret kurām būtu vajadzīga anti</w:t>
      </w:r>
      <w:r w:rsidR="00D95E52">
        <w:rPr>
          <w:rFonts w:ascii="Times New Roman" w:hAnsi="Times New Roman"/>
          <w:sz w:val="24"/>
        </w:rPr>
        <w:t>mikrobiāla</w:t>
      </w:r>
      <w:r>
        <w:rPr>
          <w:rFonts w:ascii="Times New Roman" w:hAnsi="Times New Roman"/>
          <w:sz w:val="24"/>
        </w:rPr>
        <w:t xml:space="preserve"> terapija, ir </w:t>
      </w:r>
      <w:r>
        <w:rPr>
          <w:rFonts w:ascii="Times New Roman" w:hAnsi="Times New Roman"/>
          <w:i/>
          <w:iCs/>
          <w:sz w:val="24"/>
        </w:rPr>
        <w:t>Eimeria spp</w:t>
      </w:r>
      <w:r>
        <w:rPr>
          <w:rFonts w:ascii="Times New Roman" w:hAnsi="Times New Roman"/>
          <w:sz w:val="24"/>
        </w:rPr>
        <w:t xml:space="preserve">., t. i., kokcīdijas, un patogēnās </w:t>
      </w:r>
      <w:r>
        <w:rPr>
          <w:rFonts w:ascii="Times New Roman" w:hAnsi="Times New Roman"/>
          <w:i/>
          <w:iCs/>
          <w:sz w:val="24"/>
        </w:rPr>
        <w:t>Escherichia coli</w:t>
      </w:r>
      <w:r>
        <w:rPr>
          <w:rFonts w:ascii="Times New Roman" w:hAnsi="Times New Roman"/>
          <w:sz w:val="24"/>
        </w:rPr>
        <w:t xml:space="preserve"> (</w:t>
      </w:r>
      <w:r>
        <w:rPr>
          <w:rFonts w:ascii="Times New Roman" w:hAnsi="Times New Roman"/>
          <w:i/>
          <w:iCs/>
          <w:sz w:val="24"/>
        </w:rPr>
        <w:t>ETEC</w:t>
      </w:r>
      <w:r>
        <w:rPr>
          <w:rFonts w:ascii="Times New Roman" w:hAnsi="Times New Roman"/>
          <w:sz w:val="24"/>
        </w:rPr>
        <w:t xml:space="preserve">). Zviedrijā pieredze </w:t>
      </w:r>
      <w:r>
        <w:rPr>
          <w:rFonts w:ascii="Times New Roman" w:hAnsi="Times New Roman"/>
          <w:i/>
          <w:iCs/>
          <w:sz w:val="24"/>
        </w:rPr>
        <w:t>ETEC</w:t>
      </w:r>
      <w:r>
        <w:rPr>
          <w:rFonts w:ascii="Times New Roman" w:hAnsi="Times New Roman"/>
          <w:sz w:val="24"/>
        </w:rPr>
        <w:t xml:space="preserve"> infekciju ārstēšanā kazām ir ierobežota.</w:t>
      </w:r>
    </w:p>
    <w:p w14:paraId="563B9EAC" w14:textId="77777777" w:rsidR="00672FC0" w:rsidRPr="00154588" w:rsidRDefault="00672FC0" w:rsidP="00154588">
      <w:pPr>
        <w:jc w:val="both"/>
        <w:rPr>
          <w:rFonts w:ascii="Times New Roman" w:hAnsi="Times New Roman"/>
          <w:noProof/>
          <w:sz w:val="24"/>
        </w:rPr>
      </w:pPr>
    </w:p>
    <w:p w14:paraId="4842FF5B" w14:textId="77777777" w:rsidR="00672FC0" w:rsidRPr="00154588" w:rsidRDefault="00672FC0" w:rsidP="00154588">
      <w:pPr>
        <w:pStyle w:val="Heading3"/>
        <w:ind w:left="0"/>
        <w:jc w:val="both"/>
        <w:rPr>
          <w:rFonts w:ascii="Times New Roman" w:hAnsi="Times New Roman"/>
          <w:noProof/>
          <w:sz w:val="24"/>
        </w:rPr>
      </w:pPr>
      <w:bookmarkStart w:id="285" w:name="_Toc46997659"/>
      <w:bookmarkStart w:id="286" w:name="_Toc47003188"/>
      <w:r>
        <w:rPr>
          <w:rFonts w:ascii="Times New Roman" w:hAnsi="Times New Roman"/>
          <w:sz w:val="24"/>
        </w:rPr>
        <w:t>Diagnozes noteikšana</w:t>
      </w:r>
      <w:bookmarkEnd w:id="285"/>
      <w:bookmarkEnd w:id="286"/>
    </w:p>
    <w:p w14:paraId="4D4B1BD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Klīniskie simptomi, kas noteikti, veicot klīnisko izmeklēšanu, un papildināti ar fēču analīžu un/vai autopsiju rezultātiem.</w:t>
      </w:r>
    </w:p>
    <w:p w14:paraId="55785336" w14:textId="77777777" w:rsidR="00672FC0" w:rsidRPr="00154588" w:rsidRDefault="00672FC0" w:rsidP="00154588">
      <w:pPr>
        <w:jc w:val="both"/>
        <w:rPr>
          <w:rFonts w:ascii="Times New Roman" w:eastAsia="Book Antiqua" w:hAnsi="Times New Roman" w:cs="Book Antiqua"/>
          <w:noProof/>
          <w:sz w:val="24"/>
          <w:szCs w:val="18"/>
        </w:rPr>
      </w:pPr>
    </w:p>
    <w:p w14:paraId="041D105E" w14:textId="77777777" w:rsidR="00672FC0" w:rsidRPr="00154588" w:rsidRDefault="00672FC0" w:rsidP="00154588">
      <w:pPr>
        <w:pStyle w:val="Heading3"/>
        <w:ind w:left="0"/>
        <w:jc w:val="both"/>
        <w:rPr>
          <w:rFonts w:ascii="Times New Roman" w:hAnsi="Times New Roman"/>
          <w:noProof/>
          <w:sz w:val="24"/>
        </w:rPr>
      </w:pPr>
      <w:bookmarkStart w:id="287" w:name="_Toc46997660"/>
      <w:bookmarkStart w:id="288" w:name="_Toc47003189"/>
      <w:r>
        <w:rPr>
          <w:rFonts w:ascii="Times New Roman" w:hAnsi="Times New Roman"/>
          <w:sz w:val="24"/>
        </w:rPr>
        <w:t>Ārstēšana</w:t>
      </w:r>
      <w:bookmarkEnd w:id="287"/>
      <w:bookmarkEnd w:id="288"/>
    </w:p>
    <w:p w14:paraId="6A09A024" w14:textId="42831228"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Izvēles zāles pret kokcidiozi ir dažas kokcidiostatiskas zāles, piemēram, toltrazurils (T), iekšķīgi lietojamā šķīdumā, ko dod visiem jēriem grupā, kurā ir kokcidioze. Labākos terapijas rezultātus novēro metafilaktiski, proti, ārstējot inficētu dzīvnieku grupas, kurās dzīvniekiem vēl nav parādījušies klīniskie simptomi.</w:t>
      </w:r>
    </w:p>
    <w:p w14:paraId="08908604" w14:textId="77777777" w:rsidR="00BD7EEA" w:rsidRPr="00154588" w:rsidRDefault="00BD7EEA" w:rsidP="00154588">
      <w:pPr>
        <w:pStyle w:val="BodyText"/>
        <w:spacing w:before="0"/>
        <w:ind w:left="0"/>
        <w:jc w:val="both"/>
        <w:rPr>
          <w:rFonts w:ascii="Times New Roman" w:hAnsi="Times New Roman"/>
          <w:noProof/>
          <w:sz w:val="24"/>
        </w:rPr>
      </w:pPr>
    </w:p>
    <w:p w14:paraId="0E51758D" w14:textId="0C738DA2"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Ārstējot vienu vai tikai dažus dzīvniekus, ieteicams lietot sulfonilamīdu preparātu pastas veidā (50 %), devā, kas atbilst 0,4 g uz ķermeņa svara kilogramu, </w:t>
      </w:r>
      <w:r>
        <w:rPr>
          <w:rFonts w:ascii="Times New Roman" w:hAnsi="Times New Roman"/>
          <w:i/>
          <w:iCs/>
          <w:sz w:val="24"/>
        </w:rPr>
        <w:t xml:space="preserve">SID </w:t>
      </w:r>
      <w:r>
        <w:rPr>
          <w:rFonts w:ascii="Times New Roman" w:hAnsi="Times New Roman"/>
          <w:sz w:val="24"/>
        </w:rPr>
        <w:t xml:space="preserve">trīs dienas iekšķīgi. Alternatīva var būt sistēmiska terapija, ievadot T/S intramuskulāri 15–22,5 mg/kg devās </w:t>
      </w:r>
      <w:r>
        <w:rPr>
          <w:rFonts w:ascii="Times New Roman" w:hAnsi="Times New Roman"/>
          <w:i/>
          <w:iCs/>
          <w:sz w:val="24"/>
        </w:rPr>
        <w:t>SID</w:t>
      </w:r>
      <w:r>
        <w:rPr>
          <w:rFonts w:ascii="Times New Roman" w:hAnsi="Times New Roman"/>
          <w:sz w:val="24"/>
        </w:rPr>
        <w:t xml:space="preserve"> trīs dienas.</w:t>
      </w:r>
    </w:p>
    <w:p w14:paraId="281CC959" w14:textId="77777777" w:rsidR="00BD7EEA" w:rsidRPr="00154588" w:rsidRDefault="00BD7EEA" w:rsidP="00154588">
      <w:pPr>
        <w:pStyle w:val="BodyText"/>
        <w:spacing w:before="0"/>
        <w:ind w:left="0"/>
        <w:jc w:val="both"/>
        <w:rPr>
          <w:rFonts w:ascii="Times New Roman" w:hAnsi="Times New Roman"/>
          <w:noProof/>
          <w:sz w:val="24"/>
        </w:rPr>
      </w:pPr>
    </w:p>
    <w:p w14:paraId="661747FC"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i/>
          <w:iCs/>
          <w:sz w:val="24"/>
        </w:rPr>
        <w:t>ETEC</w:t>
      </w:r>
      <w:r>
        <w:rPr>
          <w:rFonts w:ascii="Times New Roman" w:hAnsi="Times New Roman"/>
          <w:sz w:val="24"/>
        </w:rPr>
        <w:t xml:space="preserve"> var ārstēt ar T/S 15–22,5 mg/kg devās atkarībā no produkta, ievadot to intramuskulāri vai intravenozi </w:t>
      </w:r>
      <w:r>
        <w:rPr>
          <w:rFonts w:ascii="Times New Roman" w:hAnsi="Times New Roman"/>
          <w:i/>
          <w:iCs/>
          <w:sz w:val="24"/>
        </w:rPr>
        <w:t>BID</w:t>
      </w:r>
      <w:r>
        <w:rPr>
          <w:rFonts w:ascii="Times New Roman" w:hAnsi="Times New Roman"/>
          <w:sz w:val="24"/>
        </w:rPr>
        <w:t xml:space="preserve"> 2–3 dienas. Pirmā injekcija jāveic intravenozi, lai ātri sasniegtu augstu koncentrāciju.</w:t>
      </w:r>
    </w:p>
    <w:p w14:paraId="26317D5E" w14:textId="77777777" w:rsidR="00672FC0" w:rsidRPr="00154588" w:rsidRDefault="00672FC0" w:rsidP="00154588">
      <w:pPr>
        <w:jc w:val="both"/>
        <w:rPr>
          <w:rFonts w:ascii="Times New Roman" w:eastAsia="Book Antiqua" w:hAnsi="Times New Roman" w:cs="Book Antiqua"/>
          <w:noProof/>
          <w:sz w:val="24"/>
          <w:szCs w:val="13"/>
        </w:rPr>
      </w:pPr>
    </w:p>
    <w:p w14:paraId="53A34B6D" w14:textId="2946D064" w:rsidR="00672FC0" w:rsidRPr="00154588" w:rsidRDefault="00BD7EEA" w:rsidP="00BD7EEA">
      <w:pPr>
        <w:jc w:val="center"/>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571ECC18" wp14:editId="5B7EC48A">
            <wp:extent cx="4827270" cy="2722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7270" cy="2722245"/>
                    </a:xfrm>
                    <a:prstGeom prst="rect">
                      <a:avLst/>
                    </a:prstGeom>
                    <a:noFill/>
                    <a:ln>
                      <a:noFill/>
                    </a:ln>
                  </pic:spPr>
                </pic:pic>
              </a:graphicData>
            </a:graphic>
          </wp:inline>
        </w:drawing>
      </w:r>
    </w:p>
    <w:p w14:paraId="2AFEA24A" w14:textId="77777777" w:rsidR="00154588" w:rsidRPr="00154588" w:rsidRDefault="00154588" w:rsidP="00154588">
      <w:pPr>
        <w:jc w:val="both"/>
        <w:rPr>
          <w:rFonts w:ascii="Times New Roman" w:eastAsia="Book Antiqua" w:hAnsi="Times New Roman" w:cs="Book Antiqua"/>
          <w:noProof/>
          <w:sz w:val="24"/>
          <w:szCs w:val="20"/>
        </w:rPr>
      </w:pPr>
    </w:p>
    <w:p w14:paraId="77C2564E" w14:textId="77777777" w:rsidR="00672FC0" w:rsidRPr="00780F03" w:rsidRDefault="00672FC0" w:rsidP="00780F03">
      <w:pPr>
        <w:pStyle w:val="Heading1"/>
        <w:rPr>
          <w:b/>
          <w:bCs/>
          <w:noProof/>
          <w:sz w:val="28"/>
          <w:szCs w:val="32"/>
        </w:rPr>
      </w:pPr>
      <w:bookmarkStart w:id="289" w:name="_TOC_250004"/>
      <w:bookmarkStart w:id="290" w:name="_Toc46997661"/>
      <w:bookmarkStart w:id="291" w:name="_Toc47003190"/>
      <w:r w:rsidRPr="00780F03">
        <w:rPr>
          <w:b/>
          <w:bCs/>
          <w:sz w:val="28"/>
          <w:szCs w:val="32"/>
        </w:rPr>
        <w:t>Artrīts</w:t>
      </w:r>
      <w:bookmarkEnd w:id="289"/>
      <w:bookmarkEnd w:id="290"/>
      <w:bookmarkEnd w:id="291"/>
    </w:p>
    <w:p w14:paraId="5AE15D06" w14:textId="77777777" w:rsidR="00780F03" w:rsidRDefault="00780F03" w:rsidP="00154588">
      <w:pPr>
        <w:pStyle w:val="BodyText"/>
        <w:spacing w:before="0"/>
        <w:ind w:left="0"/>
        <w:jc w:val="both"/>
        <w:rPr>
          <w:rFonts w:ascii="Times New Roman" w:hAnsi="Times New Roman"/>
          <w:sz w:val="24"/>
        </w:rPr>
      </w:pPr>
    </w:p>
    <w:p w14:paraId="47E57A89" w14:textId="488CC153"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Artrītu pieaugušām kazām var izraisīt kazu artrīta un encefalīta vīruss, mikoplazma un vairāki baktēriju paveidi. Zviedrijā ir ierobežotas zināšanas par kazlēnu artrīta etioloģiju, bet ir zināms par </w:t>
      </w:r>
      <w:r>
        <w:rPr>
          <w:rFonts w:ascii="Times New Roman" w:hAnsi="Times New Roman"/>
          <w:i/>
          <w:sz w:val="24"/>
        </w:rPr>
        <w:t xml:space="preserve">E. coli </w:t>
      </w:r>
      <w:r>
        <w:rPr>
          <w:rFonts w:ascii="Times New Roman" w:hAnsi="Times New Roman"/>
          <w:sz w:val="24"/>
        </w:rPr>
        <w:t>izraisītu poliartrītu. Norvēģijā veiktie pētījumi norāda, ka visbiežākais poliartrīta cēlonis ir streptokoki.</w:t>
      </w:r>
    </w:p>
    <w:p w14:paraId="499AB51B" w14:textId="77777777" w:rsidR="00672FC0" w:rsidRPr="00154588" w:rsidRDefault="00672FC0" w:rsidP="00154588">
      <w:pPr>
        <w:jc w:val="both"/>
        <w:rPr>
          <w:rFonts w:ascii="Times New Roman" w:hAnsi="Times New Roman"/>
          <w:noProof/>
          <w:sz w:val="24"/>
        </w:rPr>
      </w:pPr>
    </w:p>
    <w:p w14:paraId="4F22B6C2" w14:textId="77777777" w:rsidR="00672FC0" w:rsidRPr="00154588" w:rsidRDefault="00672FC0" w:rsidP="00154588">
      <w:pPr>
        <w:pStyle w:val="Heading3"/>
        <w:ind w:left="0"/>
        <w:jc w:val="both"/>
        <w:rPr>
          <w:rFonts w:ascii="Times New Roman" w:hAnsi="Times New Roman"/>
          <w:noProof/>
          <w:sz w:val="24"/>
        </w:rPr>
      </w:pPr>
      <w:bookmarkStart w:id="292" w:name="_Toc46997662"/>
      <w:bookmarkStart w:id="293" w:name="_Toc47003191"/>
      <w:r>
        <w:rPr>
          <w:rFonts w:ascii="Times New Roman" w:hAnsi="Times New Roman"/>
          <w:sz w:val="24"/>
        </w:rPr>
        <w:t>Diagnozes noteikšana</w:t>
      </w:r>
      <w:bookmarkEnd w:id="292"/>
      <w:bookmarkEnd w:id="293"/>
    </w:p>
    <w:p w14:paraId="01CA042D"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Klīniskie simptomi, kas noteikti klīniskās izmeklēšanas gaitā un ko apstiprina bakterioloģiskā analīze un/vai PĶR, seroloģija vai cits diagnostiskais tests, un/vai autopsijas.</w:t>
      </w:r>
    </w:p>
    <w:p w14:paraId="3E0EE1B4" w14:textId="77777777" w:rsidR="00672FC0" w:rsidRPr="00154588" w:rsidRDefault="00672FC0" w:rsidP="00154588">
      <w:pPr>
        <w:jc w:val="both"/>
        <w:rPr>
          <w:rFonts w:ascii="Times New Roman" w:eastAsia="Book Antiqua" w:hAnsi="Times New Roman" w:cs="Book Antiqua"/>
          <w:noProof/>
          <w:sz w:val="24"/>
          <w:szCs w:val="18"/>
        </w:rPr>
      </w:pPr>
    </w:p>
    <w:p w14:paraId="5BF58870" w14:textId="77777777" w:rsidR="00672FC0" w:rsidRPr="00154588" w:rsidRDefault="00672FC0" w:rsidP="00154588">
      <w:pPr>
        <w:pStyle w:val="Heading3"/>
        <w:ind w:left="0"/>
        <w:jc w:val="both"/>
        <w:rPr>
          <w:rFonts w:ascii="Times New Roman" w:hAnsi="Times New Roman"/>
          <w:noProof/>
          <w:sz w:val="24"/>
        </w:rPr>
      </w:pPr>
      <w:bookmarkStart w:id="294" w:name="_Toc46997663"/>
      <w:bookmarkStart w:id="295" w:name="_Toc47003192"/>
      <w:r>
        <w:rPr>
          <w:rFonts w:ascii="Times New Roman" w:hAnsi="Times New Roman"/>
          <w:sz w:val="24"/>
        </w:rPr>
        <w:t>Ārstēšana</w:t>
      </w:r>
      <w:bookmarkEnd w:id="294"/>
      <w:bookmarkEnd w:id="295"/>
    </w:p>
    <w:p w14:paraId="75801D8E" w14:textId="1B58D155"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aizdomas par baktēriju, kas ir jutīga pret penicilīnu, izvēles zāles ir prokaīna benzilpenicilīns, ko ievada 20 mg/kg devās </w:t>
      </w:r>
      <w:r>
        <w:rPr>
          <w:rFonts w:ascii="Times New Roman" w:hAnsi="Times New Roman"/>
          <w:i/>
          <w:iCs/>
          <w:sz w:val="24"/>
        </w:rPr>
        <w:t>BID</w:t>
      </w:r>
      <w:r>
        <w:rPr>
          <w:rFonts w:ascii="Times New Roman" w:hAnsi="Times New Roman"/>
          <w:sz w:val="24"/>
        </w:rPr>
        <w:t xml:space="preserve"> 10–14 dienas vai 40 mg/kg devās </w:t>
      </w:r>
      <w:r>
        <w:rPr>
          <w:rFonts w:ascii="Times New Roman" w:hAnsi="Times New Roman"/>
          <w:i/>
          <w:iCs/>
          <w:sz w:val="24"/>
        </w:rPr>
        <w:t>SID</w:t>
      </w:r>
      <w:r>
        <w:rPr>
          <w:rFonts w:ascii="Times New Roman" w:hAnsi="Times New Roman"/>
          <w:sz w:val="24"/>
        </w:rPr>
        <w:t>. Lai ārstēšana būtu veiksmīga, ir ļoti svarīgi to uzsākt agrīnā stadijā. Prognoze ir slikta.</w:t>
      </w:r>
    </w:p>
    <w:p w14:paraId="68ACC44F" w14:textId="77777777" w:rsidR="00BE61BA" w:rsidRPr="00154588" w:rsidRDefault="00BE61BA" w:rsidP="00154588">
      <w:pPr>
        <w:pStyle w:val="BodyText"/>
        <w:spacing w:before="0"/>
        <w:ind w:left="0"/>
        <w:jc w:val="both"/>
        <w:rPr>
          <w:rFonts w:ascii="Times New Roman" w:hAnsi="Times New Roman"/>
          <w:noProof/>
          <w:sz w:val="24"/>
        </w:rPr>
      </w:pPr>
    </w:p>
    <w:p w14:paraId="4EFACDDE" w14:textId="2A68501C"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atrastas </w:t>
      </w:r>
      <w:r>
        <w:rPr>
          <w:rFonts w:ascii="Times New Roman" w:hAnsi="Times New Roman"/>
          <w:i/>
          <w:iCs/>
          <w:sz w:val="24"/>
        </w:rPr>
        <w:t>E. coli</w:t>
      </w:r>
      <w:r>
        <w:rPr>
          <w:rFonts w:ascii="Times New Roman" w:hAnsi="Times New Roman"/>
          <w:sz w:val="24"/>
        </w:rPr>
        <w:t xml:space="preserve"> baktērijas vai par tām ir aizdomas, var </w:t>
      </w:r>
      <w:r w:rsidR="00D95E52">
        <w:rPr>
          <w:rFonts w:ascii="Times New Roman" w:hAnsi="Times New Roman"/>
          <w:sz w:val="24"/>
        </w:rPr>
        <w:t>lietot</w:t>
      </w:r>
      <w:r>
        <w:rPr>
          <w:rFonts w:ascii="Times New Roman" w:hAnsi="Times New Roman"/>
          <w:sz w:val="24"/>
        </w:rPr>
        <w:t xml:space="preserve"> T/S, skatīt sadaļu par septicēmiju.</w:t>
      </w:r>
    </w:p>
    <w:p w14:paraId="661A36AC" w14:textId="77777777" w:rsidR="00BE61BA" w:rsidRPr="00154588" w:rsidRDefault="00BE61BA" w:rsidP="00154588">
      <w:pPr>
        <w:pStyle w:val="BodyText"/>
        <w:spacing w:before="0"/>
        <w:ind w:left="0"/>
        <w:jc w:val="both"/>
        <w:rPr>
          <w:rFonts w:ascii="Times New Roman" w:hAnsi="Times New Roman"/>
          <w:noProof/>
          <w:sz w:val="24"/>
        </w:rPr>
      </w:pPr>
    </w:p>
    <w:p w14:paraId="06B88C1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Mikoplazmas izraisītam artrītam ir ļoti slikta prognoze, taču var mēģināt ievadīt TET sistēmiski, ņemot vērā dzīvnieku labturības apsvērumus.</w:t>
      </w:r>
    </w:p>
    <w:p w14:paraId="03F1B535" w14:textId="77777777" w:rsidR="00BE61BA" w:rsidRDefault="00BE61BA" w:rsidP="00154588">
      <w:pPr>
        <w:pStyle w:val="BodyText"/>
        <w:spacing w:before="0"/>
        <w:ind w:left="0"/>
        <w:jc w:val="both"/>
        <w:rPr>
          <w:rFonts w:ascii="Times New Roman" w:hAnsi="Times New Roman"/>
          <w:noProof/>
          <w:sz w:val="24"/>
        </w:rPr>
      </w:pPr>
    </w:p>
    <w:p w14:paraId="70E37BBD" w14:textId="16B0491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Kazu artrīta un encefalīta vīrusa izraisītu artrītu nevar ārstēt ar antibiotikām, bet katrā atsevišķā gadījumā var izmantot atbalstošu terapiju.</w:t>
      </w:r>
    </w:p>
    <w:p w14:paraId="620EE7A3" w14:textId="77777777" w:rsidR="00672FC0" w:rsidRPr="00154588" w:rsidRDefault="00672FC0" w:rsidP="00154588">
      <w:pPr>
        <w:jc w:val="both"/>
        <w:rPr>
          <w:rFonts w:ascii="Times New Roman" w:eastAsia="Book Antiqua" w:hAnsi="Times New Roman" w:cs="Book Antiqua"/>
          <w:noProof/>
          <w:sz w:val="24"/>
          <w:szCs w:val="26"/>
        </w:rPr>
      </w:pPr>
    </w:p>
    <w:p w14:paraId="70D93A4B" w14:textId="77777777" w:rsidR="00672FC0" w:rsidRPr="00780F03" w:rsidRDefault="00672FC0" w:rsidP="00780F03">
      <w:pPr>
        <w:pStyle w:val="Heading1"/>
        <w:rPr>
          <w:b/>
          <w:bCs/>
          <w:noProof/>
          <w:sz w:val="28"/>
          <w:szCs w:val="32"/>
        </w:rPr>
      </w:pPr>
      <w:bookmarkStart w:id="296" w:name="_TOC_250003"/>
      <w:bookmarkStart w:id="297" w:name="_Toc46997664"/>
      <w:bookmarkStart w:id="298" w:name="_Toc47003193"/>
      <w:r w:rsidRPr="00780F03">
        <w:rPr>
          <w:b/>
          <w:bCs/>
          <w:sz w:val="28"/>
          <w:szCs w:val="32"/>
        </w:rPr>
        <w:t>Pēdu un nagu slimības</w:t>
      </w:r>
      <w:bookmarkEnd w:id="296"/>
      <w:bookmarkEnd w:id="297"/>
      <w:bookmarkEnd w:id="298"/>
    </w:p>
    <w:p w14:paraId="72FC6532" w14:textId="77777777" w:rsidR="00780F03" w:rsidRDefault="00780F03" w:rsidP="00154588">
      <w:pPr>
        <w:pStyle w:val="BodyText"/>
        <w:spacing w:before="0"/>
        <w:ind w:left="0"/>
        <w:jc w:val="both"/>
        <w:rPr>
          <w:rFonts w:ascii="Times New Roman" w:hAnsi="Times New Roman"/>
          <w:sz w:val="24"/>
        </w:rPr>
      </w:pPr>
    </w:p>
    <w:p w14:paraId="589E4688" w14:textId="7B8D33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Kazām, tāpat kā aitām, var būt pēdu puve. Etioloģiskais izraisītājs ir </w:t>
      </w:r>
      <w:r>
        <w:rPr>
          <w:rFonts w:ascii="Times New Roman" w:hAnsi="Times New Roman"/>
          <w:i/>
          <w:iCs/>
          <w:sz w:val="24"/>
        </w:rPr>
        <w:t>Dichelobacter nodosus</w:t>
      </w:r>
      <w:r>
        <w:rPr>
          <w:rFonts w:ascii="Times New Roman" w:hAnsi="Times New Roman"/>
          <w:sz w:val="24"/>
        </w:rPr>
        <w:t xml:space="preserve">. Kazas slimo arī ar interdigitālo dermatītu, ko izraisa </w:t>
      </w:r>
      <w:r>
        <w:rPr>
          <w:rFonts w:ascii="Times New Roman" w:hAnsi="Times New Roman"/>
          <w:i/>
          <w:iCs/>
          <w:sz w:val="24"/>
        </w:rPr>
        <w:t>Fusobacterium necrophorum</w:t>
      </w:r>
      <w:r>
        <w:rPr>
          <w:rFonts w:ascii="Times New Roman" w:hAnsi="Times New Roman"/>
          <w:sz w:val="24"/>
        </w:rPr>
        <w:t>.</w:t>
      </w:r>
    </w:p>
    <w:p w14:paraId="4B04AFD7" w14:textId="77777777" w:rsidR="00672FC0" w:rsidRPr="00154588" w:rsidRDefault="00672FC0" w:rsidP="00154588">
      <w:pPr>
        <w:jc w:val="both"/>
        <w:rPr>
          <w:rFonts w:ascii="Times New Roman" w:eastAsia="Book Antiqua" w:hAnsi="Times New Roman" w:cs="Book Antiqua"/>
          <w:noProof/>
          <w:sz w:val="24"/>
          <w:szCs w:val="18"/>
        </w:rPr>
      </w:pPr>
    </w:p>
    <w:p w14:paraId="0DDA9C2E" w14:textId="77777777" w:rsidR="00672FC0" w:rsidRPr="00154588" w:rsidRDefault="00672FC0" w:rsidP="00154588">
      <w:pPr>
        <w:pStyle w:val="Heading3"/>
        <w:ind w:left="0"/>
        <w:jc w:val="both"/>
        <w:rPr>
          <w:rFonts w:ascii="Times New Roman" w:hAnsi="Times New Roman"/>
          <w:noProof/>
          <w:sz w:val="24"/>
        </w:rPr>
      </w:pPr>
      <w:bookmarkStart w:id="299" w:name="_Toc46997665"/>
      <w:bookmarkStart w:id="300" w:name="_Toc47003194"/>
      <w:r>
        <w:rPr>
          <w:rFonts w:ascii="Times New Roman" w:hAnsi="Times New Roman"/>
          <w:sz w:val="24"/>
        </w:rPr>
        <w:t>Diagnozes noteikšana</w:t>
      </w:r>
      <w:bookmarkEnd w:id="299"/>
      <w:bookmarkEnd w:id="300"/>
    </w:p>
    <w:p w14:paraId="16A658B8"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Informāciju par pēdu puves klīnisko simptomu identificēšanu skatīt sadaļā par aitām.</w:t>
      </w:r>
    </w:p>
    <w:p w14:paraId="06A653AE" w14:textId="77777777" w:rsidR="00672FC0" w:rsidRPr="00154588" w:rsidRDefault="00672FC0" w:rsidP="00154588">
      <w:pPr>
        <w:jc w:val="both"/>
        <w:rPr>
          <w:rFonts w:ascii="Times New Roman" w:eastAsia="Book Antiqua" w:hAnsi="Times New Roman" w:cs="Book Antiqua"/>
          <w:noProof/>
          <w:sz w:val="24"/>
          <w:szCs w:val="17"/>
        </w:rPr>
      </w:pPr>
    </w:p>
    <w:p w14:paraId="35E4DC9B" w14:textId="77777777" w:rsidR="00672FC0" w:rsidRPr="00154588" w:rsidRDefault="00672FC0" w:rsidP="00154588">
      <w:pPr>
        <w:pStyle w:val="Heading3"/>
        <w:ind w:left="0"/>
        <w:jc w:val="both"/>
        <w:rPr>
          <w:rFonts w:ascii="Times New Roman" w:hAnsi="Times New Roman"/>
          <w:noProof/>
          <w:sz w:val="24"/>
        </w:rPr>
      </w:pPr>
      <w:bookmarkStart w:id="301" w:name="_Toc46997666"/>
      <w:bookmarkStart w:id="302" w:name="_Toc47003195"/>
      <w:r>
        <w:rPr>
          <w:rFonts w:ascii="Times New Roman" w:hAnsi="Times New Roman"/>
          <w:sz w:val="24"/>
        </w:rPr>
        <w:t>Ārstēšana</w:t>
      </w:r>
      <w:bookmarkEnd w:id="301"/>
      <w:bookmarkEnd w:id="302"/>
    </w:p>
    <w:p w14:paraId="27EFE819" w14:textId="6AC1534C"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Pēdu puvi galvenokārt ārstē ar cinka sulfāta kāju vannu. Smagākos gadījumos var lietot ilgstošas darbības tetraciklīnu 20 mg/kg devā, ko injicē vienreiz vienlaicīgi ar pirmo kāju vannu. Informāciju par slimības izskaušanu skatīt sadaļā par aitām.</w:t>
      </w:r>
    </w:p>
    <w:p w14:paraId="15A5686C" w14:textId="77777777" w:rsidR="00BE61BA" w:rsidRPr="00154588" w:rsidRDefault="00BE61BA" w:rsidP="00154588">
      <w:pPr>
        <w:pStyle w:val="BodyText"/>
        <w:spacing w:before="0"/>
        <w:ind w:left="0"/>
        <w:jc w:val="both"/>
        <w:rPr>
          <w:rFonts w:ascii="Times New Roman" w:hAnsi="Times New Roman"/>
          <w:noProof/>
          <w:sz w:val="24"/>
        </w:rPr>
      </w:pPr>
    </w:p>
    <w:p w14:paraId="629C5B41" w14:textId="753A3E5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Interdigitālo dermatītu galvenokārt ārstē, iztīrot un dezinficējot iekaisuma vietu. Smagus slimības gadījumus ar paaugstinātu ķermeņa temperatūru un/vai klibumu jāārstē ar prokaīna benzilpenicilīnu, ko ievada intramuskulāri 20 mg/kg devās </w:t>
      </w:r>
      <w:r>
        <w:rPr>
          <w:rFonts w:ascii="Times New Roman" w:hAnsi="Times New Roman"/>
          <w:i/>
          <w:iCs/>
          <w:sz w:val="24"/>
        </w:rPr>
        <w:t>SID</w:t>
      </w:r>
      <w:r>
        <w:rPr>
          <w:rFonts w:ascii="Times New Roman" w:hAnsi="Times New Roman"/>
          <w:sz w:val="24"/>
        </w:rPr>
        <w:t xml:space="preserve"> 3 dienas. Alternatīvi var izmantot ilgstošas darbības penicilīnu, ko injicē vienu reizi intramuskulāri 30 mg/kg devā.</w:t>
      </w:r>
    </w:p>
    <w:p w14:paraId="2365AA5A" w14:textId="77777777" w:rsidR="00672FC0" w:rsidRPr="00154588" w:rsidRDefault="00672FC0" w:rsidP="00154588">
      <w:pPr>
        <w:jc w:val="both"/>
        <w:rPr>
          <w:rFonts w:ascii="Times New Roman" w:eastAsia="Book Antiqua" w:hAnsi="Times New Roman" w:cs="Book Antiqua"/>
          <w:noProof/>
          <w:sz w:val="24"/>
          <w:szCs w:val="26"/>
        </w:rPr>
      </w:pPr>
    </w:p>
    <w:p w14:paraId="0E44FB17" w14:textId="77777777" w:rsidR="00672FC0" w:rsidRPr="00780F03" w:rsidRDefault="00672FC0" w:rsidP="00780F03">
      <w:pPr>
        <w:pStyle w:val="Heading1"/>
        <w:rPr>
          <w:b/>
          <w:bCs/>
          <w:noProof/>
          <w:sz w:val="28"/>
          <w:szCs w:val="32"/>
        </w:rPr>
      </w:pPr>
      <w:bookmarkStart w:id="303" w:name="_TOC_250002"/>
      <w:bookmarkStart w:id="304" w:name="_Toc46997667"/>
      <w:bookmarkStart w:id="305" w:name="_Toc47003196"/>
      <w:r w:rsidRPr="00780F03">
        <w:rPr>
          <w:b/>
          <w:bCs/>
          <w:sz w:val="28"/>
          <w:szCs w:val="32"/>
        </w:rPr>
        <w:t>Pneimonija</w:t>
      </w:r>
      <w:bookmarkEnd w:id="303"/>
      <w:bookmarkEnd w:id="304"/>
      <w:bookmarkEnd w:id="305"/>
    </w:p>
    <w:p w14:paraId="45C8A557" w14:textId="77777777" w:rsidR="00780F03" w:rsidRDefault="00780F03" w:rsidP="00154588">
      <w:pPr>
        <w:pStyle w:val="BodyText"/>
        <w:spacing w:before="0"/>
        <w:ind w:left="0"/>
        <w:jc w:val="both"/>
        <w:rPr>
          <w:rFonts w:ascii="Times New Roman" w:hAnsi="Times New Roman"/>
          <w:sz w:val="24"/>
        </w:rPr>
      </w:pPr>
    </w:p>
    <w:p w14:paraId="07616445" w14:textId="6C8F053B"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Kazu pneimonija ir daudzfaktoru slimība. Vides faktori, piemēram, slikta ventilācija un netīri aizgaldi, apvienojumā ar lielu dzīvnieku blīvumu un stresu ir labvēlīga vide patogēniem, piemēram, baktērijām, vīrusiem un parazītiem. Zviedrijā kazu ganāmpulkos atrodama mikoplazma, </w:t>
      </w:r>
      <w:r>
        <w:rPr>
          <w:rFonts w:ascii="Times New Roman" w:hAnsi="Times New Roman"/>
          <w:i/>
          <w:iCs/>
          <w:sz w:val="24"/>
        </w:rPr>
        <w:t>Pasteurella multocida</w:t>
      </w:r>
      <w:r>
        <w:rPr>
          <w:rFonts w:ascii="Times New Roman" w:hAnsi="Times New Roman"/>
          <w:sz w:val="24"/>
        </w:rPr>
        <w:t xml:space="preserve"> un </w:t>
      </w:r>
      <w:r>
        <w:rPr>
          <w:rFonts w:ascii="Times New Roman" w:hAnsi="Times New Roman"/>
          <w:i/>
          <w:iCs/>
          <w:sz w:val="24"/>
        </w:rPr>
        <w:t>Mannheimia haemolytica</w:t>
      </w:r>
      <w:r>
        <w:rPr>
          <w:rFonts w:ascii="Times New Roman" w:hAnsi="Times New Roman"/>
          <w:sz w:val="24"/>
        </w:rPr>
        <w:t>.</w:t>
      </w:r>
    </w:p>
    <w:p w14:paraId="3E506669" w14:textId="77777777" w:rsidR="00672FC0" w:rsidRPr="00154588" w:rsidRDefault="00672FC0" w:rsidP="00154588">
      <w:pPr>
        <w:jc w:val="both"/>
        <w:rPr>
          <w:rFonts w:ascii="Times New Roman" w:eastAsia="Book Antiqua" w:hAnsi="Times New Roman" w:cs="Book Antiqua"/>
          <w:noProof/>
          <w:sz w:val="24"/>
          <w:szCs w:val="18"/>
        </w:rPr>
      </w:pPr>
    </w:p>
    <w:p w14:paraId="2D759E97" w14:textId="77777777" w:rsidR="00672FC0" w:rsidRPr="00154588" w:rsidRDefault="00672FC0" w:rsidP="00154588">
      <w:pPr>
        <w:pStyle w:val="Heading3"/>
        <w:ind w:left="0"/>
        <w:jc w:val="both"/>
        <w:rPr>
          <w:rFonts w:ascii="Times New Roman" w:hAnsi="Times New Roman"/>
          <w:noProof/>
          <w:sz w:val="24"/>
        </w:rPr>
      </w:pPr>
      <w:bookmarkStart w:id="306" w:name="_Toc46997668"/>
      <w:bookmarkStart w:id="307" w:name="_Toc47003197"/>
      <w:r>
        <w:rPr>
          <w:rFonts w:ascii="Times New Roman" w:hAnsi="Times New Roman"/>
          <w:sz w:val="24"/>
        </w:rPr>
        <w:t>Diagnozes noteikšana</w:t>
      </w:r>
      <w:bookmarkEnd w:id="306"/>
      <w:bookmarkEnd w:id="307"/>
    </w:p>
    <w:p w14:paraId="1451D588"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Papildus klīniskajiem simptomiem etioloģisko diagnozi var nodrošināt autopsija. Deguna uztriepēm ir ierobežota vērtība, galvenokārt augšējo elpceļu jauktās floras dēļ.</w:t>
      </w:r>
    </w:p>
    <w:p w14:paraId="2279919C" w14:textId="77777777" w:rsidR="00672FC0" w:rsidRPr="00154588" w:rsidRDefault="00672FC0" w:rsidP="00154588">
      <w:pPr>
        <w:jc w:val="both"/>
        <w:rPr>
          <w:rFonts w:ascii="Times New Roman" w:eastAsia="Book Antiqua" w:hAnsi="Times New Roman" w:cs="Book Antiqua"/>
          <w:noProof/>
          <w:sz w:val="24"/>
          <w:szCs w:val="18"/>
        </w:rPr>
      </w:pPr>
    </w:p>
    <w:p w14:paraId="2CD3C0ED" w14:textId="77777777" w:rsidR="00672FC0" w:rsidRPr="00154588" w:rsidRDefault="00672FC0" w:rsidP="00154588">
      <w:pPr>
        <w:pStyle w:val="Heading3"/>
        <w:ind w:left="0"/>
        <w:jc w:val="both"/>
        <w:rPr>
          <w:rFonts w:ascii="Times New Roman" w:hAnsi="Times New Roman"/>
          <w:noProof/>
          <w:sz w:val="24"/>
        </w:rPr>
      </w:pPr>
      <w:bookmarkStart w:id="308" w:name="_Toc46997669"/>
      <w:bookmarkStart w:id="309" w:name="_Toc47003198"/>
      <w:r>
        <w:rPr>
          <w:rFonts w:ascii="Times New Roman" w:hAnsi="Times New Roman"/>
          <w:sz w:val="24"/>
        </w:rPr>
        <w:t>Ārstēšana</w:t>
      </w:r>
      <w:bookmarkEnd w:id="308"/>
      <w:bookmarkEnd w:id="309"/>
    </w:p>
    <w:p w14:paraId="529D00DD" w14:textId="67E8798D" w:rsidR="00672FC0" w:rsidRDefault="00672FC0" w:rsidP="00154588">
      <w:pPr>
        <w:jc w:val="both"/>
        <w:rPr>
          <w:rFonts w:ascii="Times New Roman" w:hAnsi="Times New Roman"/>
          <w:noProof/>
          <w:sz w:val="24"/>
        </w:rPr>
      </w:pPr>
      <w:r>
        <w:rPr>
          <w:rFonts w:ascii="Times New Roman" w:hAnsi="Times New Roman"/>
          <w:i/>
          <w:iCs/>
          <w:sz w:val="24"/>
        </w:rPr>
        <w:t>Pasteurella multocida</w:t>
      </w:r>
      <w:r>
        <w:rPr>
          <w:rFonts w:ascii="Times New Roman" w:hAnsi="Times New Roman"/>
          <w:sz w:val="24"/>
        </w:rPr>
        <w:t xml:space="preserve"> un </w:t>
      </w:r>
      <w:r>
        <w:rPr>
          <w:rFonts w:ascii="Times New Roman" w:hAnsi="Times New Roman"/>
          <w:i/>
          <w:iCs/>
          <w:sz w:val="24"/>
        </w:rPr>
        <w:t>Mannheimia haemolytica</w:t>
      </w:r>
      <w:r>
        <w:rPr>
          <w:rFonts w:ascii="Times New Roman" w:hAnsi="Times New Roman"/>
          <w:sz w:val="24"/>
        </w:rPr>
        <w:t xml:space="preserve"> infekciju gadījumos izvēles zāles ir prokaīna benzilpenicilīns, un devas ir 20 mg/kg intramuskulāri </w:t>
      </w:r>
      <w:r>
        <w:rPr>
          <w:rFonts w:ascii="Times New Roman" w:hAnsi="Times New Roman"/>
          <w:i/>
          <w:iCs/>
          <w:sz w:val="24"/>
        </w:rPr>
        <w:t>BID</w:t>
      </w:r>
      <w:r>
        <w:rPr>
          <w:rFonts w:ascii="Times New Roman" w:hAnsi="Times New Roman"/>
          <w:sz w:val="24"/>
        </w:rPr>
        <w:t xml:space="preserve"> vai 40 mg/kg </w:t>
      </w:r>
      <w:r>
        <w:rPr>
          <w:rFonts w:ascii="Times New Roman" w:hAnsi="Times New Roman"/>
          <w:i/>
          <w:iCs/>
          <w:sz w:val="24"/>
        </w:rPr>
        <w:t>SID</w:t>
      </w:r>
      <w:r>
        <w:rPr>
          <w:rFonts w:ascii="Times New Roman" w:hAnsi="Times New Roman"/>
          <w:sz w:val="24"/>
        </w:rPr>
        <w:t>. Ārstēšana jāturpina ne mazāk kā 5 dienas.</w:t>
      </w:r>
    </w:p>
    <w:p w14:paraId="46F22C37" w14:textId="77777777" w:rsidR="00BE61BA" w:rsidRPr="00154588" w:rsidRDefault="00BE61BA" w:rsidP="00154588">
      <w:pPr>
        <w:jc w:val="both"/>
        <w:rPr>
          <w:rFonts w:ascii="Times New Roman" w:hAnsi="Times New Roman"/>
          <w:noProof/>
          <w:sz w:val="24"/>
        </w:rPr>
      </w:pPr>
    </w:p>
    <w:p w14:paraId="15A2C0BD" w14:textId="2DD0D47D"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Mikoplazma nav jutīga pret penicilīnu, un citu zāļu iedarbīgums parasti ir zems, taču var mēģināt izmantot tetraciklīnu, ņemot vērā dzīvnieku labturības apsvērumus. Ieteicamā deva ir 10 mg/kg intramuskulāri </w:t>
      </w:r>
      <w:r>
        <w:rPr>
          <w:rFonts w:ascii="Times New Roman" w:hAnsi="Times New Roman"/>
          <w:i/>
          <w:iCs/>
          <w:sz w:val="24"/>
        </w:rPr>
        <w:t>SID</w:t>
      </w:r>
      <w:r>
        <w:rPr>
          <w:rFonts w:ascii="Times New Roman" w:hAnsi="Times New Roman"/>
          <w:sz w:val="24"/>
        </w:rPr>
        <w:t xml:space="preserve"> 5 dienas vai 20 mg/kg divas reizes ar 48 stundu intervālu. Ja izmanto ilgstošas darbības produktu, tas jādozē pa 20 mg/kg intramuskulāri divas reizes ar trīs dienu intervālu. Atkarībā no simptomiem katrā konkrētajā gadījumā veic atbalstošu terapiju ar NPL un citām zālēm vai pasākumiem.</w:t>
      </w:r>
    </w:p>
    <w:p w14:paraId="1FC8C2B1" w14:textId="77777777" w:rsidR="00672FC0" w:rsidRPr="00154588" w:rsidRDefault="00672FC0" w:rsidP="00154588">
      <w:pPr>
        <w:jc w:val="both"/>
        <w:rPr>
          <w:rFonts w:ascii="Times New Roman" w:eastAsia="Book Antiqua" w:hAnsi="Times New Roman" w:cs="Book Antiqua"/>
          <w:noProof/>
          <w:sz w:val="24"/>
          <w:szCs w:val="26"/>
        </w:rPr>
      </w:pPr>
    </w:p>
    <w:p w14:paraId="73E1C455" w14:textId="77777777" w:rsidR="00672FC0" w:rsidRPr="00780F03" w:rsidRDefault="00672FC0" w:rsidP="00780F03">
      <w:pPr>
        <w:pStyle w:val="Heading1"/>
        <w:rPr>
          <w:b/>
          <w:bCs/>
          <w:noProof/>
          <w:sz w:val="28"/>
          <w:szCs w:val="32"/>
        </w:rPr>
      </w:pPr>
      <w:bookmarkStart w:id="310" w:name="_TOC_250001"/>
      <w:bookmarkStart w:id="311" w:name="_Toc46997670"/>
      <w:bookmarkStart w:id="312" w:name="_Toc47003199"/>
      <w:r w:rsidRPr="00780F03">
        <w:rPr>
          <w:b/>
          <w:bCs/>
          <w:sz w:val="28"/>
          <w:szCs w:val="32"/>
        </w:rPr>
        <w:t>Listerioze</w:t>
      </w:r>
      <w:bookmarkEnd w:id="310"/>
      <w:bookmarkEnd w:id="311"/>
      <w:bookmarkEnd w:id="312"/>
    </w:p>
    <w:p w14:paraId="076C5DAD" w14:textId="77777777" w:rsidR="00780F03" w:rsidRDefault="00780F03" w:rsidP="00154588">
      <w:pPr>
        <w:pStyle w:val="BodyText"/>
        <w:spacing w:before="0"/>
        <w:ind w:left="0"/>
        <w:jc w:val="both"/>
        <w:rPr>
          <w:rFonts w:ascii="Times New Roman" w:hAnsi="Times New Roman"/>
          <w:sz w:val="24"/>
        </w:rPr>
      </w:pPr>
    </w:p>
    <w:p w14:paraId="3735EE62" w14:textId="349D08EE"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Listeriozi izraisa </w:t>
      </w:r>
      <w:r>
        <w:rPr>
          <w:rFonts w:ascii="Times New Roman" w:hAnsi="Times New Roman"/>
          <w:i/>
          <w:sz w:val="24"/>
        </w:rPr>
        <w:t>Listeria monocytogenes</w:t>
      </w:r>
      <w:r>
        <w:rPr>
          <w:rFonts w:ascii="Times New Roman" w:hAnsi="Times New Roman"/>
          <w:sz w:val="24"/>
        </w:rPr>
        <w:t xml:space="preserve"> baktērijas. Kazām var būt centrālās nervu sistēmas simptomi un retāk – septicēmija, kas var izraisīt abortus. Listerioze ir zoonoze, un laboratorijai, kas nosaka diagnozi, jāsniedz par to paziņojums. Sliktas kvalitātes piesārņotu skābbarību uzskata par riska faktoru.</w:t>
      </w:r>
    </w:p>
    <w:p w14:paraId="2B070908" w14:textId="77777777" w:rsidR="00672FC0" w:rsidRPr="00154588" w:rsidRDefault="00672FC0" w:rsidP="00154588">
      <w:pPr>
        <w:jc w:val="both"/>
        <w:rPr>
          <w:rFonts w:ascii="Times New Roman" w:hAnsi="Times New Roman"/>
          <w:noProof/>
          <w:sz w:val="24"/>
        </w:rPr>
      </w:pPr>
    </w:p>
    <w:p w14:paraId="47F2532B" w14:textId="77777777" w:rsidR="00672FC0" w:rsidRPr="00154588" w:rsidRDefault="00672FC0" w:rsidP="00154588">
      <w:pPr>
        <w:pStyle w:val="Heading3"/>
        <w:ind w:left="0"/>
        <w:jc w:val="both"/>
        <w:rPr>
          <w:rFonts w:ascii="Times New Roman" w:hAnsi="Times New Roman"/>
          <w:noProof/>
          <w:sz w:val="24"/>
        </w:rPr>
      </w:pPr>
      <w:bookmarkStart w:id="313" w:name="_Toc46997671"/>
      <w:bookmarkStart w:id="314" w:name="_Toc47003200"/>
      <w:r>
        <w:rPr>
          <w:rFonts w:ascii="Times New Roman" w:hAnsi="Times New Roman"/>
          <w:sz w:val="24"/>
        </w:rPr>
        <w:t>Diagnozes noteikšana</w:t>
      </w:r>
      <w:bookmarkEnd w:id="313"/>
      <w:bookmarkEnd w:id="314"/>
    </w:p>
    <w:p w14:paraId="366D7B9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Klīniskie simptomi un autopsiju rezultāti.</w:t>
      </w:r>
    </w:p>
    <w:p w14:paraId="212B9AC3" w14:textId="77777777" w:rsidR="00672FC0" w:rsidRPr="00154588" w:rsidRDefault="00672FC0" w:rsidP="00154588">
      <w:pPr>
        <w:jc w:val="both"/>
        <w:rPr>
          <w:rFonts w:ascii="Times New Roman" w:eastAsia="Book Antiqua" w:hAnsi="Times New Roman" w:cs="Book Antiqua"/>
          <w:noProof/>
          <w:sz w:val="24"/>
          <w:szCs w:val="17"/>
        </w:rPr>
      </w:pPr>
    </w:p>
    <w:p w14:paraId="20DD002F" w14:textId="77777777" w:rsidR="00672FC0" w:rsidRPr="00154588" w:rsidRDefault="00672FC0" w:rsidP="00154588">
      <w:pPr>
        <w:pStyle w:val="Heading3"/>
        <w:ind w:left="0"/>
        <w:jc w:val="both"/>
        <w:rPr>
          <w:rFonts w:ascii="Times New Roman" w:hAnsi="Times New Roman"/>
          <w:noProof/>
          <w:sz w:val="24"/>
        </w:rPr>
      </w:pPr>
      <w:bookmarkStart w:id="315" w:name="_Toc46997672"/>
      <w:bookmarkStart w:id="316" w:name="_Toc47003201"/>
      <w:r>
        <w:rPr>
          <w:rFonts w:ascii="Times New Roman" w:hAnsi="Times New Roman"/>
          <w:sz w:val="24"/>
        </w:rPr>
        <w:t>Ārstēšana</w:t>
      </w:r>
      <w:bookmarkEnd w:id="315"/>
      <w:bookmarkEnd w:id="316"/>
    </w:p>
    <w:p w14:paraId="63AD76D5" w14:textId="1785E449" w:rsidR="00672FC0" w:rsidRDefault="00672FC0" w:rsidP="00154588">
      <w:pPr>
        <w:pStyle w:val="BodyText"/>
        <w:spacing w:before="0"/>
        <w:ind w:left="0"/>
        <w:jc w:val="both"/>
        <w:rPr>
          <w:rFonts w:ascii="Times New Roman" w:hAnsi="Times New Roman"/>
          <w:noProof/>
          <w:sz w:val="24"/>
        </w:rPr>
      </w:pPr>
      <w:r>
        <w:rPr>
          <w:rFonts w:ascii="Times New Roman" w:hAnsi="Times New Roman"/>
          <w:i/>
          <w:sz w:val="24"/>
        </w:rPr>
        <w:t>L. monocytogenes</w:t>
      </w:r>
      <w:r>
        <w:rPr>
          <w:rFonts w:ascii="Times New Roman" w:hAnsi="Times New Roman"/>
          <w:sz w:val="24"/>
        </w:rPr>
        <w:t xml:space="preserve"> ir jutīgas pret penicilīnu, un izvēles zāles ir benzilpenicilīna nātrija sāls, tādējādi saskaņā ar kaskādes principu var izmantot benzilpenicilīna nātrija sāli, ko ievada </w:t>
      </w:r>
      <w:r>
        <w:rPr>
          <w:rFonts w:ascii="Times New Roman" w:hAnsi="Times New Roman"/>
          <w:sz w:val="24"/>
        </w:rPr>
        <w:lastRenderedPageBreak/>
        <w:t xml:space="preserve">intramuskulāri vai intravenozi – vēlams otrajā no abiem veidiem, ja dzīvniekam ir izteikti klīniski simptomi, – 12 mg/kg devās </w:t>
      </w:r>
      <w:r>
        <w:rPr>
          <w:rFonts w:ascii="Times New Roman" w:hAnsi="Times New Roman"/>
          <w:i/>
          <w:iCs/>
          <w:sz w:val="24"/>
        </w:rPr>
        <w:t>BID</w:t>
      </w:r>
      <w:r>
        <w:rPr>
          <w:rFonts w:ascii="Times New Roman" w:hAnsi="Times New Roman"/>
          <w:sz w:val="24"/>
        </w:rPr>
        <w:t xml:space="preserve"> 7 dienas. Ja dzīvnieka stāvoklis ir mazāk smags, prokaīna benzilpenicilīnu var ievadīt intramuskulāri 60 mg/kg sākuma devā (</w:t>
      </w:r>
      <w:r>
        <w:rPr>
          <w:rFonts w:ascii="Times New Roman" w:hAnsi="Times New Roman"/>
          <w:i/>
          <w:iCs/>
          <w:sz w:val="24"/>
        </w:rPr>
        <w:t>SIC!</w:t>
      </w:r>
      <w:r>
        <w:rPr>
          <w:rFonts w:ascii="Times New Roman" w:hAnsi="Times New Roman"/>
          <w:sz w:val="24"/>
        </w:rPr>
        <w:t xml:space="preserve">), turpinot injekcijas devās pa 40 mg/kg </w:t>
      </w:r>
      <w:r>
        <w:rPr>
          <w:rFonts w:ascii="Times New Roman" w:hAnsi="Times New Roman"/>
          <w:i/>
          <w:iCs/>
          <w:sz w:val="24"/>
        </w:rPr>
        <w:t>SID</w:t>
      </w:r>
      <w:r>
        <w:rPr>
          <w:rFonts w:ascii="Times New Roman" w:hAnsi="Times New Roman"/>
          <w:sz w:val="24"/>
        </w:rPr>
        <w:t xml:space="preserve"> ne mazāk kā 6 dienas. Trešā iespēja ir dot benzilpenicilīna nātrija sāli devās pa 12 mg/kg </w:t>
      </w:r>
      <w:r>
        <w:rPr>
          <w:rFonts w:ascii="Times New Roman" w:hAnsi="Times New Roman"/>
          <w:i/>
          <w:iCs/>
          <w:sz w:val="24"/>
        </w:rPr>
        <w:t>BID</w:t>
      </w:r>
      <w:r>
        <w:rPr>
          <w:rFonts w:ascii="Times New Roman" w:hAnsi="Times New Roman"/>
          <w:sz w:val="24"/>
        </w:rPr>
        <w:t xml:space="preserve">, līdz simptomi pavājinās, un pēc tam pāriet uz prokaīna benzilpenicilīnu </w:t>
      </w:r>
      <w:r>
        <w:rPr>
          <w:rFonts w:ascii="Times New Roman" w:hAnsi="Times New Roman"/>
          <w:i/>
          <w:iCs/>
          <w:sz w:val="24"/>
        </w:rPr>
        <w:t>SID</w:t>
      </w:r>
      <w:r>
        <w:rPr>
          <w:rFonts w:ascii="Times New Roman" w:hAnsi="Times New Roman"/>
          <w:sz w:val="24"/>
        </w:rPr>
        <w:t xml:space="preserve"> devās pa 40 mg/kg.</w:t>
      </w:r>
    </w:p>
    <w:p w14:paraId="0693838A" w14:textId="77777777" w:rsidR="00BE61BA" w:rsidRPr="00154588" w:rsidRDefault="00BE61BA" w:rsidP="00154588">
      <w:pPr>
        <w:pStyle w:val="BodyText"/>
        <w:spacing w:before="0"/>
        <w:ind w:left="0"/>
        <w:jc w:val="both"/>
        <w:rPr>
          <w:rFonts w:ascii="Times New Roman" w:hAnsi="Times New Roman"/>
          <w:noProof/>
          <w:sz w:val="24"/>
        </w:rPr>
      </w:pPr>
    </w:p>
    <w:p w14:paraId="10B4A89E" w14:textId="5857F470"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Prognoze ir diezgan slikta, un veiksmīgam iznākumam nepieciešama agrīna un enerģiska terapija. Anti</w:t>
      </w:r>
      <w:r w:rsidR="00D95E52">
        <w:rPr>
          <w:rFonts w:ascii="Times New Roman" w:hAnsi="Times New Roman"/>
          <w:sz w:val="24"/>
        </w:rPr>
        <w:t>mikrobiālās</w:t>
      </w:r>
      <w:r>
        <w:rPr>
          <w:rFonts w:ascii="Times New Roman" w:hAnsi="Times New Roman"/>
          <w:sz w:val="24"/>
        </w:rPr>
        <w:t xml:space="preserve"> terapijas atbalstam jānodrošina NPL un citas zāles pēc nepieciešamības. Abortu gadījumos ārstēšanā nedrīkst lietot antibiotikas.</w:t>
      </w:r>
    </w:p>
    <w:p w14:paraId="7DB563B3" w14:textId="77777777" w:rsidR="00672FC0" w:rsidRPr="00154588" w:rsidRDefault="00672FC0" w:rsidP="00154588">
      <w:pPr>
        <w:jc w:val="both"/>
        <w:rPr>
          <w:rFonts w:ascii="Times New Roman" w:eastAsia="Book Antiqua" w:hAnsi="Times New Roman" w:cs="Book Antiqua"/>
          <w:noProof/>
          <w:sz w:val="24"/>
          <w:szCs w:val="26"/>
        </w:rPr>
      </w:pPr>
    </w:p>
    <w:p w14:paraId="32BED3F9" w14:textId="77777777" w:rsidR="00672FC0" w:rsidRPr="00780F03" w:rsidRDefault="00672FC0" w:rsidP="00780F03">
      <w:pPr>
        <w:pStyle w:val="Heading1"/>
        <w:rPr>
          <w:b/>
          <w:bCs/>
          <w:noProof/>
          <w:sz w:val="28"/>
          <w:szCs w:val="32"/>
        </w:rPr>
      </w:pPr>
      <w:bookmarkStart w:id="317" w:name="_TOC_250000"/>
      <w:bookmarkStart w:id="318" w:name="_Toc46997673"/>
      <w:bookmarkStart w:id="319" w:name="_Toc47003202"/>
      <w:r w:rsidRPr="00780F03">
        <w:rPr>
          <w:b/>
          <w:bCs/>
          <w:sz w:val="28"/>
          <w:szCs w:val="32"/>
        </w:rPr>
        <w:t>Acu infekcijas</w:t>
      </w:r>
      <w:bookmarkEnd w:id="317"/>
      <w:bookmarkEnd w:id="318"/>
      <w:bookmarkEnd w:id="319"/>
    </w:p>
    <w:p w14:paraId="6EAE1E16" w14:textId="77777777" w:rsidR="00780F03" w:rsidRDefault="00780F03" w:rsidP="00154588">
      <w:pPr>
        <w:jc w:val="both"/>
        <w:rPr>
          <w:rFonts w:ascii="Times New Roman" w:hAnsi="Times New Roman"/>
          <w:sz w:val="24"/>
        </w:rPr>
      </w:pPr>
    </w:p>
    <w:p w14:paraId="5DD6BA5E" w14:textId="411F73E6" w:rsidR="00672FC0" w:rsidRPr="00154588" w:rsidRDefault="00672FC0" w:rsidP="00154588">
      <w:pPr>
        <w:jc w:val="both"/>
        <w:rPr>
          <w:rFonts w:ascii="Times New Roman" w:eastAsia="Book Antiqua" w:hAnsi="Times New Roman" w:cs="Book Antiqua"/>
          <w:noProof/>
          <w:sz w:val="24"/>
          <w:szCs w:val="20"/>
        </w:rPr>
      </w:pPr>
      <w:r>
        <w:rPr>
          <w:rFonts w:ascii="Times New Roman" w:hAnsi="Times New Roman"/>
          <w:sz w:val="24"/>
        </w:rPr>
        <w:t xml:space="preserve">Norvēģijā ziņo par </w:t>
      </w:r>
      <w:r>
        <w:rPr>
          <w:rFonts w:ascii="Times New Roman" w:hAnsi="Times New Roman"/>
          <w:i/>
          <w:iCs/>
          <w:sz w:val="24"/>
        </w:rPr>
        <w:t>Moraxella spp.</w:t>
      </w:r>
      <w:r>
        <w:rPr>
          <w:rFonts w:ascii="Times New Roman" w:hAnsi="Times New Roman"/>
          <w:sz w:val="24"/>
        </w:rPr>
        <w:t xml:space="preserve"> un </w:t>
      </w:r>
      <w:r>
        <w:rPr>
          <w:rFonts w:ascii="Times New Roman" w:hAnsi="Times New Roman"/>
          <w:i/>
          <w:iCs/>
          <w:sz w:val="24"/>
        </w:rPr>
        <w:t>Mycoplasma conjunctivae</w:t>
      </w:r>
      <w:r>
        <w:rPr>
          <w:rFonts w:ascii="Times New Roman" w:hAnsi="Times New Roman"/>
          <w:sz w:val="24"/>
        </w:rPr>
        <w:t xml:space="preserve"> kā visbiežākajiem kazu acu infekciju etioloģiskajiem izraisītājiem.</w:t>
      </w:r>
    </w:p>
    <w:p w14:paraId="11B889DC" w14:textId="77777777" w:rsidR="00672FC0" w:rsidRPr="00154588" w:rsidRDefault="00672FC0" w:rsidP="00154588">
      <w:pPr>
        <w:jc w:val="both"/>
        <w:rPr>
          <w:rFonts w:ascii="Times New Roman" w:eastAsia="Book Antiqua" w:hAnsi="Times New Roman" w:cs="Book Antiqua"/>
          <w:noProof/>
          <w:sz w:val="24"/>
          <w:szCs w:val="18"/>
        </w:rPr>
      </w:pPr>
    </w:p>
    <w:p w14:paraId="6F8D6B00" w14:textId="77777777" w:rsidR="00672FC0" w:rsidRPr="00154588" w:rsidRDefault="00672FC0" w:rsidP="00154588">
      <w:pPr>
        <w:pStyle w:val="Heading3"/>
        <w:ind w:left="0"/>
        <w:jc w:val="both"/>
        <w:rPr>
          <w:rFonts w:ascii="Times New Roman" w:hAnsi="Times New Roman"/>
          <w:noProof/>
          <w:sz w:val="24"/>
        </w:rPr>
      </w:pPr>
      <w:bookmarkStart w:id="320" w:name="_Toc46997674"/>
      <w:bookmarkStart w:id="321" w:name="_Toc47003203"/>
      <w:r>
        <w:rPr>
          <w:rFonts w:ascii="Times New Roman" w:hAnsi="Times New Roman"/>
          <w:sz w:val="24"/>
        </w:rPr>
        <w:t>Diagnozes noteikšana</w:t>
      </w:r>
      <w:bookmarkEnd w:id="320"/>
      <w:bookmarkEnd w:id="321"/>
    </w:p>
    <w:p w14:paraId="1F4ED40A"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Klīniskais simptoms, ko nosaka, veicot izmeklēšanu. Etioloģisko izraisītāju var identificēt, veicot bakteriālos uzsējumus.</w:t>
      </w:r>
    </w:p>
    <w:p w14:paraId="2E2952FC" w14:textId="77777777" w:rsidR="00672FC0" w:rsidRPr="00154588" w:rsidRDefault="00672FC0" w:rsidP="00154588">
      <w:pPr>
        <w:jc w:val="both"/>
        <w:rPr>
          <w:rFonts w:ascii="Times New Roman" w:eastAsia="Book Antiqua" w:hAnsi="Times New Roman" w:cs="Book Antiqua"/>
          <w:noProof/>
          <w:sz w:val="24"/>
          <w:szCs w:val="18"/>
        </w:rPr>
      </w:pPr>
    </w:p>
    <w:p w14:paraId="02614EBD" w14:textId="77777777" w:rsidR="00672FC0" w:rsidRPr="00154588" w:rsidRDefault="00672FC0" w:rsidP="00154588">
      <w:pPr>
        <w:pStyle w:val="Heading3"/>
        <w:ind w:left="0"/>
        <w:jc w:val="both"/>
        <w:rPr>
          <w:rFonts w:ascii="Times New Roman" w:hAnsi="Times New Roman"/>
          <w:noProof/>
          <w:sz w:val="24"/>
        </w:rPr>
      </w:pPr>
      <w:bookmarkStart w:id="322" w:name="_Toc46997675"/>
      <w:bookmarkStart w:id="323" w:name="_Toc47003204"/>
      <w:r>
        <w:rPr>
          <w:rFonts w:ascii="Times New Roman" w:hAnsi="Times New Roman"/>
          <w:sz w:val="24"/>
        </w:rPr>
        <w:t>Ārstēšana</w:t>
      </w:r>
      <w:bookmarkEnd w:id="322"/>
      <w:bookmarkEnd w:id="323"/>
    </w:p>
    <w:p w14:paraId="7701BA93" w14:textId="1BD78FAC" w:rsidR="00672FC0" w:rsidRDefault="00672FC0" w:rsidP="00154588">
      <w:pPr>
        <w:pStyle w:val="BodyText"/>
        <w:spacing w:before="0"/>
        <w:ind w:left="0"/>
        <w:jc w:val="both"/>
        <w:rPr>
          <w:rFonts w:ascii="Times New Roman" w:hAnsi="Times New Roman"/>
          <w:noProof/>
          <w:sz w:val="24"/>
        </w:rPr>
      </w:pPr>
      <w:r>
        <w:rPr>
          <w:rFonts w:ascii="Times New Roman" w:hAnsi="Times New Roman"/>
          <w:sz w:val="24"/>
        </w:rPr>
        <w:t xml:space="preserve">Ja ir aizdomas par </w:t>
      </w:r>
      <w:r>
        <w:rPr>
          <w:rFonts w:ascii="Times New Roman" w:hAnsi="Times New Roman"/>
          <w:i/>
          <w:iCs/>
          <w:sz w:val="24"/>
        </w:rPr>
        <w:t>Moraxella spp.</w:t>
      </w:r>
      <w:r>
        <w:rPr>
          <w:rFonts w:ascii="Times New Roman" w:hAnsi="Times New Roman"/>
          <w:sz w:val="24"/>
        </w:rPr>
        <w:t xml:space="preserve"> infekciju vai inficēšanos ar kādu citu pret penicilīnu jutīgu baktēriju, var ārstēt vietēji ar piemērotu, liellopiem paredzētu intramammāru preparātu, kas satur benzilpenicilīnu, veicot infūzijas vienu reizi dienā trīs dienas, vai ar kloksacilīnu saturošu acu ziedi, veicot infūziju divas reizes ar 48 stundu intervālu. Alternatīva var būt ārstēt vietēji trīs dienas ar hlortetraciklīnu saturošu acu ziedi </w:t>
      </w:r>
      <w:r>
        <w:rPr>
          <w:rFonts w:ascii="Times New Roman" w:hAnsi="Times New Roman"/>
          <w:i/>
          <w:iCs/>
          <w:sz w:val="24"/>
        </w:rPr>
        <w:t>SID</w:t>
      </w:r>
      <w:r>
        <w:rPr>
          <w:rFonts w:ascii="Times New Roman" w:hAnsi="Times New Roman"/>
          <w:sz w:val="24"/>
        </w:rPr>
        <w:t xml:space="preserve">. Var apsvērt sistēmisku oksitetraciklīna injekciju veikšanu intramuskulāri 10 mg/kg devās </w:t>
      </w:r>
      <w:r>
        <w:rPr>
          <w:rFonts w:ascii="Times New Roman" w:hAnsi="Times New Roman"/>
          <w:i/>
          <w:iCs/>
          <w:sz w:val="24"/>
        </w:rPr>
        <w:t>SID</w:t>
      </w:r>
      <w:r>
        <w:rPr>
          <w:rFonts w:ascii="Times New Roman" w:hAnsi="Times New Roman"/>
          <w:sz w:val="24"/>
        </w:rPr>
        <w:t xml:space="preserve"> 3–5 dienas vai intramuskulāri 20 mg/kg devā, ko atkārto pēc 48 stundām, taču dzīvnieku labturības apsvērumu dēļ no tā ir jāizvairās.</w:t>
      </w:r>
    </w:p>
    <w:p w14:paraId="37AF87EF" w14:textId="77777777" w:rsidR="00BE61BA" w:rsidRPr="00154588" w:rsidRDefault="00BE61BA" w:rsidP="00154588">
      <w:pPr>
        <w:pStyle w:val="BodyText"/>
        <w:spacing w:before="0"/>
        <w:ind w:left="0"/>
        <w:jc w:val="both"/>
        <w:rPr>
          <w:rFonts w:ascii="Times New Roman" w:hAnsi="Times New Roman"/>
          <w:noProof/>
          <w:sz w:val="24"/>
        </w:rPr>
      </w:pPr>
    </w:p>
    <w:p w14:paraId="185F9CD4" w14:textId="77777777" w:rsidR="00672FC0" w:rsidRPr="00154588" w:rsidRDefault="00672FC0" w:rsidP="00154588">
      <w:pPr>
        <w:pStyle w:val="BodyText"/>
        <w:spacing w:before="0"/>
        <w:ind w:left="0"/>
        <w:jc w:val="both"/>
        <w:rPr>
          <w:rFonts w:ascii="Times New Roman" w:hAnsi="Times New Roman"/>
          <w:noProof/>
          <w:sz w:val="24"/>
        </w:rPr>
      </w:pPr>
      <w:r>
        <w:rPr>
          <w:rFonts w:ascii="Times New Roman" w:hAnsi="Times New Roman"/>
          <w:sz w:val="24"/>
        </w:rPr>
        <w:t>Mikoplazmas infekcijas var ārstēt ar tetraciklīnu, kā aprakstīts iepriekš, ņemot vērā dzīvnieku labturību. Ārstēšanas ilgumu var nākties pagarināt.</w:t>
      </w:r>
    </w:p>
    <w:p w14:paraId="7081979F" w14:textId="6AB5C3DF" w:rsidR="00BE61BA" w:rsidRDefault="00BE61BA">
      <w:pPr>
        <w:rPr>
          <w:rFonts w:ascii="Times New Roman" w:hAnsi="Times New Roman"/>
          <w:noProof/>
          <w:sz w:val="24"/>
        </w:rPr>
      </w:pPr>
      <w:r>
        <w:br w:type="page"/>
      </w:r>
    </w:p>
    <w:p w14:paraId="29AAE084" w14:textId="2FEE98E7" w:rsidR="00672FC0" w:rsidRDefault="00672FC0" w:rsidP="00154588">
      <w:pPr>
        <w:jc w:val="both"/>
        <w:rPr>
          <w:rFonts w:ascii="Times New Roman" w:eastAsia="Book Antiqua" w:hAnsi="Times New Roman" w:cs="Book Antiqua"/>
          <w:noProof/>
          <w:sz w:val="24"/>
          <w:szCs w:val="20"/>
        </w:rPr>
      </w:pPr>
    </w:p>
    <w:p w14:paraId="6F6CA69D" w14:textId="3640C6ED" w:rsidR="00CB3F38" w:rsidRDefault="00CB3F38" w:rsidP="00154588">
      <w:pPr>
        <w:jc w:val="both"/>
        <w:rPr>
          <w:rFonts w:ascii="Times New Roman" w:eastAsia="Book Antiqua" w:hAnsi="Times New Roman" w:cs="Book Antiqua"/>
          <w:noProof/>
          <w:sz w:val="24"/>
          <w:szCs w:val="20"/>
        </w:rPr>
      </w:pPr>
    </w:p>
    <w:p w14:paraId="6E1C4F88" w14:textId="4F2401A7" w:rsidR="00CB3F38" w:rsidRDefault="00CB3F38" w:rsidP="00154588">
      <w:pPr>
        <w:jc w:val="both"/>
        <w:rPr>
          <w:rFonts w:ascii="Times New Roman" w:eastAsia="Book Antiqua" w:hAnsi="Times New Roman" w:cs="Book Antiqua"/>
          <w:noProof/>
          <w:sz w:val="24"/>
          <w:szCs w:val="20"/>
        </w:rPr>
      </w:pPr>
    </w:p>
    <w:p w14:paraId="33603737" w14:textId="0D3300C4" w:rsidR="00CB3F38" w:rsidRDefault="00CB3F38" w:rsidP="00154588">
      <w:pPr>
        <w:jc w:val="both"/>
        <w:rPr>
          <w:rFonts w:ascii="Times New Roman" w:eastAsia="Book Antiqua" w:hAnsi="Times New Roman" w:cs="Book Antiqua"/>
          <w:noProof/>
          <w:sz w:val="24"/>
          <w:szCs w:val="20"/>
        </w:rPr>
      </w:pPr>
    </w:p>
    <w:p w14:paraId="78B11320" w14:textId="3C37AE1B" w:rsidR="00CB3F38" w:rsidRDefault="00CB3F38" w:rsidP="00154588">
      <w:pPr>
        <w:jc w:val="both"/>
        <w:rPr>
          <w:rFonts w:ascii="Times New Roman" w:eastAsia="Book Antiqua" w:hAnsi="Times New Roman" w:cs="Book Antiqua"/>
          <w:noProof/>
          <w:sz w:val="24"/>
          <w:szCs w:val="20"/>
        </w:rPr>
      </w:pPr>
    </w:p>
    <w:p w14:paraId="3F1F28D6" w14:textId="296E6A38" w:rsidR="00CB3F38" w:rsidRDefault="00CB3F38" w:rsidP="00154588">
      <w:pPr>
        <w:jc w:val="both"/>
        <w:rPr>
          <w:rFonts w:ascii="Times New Roman" w:eastAsia="Book Antiqua" w:hAnsi="Times New Roman" w:cs="Book Antiqua"/>
          <w:noProof/>
          <w:sz w:val="24"/>
          <w:szCs w:val="20"/>
        </w:rPr>
      </w:pPr>
    </w:p>
    <w:p w14:paraId="0BED9CF8" w14:textId="35AB9988" w:rsidR="00CB3F38" w:rsidRDefault="00CB3F38" w:rsidP="00154588">
      <w:pPr>
        <w:jc w:val="both"/>
        <w:rPr>
          <w:rFonts w:ascii="Times New Roman" w:eastAsia="Book Antiqua" w:hAnsi="Times New Roman" w:cs="Book Antiqua"/>
          <w:noProof/>
          <w:sz w:val="24"/>
          <w:szCs w:val="20"/>
        </w:rPr>
      </w:pPr>
    </w:p>
    <w:p w14:paraId="132DBC2B" w14:textId="5C987537" w:rsidR="00CB3F38" w:rsidRDefault="00CB3F38" w:rsidP="00154588">
      <w:pPr>
        <w:jc w:val="both"/>
        <w:rPr>
          <w:rFonts w:ascii="Times New Roman" w:eastAsia="Book Antiqua" w:hAnsi="Times New Roman" w:cs="Book Antiqua"/>
          <w:noProof/>
          <w:sz w:val="24"/>
          <w:szCs w:val="20"/>
        </w:rPr>
      </w:pPr>
    </w:p>
    <w:p w14:paraId="5FD5B6A4" w14:textId="24CC8E7E" w:rsidR="00CB3F38" w:rsidRDefault="00CB3F38" w:rsidP="00154588">
      <w:pPr>
        <w:jc w:val="both"/>
        <w:rPr>
          <w:rFonts w:ascii="Times New Roman" w:eastAsia="Book Antiqua" w:hAnsi="Times New Roman" w:cs="Book Antiqua"/>
          <w:noProof/>
          <w:sz w:val="24"/>
          <w:szCs w:val="20"/>
        </w:rPr>
      </w:pPr>
    </w:p>
    <w:p w14:paraId="5683343D" w14:textId="0277F868" w:rsidR="00CB3F38" w:rsidRDefault="00CB3F38" w:rsidP="00154588">
      <w:pPr>
        <w:jc w:val="both"/>
        <w:rPr>
          <w:rFonts w:ascii="Times New Roman" w:eastAsia="Book Antiqua" w:hAnsi="Times New Roman" w:cs="Book Antiqua"/>
          <w:noProof/>
          <w:sz w:val="24"/>
          <w:szCs w:val="20"/>
        </w:rPr>
      </w:pPr>
    </w:p>
    <w:p w14:paraId="4F816501" w14:textId="320CAC30" w:rsidR="00CB3F38" w:rsidRDefault="00CB3F38" w:rsidP="00154588">
      <w:pPr>
        <w:jc w:val="both"/>
        <w:rPr>
          <w:rFonts w:ascii="Times New Roman" w:eastAsia="Book Antiqua" w:hAnsi="Times New Roman" w:cs="Book Antiqua"/>
          <w:noProof/>
          <w:sz w:val="24"/>
          <w:szCs w:val="20"/>
        </w:rPr>
      </w:pPr>
    </w:p>
    <w:p w14:paraId="2B36693B" w14:textId="616FD453" w:rsidR="00CB3F38" w:rsidRDefault="00CB3F38" w:rsidP="00154588">
      <w:pPr>
        <w:jc w:val="both"/>
        <w:rPr>
          <w:rFonts w:ascii="Times New Roman" w:eastAsia="Book Antiqua" w:hAnsi="Times New Roman" w:cs="Book Antiqua"/>
          <w:noProof/>
          <w:sz w:val="24"/>
          <w:szCs w:val="20"/>
        </w:rPr>
      </w:pPr>
    </w:p>
    <w:p w14:paraId="1A315077" w14:textId="70E8B6AD" w:rsidR="00CB3F38" w:rsidRDefault="00CB3F38" w:rsidP="00154588">
      <w:pPr>
        <w:jc w:val="both"/>
        <w:rPr>
          <w:rFonts w:ascii="Times New Roman" w:eastAsia="Book Antiqua" w:hAnsi="Times New Roman" w:cs="Book Antiqua"/>
          <w:noProof/>
          <w:sz w:val="24"/>
          <w:szCs w:val="20"/>
        </w:rPr>
      </w:pPr>
    </w:p>
    <w:p w14:paraId="2AB4F5B2" w14:textId="7B428866" w:rsidR="00CB3F38" w:rsidRDefault="00CB3F38" w:rsidP="00154588">
      <w:pPr>
        <w:jc w:val="both"/>
        <w:rPr>
          <w:rFonts w:ascii="Times New Roman" w:eastAsia="Book Antiqua" w:hAnsi="Times New Roman" w:cs="Book Antiqua"/>
          <w:noProof/>
          <w:sz w:val="24"/>
          <w:szCs w:val="20"/>
        </w:rPr>
      </w:pPr>
    </w:p>
    <w:p w14:paraId="4277AFFC" w14:textId="04A72500" w:rsidR="00CB3F38" w:rsidRDefault="00CB3F38" w:rsidP="00154588">
      <w:pPr>
        <w:jc w:val="both"/>
        <w:rPr>
          <w:rFonts w:ascii="Times New Roman" w:eastAsia="Book Antiqua" w:hAnsi="Times New Roman" w:cs="Book Antiqua"/>
          <w:noProof/>
          <w:sz w:val="24"/>
          <w:szCs w:val="20"/>
        </w:rPr>
      </w:pPr>
    </w:p>
    <w:p w14:paraId="1B432B4C" w14:textId="7AE0C238" w:rsidR="00CB3F38" w:rsidRDefault="00CB3F38" w:rsidP="00154588">
      <w:pPr>
        <w:jc w:val="both"/>
        <w:rPr>
          <w:rFonts w:ascii="Times New Roman" w:eastAsia="Book Antiqua" w:hAnsi="Times New Roman" w:cs="Book Antiqua"/>
          <w:noProof/>
          <w:sz w:val="24"/>
          <w:szCs w:val="20"/>
        </w:rPr>
      </w:pPr>
    </w:p>
    <w:p w14:paraId="1B87E6B7" w14:textId="47AAC46F" w:rsidR="00CB3F38" w:rsidRDefault="00CB3F38" w:rsidP="00154588">
      <w:pPr>
        <w:jc w:val="both"/>
        <w:rPr>
          <w:rFonts w:ascii="Times New Roman" w:eastAsia="Book Antiqua" w:hAnsi="Times New Roman" w:cs="Book Antiqua"/>
          <w:noProof/>
          <w:sz w:val="24"/>
          <w:szCs w:val="20"/>
        </w:rPr>
      </w:pPr>
    </w:p>
    <w:p w14:paraId="7D3EBAE0" w14:textId="6A941A6F" w:rsidR="00CB3F38" w:rsidRDefault="00CB3F38" w:rsidP="00154588">
      <w:pPr>
        <w:jc w:val="both"/>
        <w:rPr>
          <w:rFonts w:ascii="Times New Roman" w:eastAsia="Book Antiqua" w:hAnsi="Times New Roman" w:cs="Book Antiqua"/>
          <w:noProof/>
          <w:sz w:val="24"/>
          <w:szCs w:val="20"/>
        </w:rPr>
      </w:pPr>
    </w:p>
    <w:p w14:paraId="4EC7064A" w14:textId="44492949" w:rsidR="00CB3F38" w:rsidRDefault="00CB3F38" w:rsidP="00154588">
      <w:pPr>
        <w:jc w:val="both"/>
        <w:rPr>
          <w:rFonts w:ascii="Times New Roman" w:eastAsia="Book Antiqua" w:hAnsi="Times New Roman" w:cs="Book Antiqua"/>
          <w:noProof/>
          <w:sz w:val="24"/>
          <w:szCs w:val="20"/>
        </w:rPr>
      </w:pPr>
    </w:p>
    <w:p w14:paraId="45C1BEA5" w14:textId="34BB93B6" w:rsidR="00CB3F38" w:rsidRDefault="00CB3F38" w:rsidP="00154588">
      <w:pPr>
        <w:jc w:val="both"/>
        <w:rPr>
          <w:rFonts w:ascii="Times New Roman" w:eastAsia="Book Antiqua" w:hAnsi="Times New Roman" w:cs="Book Antiqua"/>
          <w:noProof/>
          <w:sz w:val="24"/>
          <w:szCs w:val="20"/>
        </w:rPr>
      </w:pPr>
    </w:p>
    <w:p w14:paraId="1B1E89CE" w14:textId="7D9971C2" w:rsidR="00CB3F38" w:rsidRDefault="00CB3F38" w:rsidP="00154588">
      <w:pPr>
        <w:jc w:val="both"/>
        <w:rPr>
          <w:rFonts w:ascii="Times New Roman" w:eastAsia="Book Antiqua" w:hAnsi="Times New Roman" w:cs="Book Antiqua"/>
          <w:noProof/>
          <w:sz w:val="24"/>
          <w:szCs w:val="20"/>
        </w:rPr>
      </w:pPr>
    </w:p>
    <w:p w14:paraId="02AE1C16" w14:textId="6C782E2A" w:rsidR="00CB3F38" w:rsidRDefault="00CB3F38" w:rsidP="00154588">
      <w:pPr>
        <w:jc w:val="both"/>
        <w:rPr>
          <w:rFonts w:ascii="Times New Roman" w:eastAsia="Book Antiqua" w:hAnsi="Times New Roman" w:cs="Book Antiqua"/>
          <w:noProof/>
          <w:sz w:val="24"/>
          <w:szCs w:val="20"/>
        </w:rPr>
      </w:pPr>
    </w:p>
    <w:p w14:paraId="598FE79C" w14:textId="00B5413D" w:rsidR="00CB3F38" w:rsidRDefault="00CB3F38" w:rsidP="00154588">
      <w:pPr>
        <w:jc w:val="both"/>
        <w:rPr>
          <w:rFonts w:ascii="Times New Roman" w:eastAsia="Book Antiqua" w:hAnsi="Times New Roman" w:cs="Book Antiqua"/>
          <w:noProof/>
          <w:sz w:val="24"/>
          <w:szCs w:val="20"/>
        </w:rPr>
      </w:pPr>
    </w:p>
    <w:p w14:paraId="44947469" w14:textId="0E42C347" w:rsidR="00CB3F38" w:rsidRDefault="00CB3F38" w:rsidP="00154588">
      <w:pPr>
        <w:jc w:val="both"/>
        <w:rPr>
          <w:rFonts w:ascii="Times New Roman" w:eastAsia="Book Antiqua" w:hAnsi="Times New Roman" w:cs="Book Antiqua"/>
          <w:noProof/>
          <w:sz w:val="24"/>
          <w:szCs w:val="20"/>
        </w:rPr>
      </w:pPr>
    </w:p>
    <w:p w14:paraId="324A45A6" w14:textId="665EB663" w:rsidR="00CB3F38" w:rsidRDefault="00CB3F38" w:rsidP="00154588">
      <w:pPr>
        <w:jc w:val="both"/>
        <w:rPr>
          <w:rFonts w:ascii="Times New Roman" w:eastAsia="Book Antiqua" w:hAnsi="Times New Roman" w:cs="Book Antiqua"/>
          <w:noProof/>
          <w:sz w:val="24"/>
          <w:szCs w:val="20"/>
        </w:rPr>
      </w:pPr>
    </w:p>
    <w:p w14:paraId="5A87DFEF" w14:textId="29A6CA36" w:rsidR="00CB3F38" w:rsidRDefault="00CB3F38" w:rsidP="00154588">
      <w:pPr>
        <w:jc w:val="both"/>
        <w:rPr>
          <w:rFonts w:ascii="Times New Roman" w:eastAsia="Book Antiqua" w:hAnsi="Times New Roman" w:cs="Book Antiqua"/>
          <w:noProof/>
          <w:sz w:val="24"/>
          <w:szCs w:val="20"/>
        </w:rPr>
      </w:pPr>
    </w:p>
    <w:p w14:paraId="7EA85327" w14:textId="1A8B01B2" w:rsidR="00CB3F38" w:rsidRDefault="00CB3F38" w:rsidP="00154588">
      <w:pPr>
        <w:jc w:val="both"/>
        <w:rPr>
          <w:rFonts w:ascii="Times New Roman" w:eastAsia="Book Antiqua" w:hAnsi="Times New Roman" w:cs="Book Antiqua"/>
          <w:noProof/>
          <w:sz w:val="24"/>
          <w:szCs w:val="20"/>
        </w:rPr>
      </w:pPr>
    </w:p>
    <w:p w14:paraId="61CCCD53" w14:textId="08EDC3D2" w:rsidR="00CB3F38" w:rsidRDefault="00CB3F38" w:rsidP="00154588">
      <w:pPr>
        <w:jc w:val="both"/>
        <w:rPr>
          <w:rFonts w:ascii="Times New Roman" w:eastAsia="Book Antiqua" w:hAnsi="Times New Roman" w:cs="Book Antiqua"/>
          <w:noProof/>
          <w:sz w:val="24"/>
          <w:szCs w:val="20"/>
        </w:rPr>
      </w:pPr>
    </w:p>
    <w:p w14:paraId="247DFA86" w14:textId="1000B91B" w:rsidR="00CB3F38" w:rsidRDefault="00CB3F38" w:rsidP="00154588">
      <w:pPr>
        <w:jc w:val="both"/>
        <w:rPr>
          <w:rFonts w:ascii="Times New Roman" w:eastAsia="Book Antiqua" w:hAnsi="Times New Roman" w:cs="Book Antiqua"/>
          <w:noProof/>
          <w:sz w:val="24"/>
          <w:szCs w:val="20"/>
        </w:rPr>
      </w:pPr>
    </w:p>
    <w:p w14:paraId="06C9ECCC" w14:textId="0B8DF321" w:rsidR="00CB3F38" w:rsidRDefault="00CB3F38" w:rsidP="00154588">
      <w:pPr>
        <w:jc w:val="both"/>
        <w:rPr>
          <w:rFonts w:ascii="Times New Roman" w:eastAsia="Book Antiqua" w:hAnsi="Times New Roman" w:cs="Book Antiqua"/>
          <w:noProof/>
          <w:sz w:val="24"/>
          <w:szCs w:val="20"/>
        </w:rPr>
      </w:pPr>
    </w:p>
    <w:p w14:paraId="5FB4E21F" w14:textId="3953B4C0" w:rsidR="00CB3F38" w:rsidRDefault="00CB3F38" w:rsidP="00154588">
      <w:pPr>
        <w:jc w:val="both"/>
        <w:rPr>
          <w:rFonts w:ascii="Times New Roman" w:eastAsia="Book Antiqua" w:hAnsi="Times New Roman" w:cs="Book Antiqua"/>
          <w:noProof/>
          <w:sz w:val="24"/>
          <w:szCs w:val="20"/>
        </w:rPr>
      </w:pPr>
    </w:p>
    <w:p w14:paraId="5B49FC65" w14:textId="406495F1" w:rsidR="00CB3F38" w:rsidRDefault="00CB3F38" w:rsidP="00154588">
      <w:pPr>
        <w:jc w:val="both"/>
        <w:rPr>
          <w:rFonts w:ascii="Times New Roman" w:eastAsia="Book Antiqua" w:hAnsi="Times New Roman" w:cs="Book Antiqua"/>
          <w:noProof/>
          <w:sz w:val="24"/>
          <w:szCs w:val="20"/>
        </w:rPr>
      </w:pPr>
    </w:p>
    <w:p w14:paraId="6DD923ED" w14:textId="77777777" w:rsidR="00CB3F38" w:rsidRPr="00154588" w:rsidRDefault="00CB3F38" w:rsidP="00154588">
      <w:pPr>
        <w:jc w:val="both"/>
        <w:rPr>
          <w:rFonts w:ascii="Times New Roman" w:eastAsia="Book Antiqua" w:hAnsi="Times New Roman" w:cs="Book Antiqua"/>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9"/>
        <w:gridCol w:w="4989"/>
      </w:tblGrid>
      <w:tr w:rsidR="00BE61BA" w14:paraId="13CA9325" w14:textId="77777777" w:rsidTr="00CB3F38">
        <w:tc>
          <w:tcPr>
            <w:tcW w:w="4139" w:type="dxa"/>
          </w:tcPr>
          <w:p w14:paraId="73CD5566" w14:textId="1274B6A3" w:rsidR="00BE61BA" w:rsidRDefault="00BE61BA" w:rsidP="00154588">
            <w:pPr>
              <w:jc w:val="both"/>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2842FB50" wp14:editId="6DF95D14">
                  <wp:extent cx="2275205" cy="26581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5205" cy="2658110"/>
                          </a:xfrm>
                          <a:prstGeom prst="rect">
                            <a:avLst/>
                          </a:prstGeom>
                          <a:noFill/>
                          <a:ln>
                            <a:noFill/>
                          </a:ln>
                        </pic:spPr>
                      </pic:pic>
                    </a:graphicData>
                  </a:graphic>
                </wp:inline>
              </w:drawing>
            </w:r>
          </w:p>
        </w:tc>
        <w:tc>
          <w:tcPr>
            <w:tcW w:w="4989" w:type="dxa"/>
            <w:vAlign w:val="bottom"/>
          </w:tcPr>
          <w:p w14:paraId="34FB6E8E" w14:textId="77777777" w:rsidR="00BE61BA" w:rsidRDefault="00BE61BA" w:rsidP="00CB3F38">
            <w:pPr>
              <w:jc w:val="right"/>
              <w:rPr>
                <w:rFonts w:ascii="Times New Roman" w:eastAsia="Book Antiqua" w:hAnsi="Times New Roman" w:cs="Book Antiqua"/>
                <w:noProof/>
                <w:sz w:val="24"/>
                <w:szCs w:val="20"/>
              </w:rPr>
            </w:pPr>
            <w:r>
              <w:rPr>
                <w:rFonts w:ascii="Times New Roman" w:hAnsi="Times New Roman"/>
                <w:noProof/>
                <w:sz w:val="24"/>
                <w:szCs w:val="20"/>
              </w:rPr>
              <w:drawing>
                <wp:inline distT="0" distB="0" distL="0" distR="0" wp14:anchorId="13185720" wp14:editId="41BE86D4">
                  <wp:extent cx="755015" cy="7016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015" cy="701675"/>
                          </a:xfrm>
                          <a:prstGeom prst="rect">
                            <a:avLst/>
                          </a:prstGeom>
                          <a:noFill/>
                          <a:ln>
                            <a:noFill/>
                          </a:ln>
                        </pic:spPr>
                      </pic:pic>
                    </a:graphicData>
                  </a:graphic>
                </wp:inline>
              </w:drawing>
            </w:r>
          </w:p>
          <w:p w14:paraId="4EEF5179" w14:textId="77777777" w:rsidR="00BE61BA" w:rsidRDefault="00BE61BA" w:rsidP="00CB3F38">
            <w:pPr>
              <w:jc w:val="right"/>
              <w:rPr>
                <w:rFonts w:ascii="Times New Roman" w:eastAsia="Book Antiqua" w:hAnsi="Times New Roman" w:cs="Book Antiqua"/>
                <w:noProof/>
                <w:sz w:val="24"/>
                <w:szCs w:val="20"/>
              </w:rPr>
            </w:pPr>
          </w:p>
          <w:p w14:paraId="396456C7" w14:textId="77777777" w:rsidR="00BE61BA" w:rsidRPr="00CB3F38" w:rsidRDefault="00BE61BA" w:rsidP="00CB3F38">
            <w:pPr>
              <w:jc w:val="right"/>
              <w:rPr>
                <w:rFonts w:ascii="Times New Roman" w:hAnsi="Times New Roman"/>
                <w:noProof/>
                <w:sz w:val="28"/>
                <w:szCs w:val="24"/>
              </w:rPr>
            </w:pPr>
            <w:r w:rsidRPr="00CB3F38">
              <w:rPr>
                <w:rFonts w:ascii="Times New Roman" w:hAnsi="Times New Roman"/>
                <w:sz w:val="28"/>
                <w:szCs w:val="24"/>
              </w:rPr>
              <w:t>Zviedrijas Veterinārārstu biedrība</w:t>
            </w:r>
          </w:p>
          <w:p w14:paraId="27521A60" w14:textId="1CE705F3" w:rsidR="00BE61BA" w:rsidRPr="00BE61BA" w:rsidRDefault="00BE61BA" w:rsidP="00CB3F38">
            <w:pPr>
              <w:jc w:val="right"/>
              <w:rPr>
                <w:rFonts w:ascii="Times New Roman" w:eastAsia="Times New Roman" w:hAnsi="Times New Roman" w:cs="Times New Roman"/>
                <w:noProof/>
                <w:sz w:val="24"/>
                <w:szCs w:val="18"/>
              </w:rPr>
            </w:pPr>
            <w:r>
              <w:rPr>
                <w:rFonts w:ascii="Times New Roman" w:hAnsi="Times New Roman"/>
                <w:sz w:val="24"/>
              </w:rPr>
              <w:t>www.svf.se</w:t>
            </w:r>
          </w:p>
        </w:tc>
      </w:tr>
    </w:tbl>
    <w:p w14:paraId="20FE3801" w14:textId="77777777" w:rsidR="00BE61BA" w:rsidRPr="00154588" w:rsidRDefault="00BE61BA">
      <w:pPr>
        <w:jc w:val="both"/>
        <w:rPr>
          <w:rFonts w:ascii="Times New Roman" w:eastAsia="Times New Roman" w:hAnsi="Times New Roman" w:cs="Times New Roman"/>
          <w:noProof/>
          <w:sz w:val="24"/>
          <w:szCs w:val="18"/>
        </w:rPr>
      </w:pPr>
    </w:p>
    <w:sectPr w:rsidR="00BE61BA" w:rsidRPr="00154588" w:rsidSect="00154588">
      <w:headerReference w:type="default" r:id="rId31"/>
      <w:footerReference w:type="default" r:id="rId32"/>
      <w:headerReference w:type="first" r:id="rId33"/>
      <w:footerReference w:type="first" r:id="rId3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ACCEA" w14:textId="77777777" w:rsidR="004014A0" w:rsidRPr="00672FC0" w:rsidRDefault="004014A0">
      <w:pPr>
        <w:rPr>
          <w:noProof/>
        </w:rPr>
      </w:pPr>
      <w:r w:rsidRPr="00672FC0">
        <w:rPr>
          <w:noProof/>
        </w:rPr>
        <w:separator/>
      </w:r>
    </w:p>
  </w:endnote>
  <w:endnote w:type="continuationSeparator" w:id="0">
    <w:p w14:paraId="3D3535D1" w14:textId="77777777" w:rsidR="004014A0" w:rsidRPr="00672FC0" w:rsidRDefault="004014A0">
      <w:pPr>
        <w:rPr>
          <w:noProof/>
        </w:rPr>
      </w:pPr>
      <w:r w:rsidRPr="00672FC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B437C" w14:textId="77777777" w:rsidR="004014A0" w:rsidRPr="001638D8" w:rsidRDefault="004014A0" w:rsidP="001638D8">
    <w:pPr>
      <w:pStyle w:val="Header"/>
      <w:tabs>
        <w:tab w:val="left" w:pos="9072"/>
      </w:tabs>
      <w:rPr>
        <w:rStyle w:val="PageNumber"/>
        <w:rFonts w:ascii="Times New Roman" w:hAnsi="Times New Roman" w:cs="Times New Roman"/>
        <w:sz w:val="20"/>
        <w:szCs w:val="18"/>
      </w:rPr>
    </w:pPr>
  </w:p>
  <w:p w14:paraId="1108D148" w14:textId="5A53ADF6" w:rsidR="004014A0" w:rsidRPr="001638D8" w:rsidRDefault="004014A0" w:rsidP="001638D8">
    <w:pPr>
      <w:pStyle w:val="Header"/>
      <w:tabs>
        <w:tab w:val="clear" w:pos="4513"/>
        <w:tab w:val="clear" w:pos="9026"/>
        <w:tab w:val="right" w:leader="underscore" w:pos="9072"/>
      </w:tabs>
      <w:rPr>
        <w:rStyle w:val="PageNumber"/>
        <w:rFonts w:ascii="Times New Roman" w:hAnsi="Times New Roman" w:cs="Times New Roman"/>
        <w:sz w:val="20"/>
        <w:szCs w:val="18"/>
      </w:rPr>
    </w:pPr>
    <w:r w:rsidRPr="001638D8">
      <w:rPr>
        <w:rStyle w:val="PageNumber"/>
        <w:rFonts w:ascii="Times New Roman" w:hAnsi="Times New Roman" w:cs="Times New Roman"/>
        <w:sz w:val="20"/>
        <w:szCs w:val="18"/>
      </w:rPr>
      <w:tab/>
    </w:r>
  </w:p>
  <w:p w14:paraId="1A516A7C" w14:textId="77777777" w:rsidR="004014A0" w:rsidRPr="001638D8" w:rsidRDefault="004014A0" w:rsidP="001638D8">
    <w:pPr>
      <w:pStyle w:val="Header"/>
      <w:tabs>
        <w:tab w:val="right" w:pos="9072"/>
      </w:tabs>
      <w:rPr>
        <w:rStyle w:val="PageNumber"/>
        <w:rFonts w:ascii="Times New Roman" w:hAnsi="Times New Roman" w:cs="Times New Roman"/>
        <w:sz w:val="20"/>
        <w:szCs w:val="18"/>
      </w:rPr>
    </w:pPr>
  </w:p>
  <w:p w14:paraId="406EDAC8" w14:textId="77777777" w:rsidR="004014A0" w:rsidRPr="001638D8" w:rsidRDefault="004014A0" w:rsidP="001638D8">
    <w:pPr>
      <w:pStyle w:val="Footer"/>
      <w:tabs>
        <w:tab w:val="clear" w:pos="4513"/>
        <w:tab w:val="clear" w:pos="9026"/>
        <w:tab w:val="center" w:pos="9072"/>
      </w:tabs>
      <w:rPr>
        <w:rFonts w:ascii="Times New Roman" w:hAnsi="Times New Roman" w:cs="Times New Roman"/>
        <w:sz w:val="20"/>
        <w:szCs w:val="18"/>
      </w:rPr>
    </w:pPr>
    <w:r w:rsidRPr="001638D8">
      <w:rPr>
        <w:rFonts w:ascii="Times New Roman" w:hAnsi="Times New Roman" w:cs="Times New Roman"/>
        <w:noProof/>
        <w:sz w:val="20"/>
        <w:szCs w:val="18"/>
      </w:rPr>
      <w:t xml:space="preserve">Tulkojums </w:t>
    </w:r>
    <w:r w:rsidRPr="001638D8">
      <w:rPr>
        <w:rFonts w:ascii="Times New Roman" w:hAnsi="Times New Roman" w:cs="Times New Roman"/>
        <w:noProof/>
        <w:sz w:val="20"/>
        <w:szCs w:val="18"/>
      </w:rPr>
      <w:fldChar w:fldCharType="begin"/>
    </w:r>
    <w:r w:rsidRPr="001638D8">
      <w:rPr>
        <w:rFonts w:ascii="Times New Roman" w:hAnsi="Times New Roman" w:cs="Times New Roman"/>
        <w:noProof/>
        <w:sz w:val="20"/>
        <w:szCs w:val="18"/>
      </w:rPr>
      <w:instrText>symbol 211 \f "Symbol" \s 9</w:instrText>
    </w:r>
    <w:r w:rsidRPr="001638D8">
      <w:rPr>
        <w:rFonts w:ascii="Times New Roman" w:hAnsi="Times New Roman" w:cs="Times New Roman"/>
        <w:noProof/>
        <w:sz w:val="20"/>
        <w:szCs w:val="18"/>
      </w:rPr>
      <w:fldChar w:fldCharType="separate"/>
    </w:r>
    <w:r w:rsidRPr="001638D8">
      <w:rPr>
        <w:rFonts w:ascii="Times New Roman" w:hAnsi="Times New Roman" w:cs="Times New Roman"/>
        <w:noProof/>
        <w:sz w:val="20"/>
        <w:szCs w:val="18"/>
      </w:rPr>
      <w:t>Ó</w:t>
    </w:r>
    <w:r w:rsidRPr="001638D8">
      <w:rPr>
        <w:rFonts w:ascii="Times New Roman" w:hAnsi="Times New Roman" w:cs="Times New Roman"/>
        <w:noProof/>
        <w:sz w:val="20"/>
        <w:szCs w:val="18"/>
      </w:rPr>
      <w:fldChar w:fldCharType="end"/>
    </w:r>
    <w:r w:rsidRPr="001638D8">
      <w:rPr>
        <w:rFonts w:ascii="Times New Roman" w:hAnsi="Times New Roman" w:cs="Times New Roman"/>
        <w:noProof/>
        <w:sz w:val="20"/>
        <w:szCs w:val="18"/>
      </w:rPr>
      <w:t xml:space="preserve"> Valsts valodas centrs, 2020</w:t>
    </w:r>
    <w:r w:rsidRPr="001638D8">
      <w:rPr>
        <w:rFonts w:ascii="Times New Roman" w:hAnsi="Times New Roman" w:cs="Times New Roman"/>
        <w:sz w:val="20"/>
        <w:szCs w:val="18"/>
      </w:rPr>
      <w:tab/>
    </w:r>
    <w:r w:rsidRPr="001638D8">
      <w:rPr>
        <w:rStyle w:val="PageNumber"/>
        <w:rFonts w:ascii="Times New Roman" w:hAnsi="Times New Roman" w:cs="Times New Roman"/>
        <w:sz w:val="20"/>
        <w:szCs w:val="18"/>
      </w:rPr>
      <w:fldChar w:fldCharType="begin"/>
    </w:r>
    <w:r w:rsidRPr="001638D8">
      <w:rPr>
        <w:rStyle w:val="PageNumber"/>
        <w:rFonts w:ascii="Times New Roman" w:hAnsi="Times New Roman" w:cs="Times New Roman"/>
        <w:sz w:val="20"/>
        <w:szCs w:val="18"/>
      </w:rPr>
      <w:instrText xml:space="preserve">page </w:instrText>
    </w:r>
    <w:r w:rsidRPr="001638D8">
      <w:rPr>
        <w:rStyle w:val="PageNumber"/>
        <w:rFonts w:ascii="Times New Roman" w:hAnsi="Times New Roman" w:cs="Times New Roman"/>
        <w:sz w:val="20"/>
        <w:szCs w:val="18"/>
      </w:rPr>
      <w:fldChar w:fldCharType="separate"/>
    </w:r>
    <w:r w:rsidRPr="001638D8">
      <w:rPr>
        <w:rStyle w:val="PageNumber"/>
        <w:rFonts w:ascii="Times New Roman" w:hAnsi="Times New Roman" w:cs="Times New Roman"/>
        <w:sz w:val="20"/>
        <w:szCs w:val="18"/>
      </w:rPr>
      <w:t>2</w:t>
    </w:r>
    <w:r w:rsidRPr="001638D8">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A5614" w14:textId="77777777" w:rsidR="004014A0" w:rsidRPr="001638D8" w:rsidRDefault="004014A0" w:rsidP="001638D8">
    <w:pPr>
      <w:pStyle w:val="Header"/>
      <w:tabs>
        <w:tab w:val="left" w:pos="9072"/>
      </w:tabs>
      <w:rPr>
        <w:rStyle w:val="PageNumber"/>
        <w:rFonts w:ascii="Times New Roman" w:hAnsi="Times New Roman" w:cs="Times New Roman"/>
        <w:sz w:val="20"/>
        <w:szCs w:val="18"/>
      </w:rPr>
    </w:pPr>
    <w:bookmarkStart w:id="338" w:name="_Hlk496261764"/>
    <w:bookmarkStart w:id="339" w:name="_Hlk496261765"/>
    <w:bookmarkStart w:id="340" w:name="_Hlk496261766"/>
    <w:bookmarkStart w:id="341" w:name="_Hlk30491075"/>
    <w:bookmarkStart w:id="342" w:name="_Hlk30491076"/>
  </w:p>
  <w:p w14:paraId="5AB4F217" w14:textId="55CAA4E0" w:rsidR="004014A0" w:rsidRPr="001638D8" w:rsidRDefault="004014A0" w:rsidP="001638D8">
    <w:pPr>
      <w:pStyle w:val="Header"/>
      <w:tabs>
        <w:tab w:val="clear" w:pos="4513"/>
        <w:tab w:val="clear" w:pos="9026"/>
        <w:tab w:val="left" w:leader="underscore" w:pos="9072"/>
      </w:tabs>
      <w:rPr>
        <w:rStyle w:val="PageNumber"/>
        <w:rFonts w:ascii="Times New Roman" w:hAnsi="Times New Roman" w:cs="Times New Roman"/>
        <w:sz w:val="20"/>
        <w:szCs w:val="18"/>
      </w:rPr>
    </w:pPr>
    <w:r w:rsidRPr="001638D8">
      <w:rPr>
        <w:rStyle w:val="PageNumber"/>
        <w:rFonts w:ascii="Times New Roman" w:hAnsi="Times New Roman" w:cs="Times New Roman"/>
        <w:sz w:val="20"/>
        <w:szCs w:val="18"/>
      </w:rPr>
      <w:tab/>
    </w:r>
  </w:p>
  <w:p w14:paraId="6AB8385D" w14:textId="77777777" w:rsidR="004014A0" w:rsidRPr="001638D8" w:rsidRDefault="004014A0" w:rsidP="001638D8">
    <w:pPr>
      <w:pStyle w:val="Header"/>
      <w:tabs>
        <w:tab w:val="left" w:pos="9072"/>
      </w:tabs>
      <w:rPr>
        <w:rStyle w:val="PageNumber"/>
        <w:rFonts w:ascii="Times New Roman" w:hAnsi="Times New Roman" w:cs="Times New Roman"/>
        <w:sz w:val="20"/>
        <w:szCs w:val="18"/>
      </w:rPr>
    </w:pPr>
  </w:p>
  <w:p w14:paraId="38574A16" w14:textId="77777777" w:rsidR="004014A0" w:rsidRPr="001638D8" w:rsidRDefault="004014A0" w:rsidP="001638D8">
    <w:pPr>
      <w:pStyle w:val="Footer"/>
      <w:rPr>
        <w:rFonts w:ascii="Times New Roman" w:hAnsi="Times New Roman" w:cs="Times New Roman"/>
        <w:sz w:val="20"/>
        <w:szCs w:val="18"/>
      </w:rPr>
    </w:pPr>
    <w:r w:rsidRPr="001638D8">
      <w:rPr>
        <w:rFonts w:ascii="Times New Roman" w:hAnsi="Times New Roman" w:cs="Times New Roman"/>
        <w:noProof/>
        <w:sz w:val="20"/>
        <w:szCs w:val="18"/>
      </w:rPr>
      <w:t xml:space="preserve">Tulkojums </w:t>
    </w:r>
    <w:r w:rsidRPr="001638D8">
      <w:rPr>
        <w:rFonts w:ascii="Times New Roman" w:hAnsi="Times New Roman" w:cs="Times New Roman"/>
        <w:noProof/>
        <w:sz w:val="20"/>
        <w:szCs w:val="18"/>
      </w:rPr>
      <w:fldChar w:fldCharType="begin"/>
    </w:r>
    <w:r w:rsidRPr="001638D8">
      <w:rPr>
        <w:rFonts w:ascii="Times New Roman" w:hAnsi="Times New Roman" w:cs="Times New Roman"/>
        <w:noProof/>
        <w:sz w:val="20"/>
        <w:szCs w:val="18"/>
      </w:rPr>
      <w:instrText>symbol 211 \f "Symbol" \s 9</w:instrText>
    </w:r>
    <w:r w:rsidRPr="001638D8">
      <w:rPr>
        <w:rFonts w:ascii="Times New Roman" w:hAnsi="Times New Roman" w:cs="Times New Roman"/>
        <w:noProof/>
        <w:sz w:val="20"/>
        <w:szCs w:val="18"/>
      </w:rPr>
      <w:fldChar w:fldCharType="separate"/>
    </w:r>
    <w:r w:rsidRPr="001638D8">
      <w:rPr>
        <w:rFonts w:ascii="Times New Roman" w:hAnsi="Times New Roman" w:cs="Times New Roman"/>
        <w:noProof/>
        <w:sz w:val="20"/>
        <w:szCs w:val="18"/>
      </w:rPr>
      <w:t>Ó</w:t>
    </w:r>
    <w:r w:rsidRPr="001638D8">
      <w:rPr>
        <w:rFonts w:ascii="Times New Roman" w:hAnsi="Times New Roman" w:cs="Times New Roman"/>
        <w:noProof/>
        <w:sz w:val="20"/>
        <w:szCs w:val="18"/>
      </w:rPr>
      <w:fldChar w:fldCharType="end"/>
    </w:r>
    <w:r w:rsidRPr="001638D8">
      <w:rPr>
        <w:rFonts w:ascii="Times New Roman" w:hAnsi="Times New Roman" w:cs="Times New Roman"/>
        <w:noProof/>
        <w:sz w:val="20"/>
        <w:szCs w:val="18"/>
      </w:rPr>
      <w:t xml:space="preserve"> Valsts valodas centrs, 20</w:t>
    </w:r>
    <w:bookmarkEnd w:id="338"/>
    <w:bookmarkEnd w:id="339"/>
    <w:bookmarkEnd w:id="340"/>
    <w:r w:rsidRPr="001638D8">
      <w:rPr>
        <w:rFonts w:ascii="Times New Roman" w:hAnsi="Times New Roman" w:cs="Times New Roman"/>
        <w:noProof/>
        <w:sz w:val="20"/>
        <w:szCs w:val="18"/>
      </w:rPr>
      <w:t>20</w:t>
    </w:r>
    <w:bookmarkEnd w:id="341"/>
    <w:bookmarkEnd w:id="3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7191B" w14:textId="77777777" w:rsidR="004014A0" w:rsidRPr="00672FC0" w:rsidRDefault="004014A0">
      <w:pPr>
        <w:rPr>
          <w:noProof/>
        </w:rPr>
      </w:pPr>
      <w:r w:rsidRPr="00672FC0">
        <w:rPr>
          <w:noProof/>
        </w:rPr>
        <w:separator/>
      </w:r>
    </w:p>
  </w:footnote>
  <w:footnote w:type="continuationSeparator" w:id="0">
    <w:p w14:paraId="461A9F0C" w14:textId="77777777" w:rsidR="004014A0" w:rsidRPr="00672FC0" w:rsidRDefault="004014A0">
      <w:pPr>
        <w:rPr>
          <w:noProof/>
        </w:rPr>
      </w:pPr>
      <w:r w:rsidRPr="00672FC0">
        <w:rPr>
          <w:noProof/>
        </w:rPr>
        <w:continuationSeparator/>
      </w:r>
    </w:p>
  </w:footnote>
  <w:footnote w:id="1">
    <w:p w14:paraId="730F2207" w14:textId="550C2003" w:rsidR="004014A0" w:rsidRPr="008838C4" w:rsidRDefault="004014A0">
      <w:pPr>
        <w:pStyle w:val="FootnoteText"/>
        <w:rPr>
          <w:rFonts w:ascii="Times New Roman" w:hAnsi="Times New Roman" w:cs="Times New Roman"/>
        </w:rPr>
      </w:pPr>
      <w:r>
        <w:rPr>
          <w:rStyle w:val="FootnoteReference"/>
          <w:rFonts w:ascii="Times New Roman" w:hAnsi="Times New Roman"/>
        </w:rPr>
        <w:t>3</w:t>
      </w:r>
      <w:r>
        <w:rPr>
          <w:rFonts w:ascii="Times New Roman" w:hAnsi="Times New Roman"/>
        </w:rPr>
        <w:t xml:space="preserve"> </w:t>
      </w:r>
      <w:r>
        <w:rPr>
          <w:rFonts w:ascii="Times New Roman" w:hAnsi="Times New Roman"/>
          <w:i/>
          <w:iCs/>
        </w:rPr>
        <w:t>SID</w:t>
      </w:r>
      <w:r>
        <w:rPr>
          <w:rFonts w:ascii="Times New Roman" w:hAnsi="Times New Roman"/>
        </w:rPr>
        <w:t xml:space="preserve"> = </w:t>
      </w:r>
      <w:r>
        <w:rPr>
          <w:rFonts w:ascii="Times New Roman" w:hAnsi="Times New Roman"/>
          <w:i/>
          <w:iCs/>
        </w:rPr>
        <w:t>Semel in diem</w:t>
      </w:r>
      <w:r>
        <w:rPr>
          <w:rFonts w:ascii="Times New Roman" w:hAnsi="Times New Roman"/>
        </w:rPr>
        <w:t xml:space="preserve"> = reizi dienā, </w:t>
      </w:r>
      <w:r>
        <w:rPr>
          <w:rFonts w:ascii="Times New Roman" w:hAnsi="Times New Roman"/>
          <w:i/>
          <w:iCs/>
        </w:rPr>
        <w:t>BID</w:t>
      </w:r>
      <w:r>
        <w:rPr>
          <w:rFonts w:ascii="Times New Roman" w:hAnsi="Times New Roman"/>
        </w:rPr>
        <w:t xml:space="preserve"> = </w:t>
      </w:r>
      <w:r>
        <w:rPr>
          <w:rFonts w:ascii="Times New Roman" w:hAnsi="Times New Roman"/>
          <w:i/>
          <w:iCs/>
        </w:rPr>
        <w:t>Bis in diem</w:t>
      </w:r>
      <w:r>
        <w:rPr>
          <w:rFonts w:ascii="Times New Roman" w:hAnsi="Times New Roman"/>
        </w:rPr>
        <w:t xml:space="preserve"> = divreiz dienā utt.</w:t>
      </w:r>
    </w:p>
  </w:footnote>
  <w:footnote w:id="2">
    <w:p w14:paraId="187F66E7" w14:textId="31EB6E2E" w:rsidR="004014A0" w:rsidRPr="00C2581B" w:rsidRDefault="004014A0">
      <w:pPr>
        <w:pStyle w:val="FootnoteText"/>
        <w:rPr>
          <w:rFonts w:ascii="Times New Roman" w:hAnsi="Times New Roman" w:cs="Times New Roman"/>
        </w:rPr>
      </w:pPr>
      <w:r>
        <w:rPr>
          <w:rStyle w:val="FootnoteReference"/>
          <w:rFonts w:ascii="Times New Roman" w:hAnsi="Times New Roman"/>
        </w:rPr>
        <w:t>4</w:t>
      </w:r>
      <w:r>
        <w:rPr>
          <w:rFonts w:ascii="Times New Roman" w:hAnsi="Times New Roman"/>
        </w:rPr>
        <w:t xml:space="preserve"> 18. izmēra adata zemādas injekcijām (ASV), kas atbilst 1,2 mm ārējam diametram, parasti nodrošina labu piena plūsmu.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58E84" w14:textId="77777777" w:rsidR="004014A0" w:rsidRPr="001638D8" w:rsidRDefault="004014A0" w:rsidP="001638D8">
    <w:pPr>
      <w:pStyle w:val="Header"/>
      <w:rPr>
        <w:rStyle w:val="PageNumber"/>
        <w:rFonts w:ascii="Times New Roman" w:hAnsi="Times New Roman" w:cs="Times New Roman"/>
        <w:sz w:val="20"/>
        <w:szCs w:val="20"/>
      </w:rPr>
    </w:pPr>
    <w:bookmarkStart w:id="324" w:name="_Hlk496261784"/>
    <w:bookmarkStart w:id="325" w:name="_Hlk496261785"/>
    <w:bookmarkStart w:id="326" w:name="_Hlk496261786"/>
    <w:bookmarkStart w:id="327" w:name="_Hlk502757728"/>
    <w:bookmarkStart w:id="328" w:name="_Hlk502757729"/>
    <w:bookmarkStart w:id="329" w:name="_Hlk502757738"/>
    <w:bookmarkStart w:id="330" w:name="_Hlk502757739"/>
    <w:bookmarkStart w:id="331" w:name="_Hlk30491084"/>
    <w:bookmarkStart w:id="332" w:name="_Hlk30491085"/>
  </w:p>
  <w:p w14:paraId="58E921D6" w14:textId="41951F7E" w:rsidR="004014A0" w:rsidRPr="001638D8" w:rsidRDefault="004014A0" w:rsidP="001638D8">
    <w:pPr>
      <w:pStyle w:val="Header"/>
      <w:tabs>
        <w:tab w:val="clear" w:pos="4513"/>
        <w:tab w:val="clear" w:pos="9026"/>
        <w:tab w:val="right" w:leader="underscore" w:pos="9072"/>
      </w:tabs>
      <w:rPr>
        <w:rStyle w:val="PageNumber"/>
        <w:rFonts w:ascii="Times New Roman" w:hAnsi="Times New Roman" w:cs="Times New Roman"/>
        <w:sz w:val="20"/>
        <w:szCs w:val="20"/>
      </w:rPr>
    </w:pPr>
    <w:r w:rsidRPr="001638D8">
      <w:rPr>
        <w:rStyle w:val="PageNumber"/>
        <w:rFonts w:ascii="Times New Roman" w:hAnsi="Times New Roman" w:cs="Times New Roman"/>
        <w:sz w:val="20"/>
        <w:szCs w:val="20"/>
      </w:rPr>
      <w:tab/>
    </w:r>
  </w:p>
  <w:bookmarkEnd w:id="324"/>
  <w:bookmarkEnd w:id="325"/>
  <w:bookmarkEnd w:id="326"/>
  <w:bookmarkEnd w:id="327"/>
  <w:bookmarkEnd w:id="328"/>
  <w:bookmarkEnd w:id="329"/>
  <w:bookmarkEnd w:id="330"/>
  <w:bookmarkEnd w:id="331"/>
  <w:bookmarkEnd w:id="332"/>
  <w:p w14:paraId="02C3FE51" w14:textId="77777777" w:rsidR="004014A0" w:rsidRPr="001638D8" w:rsidRDefault="004014A0" w:rsidP="001638D8">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39773" w14:textId="77777777" w:rsidR="004014A0" w:rsidRPr="001638D8" w:rsidRDefault="004014A0" w:rsidP="001638D8">
    <w:pPr>
      <w:pBdr>
        <w:bottom w:val="single" w:sz="12" w:space="5" w:color="auto"/>
      </w:pBdr>
      <w:rPr>
        <w:rFonts w:ascii="Times New Roman" w:hAnsi="Times New Roman" w:cs="Times New Roman"/>
        <w:spacing w:val="-2"/>
        <w:sz w:val="20"/>
        <w:szCs w:val="20"/>
      </w:rPr>
    </w:pPr>
    <w:bookmarkStart w:id="333" w:name="_Hlk496261745"/>
    <w:bookmarkStart w:id="334" w:name="_Hlk496261746"/>
    <w:bookmarkStart w:id="335" w:name="_Hlk496261747"/>
    <w:bookmarkStart w:id="336" w:name="_Hlk30491063"/>
    <w:bookmarkStart w:id="337" w:name="_Hlk30491064"/>
  </w:p>
  <w:bookmarkEnd w:id="333"/>
  <w:bookmarkEnd w:id="334"/>
  <w:bookmarkEnd w:id="335"/>
  <w:bookmarkEnd w:id="336"/>
  <w:bookmarkEnd w:id="337"/>
  <w:p w14:paraId="4015F3B0" w14:textId="77777777" w:rsidR="004014A0" w:rsidRPr="001638D8" w:rsidRDefault="004014A0" w:rsidP="001638D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26AA6"/>
    <w:multiLevelType w:val="hybridMultilevel"/>
    <w:tmpl w:val="482A0408"/>
    <w:lvl w:ilvl="0" w:tplc="1138DD6E">
      <w:start w:val="5"/>
      <w:numFmt w:val="upperLetter"/>
      <w:lvlText w:val="%1."/>
      <w:lvlJc w:val="left"/>
      <w:pPr>
        <w:ind w:left="323" w:hanging="214"/>
      </w:pPr>
      <w:rPr>
        <w:rFonts w:ascii="Book Antiqua" w:eastAsia="Book Antiqua" w:hAnsi="Book Antiqua" w:hint="default"/>
        <w:i/>
        <w:color w:val="231F20"/>
        <w:w w:val="94"/>
        <w:sz w:val="20"/>
        <w:szCs w:val="20"/>
      </w:rPr>
    </w:lvl>
    <w:lvl w:ilvl="1" w:tplc="7AE8B5EE">
      <w:start w:val="1"/>
      <w:numFmt w:val="decimal"/>
      <w:lvlText w:val="%2."/>
      <w:lvlJc w:val="left"/>
      <w:pPr>
        <w:ind w:left="570" w:hanging="330"/>
      </w:pPr>
      <w:rPr>
        <w:rFonts w:ascii="Book Antiqua" w:eastAsia="Book Antiqua" w:hAnsi="Book Antiqua" w:hint="default"/>
        <w:color w:val="231F20"/>
        <w:sz w:val="20"/>
        <w:szCs w:val="20"/>
      </w:rPr>
    </w:lvl>
    <w:lvl w:ilvl="2" w:tplc="102E1ECE">
      <w:start w:val="1"/>
      <w:numFmt w:val="bullet"/>
      <w:lvlText w:val="•"/>
      <w:lvlJc w:val="left"/>
      <w:pPr>
        <w:ind w:left="747" w:hanging="330"/>
      </w:pPr>
      <w:rPr>
        <w:rFonts w:hint="default"/>
      </w:rPr>
    </w:lvl>
    <w:lvl w:ilvl="3" w:tplc="1D802DC6">
      <w:start w:val="1"/>
      <w:numFmt w:val="bullet"/>
      <w:lvlText w:val="•"/>
      <w:lvlJc w:val="left"/>
      <w:pPr>
        <w:ind w:left="1517" w:hanging="330"/>
      </w:pPr>
      <w:rPr>
        <w:rFonts w:hint="default"/>
      </w:rPr>
    </w:lvl>
    <w:lvl w:ilvl="4" w:tplc="60B2F7B2">
      <w:start w:val="1"/>
      <w:numFmt w:val="bullet"/>
      <w:lvlText w:val="•"/>
      <w:lvlJc w:val="left"/>
      <w:pPr>
        <w:ind w:left="2288" w:hanging="330"/>
      </w:pPr>
      <w:rPr>
        <w:rFonts w:hint="default"/>
      </w:rPr>
    </w:lvl>
    <w:lvl w:ilvl="5" w:tplc="FF785E86">
      <w:start w:val="1"/>
      <w:numFmt w:val="bullet"/>
      <w:lvlText w:val="•"/>
      <w:lvlJc w:val="left"/>
      <w:pPr>
        <w:ind w:left="3058" w:hanging="330"/>
      </w:pPr>
      <w:rPr>
        <w:rFonts w:hint="default"/>
      </w:rPr>
    </w:lvl>
    <w:lvl w:ilvl="6" w:tplc="B1409932">
      <w:start w:val="1"/>
      <w:numFmt w:val="bullet"/>
      <w:lvlText w:val="•"/>
      <w:lvlJc w:val="left"/>
      <w:pPr>
        <w:ind w:left="3828" w:hanging="330"/>
      </w:pPr>
      <w:rPr>
        <w:rFonts w:hint="default"/>
      </w:rPr>
    </w:lvl>
    <w:lvl w:ilvl="7" w:tplc="8A2A17CE">
      <w:start w:val="1"/>
      <w:numFmt w:val="bullet"/>
      <w:lvlText w:val="•"/>
      <w:lvlJc w:val="left"/>
      <w:pPr>
        <w:ind w:left="4599" w:hanging="330"/>
      </w:pPr>
      <w:rPr>
        <w:rFonts w:hint="default"/>
      </w:rPr>
    </w:lvl>
    <w:lvl w:ilvl="8" w:tplc="B4FE1B78">
      <w:start w:val="1"/>
      <w:numFmt w:val="bullet"/>
      <w:lvlText w:val="•"/>
      <w:lvlJc w:val="left"/>
      <w:pPr>
        <w:ind w:left="5369" w:hanging="330"/>
      </w:pPr>
      <w:rPr>
        <w:rFonts w:hint="default"/>
      </w:rPr>
    </w:lvl>
  </w:abstractNum>
  <w:abstractNum w:abstractNumId="1" w15:restartNumberingAfterBreak="0">
    <w:nsid w:val="1361199C"/>
    <w:multiLevelType w:val="hybridMultilevel"/>
    <w:tmpl w:val="7B26E166"/>
    <w:lvl w:ilvl="0" w:tplc="8D626EE2">
      <w:start w:val="1"/>
      <w:numFmt w:val="bullet"/>
      <w:lvlText w:val="*"/>
      <w:lvlJc w:val="left"/>
      <w:pPr>
        <w:ind w:left="110" w:hanging="131"/>
      </w:pPr>
      <w:rPr>
        <w:rFonts w:ascii="Calibri" w:eastAsia="Calibri" w:hAnsi="Calibri" w:hint="default"/>
        <w:color w:val="231F20"/>
        <w:sz w:val="18"/>
        <w:szCs w:val="18"/>
      </w:rPr>
    </w:lvl>
    <w:lvl w:ilvl="1" w:tplc="748A34CA">
      <w:start w:val="1"/>
      <w:numFmt w:val="bullet"/>
      <w:lvlText w:val="*"/>
      <w:lvlJc w:val="left"/>
      <w:pPr>
        <w:ind w:left="747" w:hanging="131"/>
      </w:pPr>
      <w:rPr>
        <w:rFonts w:ascii="Calibri" w:eastAsia="Calibri" w:hAnsi="Calibri" w:hint="default"/>
        <w:color w:val="231F20"/>
        <w:sz w:val="18"/>
        <w:szCs w:val="18"/>
      </w:rPr>
    </w:lvl>
    <w:lvl w:ilvl="2" w:tplc="A96078AA">
      <w:start w:val="1"/>
      <w:numFmt w:val="bullet"/>
      <w:lvlText w:val="•"/>
      <w:lvlJc w:val="left"/>
      <w:pPr>
        <w:ind w:left="1200" w:hanging="312"/>
      </w:pPr>
      <w:rPr>
        <w:rFonts w:ascii="Book Antiqua" w:eastAsia="Book Antiqua" w:hAnsi="Book Antiqua" w:hint="default"/>
        <w:color w:val="231F20"/>
        <w:w w:val="64"/>
        <w:sz w:val="20"/>
        <w:szCs w:val="20"/>
      </w:rPr>
    </w:lvl>
    <w:lvl w:ilvl="3" w:tplc="95A8FD82">
      <w:start w:val="1"/>
      <w:numFmt w:val="bullet"/>
      <w:lvlText w:val="•"/>
      <w:lvlJc w:val="left"/>
      <w:pPr>
        <w:ind w:left="1914" w:hanging="312"/>
      </w:pPr>
      <w:rPr>
        <w:rFonts w:hint="default"/>
      </w:rPr>
    </w:lvl>
    <w:lvl w:ilvl="4" w:tplc="241CC528">
      <w:start w:val="1"/>
      <w:numFmt w:val="bullet"/>
      <w:lvlText w:val="•"/>
      <w:lvlJc w:val="left"/>
      <w:pPr>
        <w:ind w:left="2628" w:hanging="312"/>
      </w:pPr>
      <w:rPr>
        <w:rFonts w:hint="default"/>
      </w:rPr>
    </w:lvl>
    <w:lvl w:ilvl="5" w:tplc="34864668">
      <w:start w:val="1"/>
      <w:numFmt w:val="bullet"/>
      <w:lvlText w:val="•"/>
      <w:lvlJc w:val="left"/>
      <w:pPr>
        <w:ind w:left="3341" w:hanging="312"/>
      </w:pPr>
      <w:rPr>
        <w:rFonts w:hint="default"/>
      </w:rPr>
    </w:lvl>
    <w:lvl w:ilvl="6" w:tplc="81229308">
      <w:start w:val="1"/>
      <w:numFmt w:val="bullet"/>
      <w:lvlText w:val="•"/>
      <w:lvlJc w:val="left"/>
      <w:pPr>
        <w:ind w:left="4055" w:hanging="312"/>
      </w:pPr>
      <w:rPr>
        <w:rFonts w:hint="default"/>
      </w:rPr>
    </w:lvl>
    <w:lvl w:ilvl="7" w:tplc="FC88B29A">
      <w:start w:val="1"/>
      <w:numFmt w:val="bullet"/>
      <w:lvlText w:val="•"/>
      <w:lvlJc w:val="left"/>
      <w:pPr>
        <w:ind w:left="4769" w:hanging="312"/>
      </w:pPr>
      <w:rPr>
        <w:rFonts w:hint="default"/>
      </w:rPr>
    </w:lvl>
    <w:lvl w:ilvl="8" w:tplc="46406FCC">
      <w:start w:val="1"/>
      <w:numFmt w:val="bullet"/>
      <w:lvlText w:val="•"/>
      <w:lvlJc w:val="left"/>
      <w:pPr>
        <w:ind w:left="5483" w:hanging="312"/>
      </w:pPr>
      <w:rPr>
        <w:rFonts w:hint="default"/>
      </w:rPr>
    </w:lvl>
  </w:abstractNum>
  <w:abstractNum w:abstractNumId="2" w15:restartNumberingAfterBreak="0">
    <w:nsid w:val="1C3D03CC"/>
    <w:multiLevelType w:val="hybridMultilevel"/>
    <w:tmpl w:val="F0E63CC4"/>
    <w:lvl w:ilvl="0" w:tplc="DCA65B4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4B1D01"/>
    <w:multiLevelType w:val="hybridMultilevel"/>
    <w:tmpl w:val="B0261058"/>
    <w:lvl w:ilvl="0" w:tplc="4C222F9A">
      <w:start w:val="1"/>
      <w:numFmt w:val="bullet"/>
      <w:lvlText w:val="•"/>
      <w:lvlJc w:val="left"/>
      <w:pPr>
        <w:ind w:left="566" w:hanging="312"/>
      </w:pPr>
      <w:rPr>
        <w:rFonts w:ascii="Book Antiqua" w:eastAsia="Book Antiqua" w:hAnsi="Book Antiqua" w:hint="default"/>
        <w:color w:val="231F20"/>
        <w:w w:val="64"/>
        <w:sz w:val="20"/>
        <w:szCs w:val="20"/>
      </w:rPr>
    </w:lvl>
    <w:lvl w:ilvl="1" w:tplc="77A0D332">
      <w:start w:val="1"/>
      <w:numFmt w:val="bullet"/>
      <w:lvlText w:val="•"/>
      <w:lvlJc w:val="left"/>
      <w:pPr>
        <w:ind w:left="1139" w:hanging="312"/>
      </w:pPr>
      <w:rPr>
        <w:rFonts w:hint="default"/>
      </w:rPr>
    </w:lvl>
    <w:lvl w:ilvl="2" w:tplc="DCC036D0">
      <w:start w:val="1"/>
      <w:numFmt w:val="bullet"/>
      <w:lvlText w:val="•"/>
      <w:lvlJc w:val="left"/>
      <w:pPr>
        <w:ind w:left="1712" w:hanging="312"/>
      </w:pPr>
      <w:rPr>
        <w:rFonts w:hint="default"/>
      </w:rPr>
    </w:lvl>
    <w:lvl w:ilvl="3" w:tplc="5AF83C60">
      <w:start w:val="1"/>
      <w:numFmt w:val="bullet"/>
      <w:lvlText w:val="•"/>
      <w:lvlJc w:val="left"/>
      <w:pPr>
        <w:ind w:left="2284" w:hanging="312"/>
      </w:pPr>
      <w:rPr>
        <w:rFonts w:hint="default"/>
      </w:rPr>
    </w:lvl>
    <w:lvl w:ilvl="4" w:tplc="88024EA2">
      <w:start w:val="1"/>
      <w:numFmt w:val="bullet"/>
      <w:lvlText w:val="•"/>
      <w:lvlJc w:val="left"/>
      <w:pPr>
        <w:ind w:left="2857" w:hanging="312"/>
      </w:pPr>
      <w:rPr>
        <w:rFonts w:hint="default"/>
      </w:rPr>
    </w:lvl>
    <w:lvl w:ilvl="5" w:tplc="3334C02E">
      <w:start w:val="1"/>
      <w:numFmt w:val="bullet"/>
      <w:lvlText w:val="•"/>
      <w:lvlJc w:val="left"/>
      <w:pPr>
        <w:ind w:left="3429" w:hanging="312"/>
      </w:pPr>
      <w:rPr>
        <w:rFonts w:hint="default"/>
      </w:rPr>
    </w:lvl>
    <w:lvl w:ilvl="6" w:tplc="2E2A846A">
      <w:start w:val="1"/>
      <w:numFmt w:val="bullet"/>
      <w:lvlText w:val="•"/>
      <w:lvlJc w:val="left"/>
      <w:pPr>
        <w:ind w:left="4002" w:hanging="312"/>
      </w:pPr>
      <w:rPr>
        <w:rFonts w:hint="default"/>
      </w:rPr>
    </w:lvl>
    <w:lvl w:ilvl="7" w:tplc="58343604">
      <w:start w:val="1"/>
      <w:numFmt w:val="bullet"/>
      <w:lvlText w:val="•"/>
      <w:lvlJc w:val="left"/>
      <w:pPr>
        <w:ind w:left="4575" w:hanging="312"/>
      </w:pPr>
      <w:rPr>
        <w:rFonts w:hint="default"/>
      </w:rPr>
    </w:lvl>
    <w:lvl w:ilvl="8" w:tplc="BAFCEB46">
      <w:start w:val="1"/>
      <w:numFmt w:val="bullet"/>
      <w:lvlText w:val="•"/>
      <w:lvlJc w:val="left"/>
      <w:pPr>
        <w:ind w:left="5147" w:hanging="312"/>
      </w:pPr>
      <w:rPr>
        <w:rFonts w:hint="default"/>
      </w:rPr>
    </w:lvl>
  </w:abstractNum>
  <w:abstractNum w:abstractNumId="4" w15:restartNumberingAfterBreak="0">
    <w:nsid w:val="3DF2363D"/>
    <w:multiLevelType w:val="hybridMultilevel"/>
    <w:tmpl w:val="FAC60C3A"/>
    <w:lvl w:ilvl="0" w:tplc="84CACF6C">
      <w:start w:val="1"/>
      <w:numFmt w:val="decimal"/>
      <w:lvlText w:val="%1."/>
      <w:lvlJc w:val="left"/>
      <w:pPr>
        <w:ind w:left="710" w:hanging="330"/>
        <w:jc w:val="right"/>
      </w:pPr>
      <w:rPr>
        <w:rFonts w:ascii="Book Antiqua" w:eastAsia="Book Antiqua" w:hAnsi="Book Antiqua" w:hint="default"/>
        <w:color w:val="231F20"/>
        <w:sz w:val="20"/>
        <w:szCs w:val="20"/>
      </w:rPr>
    </w:lvl>
    <w:lvl w:ilvl="1" w:tplc="D73CC9AA">
      <w:start w:val="1"/>
      <w:numFmt w:val="bullet"/>
      <w:lvlText w:val="•"/>
      <w:lvlJc w:val="left"/>
      <w:pPr>
        <w:ind w:left="1200" w:hanging="312"/>
      </w:pPr>
      <w:rPr>
        <w:rFonts w:ascii="Book Antiqua" w:eastAsia="Book Antiqua" w:hAnsi="Book Antiqua" w:hint="default"/>
        <w:color w:val="231F20"/>
        <w:w w:val="64"/>
        <w:sz w:val="20"/>
        <w:szCs w:val="20"/>
      </w:rPr>
    </w:lvl>
    <w:lvl w:ilvl="2" w:tplc="309666B8">
      <w:start w:val="1"/>
      <w:numFmt w:val="bullet"/>
      <w:lvlText w:val="•"/>
      <w:lvlJc w:val="left"/>
      <w:pPr>
        <w:ind w:left="1850" w:hanging="312"/>
      </w:pPr>
      <w:rPr>
        <w:rFonts w:hint="default"/>
      </w:rPr>
    </w:lvl>
    <w:lvl w:ilvl="3" w:tplc="1FA2EB94">
      <w:start w:val="1"/>
      <w:numFmt w:val="bullet"/>
      <w:lvlText w:val="•"/>
      <w:lvlJc w:val="left"/>
      <w:pPr>
        <w:ind w:left="2500" w:hanging="312"/>
      </w:pPr>
      <w:rPr>
        <w:rFonts w:hint="default"/>
      </w:rPr>
    </w:lvl>
    <w:lvl w:ilvl="4" w:tplc="208AA4AA">
      <w:start w:val="1"/>
      <w:numFmt w:val="bullet"/>
      <w:lvlText w:val="•"/>
      <w:lvlJc w:val="left"/>
      <w:pPr>
        <w:ind w:left="3150" w:hanging="312"/>
      </w:pPr>
      <w:rPr>
        <w:rFonts w:hint="default"/>
      </w:rPr>
    </w:lvl>
    <w:lvl w:ilvl="5" w:tplc="9FE49216">
      <w:start w:val="1"/>
      <w:numFmt w:val="bullet"/>
      <w:lvlText w:val="•"/>
      <w:lvlJc w:val="left"/>
      <w:pPr>
        <w:ind w:left="3800" w:hanging="312"/>
      </w:pPr>
      <w:rPr>
        <w:rFonts w:hint="default"/>
      </w:rPr>
    </w:lvl>
    <w:lvl w:ilvl="6" w:tplc="DB7CD082">
      <w:start w:val="1"/>
      <w:numFmt w:val="bullet"/>
      <w:lvlText w:val="•"/>
      <w:lvlJc w:val="left"/>
      <w:pPr>
        <w:ind w:left="4450" w:hanging="312"/>
      </w:pPr>
      <w:rPr>
        <w:rFonts w:hint="default"/>
      </w:rPr>
    </w:lvl>
    <w:lvl w:ilvl="7" w:tplc="A20C57D8">
      <w:start w:val="1"/>
      <w:numFmt w:val="bullet"/>
      <w:lvlText w:val="•"/>
      <w:lvlJc w:val="left"/>
      <w:pPr>
        <w:ind w:left="5100" w:hanging="312"/>
      </w:pPr>
      <w:rPr>
        <w:rFonts w:hint="default"/>
      </w:rPr>
    </w:lvl>
    <w:lvl w:ilvl="8" w:tplc="5718C63C">
      <w:start w:val="1"/>
      <w:numFmt w:val="bullet"/>
      <w:lvlText w:val="•"/>
      <w:lvlJc w:val="left"/>
      <w:pPr>
        <w:ind w:left="5750" w:hanging="312"/>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53932"/>
    <w:rsid w:val="00154588"/>
    <w:rsid w:val="001638D8"/>
    <w:rsid w:val="001652BA"/>
    <w:rsid w:val="002919BC"/>
    <w:rsid w:val="00293B18"/>
    <w:rsid w:val="003676D3"/>
    <w:rsid w:val="00383519"/>
    <w:rsid w:val="003B4CED"/>
    <w:rsid w:val="004014A0"/>
    <w:rsid w:val="0045308E"/>
    <w:rsid w:val="004D53BD"/>
    <w:rsid w:val="004E3EEE"/>
    <w:rsid w:val="005D7BD9"/>
    <w:rsid w:val="00610F78"/>
    <w:rsid w:val="00611F97"/>
    <w:rsid w:val="00635507"/>
    <w:rsid w:val="00672FC0"/>
    <w:rsid w:val="00683644"/>
    <w:rsid w:val="006C2238"/>
    <w:rsid w:val="00767E90"/>
    <w:rsid w:val="00780F03"/>
    <w:rsid w:val="00796380"/>
    <w:rsid w:val="007B06EE"/>
    <w:rsid w:val="00800077"/>
    <w:rsid w:val="008838C4"/>
    <w:rsid w:val="009940DD"/>
    <w:rsid w:val="009A6B5D"/>
    <w:rsid w:val="00A24D5C"/>
    <w:rsid w:val="00A75179"/>
    <w:rsid w:val="00AC1751"/>
    <w:rsid w:val="00B5444C"/>
    <w:rsid w:val="00BD7EEA"/>
    <w:rsid w:val="00BE5B60"/>
    <w:rsid w:val="00BE61BA"/>
    <w:rsid w:val="00C17377"/>
    <w:rsid w:val="00C2581B"/>
    <w:rsid w:val="00CB3F38"/>
    <w:rsid w:val="00D95E52"/>
    <w:rsid w:val="00DA51D8"/>
    <w:rsid w:val="00DC00AA"/>
    <w:rsid w:val="00DF2DBA"/>
    <w:rsid w:val="00E2764A"/>
    <w:rsid w:val="00E53932"/>
    <w:rsid w:val="00EE17A2"/>
    <w:rsid w:val="00FF4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0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CB3F38"/>
    <w:pPr>
      <w:jc w:val="both"/>
      <w:outlineLvl w:val="0"/>
    </w:pPr>
    <w:rPr>
      <w:rFonts w:ascii="Times New Roman" w:eastAsia="Lucida Sans" w:hAnsi="Times New Roman"/>
      <w:sz w:val="24"/>
      <w:szCs w:val="30"/>
    </w:rPr>
  </w:style>
  <w:style w:type="paragraph" w:styleId="Heading2">
    <w:name w:val="heading 2"/>
    <w:basedOn w:val="Normal"/>
    <w:uiPriority w:val="9"/>
    <w:unhideWhenUsed/>
    <w:qFormat/>
    <w:pPr>
      <w:ind w:left="110"/>
      <w:outlineLvl w:val="1"/>
    </w:pPr>
    <w:rPr>
      <w:rFonts w:ascii="Arial" w:eastAsia="Arial" w:hAnsi="Arial"/>
      <w:b/>
      <w:bCs/>
      <w:sz w:val="23"/>
      <w:szCs w:val="23"/>
    </w:rPr>
  </w:style>
  <w:style w:type="paragraph" w:styleId="Heading3">
    <w:name w:val="heading 3"/>
    <w:basedOn w:val="Normal"/>
    <w:uiPriority w:val="9"/>
    <w:unhideWhenUsed/>
    <w:qFormat/>
    <w:pPr>
      <w:ind w:left="110"/>
      <w:outlineLvl w:val="2"/>
    </w:pPr>
    <w:rPr>
      <w:rFonts w:ascii="Calibri" w:eastAsia="Calibri" w:hAnsi="Calibri"/>
      <w:sz w:val="21"/>
      <w:szCs w:val="21"/>
    </w:rPr>
  </w:style>
  <w:style w:type="paragraph" w:styleId="Heading4">
    <w:name w:val="heading 4"/>
    <w:basedOn w:val="Normal"/>
    <w:uiPriority w:val="9"/>
    <w:unhideWhenUsed/>
    <w:qFormat/>
    <w:pPr>
      <w:spacing w:before="164"/>
      <w:ind w:left="110"/>
      <w:outlineLvl w:val="3"/>
    </w:pPr>
    <w:rPr>
      <w:rFonts w:ascii="Times New Roman" w:eastAsia="Times New Roman" w:hAnsi="Times New Roman"/>
      <w:b/>
      <w:bCs/>
      <w:sz w:val="20"/>
      <w:szCs w:val="20"/>
    </w:rPr>
  </w:style>
  <w:style w:type="paragraph" w:styleId="Heading5">
    <w:name w:val="heading 5"/>
    <w:basedOn w:val="Normal"/>
    <w:uiPriority w:val="9"/>
    <w:unhideWhenUsed/>
    <w:qFormat/>
    <w:pPr>
      <w:spacing w:before="63"/>
      <w:ind w:left="747"/>
      <w:outlineLvl w:val="4"/>
    </w:pPr>
    <w:rPr>
      <w:rFonts w:ascii="Times New Roman" w:eastAsia="Times New Roman" w:hAnsi="Times New Roman"/>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5"/>
      <w:ind w:left="356"/>
    </w:pPr>
    <w:rPr>
      <w:rFonts w:ascii="Calibri" w:eastAsia="Calibri" w:hAnsi="Calibri"/>
      <w:sz w:val="21"/>
      <w:szCs w:val="21"/>
    </w:rPr>
  </w:style>
  <w:style w:type="paragraph" w:styleId="TOC2">
    <w:name w:val="toc 2"/>
    <w:basedOn w:val="Normal"/>
    <w:uiPriority w:val="39"/>
    <w:qFormat/>
    <w:pPr>
      <w:spacing w:before="50"/>
      <w:ind w:left="356"/>
    </w:pPr>
    <w:rPr>
      <w:rFonts w:ascii="Book Antiqua" w:eastAsia="Book Antiqua" w:hAnsi="Book Antiqua"/>
      <w:sz w:val="16"/>
      <w:szCs w:val="16"/>
    </w:rPr>
  </w:style>
  <w:style w:type="paragraph" w:styleId="TOC3">
    <w:name w:val="toc 3"/>
    <w:basedOn w:val="Normal"/>
    <w:uiPriority w:val="39"/>
    <w:qFormat/>
    <w:pPr>
      <w:spacing w:before="233"/>
      <w:ind w:left="747"/>
    </w:pPr>
    <w:rPr>
      <w:rFonts w:ascii="Calibri" w:eastAsia="Calibri" w:hAnsi="Calibri"/>
      <w:sz w:val="21"/>
      <w:szCs w:val="21"/>
    </w:rPr>
  </w:style>
  <w:style w:type="paragraph" w:styleId="TOC4">
    <w:name w:val="toc 4"/>
    <w:basedOn w:val="Normal"/>
    <w:uiPriority w:val="39"/>
    <w:qFormat/>
    <w:pPr>
      <w:spacing w:before="50"/>
      <w:ind w:left="747"/>
    </w:pPr>
    <w:rPr>
      <w:rFonts w:ascii="Book Antiqua" w:eastAsia="Book Antiqua" w:hAnsi="Book Antiqua"/>
      <w:sz w:val="16"/>
      <w:szCs w:val="16"/>
    </w:rPr>
  </w:style>
  <w:style w:type="paragraph" w:styleId="BodyText">
    <w:name w:val="Body Text"/>
    <w:basedOn w:val="Normal"/>
    <w:uiPriority w:val="1"/>
    <w:qFormat/>
    <w:pPr>
      <w:spacing w:before="8"/>
      <w:ind w:left="747"/>
    </w:pPr>
    <w:rPr>
      <w:rFonts w:ascii="Book Antiqua" w:eastAsia="Book Antiqua" w:hAnsi="Book Antiqu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72FC0"/>
    <w:pPr>
      <w:tabs>
        <w:tab w:val="center" w:pos="4513"/>
        <w:tab w:val="right" w:pos="9026"/>
      </w:tabs>
    </w:pPr>
  </w:style>
  <w:style w:type="character" w:customStyle="1" w:styleId="HeaderChar">
    <w:name w:val="Header Char"/>
    <w:basedOn w:val="DefaultParagraphFont"/>
    <w:link w:val="Header"/>
    <w:uiPriority w:val="99"/>
    <w:rsid w:val="00672FC0"/>
  </w:style>
  <w:style w:type="paragraph" w:styleId="Footer">
    <w:name w:val="footer"/>
    <w:basedOn w:val="Normal"/>
    <w:link w:val="FooterChar"/>
    <w:unhideWhenUsed/>
    <w:rsid w:val="00672FC0"/>
    <w:pPr>
      <w:tabs>
        <w:tab w:val="center" w:pos="4513"/>
        <w:tab w:val="right" w:pos="9026"/>
      </w:tabs>
    </w:pPr>
  </w:style>
  <w:style w:type="character" w:customStyle="1" w:styleId="FooterChar">
    <w:name w:val="Footer Char"/>
    <w:basedOn w:val="DefaultParagraphFont"/>
    <w:link w:val="Footer"/>
    <w:uiPriority w:val="99"/>
    <w:rsid w:val="00672FC0"/>
  </w:style>
  <w:style w:type="table" w:styleId="TableGrid">
    <w:name w:val="Table Grid"/>
    <w:basedOn w:val="TableNormal"/>
    <w:uiPriority w:val="39"/>
    <w:rsid w:val="00154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838C4"/>
    <w:rPr>
      <w:sz w:val="20"/>
      <w:szCs w:val="20"/>
    </w:rPr>
  </w:style>
  <w:style w:type="character" w:customStyle="1" w:styleId="FootnoteTextChar">
    <w:name w:val="Footnote Text Char"/>
    <w:basedOn w:val="DefaultParagraphFont"/>
    <w:link w:val="FootnoteText"/>
    <w:uiPriority w:val="99"/>
    <w:semiHidden/>
    <w:rsid w:val="008838C4"/>
    <w:rPr>
      <w:sz w:val="20"/>
      <w:szCs w:val="20"/>
    </w:rPr>
  </w:style>
  <w:style w:type="character" w:styleId="FootnoteReference">
    <w:name w:val="footnote reference"/>
    <w:basedOn w:val="DefaultParagraphFont"/>
    <w:uiPriority w:val="99"/>
    <w:semiHidden/>
    <w:unhideWhenUsed/>
    <w:rsid w:val="008838C4"/>
    <w:rPr>
      <w:vertAlign w:val="superscript"/>
    </w:rPr>
  </w:style>
  <w:style w:type="character" w:styleId="PageNumber">
    <w:name w:val="page number"/>
    <w:basedOn w:val="DefaultParagraphFont"/>
    <w:semiHidden/>
    <w:rsid w:val="001638D8"/>
  </w:style>
  <w:style w:type="paragraph" w:styleId="TOCHeading">
    <w:name w:val="TOC Heading"/>
    <w:basedOn w:val="Heading1"/>
    <w:next w:val="Normal"/>
    <w:uiPriority w:val="39"/>
    <w:unhideWhenUsed/>
    <w:qFormat/>
    <w:rsid w:val="009A6B5D"/>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unhideWhenUsed/>
    <w:rsid w:val="009A6B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BF3D8-10DE-4C36-BFE5-A13B9778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65482</Words>
  <Characters>37326</Characters>
  <Application>Microsoft Office Word</Application>
  <DocSecurity>0</DocSecurity>
  <Lines>311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2020-04-20T13:11:00Z</dcterms:created>
  <dcterms:modified xsi:type="dcterms:W3CDTF">2020-11-03T17:39:00Z</dcterms:modified>
</cp:coreProperties>
</file>