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57"/>
        <w:gridCol w:w="3574"/>
      </w:tblGrid>
      <w:tr w:rsidR="00C42ADE" w:rsidTr="00AC38A8">
        <w:tc>
          <w:tcPr>
            <w:tcW w:w="5557" w:type="dxa"/>
          </w:tcPr>
          <w:p w:rsidR="00C42ADE" w:rsidRDefault="00C42ADE" w:rsidP="00C42ADE">
            <w:pPr>
              <w:jc w:val="right"/>
              <w:rPr>
                <w:rFonts w:ascii="Times New Roman" w:eastAsia="Times New Roman" w:hAnsi="Times New Roman" w:cs="Times New Roman"/>
                <w:noProof/>
                <w:sz w:val="24"/>
                <w:szCs w:val="24"/>
              </w:rPr>
            </w:pPr>
            <w:r>
              <w:rPr>
                <w:rFonts w:ascii="Times New Roman" w:hAnsi="Times New Roman"/>
                <w:noProof/>
                <w:sz w:val="24"/>
                <w:lang w:bidi="ar-SA"/>
              </w:rPr>
              <w:drawing>
                <wp:inline distT="0" distB="0" distL="0" distR="0" wp14:anchorId="0573EB8C" wp14:editId="4B20199F">
                  <wp:extent cx="165100"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5100" cy="114300"/>
                          </a:xfrm>
                          <a:prstGeom prst="rect">
                            <a:avLst/>
                          </a:prstGeom>
                        </pic:spPr>
                      </pic:pic>
                    </a:graphicData>
                  </a:graphic>
                </wp:inline>
              </w:drawing>
            </w:r>
          </w:p>
        </w:tc>
        <w:tc>
          <w:tcPr>
            <w:tcW w:w="3574" w:type="dxa"/>
            <w:vAlign w:val="bottom"/>
          </w:tcPr>
          <w:p w:rsidR="00C42ADE" w:rsidRDefault="00C42ADE" w:rsidP="00AC38A8">
            <w:pPr>
              <w:rPr>
                <w:rFonts w:ascii="Times New Roman" w:eastAsia="Times New Roman" w:hAnsi="Times New Roman" w:cs="Times New Roman"/>
                <w:noProof/>
                <w:sz w:val="24"/>
                <w:szCs w:val="24"/>
              </w:rPr>
            </w:pPr>
            <w:r w:rsidRPr="00AC38A8">
              <w:rPr>
                <w:rFonts w:ascii="Times New Roman" w:hAnsi="Times New Roman"/>
                <w:noProof/>
              </w:rPr>
              <w:t>Nr. Ares(2016)2418814 - 25/05/2016</w:t>
            </w:r>
          </w:p>
        </w:tc>
      </w:tr>
    </w:tbl>
    <w:p w:rsidR="009F2953" w:rsidRDefault="009F2953" w:rsidP="00C42ADE">
      <w:pPr>
        <w:jc w:val="both"/>
        <w:rPr>
          <w:rFonts w:ascii="Times New Roman" w:eastAsia="Times New Roman" w:hAnsi="Times New Roman" w:cs="Times New Roman"/>
          <w:noProof/>
          <w:sz w:val="24"/>
          <w:szCs w:val="24"/>
        </w:rPr>
      </w:pPr>
      <w:bookmarkStart w:id="0" w:name="_GoBack"/>
      <w:bookmarkEnd w:id="0"/>
    </w:p>
    <w:p w:rsidR="00C42ADE" w:rsidRPr="00C42ADE" w:rsidRDefault="00C42ADE" w:rsidP="00C42ADE">
      <w:pPr>
        <w:pStyle w:val="BodyText"/>
        <w:ind w:left="0"/>
        <w:jc w:val="right"/>
        <w:rPr>
          <w:noProof/>
        </w:rPr>
      </w:pPr>
      <w:r>
        <w:t>2016. gada 20. maijs</w:t>
      </w:r>
    </w:p>
    <w:p w:rsidR="00C42ADE" w:rsidRPr="00C42ADE" w:rsidRDefault="00C42ADE"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center"/>
        <w:rPr>
          <w:noProof/>
          <w:u w:val="thick" w:color="000000"/>
        </w:rPr>
      </w:pPr>
      <w:r>
        <w:rPr>
          <w:noProof/>
          <w:u w:val="thick" w:color="000000"/>
        </w:rPr>
        <w:t>A PIELIKUMS</w:t>
      </w:r>
    </w:p>
    <w:p w:rsidR="009F2953" w:rsidRPr="00C42ADE" w:rsidRDefault="009F2953" w:rsidP="00C42ADE">
      <w:pPr>
        <w:jc w:val="center"/>
        <w:rPr>
          <w:rFonts w:ascii="Times New Roman" w:eastAsia="Times New Roman" w:hAnsi="Times New Roman" w:cs="Times New Roman"/>
          <w:noProof/>
          <w:sz w:val="24"/>
          <w:szCs w:val="17"/>
        </w:rPr>
      </w:pPr>
    </w:p>
    <w:p w:rsidR="009F2953" w:rsidRPr="00C42ADE" w:rsidRDefault="009F2953" w:rsidP="00C42ADE">
      <w:pPr>
        <w:pStyle w:val="Heading1"/>
        <w:ind w:left="0"/>
        <w:jc w:val="center"/>
        <w:rPr>
          <w:noProof/>
        </w:rPr>
      </w:pPr>
      <w:r>
        <w:t>“Eksportētāja” DEFINĪCIJA</w:t>
      </w:r>
    </w:p>
    <w:p w:rsidR="009F2953" w:rsidRPr="00C42ADE" w:rsidRDefault="009F2953" w:rsidP="00C42ADE">
      <w:pPr>
        <w:pStyle w:val="BodyText"/>
        <w:ind w:left="0"/>
        <w:jc w:val="center"/>
        <w:rPr>
          <w:noProof/>
        </w:rPr>
      </w:pPr>
      <w:r>
        <w:rPr>
          <w:i/>
        </w:rPr>
        <w:t>UCC DA</w:t>
      </w:r>
      <w:r>
        <w:t xml:space="preserve"> 1. panta 19. punkts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C42ADE" w:rsidP="00C42ADE">
      <w:pPr>
        <w:pStyle w:val="Heading1"/>
        <w:tabs>
          <w:tab w:val="left" w:pos="838"/>
        </w:tabs>
        <w:ind w:left="0"/>
        <w:jc w:val="both"/>
        <w:rPr>
          <w:noProof/>
        </w:rPr>
      </w:pPr>
      <w:r>
        <w:t xml:space="preserve">I. </w:t>
      </w:r>
      <w:r>
        <w:rPr>
          <w:i/>
        </w:rPr>
        <w:t>UCC DA</w:t>
      </w:r>
      <w:r>
        <w:t xml:space="preserve"> 1. panta 19. punkts</w:t>
      </w:r>
    </w:p>
    <w:p w:rsidR="009F2953" w:rsidRPr="00C42ADE" w:rsidRDefault="009F2953" w:rsidP="00C42ADE">
      <w:pPr>
        <w:jc w:val="both"/>
        <w:rPr>
          <w:rFonts w:ascii="Times New Roman" w:eastAsia="Times New Roman" w:hAnsi="Times New Roman" w:cs="Times New Roman"/>
          <w:b/>
          <w:bCs/>
          <w:noProof/>
          <w:sz w:val="24"/>
          <w:szCs w:val="24"/>
        </w:rPr>
      </w:pPr>
    </w:p>
    <w:p w:rsidR="009F2953" w:rsidRPr="00C42ADE" w:rsidRDefault="00C42ADE" w:rsidP="00C42ADE">
      <w:pPr>
        <w:tabs>
          <w:tab w:val="left" w:pos="838"/>
        </w:tabs>
        <w:jc w:val="both"/>
        <w:rPr>
          <w:rFonts w:ascii="Times New Roman" w:hAnsi="Times New Roman"/>
          <w:b/>
          <w:noProof/>
          <w:sz w:val="24"/>
        </w:rPr>
      </w:pPr>
      <w:r>
        <w:rPr>
          <w:rFonts w:ascii="Times New Roman" w:hAnsi="Times New Roman"/>
          <w:b/>
          <w:noProof/>
          <w:sz w:val="24"/>
        </w:rPr>
        <w:t>1. Gadījumi</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rPr>
          <w:i/>
        </w:rPr>
        <w:t>UCC DA</w:t>
      </w:r>
      <w:r>
        <w:t xml:space="preserve"> 1. panta 19. punktā noteiktas visas trīs iespējas, kad personu var uzskatīt par eksportētāju.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Saskaņā ar </w:t>
      </w:r>
      <w:r>
        <w:rPr>
          <w:i/>
        </w:rPr>
        <w:t>UCC DA</w:t>
      </w:r>
      <w:r>
        <w:t xml:space="preserve"> 1. panta 19. punkta a) apakšpunktu eksportētājs ir persona:</w:t>
      </w:r>
    </w:p>
    <w:p w:rsidR="009F2953" w:rsidRPr="00C42ADE" w:rsidRDefault="009F2953" w:rsidP="00C42ADE">
      <w:pPr>
        <w:pStyle w:val="BodyText"/>
        <w:numPr>
          <w:ilvl w:val="2"/>
          <w:numId w:val="4"/>
        </w:numPr>
        <w:tabs>
          <w:tab w:val="left" w:pos="1134"/>
        </w:tabs>
        <w:ind w:left="1134" w:hanging="425"/>
        <w:jc w:val="both"/>
        <w:rPr>
          <w:noProof/>
        </w:rPr>
      </w:pPr>
      <w:r>
        <w:t>kura veic uzņēmējdarbību Savienības teritorijā;</w:t>
      </w:r>
    </w:p>
    <w:p w:rsidR="009F2953" w:rsidRPr="00C42ADE" w:rsidRDefault="009F2953" w:rsidP="00C42ADE">
      <w:pPr>
        <w:pStyle w:val="BodyText"/>
        <w:numPr>
          <w:ilvl w:val="2"/>
          <w:numId w:val="4"/>
        </w:numPr>
        <w:tabs>
          <w:tab w:val="left" w:pos="1134"/>
        </w:tabs>
        <w:ind w:left="1134" w:hanging="425"/>
        <w:jc w:val="both"/>
        <w:rPr>
          <w:noProof/>
        </w:rPr>
      </w:pPr>
      <w:r>
        <w:t>kurai ir līgumattiecības ar saņēmēju trešā valstī un</w:t>
      </w:r>
    </w:p>
    <w:p w:rsidR="009F2953" w:rsidRPr="00C42ADE" w:rsidRDefault="009F2953" w:rsidP="00C42ADE">
      <w:pPr>
        <w:pStyle w:val="BodyText"/>
        <w:numPr>
          <w:ilvl w:val="2"/>
          <w:numId w:val="4"/>
        </w:numPr>
        <w:tabs>
          <w:tab w:val="left" w:pos="1134"/>
        </w:tabs>
        <w:ind w:left="1134" w:hanging="425"/>
        <w:jc w:val="both"/>
        <w:rPr>
          <w:noProof/>
        </w:rPr>
      </w:pPr>
      <w:r>
        <w:t>kurai tiesības lemt par to, ka preces ir pārvietojamas uz galamērķi ārpus Savienības muitas teritorijas.</w:t>
      </w:r>
    </w:p>
    <w:p w:rsidR="00C42ADE" w:rsidRDefault="00C42ADE" w:rsidP="00C42ADE">
      <w:pPr>
        <w:pStyle w:val="BodyText"/>
        <w:ind w:left="0"/>
        <w:jc w:val="both"/>
        <w:rPr>
          <w:noProof/>
        </w:rPr>
      </w:pPr>
    </w:p>
    <w:p w:rsidR="009F2953" w:rsidRPr="00C42ADE" w:rsidRDefault="009F2953" w:rsidP="00C42ADE">
      <w:pPr>
        <w:pStyle w:val="BodyText"/>
        <w:ind w:left="0"/>
        <w:jc w:val="both"/>
        <w:rPr>
          <w:noProof/>
        </w:rPr>
      </w:pPr>
      <w:r>
        <w:t xml:space="preserve">Saskaņā ar </w:t>
      </w:r>
      <w:r>
        <w:rPr>
          <w:i/>
        </w:rPr>
        <w:t>UCC DA</w:t>
      </w:r>
      <w:r>
        <w:t xml:space="preserve"> 1. panta 19. punkta c) apakšpunktu eksportētājs var būt persona citos gadījumos, kad ir izpildīts pirmais un trešais nosacījums.</w:t>
      </w:r>
    </w:p>
    <w:p w:rsidR="00AB33E6" w:rsidRDefault="00AB33E6" w:rsidP="00C42ADE">
      <w:pPr>
        <w:pStyle w:val="BodyText"/>
        <w:ind w:left="0"/>
        <w:jc w:val="both"/>
      </w:pPr>
    </w:p>
    <w:p w:rsidR="009F2953" w:rsidRPr="00C42ADE" w:rsidRDefault="009F2953" w:rsidP="00C42ADE">
      <w:pPr>
        <w:pStyle w:val="BodyText"/>
        <w:ind w:left="0"/>
        <w:jc w:val="both"/>
        <w:rPr>
          <w:noProof/>
        </w:rPr>
      </w:pPr>
      <w:r>
        <w:t xml:space="preserve">Saskaņā ar </w:t>
      </w:r>
      <w:r>
        <w:rPr>
          <w:i/>
        </w:rPr>
        <w:t>UCC DA</w:t>
      </w:r>
      <w:r>
        <w:t xml:space="preserve"> 1. panta 19. punkta b) apakšpunktu eksportētājs ir privātpersona, kura tās personīgajā bagāžā esošas preces izved ārpus Savienības muitas teritorijas.</w:t>
      </w:r>
    </w:p>
    <w:p w:rsidR="00AB33E6" w:rsidRDefault="00AB33E6" w:rsidP="00C42ADE">
      <w:pPr>
        <w:pStyle w:val="BodyText"/>
        <w:ind w:left="0"/>
        <w:jc w:val="both"/>
      </w:pPr>
    </w:p>
    <w:p w:rsidR="009F2953" w:rsidRPr="00C42ADE" w:rsidRDefault="009F2953" w:rsidP="00C42ADE">
      <w:pPr>
        <w:pStyle w:val="BodyText"/>
        <w:ind w:left="0"/>
        <w:jc w:val="both"/>
        <w:rPr>
          <w:noProof/>
        </w:rPr>
      </w:pPr>
      <w:r>
        <w:t xml:space="preserve">Ja persona uzskatāma par eksportētāju, eksporta deklarācijas 2. ailē jānorāda personas vārds/nosaukums, adrese un </w:t>
      </w:r>
      <w:r>
        <w:rPr>
          <w:i/>
        </w:rPr>
        <w:t>EORI</w:t>
      </w:r>
      <w:r>
        <w:t xml:space="preserve"> numurs. Ja persona nav uzskatāma par eksportētāju, tad nepieciešami citi līgumiski vai darījumdarbības pasākumi, lai noteiktu, kura persona ir atbildīga par preču eksportēšanu.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jc w:val="both"/>
        <w:rPr>
          <w:rFonts w:ascii="Times New Roman" w:eastAsia="Times New Roman" w:hAnsi="Times New Roman" w:cs="Times New Roman"/>
          <w:noProof/>
          <w:sz w:val="24"/>
          <w:szCs w:val="29"/>
        </w:rPr>
      </w:pPr>
    </w:p>
    <w:p w:rsidR="009F2953" w:rsidRPr="00C42ADE" w:rsidRDefault="00C42ADE" w:rsidP="00C42ADE">
      <w:pPr>
        <w:pStyle w:val="Heading1"/>
        <w:tabs>
          <w:tab w:val="left" w:pos="838"/>
        </w:tabs>
        <w:ind w:left="0"/>
        <w:jc w:val="both"/>
        <w:rPr>
          <w:noProof/>
        </w:rPr>
      </w:pPr>
      <w:r>
        <w:t>2. Komerciāls un nekomerciāls eksports</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rPr>
          <w:i/>
        </w:rPr>
        <w:t>UCC DA</w:t>
      </w:r>
      <w:r>
        <w:t xml:space="preserve"> 1. panta 19. punkta b) apakšpunkts attiecas uz </w:t>
      </w:r>
      <w:r>
        <w:rPr>
          <w:b/>
        </w:rPr>
        <w:t>nekomerciāla</w:t>
      </w:r>
      <w:r>
        <w:t xml:space="preserve"> eksporta gadījumiem. Privātpersonu reģistrācija ES nav obligāta. “Personīgā bagāža” ir visas preces, ko privātpersona jebkādā veidā ved līdzi ceļojumā (</w:t>
      </w:r>
      <w:r>
        <w:rPr>
          <w:i/>
        </w:rPr>
        <w:t>UCC DA</w:t>
      </w:r>
      <w:r>
        <w:t xml:space="preserve"> 1. panta 5. punkts).</w:t>
      </w:r>
    </w:p>
    <w:p w:rsidR="009F2953" w:rsidRPr="00C42ADE" w:rsidRDefault="009F2953" w:rsidP="00C42ADE">
      <w:pPr>
        <w:jc w:val="both"/>
        <w:rPr>
          <w:rFonts w:ascii="Times New Roman" w:hAnsi="Times New Roman"/>
          <w:noProof/>
          <w:sz w:val="24"/>
        </w:rPr>
      </w:pPr>
    </w:p>
    <w:p w:rsidR="009F2953" w:rsidRPr="00C42ADE" w:rsidRDefault="009F2953" w:rsidP="00C42ADE">
      <w:pPr>
        <w:pStyle w:val="BodyText"/>
        <w:ind w:left="0"/>
        <w:jc w:val="both"/>
        <w:rPr>
          <w:noProof/>
        </w:rPr>
      </w:pPr>
      <w:r>
        <w:rPr>
          <w:i/>
        </w:rPr>
        <w:t>UCC DA</w:t>
      </w:r>
      <w:r>
        <w:t xml:space="preserve"> 1. panta 19. punkta a) un c) apakšpunkts attiecas uz </w:t>
      </w:r>
      <w:r>
        <w:rPr>
          <w:b/>
        </w:rPr>
        <w:t>komerciālu</w:t>
      </w:r>
      <w:r>
        <w:t xml:space="preserve"> eksportu. Ja iespējams piemērot abus šos apakšpunktus, priekšroku dod </w:t>
      </w:r>
      <w:r>
        <w:rPr>
          <w:i/>
        </w:rPr>
        <w:t>UCC DA</w:t>
      </w:r>
      <w:r>
        <w:t xml:space="preserve"> 1. panta 19. punkta a) apakšpunktam, jo </w:t>
      </w:r>
      <w:r>
        <w:rPr>
          <w:i/>
        </w:rPr>
        <w:t>UCC</w:t>
      </w:r>
      <w:r>
        <w:t xml:space="preserve"> 1. panta 19. punkta c) apakšpunkts attiecināms uz citiem gadījumiem. Līdz ar to c) apakšpunktu piemēro, kad a) apakšpunkts nav piemērojams.</w:t>
      </w:r>
    </w:p>
    <w:p w:rsidR="009F2953" w:rsidRPr="00C42ADE" w:rsidRDefault="009F2953" w:rsidP="00C42ADE">
      <w:pPr>
        <w:jc w:val="both"/>
        <w:rPr>
          <w:rFonts w:ascii="Times New Roman" w:hAnsi="Times New Roman"/>
          <w:noProof/>
          <w:sz w:val="24"/>
        </w:rPr>
      </w:pPr>
    </w:p>
    <w:p w:rsidR="009F2953" w:rsidRPr="00C42ADE" w:rsidRDefault="009F2953" w:rsidP="00C42ADE">
      <w:pPr>
        <w:pStyle w:val="BodyText"/>
        <w:ind w:left="0"/>
        <w:jc w:val="both"/>
        <w:rPr>
          <w:noProof/>
        </w:rPr>
      </w:pPr>
      <w:r>
        <w:t xml:space="preserve">Piemēram, </w:t>
      </w:r>
      <w:r>
        <w:rPr>
          <w:i/>
        </w:rPr>
        <w:t>UCC DA</w:t>
      </w:r>
      <w:r>
        <w:t xml:space="preserve"> 1. panta 19. punkta c) apakšpunktu piemēro gadījumā, kad uzņēmums, kas veic uzņēmējdarbību Savienības muitas teritorijā, nav noslēdzis eksporta pirkuma līgumu attiecībā uz precēm. Tas sniedz ražošanas un loģistikas pakalpojumus citam uzņēmumam, kas veic uzņēmējdarbību Savienības muitas teritorijā, un nosaka laiku un vietu, kad un kur preces tiks piegādātas saņēmējiem trešās valstīs. Tomēr </w:t>
      </w:r>
      <w:r>
        <w:rPr>
          <w:i/>
        </w:rPr>
        <w:t>UCC DA</w:t>
      </w:r>
      <w:r>
        <w:t xml:space="preserve"> 1. panta 19. punkta a) apakšpunktu piemēro, ja uzņēmumam ir noslēgts līgums ar saņēmēju trešā valstī.</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Turpmākajā diagrammā attēlota kārtība, kā pārbaudāma šo nosacījumu izpilde.</w:t>
      </w:r>
    </w:p>
    <w:p w:rsidR="00C42ADE" w:rsidRDefault="00C42ADE" w:rsidP="00C42ADE">
      <w:pPr>
        <w:jc w:val="both"/>
        <w:rPr>
          <w:rFonts w:ascii="Times New Roman" w:hAnsi="Times New Roman"/>
          <w:b/>
          <w:noProof/>
          <w:sz w:val="24"/>
          <w:u w:val="thick" w:color="000000"/>
        </w:rPr>
      </w:pPr>
    </w:p>
    <w:p w:rsidR="009F2953" w:rsidRPr="00C42ADE" w:rsidRDefault="009F2953" w:rsidP="00C42ADE">
      <w:pPr>
        <w:jc w:val="center"/>
        <w:rPr>
          <w:rFonts w:ascii="Times New Roman" w:hAnsi="Times New Roman"/>
          <w:b/>
          <w:noProof/>
          <w:sz w:val="24"/>
          <w:u w:val="thick" w:color="000000"/>
        </w:rPr>
      </w:pPr>
      <w:r>
        <w:rPr>
          <w:rFonts w:ascii="Times New Roman" w:hAnsi="Times New Roman"/>
          <w:b/>
          <w:noProof/>
          <w:sz w:val="24"/>
          <w:u w:val="thick" w:color="000000"/>
        </w:rPr>
        <w:t>X plāno izvest preces no Savienības muitas teritorijas</w:t>
      </w:r>
    </w:p>
    <w:p w:rsidR="009F2953" w:rsidRPr="00C42ADE" w:rsidRDefault="009F2953" w:rsidP="00C42ADE">
      <w:pPr>
        <w:jc w:val="both"/>
        <w:rPr>
          <w:rFonts w:ascii="Times New Roman" w:eastAsia="Calibri" w:hAnsi="Times New Roman" w:cs="Calibri"/>
          <w:b/>
          <w:bCs/>
          <w:noProof/>
          <w:sz w:val="24"/>
          <w:szCs w:val="20"/>
        </w:rPr>
      </w:pPr>
    </w:p>
    <w:p w:rsidR="009F2953" w:rsidRPr="00C42ADE" w:rsidRDefault="00D71713" w:rsidP="00C42ADE">
      <w:pPr>
        <w:jc w:val="both"/>
        <w:rPr>
          <w:rFonts w:ascii="Times New Roman" w:eastAsia="Calibri" w:hAnsi="Times New Roman" w:cs="Calibri"/>
          <w:b/>
          <w:bCs/>
          <w:noProof/>
          <w:sz w:val="24"/>
          <w:szCs w:val="20"/>
        </w:rPr>
      </w:pPr>
      <w:r w:rsidRPr="00D71713">
        <w:rPr>
          <w:rFonts w:ascii="Times New Roman" w:eastAsia="Calibri" w:hAnsi="Times New Roman" w:cs="Calibri"/>
          <w:b/>
          <w:bCs/>
          <w:noProof/>
          <w:sz w:val="24"/>
          <w:szCs w:val="20"/>
          <w:lang w:bidi="ar-SA"/>
        </w:rPr>
        <w:drawing>
          <wp:inline distT="0" distB="0" distL="0" distR="0">
            <wp:extent cx="5762625" cy="7590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590268"/>
                    </a:xfrm>
                    <a:prstGeom prst="rect">
                      <a:avLst/>
                    </a:prstGeom>
                    <a:noFill/>
                    <a:ln>
                      <a:noFill/>
                    </a:ln>
                  </pic:spPr>
                </pic:pic>
              </a:graphicData>
            </a:graphic>
          </wp:inline>
        </w:drawing>
      </w:r>
    </w:p>
    <w:p w:rsidR="009F2953" w:rsidRDefault="009F2953" w:rsidP="00C42ADE">
      <w:pPr>
        <w:jc w:val="both"/>
        <w:rPr>
          <w:rFonts w:ascii="Times New Roman" w:eastAsia="Calibri" w:hAnsi="Times New Roman" w:cs="Calibri"/>
          <w:b/>
          <w:bCs/>
          <w:noProof/>
          <w:sz w:val="24"/>
          <w:szCs w:val="20"/>
        </w:rPr>
      </w:pPr>
    </w:p>
    <w:p w:rsidR="00D71713" w:rsidRDefault="00D71713" w:rsidP="00C42ADE">
      <w:pPr>
        <w:jc w:val="both"/>
        <w:rPr>
          <w:rFonts w:ascii="Times New Roman" w:eastAsia="Calibri" w:hAnsi="Times New Roman" w:cs="Calibri"/>
          <w:b/>
          <w:bCs/>
          <w:noProof/>
          <w:sz w:val="24"/>
          <w:szCs w:val="20"/>
        </w:rPr>
      </w:pPr>
    </w:p>
    <w:p w:rsidR="009F2953" w:rsidRPr="00C42ADE" w:rsidRDefault="00BE4317" w:rsidP="00BE4317">
      <w:pPr>
        <w:pStyle w:val="Heading1"/>
        <w:tabs>
          <w:tab w:val="left" w:pos="838"/>
        </w:tabs>
        <w:ind w:left="0"/>
        <w:jc w:val="both"/>
        <w:rPr>
          <w:noProof/>
        </w:rPr>
      </w:pPr>
      <w:r>
        <w:lastRenderedPageBreak/>
        <w:t>3. Jēdziena “veic uzņēmējdarbību Savienības muitas teritorijā” nozīme</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t xml:space="preserve">Jēdziens “veic uzņēmējdarbību Savienības muitas teritorijā” ir noteikts </w:t>
      </w:r>
      <w:r>
        <w:rPr>
          <w:i/>
        </w:rPr>
        <w:t>UCC</w:t>
      </w:r>
      <w:r>
        <w:t xml:space="preserve"> 5. panta 31. punktā, kas lasāms kopā ar 5. panta 32. punktu. Eksportētājs “veic uzņēmējdarbību Savienības muitas teritorijā”, ja tas ir persona vai personu apvienība un Eiropas Savienībā atrodas šā eksportētāja:</w:t>
      </w:r>
    </w:p>
    <w:p w:rsidR="009F2953" w:rsidRPr="00C42ADE" w:rsidRDefault="009F2953" w:rsidP="00BE4317">
      <w:pPr>
        <w:pStyle w:val="BodyText"/>
        <w:numPr>
          <w:ilvl w:val="0"/>
          <w:numId w:val="3"/>
        </w:numPr>
        <w:tabs>
          <w:tab w:val="left" w:pos="1134"/>
        </w:tabs>
        <w:ind w:left="1134" w:hanging="425"/>
        <w:jc w:val="both"/>
        <w:rPr>
          <w:noProof/>
        </w:rPr>
      </w:pPr>
      <w:r>
        <w:t>juridiskā adrese,</w:t>
      </w:r>
    </w:p>
    <w:p w:rsidR="009F2953" w:rsidRPr="00C42ADE" w:rsidRDefault="009F2953" w:rsidP="00BE4317">
      <w:pPr>
        <w:pStyle w:val="BodyText"/>
        <w:numPr>
          <w:ilvl w:val="0"/>
          <w:numId w:val="3"/>
        </w:numPr>
        <w:tabs>
          <w:tab w:val="left" w:pos="1134"/>
        </w:tabs>
        <w:ind w:left="1134" w:hanging="425"/>
        <w:jc w:val="both"/>
        <w:rPr>
          <w:noProof/>
        </w:rPr>
      </w:pPr>
      <w:r>
        <w:t>galvenā mītne vai</w:t>
      </w:r>
    </w:p>
    <w:p w:rsidR="009F2953" w:rsidRPr="00C42ADE" w:rsidRDefault="009F2953" w:rsidP="00BE4317">
      <w:pPr>
        <w:pStyle w:val="BodyText"/>
        <w:numPr>
          <w:ilvl w:val="0"/>
          <w:numId w:val="3"/>
        </w:numPr>
        <w:tabs>
          <w:tab w:val="left" w:pos="1134"/>
        </w:tabs>
        <w:ind w:left="1134" w:hanging="425"/>
        <w:jc w:val="both"/>
        <w:rPr>
          <w:noProof/>
        </w:rPr>
      </w:pPr>
      <w:r>
        <w:t>pastāvīga darījumdarbības vieta, t. i., konkrēta darījumdarbības vieta, kurā:</w:t>
      </w:r>
    </w:p>
    <w:p w:rsidR="009F2953" w:rsidRPr="00C42ADE" w:rsidRDefault="009F2953" w:rsidP="00BE4317">
      <w:pPr>
        <w:pStyle w:val="BodyText"/>
        <w:numPr>
          <w:ilvl w:val="1"/>
          <w:numId w:val="3"/>
        </w:numPr>
        <w:tabs>
          <w:tab w:val="left" w:pos="1701"/>
        </w:tabs>
        <w:ind w:left="1701" w:hanging="567"/>
        <w:jc w:val="both"/>
        <w:rPr>
          <w:noProof/>
        </w:rPr>
      </w:pPr>
      <w:r>
        <w:t>pastāvīgi atrodas vajadzīgie cilvēkresursi un tehniskie resursi un</w:t>
      </w:r>
    </w:p>
    <w:p w:rsidR="009F2953" w:rsidRPr="00C42ADE" w:rsidRDefault="009F2953" w:rsidP="00BE4317">
      <w:pPr>
        <w:pStyle w:val="BodyText"/>
        <w:numPr>
          <w:ilvl w:val="1"/>
          <w:numId w:val="3"/>
        </w:numPr>
        <w:tabs>
          <w:tab w:val="left" w:pos="1701"/>
        </w:tabs>
        <w:ind w:left="1701" w:hanging="567"/>
        <w:jc w:val="both"/>
        <w:rPr>
          <w:noProof/>
        </w:rPr>
      </w:pPr>
      <w:r>
        <w:t>caur kuru persona pilnīgi vai daļēji īsteno ar muitu saistītās darbības.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Persona, kura neveic uzņēmējdarbību Savienības muitas teritorijā, nevar būt eksportētājs, un šīs personas vārdu/nosaukumu nevar norādīt eksporta deklarācijas 2. punktā.</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Ja persona nav uzskatāma par eksportētāju, tad nepieciešami citi līgumiski vai darījumdarbības pasākumi, lai noteiktu, kura persona ir atbildīga par preču eksportēšanu.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Pārejas periodā</w:t>
      </w:r>
      <w:r>
        <w:t xml:space="preserve"> 2. ailē var sniegt datus par nosūtītāju/eksportētāju. Tas nozīmē, ka gadījumā, ja tiek izmantota pārstāvība muitā, 2. ailē kā nosūtītāju var norādīt tās personas vārdu/nosaukumu, adresi un </w:t>
      </w:r>
      <w:r>
        <w:rPr>
          <w:i/>
        </w:rPr>
        <w:t>EORI</w:t>
      </w:r>
      <w:r>
        <w:t xml:space="preserve"> numuru, kuras vārdā eksporta deklarācija tiek iesniegta, pat ja šī persona neveic uzņēmējdarbību Savienības muitas teritorijā, un 14. ailē ir jānorāda šīs personas pārstāvja muitā vārds/nosaukums, adrese un </w:t>
      </w:r>
      <w:r>
        <w:rPr>
          <w:i/>
        </w:rPr>
        <w:t>EORI</w:t>
      </w:r>
      <w:r>
        <w:t xml:space="preserve"> numurs. Ja persona, kuras vārdā tiek iesniegta eksporta deklarācija, neveic uzņēmējdarbību Savienības teritorijā, iespējama vienīgi netieša pārstāvība muitā. Netiešajam pārstāvim jāveic uzņēmējdarbība Savienības muitas teritorijā, un tas kļūs par eksporta procedūras izmantotāju, ja preces ir izlaistas šai muitas procedūrai.</w:t>
      </w:r>
    </w:p>
    <w:p w:rsidR="009F2953" w:rsidRDefault="009F2953" w:rsidP="00C42ADE">
      <w:pPr>
        <w:jc w:val="both"/>
        <w:rPr>
          <w:rFonts w:ascii="Times New Roman" w:hAnsi="Times New Roman"/>
          <w:noProof/>
          <w:sz w:val="24"/>
        </w:rPr>
      </w:pPr>
    </w:p>
    <w:p w:rsidR="00D71713" w:rsidRPr="00C42ADE" w:rsidRDefault="00D71713" w:rsidP="00C42ADE">
      <w:pPr>
        <w:jc w:val="both"/>
        <w:rPr>
          <w:rFonts w:ascii="Times New Roman" w:hAnsi="Times New Roman"/>
          <w:noProof/>
          <w:sz w:val="24"/>
        </w:rPr>
      </w:pPr>
    </w:p>
    <w:p w:rsidR="009F2953" w:rsidRPr="00C42ADE" w:rsidRDefault="00BE4317" w:rsidP="00BE4317">
      <w:pPr>
        <w:pStyle w:val="Heading1"/>
        <w:tabs>
          <w:tab w:val="left" w:pos="838"/>
        </w:tabs>
        <w:ind w:left="0"/>
        <w:jc w:val="both"/>
        <w:rPr>
          <w:noProof/>
        </w:rPr>
      </w:pPr>
      <w:r>
        <w:t>4. Jēdziena “tiesības lemt par to, ka preces ir pārvietojamas uz galamērķi ārpus Savienības muitas teritorijas” nozīme</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t>Tas, vai personai ir tiesības lemt par to, ka preces ir pārvietojamas uz galamērķi ārpus Savienības muitas teritorijas, jānosaka, pamatojoties tikai uz tām darījuma pušu darbībām, kuras ir pamatā preču izvešanai no Savienības muitas teritorijas.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jc w:val="both"/>
        <w:rPr>
          <w:rFonts w:ascii="Times New Roman" w:eastAsia="Times New Roman" w:hAnsi="Times New Roman" w:cs="Times New Roman"/>
          <w:noProof/>
          <w:sz w:val="24"/>
          <w:szCs w:val="24"/>
        </w:rPr>
      </w:pPr>
      <w:r>
        <w:rPr>
          <w:rFonts w:ascii="Times New Roman" w:hAnsi="Times New Roman"/>
          <w:i/>
          <w:noProof/>
          <w:sz w:val="24"/>
        </w:rPr>
        <w:t>Piemēri</w:t>
      </w:r>
      <w:r>
        <w:rPr>
          <w:rFonts w:ascii="Times New Roman" w:hAnsi="Times New Roman"/>
          <w:noProof/>
          <w:sz w:val="24"/>
        </w:rPr>
        <w:t>:</w:t>
      </w:r>
    </w:p>
    <w:p w:rsidR="009F2953" w:rsidRPr="00C42ADE" w:rsidRDefault="009F2953" w:rsidP="00BE4317">
      <w:pPr>
        <w:pStyle w:val="BodyText"/>
        <w:numPr>
          <w:ilvl w:val="0"/>
          <w:numId w:val="2"/>
        </w:numPr>
        <w:tabs>
          <w:tab w:val="left" w:pos="1134"/>
        </w:tabs>
        <w:ind w:left="1134" w:hanging="425"/>
        <w:jc w:val="both"/>
        <w:rPr>
          <w:noProof/>
        </w:rPr>
      </w:pPr>
      <w:r>
        <w:t>kad uzņēmums, kas veic uzņēmējdarbību Savienības muitas teritorijā, tieši pārdod preces pircējam, kas veic uzņēmējdarbību ārpus Savienības muitas teritorijas, vai</w:t>
      </w:r>
    </w:p>
    <w:p w:rsidR="009F2953" w:rsidRPr="00C42ADE" w:rsidRDefault="009F2953" w:rsidP="00BE4317">
      <w:pPr>
        <w:pStyle w:val="BodyText"/>
        <w:numPr>
          <w:ilvl w:val="0"/>
          <w:numId w:val="2"/>
        </w:numPr>
        <w:tabs>
          <w:tab w:val="left" w:pos="1134"/>
        </w:tabs>
        <w:ind w:left="1134" w:hanging="425"/>
        <w:jc w:val="both"/>
        <w:rPr>
          <w:noProof/>
        </w:rPr>
      </w:pPr>
      <w:r>
        <w:t>kad par eksporta darījumu ir jānorēķinās tikai tad, kad tiek nodots pārdevēja sagatavots konosaments preču izvešanai ārpus Savienības muitas teritorijas.</w:t>
      </w:r>
    </w:p>
    <w:p w:rsidR="009F2953" w:rsidRDefault="009F2953" w:rsidP="00C42ADE">
      <w:pPr>
        <w:jc w:val="both"/>
        <w:rPr>
          <w:rFonts w:ascii="Times New Roman" w:eastAsia="Times New Roman" w:hAnsi="Times New Roman" w:cs="Times New Roman"/>
          <w:noProof/>
          <w:sz w:val="24"/>
          <w:szCs w:val="24"/>
        </w:rPr>
      </w:pPr>
    </w:p>
    <w:p w:rsidR="00D71713" w:rsidRPr="00C42ADE" w:rsidRDefault="00D71713" w:rsidP="00C42ADE">
      <w:pPr>
        <w:jc w:val="both"/>
        <w:rPr>
          <w:rFonts w:ascii="Times New Roman" w:eastAsia="Times New Roman" w:hAnsi="Times New Roman" w:cs="Times New Roman"/>
          <w:noProof/>
          <w:sz w:val="24"/>
          <w:szCs w:val="24"/>
        </w:rPr>
      </w:pPr>
    </w:p>
    <w:p w:rsidR="009F2953" w:rsidRPr="00C42ADE" w:rsidRDefault="00BE4317" w:rsidP="00BE4317">
      <w:pPr>
        <w:pStyle w:val="Heading1"/>
        <w:tabs>
          <w:tab w:val="left" w:pos="898"/>
        </w:tabs>
        <w:ind w:left="0"/>
        <w:jc w:val="both"/>
        <w:rPr>
          <w:noProof/>
        </w:rPr>
      </w:pPr>
      <w:r>
        <w:t>5. Pārstāvība muitā</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t>Ja persona, kura realizē eksporta preces vai citādi rosina eksportēšanu, nav uzskatāma par eksportētāju, eksporta darījumā iesaistītajām pusēm ir jāizveido citi līgumiski vai darījumdarbības pasākumi, lai noteiktu personu, kura būs atbildīga par preču eksportu ārpus Savienības muitas teritorijas.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lastRenderedPageBreak/>
        <w:t>Viena no šādām iespējām ir pārstāvja muitā iecelšana.</w:t>
      </w:r>
    </w:p>
    <w:p w:rsidR="009F2953" w:rsidRPr="00C42ADE" w:rsidRDefault="009F2953" w:rsidP="00C42ADE">
      <w:pPr>
        <w:pStyle w:val="BodyText"/>
        <w:ind w:left="0"/>
        <w:jc w:val="both"/>
        <w:rPr>
          <w:noProof/>
        </w:rPr>
      </w:pPr>
      <w:r>
        <w:t xml:space="preserve">Pārstāvis muitā var būt jebkura persona, kas atbilst </w:t>
      </w:r>
      <w:r>
        <w:rPr>
          <w:i/>
        </w:rPr>
        <w:t>UCC</w:t>
      </w:r>
      <w:r>
        <w:t xml:space="preserve"> 18. un 19. panta nosacījumiem, tostarp tiem, ko dalībvalstis var noteikt, pamatojoties uz </w:t>
      </w:r>
      <w:r>
        <w:rPr>
          <w:i/>
        </w:rPr>
        <w:t>UCC</w:t>
      </w:r>
      <w:r>
        <w:t xml:space="preserve"> 18. panta 3. punktu.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Gadījumā, ja:</w:t>
      </w:r>
    </w:p>
    <w:p w:rsidR="009F2953" w:rsidRPr="00C42ADE" w:rsidRDefault="009F2953" w:rsidP="00BE4317">
      <w:pPr>
        <w:pStyle w:val="BodyText"/>
        <w:numPr>
          <w:ilvl w:val="0"/>
          <w:numId w:val="1"/>
        </w:numPr>
        <w:tabs>
          <w:tab w:val="left" w:pos="1134"/>
        </w:tabs>
        <w:ind w:left="1134" w:hanging="425"/>
        <w:jc w:val="both"/>
        <w:rPr>
          <w:noProof/>
        </w:rPr>
      </w:pPr>
      <w:r>
        <w:t>persona, kura eksportē preces, veic uzņēmējdarbību Savienības muitas teritorijā vai</w:t>
      </w:r>
    </w:p>
    <w:p w:rsidR="009F2953" w:rsidRPr="00C42ADE" w:rsidRDefault="009F2953" w:rsidP="00BE4317">
      <w:pPr>
        <w:pStyle w:val="BodyText"/>
        <w:numPr>
          <w:ilvl w:val="0"/>
          <w:numId w:val="1"/>
        </w:numPr>
        <w:tabs>
          <w:tab w:val="left" w:pos="1134"/>
        </w:tabs>
        <w:ind w:left="1134" w:hanging="425"/>
        <w:jc w:val="both"/>
        <w:rPr>
          <w:noProof/>
        </w:rPr>
      </w:pPr>
      <w:r>
        <w:t xml:space="preserve">persona neveic uzņēmējdarbību Savienības muitas teritorijā, taču ir piemērojams </w:t>
      </w:r>
      <w:r>
        <w:rPr>
          <w:i/>
        </w:rPr>
        <w:t>UCC</w:t>
      </w:r>
      <w:r>
        <w:t xml:space="preserve"> 170. panta 3. punkts, var brīvi izvēlēties tiešu vai netiešu pārstāvību.</w:t>
      </w:r>
    </w:p>
    <w:p w:rsidR="00BE4317" w:rsidRDefault="00BE4317" w:rsidP="00C42ADE">
      <w:pPr>
        <w:pStyle w:val="BodyText"/>
        <w:ind w:left="0"/>
        <w:jc w:val="both"/>
        <w:rPr>
          <w:noProof/>
        </w:rPr>
      </w:pPr>
    </w:p>
    <w:p w:rsidR="009F2953" w:rsidRPr="00C42ADE" w:rsidRDefault="009F2953" w:rsidP="00C42ADE">
      <w:pPr>
        <w:pStyle w:val="BodyText"/>
        <w:ind w:left="0"/>
        <w:jc w:val="both"/>
        <w:rPr>
          <w:noProof/>
        </w:rPr>
      </w:pPr>
      <w:r>
        <w:t>Gadījumā, ja:</w:t>
      </w:r>
    </w:p>
    <w:p w:rsidR="009F2953" w:rsidRPr="00C42ADE" w:rsidRDefault="009F2953" w:rsidP="00BE4317">
      <w:pPr>
        <w:pStyle w:val="BodyText"/>
        <w:numPr>
          <w:ilvl w:val="0"/>
          <w:numId w:val="1"/>
        </w:numPr>
        <w:tabs>
          <w:tab w:val="left" w:pos="1134"/>
        </w:tabs>
        <w:ind w:left="1134" w:hanging="425"/>
        <w:jc w:val="both"/>
        <w:rPr>
          <w:noProof/>
        </w:rPr>
      </w:pPr>
      <w:r>
        <w:t>persona neveic uzņēmējdarbību Savienības muitas teritorijā un</w:t>
      </w:r>
    </w:p>
    <w:p w:rsidR="009F2953" w:rsidRPr="00C42ADE" w:rsidRDefault="009F2953" w:rsidP="00BE4317">
      <w:pPr>
        <w:pStyle w:val="BodyText"/>
        <w:numPr>
          <w:ilvl w:val="0"/>
          <w:numId w:val="1"/>
        </w:numPr>
        <w:tabs>
          <w:tab w:val="left" w:pos="1134"/>
        </w:tabs>
        <w:ind w:left="1134" w:hanging="425"/>
        <w:jc w:val="both"/>
        <w:rPr>
          <w:noProof/>
        </w:rPr>
      </w:pPr>
      <w:r>
        <w:t xml:space="preserve">nav piemērojams </w:t>
      </w:r>
      <w:r>
        <w:rPr>
          <w:i/>
        </w:rPr>
        <w:t>UCC</w:t>
      </w:r>
      <w:r>
        <w:t xml:space="preserve"> 170. panta 3. punkts, jāieceļ netiešs pārstāvis muitā, kas veic uzņēmējdarbību Savienības muitas teritorijā; šāda persona var būt deklarētājs un eksportētājs.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Šajā gadījumā netiešais muitas pārstāvis, kurš rīkojas kā deklarētājs, var kļūt par </w:t>
      </w:r>
      <w:r>
        <w:rPr>
          <w:i/>
        </w:rPr>
        <w:t>UCC</w:t>
      </w:r>
      <w:r>
        <w:t xml:space="preserve"> 5. panta 35. punkta a) apakšpunkta pirmajā rindkopā noteikto eksporta procedūras izmantotāju. Preču īpašnieks vai persona, kura rosina eksporta darījumu un ieceļ netiešo pārstāvi muitā, var būt arī </w:t>
      </w:r>
      <w:r>
        <w:rPr>
          <w:i/>
        </w:rPr>
        <w:t>UCC</w:t>
      </w:r>
      <w:r>
        <w:t xml:space="preserve"> 5. panta 35. punkta a) apakšpunkta otrajā rindkopā noteiktais eksporta procedūras izmantotājs. Pilnvarojumā veikt pārstāvja muitā funkcijas jābūt skaidri norādītam eksporta procedūras izmantotājam.</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Netiešā pārstāvja muitā vārds/nosaukums ir jānorāda eksporta deklarācijas 14. ailē.</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Ja netiek ievēroti šie noteikumi un/vai muitas parādu reglamentējošie noteikumi, aizliegumi un ierobežojumi vai citas Savienības tiesību aktos noteiktas prasības, personai vai uzņēmumam, kurš veic uzņēmējdarbību ES muitas teritorijā, var piemērot sodus vai piespiedu izpildes līdzekļus. Ja ir iecelts netiešs pārstāvis muitā, šie pasākumi jāpiemēro attiecībā uz šo netiešo muitas pārstāvi.</w:t>
      </w:r>
    </w:p>
    <w:p w:rsidR="009F2953" w:rsidRDefault="009F2953" w:rsidP="00C42ADE">
      <w:pPr>
        <w:jc w:val="both"/>
        <w:rPr>
          <w:rFonts w:ascii="Times New Roman" w:eastAsia="Times New Roman" w:hAnsi="Times New Roman" w:cs="Times New Roman"/>
          <w:noProof/>
          <w:sz w:val="24"/>
          <w:szCs w:val="24"/>
        </w:rPr>
      </w:pPr>
    </w:p>
    <w:p w:rsidR="00D71713" w:rsidRPr="00C42ADE" w:rsidRDefault="00D71713" w:rsidP="00C42ADE">
      <w:pPr>
        <w:jc w:val="both"/>
        <w:rPr>
          <w:rFonts w:ascii="Times New Roman" w:eastAsia="Times New Roman" w:hAnsi="Times New Roman" w:cs="Times New Roman"/>
          <w:noProof/>
          <w:sz w:val="24"/>
          <w:szCs w:val="24"/>
        </w:rPr>
      </w:pPr>
    </w:p>
    <w:p w:rsidR="009F2953" w:rsidRPr="00C42ADE" w:rsidRDefault="00BE4317" w:rsidP="00BE4317">
      <w:pPr>
        <w:pStyle w:val="Heading1"/>
        <w:tabs>
          <w:tab w:val="left" w:pos="838"/>
        </w:tabs>
        <w:ind w:left="0"/>
        <w:jc w:val="both"/>
        <w:rPr>
          <w:noProof/>
        </w:rPr>
      </w:pPr>
      <w:r>
        <w:t>II. Scenāriji</w:t>
      </w:r>
    </w:p>
    <w:p w:rsidR="009F2953" w:rsidRPr="00C42ADE"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t xml:space="preserve">Turpmākajos scenārijos atspoguļots tas, kā piemērojami noteikumi, kuru mērķis ir noteikt, kura persona ir uzskatāma par eksportētāju </w:t>
      </w:r>
      <w:r>
        <w:rPr>
          <w:i/>
        </w:rPr>
        <w:t>UCC DA</w:t>
      </w:r>
      <w:r>
        <w:t xml:space="preserve"> 1. panta 19. punkta nozīmē.</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both"/>
        <w:rPr>
          <w:noProof/>
          <w:u w:val="thick" w:color="000000"/>
        </w:rPr>
      </w:pPr>
      <w:r>
        <w:rPr>
          <w:noProof/>
          <w:u w:val="thick" w:color="000000"/>
        </w:rPr>
        <w:t>1. scenārijs</w:t>
      </w:r>
    </w:p>
    <w:p w:rsidR="009F2953" w:rsidRPr="00C42ADE" w:rsidRDefault="009F2953" w:rsidP="00C42ADE">
      <w:pPr>
        <w:pStyle w:val="BodyText"/>
        <w:ind w:left="0"/>
        <w:jc w:val="both"/>
        <w:rPr>
          <w:noProof/>
        </w:rPr>
      </w:pPr>
      <w:r>
        <w:rPr>
          <w:b/>
        </w:rPr>
        <w:t>A</w:t>
      </w:r>
      <w:r>
        <w:t xml:space="preserve"> pārdod preces </w:t>
      </w:r>
      <w:r>
        <w:rPr>
          <w:b/>
        </w:rPr>
        <w:t>B</w:t>
      </w:r>
      <w:r>
        <w:t xml:space="preserve">. </w:t>
      </w:r>
      <w:r>
        <w:rPr>
          <w:b/>
        </w:rPr>
        <w:t>B</w:t>
      </w:r>
      <w:r>
        <w:t xml:space="preserve"> pārdod preces </w:t>
      </w:r>
      <w:r>
        <w:rPr>
          <w:b/>
        </w:rPr>
        <w:t>C</w:t>
      </w:r>
      <w:r>
        <w:t xml:space="preserve">. Preces tiek transportētas </w:t>
      </w:r>
      <w:r>
        <w:rPr>
          <w:b/>
        </w:rPr>
        <w:t>C</w:t>
      </w:r>
      <w:r>
        <w:t xml:space="preserve"> no </w:t>
      </w:r>
      <w:r>
        <w:rPr>
          <w:b/>
        </w:rPr>
        <w:t>B</w:t>
      </w:r>
      <w:r>
        <w:t>.</w:t>
      </w:r>
    </w:p>
    <w:p w:rsidR="009F2953" w:rsidRPr="00C42ADE" w:rsidRDefault="009F2953" w:rsidP="00C42ADE">
      <w:pPr>
        <w:pStyle w:val="BodyText"/>
        <w:ind w:left="0"/>
        <w:jc w:val="both"/>
        <w:rPr>
          <w:noProof/>
        </w:rPr>
      </w:pPr>
    </w:p>
    <w:p w:rsidR="009F2953" w:rsidRDefault="009F2953" w:rsidP="00C42ADE">
      <w:pPr>
        <w:pStyle w:val="BodyText"/>
        <w:ind w:left="0"/>
        <w:jc w:val="both"/>
        <w:rPr>
          <w:noProof/>
        </w:rPr>
      </w:pPr>
      <w:r>
        <w:rPr>
          <w:b/>
        </w:rPr>
        <w:t>A</w:t>
      </w:r>
      <w:r>
        <w:t xml:space="preserve"> izsniedz </w:t>
      </w:r>
      <w:r>
        <w:rPr>
          <w:b/>
        </w:rPr>
        <w:t>B</w:t>
      </w:r>
      <w:r>
        <w:t xml:space="preserve"> rēķinu, bet pēc tam </w:t>
      </w:r>
      <w:r>
        <w:rPr>
          <w:b/>
        </w:rPr>
        <w:t>B</w:t>
      </w:r>
      <w:r>
        <w:t xml:space="preserve"> izsniedz rēķinu </w:t>
      </w:r>
      <w:r>
        <w:rPr>
          <w:b/>
        </w:rPr>
        <w:t>C</w:t>
      </w:r>
      <w:r>
        <w:t>.</w:t>
      </w:r>
    </w:p>
    <w:p w:rsidR="00BE4317" w:rsidRDefault="00BE4317" w:rsidP="00C42ADE">
      <w:pPr>
        <w:pStyle w:val="BodyText"/>
        <w:ind w:left="0"/>
        <w:jc w:val="both"/>
        <w:rPr>
          <w:noProof/>
        </w:rPr>
      </w:pPr>
    </w:p>
    <w:p w:rsidR="000B7AE5" w:rsidRDefault="00AC38A8" w:rsidP="00C42ADE">
      <w:pPr>
        <w:pStyle w:val="BodyText"/>
        <w:ind w:left="0"/>
        <w:jc w:val="both"/>
        <w:rPr>
          <w:noProof/>
        </w:rPr>
      </w:pPr>
      <w:r w:rsidRPr="00AC38A8">
        <w:rPr>
          <w:noProof/>
          <w:lang w:bidi="ar-SA"/>
        </w:rPr>
        <w:lastRenderedPageBreak/>
        <w:drawing>
          <wp:inline distT="0" distB="0" distL="0" distR="0">
            <wp:extent cx="5762625" cy="207998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079987"/>
                    </a:xfrm>
                    <a:prstGeom prst="rect">
                      <a:avLst/>
                    </a:prstGeom>
                    <a:noFill/>
                    <a:ln>
                      <a:noFill/>
                    </a:ln>
                  </pic:spPr>
                </pic:pic>
              </a:graphicData>
            </a:graphic>
          </wp:inline>
        </w:drawing>
      </w:r>
    </w:p>
    <w:p w:rsidR="009F2953" w:rsidRDefault="009F2953" w:rsidP="00C42ADE">
      <w:pPr>
        <w:jc w:val="both"/>
        <w:rPr>
          <w:rFonts w:ascii="Times New Roman" w:eastAsia="Times New Roman" w:hAnsi="Times New Roman" w:cs="Times New Roman"/>
          <w:b/>
          <w:bCs/>
          <w:noProof/>
          <w:sz w:val="24"/>
          <w:szCs w:val="23"/>
        </w:rPr>
      </w:pPr>
    </w:p>
    <w:p w:rsidR="009F2953" w:rsidRPr="00C42ADE" w:rsidRDefault="009F2953" w:rsidP="00C42ADE">
      <w:pPr>
        <w:pStyle w:val="BodyText"/>
        <w:ind w:left="0"/>
        <w:jc w:val="both"/>
        <w:rPr>
          <w:noProof/>
        </w:rPr>
      </w:pPr>
      <w:r>
        <w:rPr>
          <w:b/>
        </w:rPr>
        <w:t>A</w:t>
      </w:r>
      <w:r>
        <w:t xml:space="preserve"> nav tiesību lemt par to, ka preces ir pārvietojamas uz galamērķi ārpus Savienības muitas teritorijas. </w:t>
      </w:r>
      <w:r>
        <w:rPr>
          <w:b/>
        </w:rPr>
        <w:t>A</w:t>
      </w:r>
      <w:r>
        <w:t xml:space="preserve"> vienīgi tur </w:t>
      </w:r>
      <w:r>
        <w:rPr>
          <w:b/>
        </w:rPr>
        <w:t>B</w:t>
      </w:r>
      <w:r>
        <w:t xml:space="preserve"> rīcībā esošās preces un nosūta tās saskaņā ar pārdošanas līgumu, ko tas noslēdzis ar </w:t>
      </w:r>
      <w:r>
        <w:rPr>
          <w:b/>
        </w:rPr>
        <w:t>B</w:t>
      </w:r>
      <w:r>
        <w:t xml:space="preserve">. </w:t>
      </w:r>
      <w:r>
        <w:rPr>
          <w:b/>
        </w:rPr>
        <w:t>A</w:t>
      </w:r>
      <w:r>
        <w:t xml:space="preserve"> nav eksportētājs, jo nav piemērojams ne a) apakšpunkts, ne arī c) apakšpunkts. Tomēr A var kļūt par eksportētāju, ja B to pilnvaro noteikt preču eksportēšanas galamērķi.</w:t>
      </w:r>
    </w:p>
    <w:p w:rsidR="009F2953" w:rsidRPr="00C42ADE" w:rsidRDefault="009F2953" w:rsidP="00C42ADE">
      <w:pPr>
        <w:jc w:val="both"/>
        <w:rPr>
          <w:rFonts w:ascii="Times New Roman" w:hAnsi="Times New Roman"/>
          <w:noProof/>
          <w:sz w:val="24"/>
        </w:rPr>
      </w:pPr>
    </w:p>
    <w:p w:rsidR="009F2953" w:rsidRPr="00C42ADE" w:rsidRDefault="009F2953" w:rsidP="00C42ADE">
      <w:pPr>
        <w:pStyle w:val="BodyText"/>
        <w:ind w:left="0"/>
        <w:jc w:val="both"/>
        <w:rPr>
          <w:noProof/>
        </w:rPr>
      </w:pPr>
      <w:r>
        <w:rPr>
          <w:b/>
        </w:rPr>
        <w:t>B</w:t>
      </w:r>
      <w:r>
        <w:t xml:space="preserve"> ir </w:t>
      </w:r>
      <w:r>
        <w:rPr>
          <w:i/>
        </w:rPr>
        <w:t>UCC DA</w:t>
      </w:r>
      <w:r>
        <w:t xml:space="preserve"> 1. panta 19. punkta a) apakšpunktā noteiktais eksportētājs. Tāpēc </w:t>
      </w:r>
      <w:r>
        <w:rPr>
          <w:b/>
        </w:rPr>
        <w:t>B</w:t>
      </w:r>
      <w:r>
        <w:t xml:space="preserve"> nosaukums un adrese ir jānorāda eksporta deklarācijas 2. ailē. Lai apliecinātu savas tiesības lemt par to, ka preces ir pārvietojamas uz galamērķi ārpus Savienības muitas teritorijas, ir pietiekami pierādīt īpašumtiesību uz precēm nodošanu.</w:t>
      </w:r>
    </w:p>
    <w:p w:rsidR="009F2953" w:rsidRPr="00C42ADE" w:rsidRDefault="009F2953" w:rsidP="00C42ADE">
      <w:pPr>
        <w:jc w:val="both"/>
        <w:rPr>
          <w:rFonts w:ascii="Times New Roman" w:hAnsi="Times New Roman"/>
          <w:noProof/>
          <w:sz w:val="24"/>
        </w:rPr>
      </w:pPr>
    </w:p>
    <w:p w:rsidR="009F2953" w:rsidRPr="00C42ADE" w:rsidRDefault="009F2953" w:rsidP="00C42ADE">
      <w:pPr>
        <w:pStyle w:val="BodyText"/>
        <w:ind w:left="0"/>
        <w:jc w:val="both"/>
        <w:rPr>
          <w:noProof/>
        </w:rPr>
      </w:pPr>
      <w:r>
        <w:t xml:space="preserve">Tomēr situācija atšķirtos, ja pārdošanas dokumentācijā starp </w:t>
      </w:r>
      <w:r>
        <w:rPr>
          <w:b/>
        </w:rPr>
        <w:t>A</w:t>
      </w:r>
      <w:r>
        <w:t xml:space="preserve"> un </w:t>
      </w:r>
      <w:r>
        <w:rPr>
          <w:b/>
        </w:rPr>
        <w:t>B</w:t>
      </w:r>
      <w:r>
        <w:t xml:space="preserve"> būtu norādīts, ka B ir jāpārdod preces noteiktā ģeogrāfiskā apgabalā. Šādā gadījumā </w:t>
      </w:r>
      <w:r>
        <w:rPr>
          <w:b/>
        </w:rPr>
        <w:t>A</w:t>
      </w:r>
      <w:r>
        <w:t xml:space="preserve"> ir tiesības lemt par to, ka preces ir pārvietojamas uz galamērķi ārpus Savienības muitas teritorijas. Attiecīgi </w:t>
      </w:r>
      <w:r>
        <w:rPr>
          <w:b/>
        </w:rPr>
        <w:t>A</w:t>
      </w:r>
      <w:r>
        <w:t xml:space="preserve"> varētu būt </w:t>
      </w:r>
      <w:r>
        <w:rPr>
          <w:i/>
        </w:rPr>
        <w:t>UCC DA</w:t>
      </w:r>
      <w:r>
        <w:t xml:space="preserve"> 1. panta 19. punkta c) apakšpunktā noteiktais eksportētājs.</w:t>
      </w:r>
    </w:p>
    <w:p w:rsidR="009F2953" w:rsidRDefault="009F2953" w:rsidP="00C42ADE">
      <w:pPr>
        <w:jc w:val="both"/>
        <w:rPr>
          <w:rFonts w:ascii="Times New Roman" w:eastAsia="Times New Roman" w:hAnsi="Times New Roman" w:cs="Times New Roman"/>
          <w:noProof/>
          <w:sz w:val="24"/>
          <w:szCs w:val="24"/>
        </w:rPr>
      </w:pPr>
    </w:p>
    <w:p w:rsidR="00AC38A8" w:rsidRPr="00C42ADE" w:rsidRDefault="00AC38A8"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both"/>
        <w:rPr>
          <w:noProof/>
          <w:u w:val="thick" w:color="000000"/>
        </w:rPr>
      </w:pPr>
      <w:r>
        <w:rPr>
          <w:noProof/>
          <w:u w:val="thick" w:color="000000"/>
        </w:rPr>
        <w:t>2. scenārijs</w:t>
      </w:r>
    </w:p>
    <w:p w:rsidR="009F2953" w:rsidRPr="00C42ADE" w:rsidRDefault="009F2953" w:rsidP="00C42ADE">
      <w:pPr>
        <w:jc w:val="both"/>
        <w:rPr>
          <w:rFonts w:ascii="Times New Roman" w:eastAsia="Times New Roman" w:hAnsi="Times New Roman" w:cs="Times New Roman"/>
          <w:b/>
          <w:bCs/>
          <w:noProof/>
          <w:sz w:val="24"/>
          <w:szCs w:val="17"/>
        </w:rPr>
      </w:pPr>
    </w:p>
    <w:p w:rsidR="009F2953" w:rsidRPr="00C42ADE" w:rsidRDefault="009F2953" w:rsidP="00C42ADE">
      <w:pPr>
        <w:jc w:val="both"/>
        <w:rPr>
          <w:rFonts w:ascii="Times New Roman" w:hAnsi="Times New Roman"/>
          <w:b/>
          <w:noProof/>
          <w:sz w:val="24"/>
        </w:rPr>
      </w:pPr>
      <w:r>
        <w:rPr>
          <w:rFonts w:ascii="Times New Roman" w:hAnsi="Times New Roman"/>
          <w:b/>
          <w:i/>
          <w:noProof/>
          <w:sz w:val="24"/>
        </w:rPr>
        <w:t>Ex Works</w:t>
      </w:r>
    </w:p>
    <w:p w:rsidR="009F2953" w:rsidRDefault="009F2953" w:rsidP="00C42ADE">
      <w:pPr>
        <w:jc w:val="both"/>
        <w:rPr>
          <w:rFonts w:ascii="Times New Roman" w:eastAsia="Times New Roman" w:hAnsi="Times New Roman" w:cs="Times New Roman"/>
          <w:noProof/>
          <w:sz w:val="24"/>
          <w:szCs w:val="23"/>
        </w:rPr>
      </w:pPr>
    </w:p>
    <w:p w:rsidR="000B7AE5" w:rsidRDefault="00AC38A8" w:rsidP="00C42ADE">
      <w:pPr>
        <w:jc w:val="both"/>
        <w:rPr>
          <w:rFonts w:ascii="Times New Roman" w:eastAsia="Times New Roman" w:hAnsi="Times New Roman" w:cs="Times New Roman"/>
          <w:noProof/>
          <w:sz w:val="24"/>
          <w:szCs w:val="23"/>
        </w:rPr>
      </w:pPr>
      <w:r w:rsidRPr="00AC38A8">
        <w:rPr>
          <w:rFonts w:ascii="Times New Roman" w:eastAsia="Times New Roman" w:hAnsi="Times New Roman" w:cs="Times New Roman"/>
          <w:noProof/>
          <w:sz w:val="24"/>
          <w:szCs w:val="23"/>
          <w:lang w:bidi="ar-SA"/>
        </w:rPr>
        <w:drawing>
          <wp:inline distT="0" distB="0" distL="0" distR="0">
            <wp:extent cx="4258945" cy="1549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8945" cy="1549400"/>
                    </a:xfrm>
                    <a:prstGeom prst="rect">
                      <a:avLst/>
                    </a:prstGeom>
                    <a:noFill/>
                    <a:ln>
                      <a:noFill/>
                    </a:ln>
                  </pic:spPr>
                </pic:pic>
              </a:graphicData>
            </a:graphic>
          </wp:inline>
        </w:drawing>
      </w:r>
    </w:p>
    <w:p w:rsidR="000B7AE5" w:rsidRPr="00C42ADE" w:rsidRDefault="000B7AE5" w:rsidP="00C42ADE">
      <w:pPr>
        <w:jc w:val="both"/>
        <w:rPr>
          <w:rFonts w:ascii="Times New Roman" w:eastAsia="Times New Roman" w:hAnsi="Times New Roman" w:cs="Times New Roman"/>
          <w:noProof/>
          <w:sz w:val="24"/>
          <w:szCs w:val="23"/>
        </w:rPr>
      </w:pPr>
    </w:p>
    <w:p w:rsidR="009F2953" w:rsidRPr="00C42ADE" w:rsidRDefault="009F2953" w:rsidP="00C42ADE">
      <w:pPr>
        <w:pStyle w:val="BodyText"/>
        <w:ind w:left="0"/>
        <w:jc w:val="both"/>
        <w:rPr>
          <w:noProof/>
        </w:rPr>
      </w:pPr>
      <w:r>
        <w:t>Tradicionāli “</w:t>
      </w:r>
      <w:r>
        <w:rPr>
          <w:i/>
        </w:rPr>
        <w:t>Ex Works</w:t>
      </w:r>
      <w:r>
        <w:t>” līgums nozīmē to, ka tiek uzskatīts, ka pārdevējs (</w:t>
      </w:r>
      <w:r>
        <w:rPr>
          <w:b/>
        </w:rPr>
        <w:t>A</w:t>
      </w:r>
      <w:r>
        <w:t>) piegādā preces, kad tās tiek nodotas pircēja (</w:t>
      </w:r>
      <w:r>
        <w:rPr>
          <w:b/>
        </w:rPr>
        <w:t>B</w:t>
      </w:r>
      <w:r>
        <w:t>) rīcībā pārdevēja telpās vai citā pārdevēja norādītā vietā (piemēram, darbnīcā, rūpnīcā, noliktavā u. c.). Pārdevējam nav jāiekrauj preces transportlīdzeklī, ne arī jāmuito tās eksportēšanai, ja šāda muitošana jāveic.</w:t>
      </w:r>
    </w:p>
    <w:p w:rsidR="009F2953" w:rsidRPr="00C42ADE" w:rsidRDefault="009F2953" w:rsidP="00C42ADE">
      <w:pPr>
        <w:jc w:val="both"/>
        <w:rPr>
          <w:rFonts w:ascii="Times New Roman" w:hAnsi="Times New Roman"/>
          <w:noProof/>
          <w:sz w:val="24"/>
        </w:rPr>
      </w:pPr>
    </w:p>
    <w:p w:rsidR="009F2953" w:rsidRDefault="009F2953" w:rsidP="00C42ADE">
      <w:pPr>
        <w:pStyle w:val="BodyText"/>
        <w:ind w:left="0"/>
        <w:jc w:val="both"/>
      </w:pPr>
      <w:r>
        <w:rPr>
          <w:b/>
        </w:rPr>
        <w:t>B</w:t>
      </w:r>
      <w:r>
        <w:t xml:space="preserve"> ir pienākums saņemt preces, piegādāt preces un samaksāt par tām. Šajā brīdī tas arī uzņemas preču zaudēšanas un bojāšanas risku.</w:t>
      </w:r>
    </w:p>
    <w:p w:rsidR="00AC38A8" w:rsidRPr="00C42ADE" w:rsidRDefault="00AC38A8" w:rsidP="00C42ADE">
      <w:pPr>
        <w:pStyle w:val="BodyText"/>
        <w:ind w:left="0"/>
        <w:jc w:val="both"/>
        <w:rPr>
          <w:noProof/>
        </w:rPr>
      </w:pPr>
    </w:p>
    <w:p w:rsidR="009F2953" w:rsidRPr="00C42ADE" w:rsidRDefault="009F2953" w:rsidP="00C42ADE">
      <w:pPr>
        <w:pStyle w:val="BodyText"/>
        <w:ind w:left="0"/>
        <w:jc w:val="both"/>
        <w:rPr>
          <w:noProof/>
        </w:rPr>
      </w:pPr>
      <w:r>
        <w:rPr>
          <w:b/>
        </w:rPr>
        <w:t>B</w:t>
      </w:r>
      <w:r>
        <w:t xml:space="preserve"> ir jāorganizē preču savākšana piegādes punktā un pienākums izpildīt muitas formalitātes gan eksportēšanas valstī (Beļģija), gan importēšanas valstī (Jaunzēlandē). </w:t>
      </w:r>
      <w:r>
        <w:rPr>
          <w:b/>
        </w:rPr>
        <w:t>B</w:t>
      </w:r>
      <w:r>
        <w:t xml:space="preserve"> ir arī pienākums izpildīt muitas formalitātes tranzīta valstī, ja preces tiek pārvietotas iekšējā tranzītā pirms izvešanas muitas iestādes sasniegšanas.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Līdz ar to </w:t>
      </w:r>
      <w:r>
        <w:rPr>
          <w:b/>
        </w:rPr>
        <w:t>A</w:t>
      </w:r>
      <w:r>
        <w:t xml:space="preserve"> nav tiesības lemt par to, ka preces ir pārvietojamas uz galamērķi ārpus Savienības muitas teritorijas, un tas nevar būt ne eksportētājs, kas noteikts </w:t>
      </w:r>
      <w:r>
        <w:rPr>
          <w:i/>
        </w:rPr>
        <w:t>UCC DA</w:t>
      </w:r>
      <w:r>
        <w:t xml:space="preserve"> 1. panta 19. punkta a) apakšpunktā, ne arī eksportētājs, kas noteikts </w:t>
      </w:r>
      <w:r>
        <w:rPr>
          <w:i/>
        </w:rPr>
        <w:t>UCC DA</w:t>
      </w:r>
      <w:r>
        <w:t xml:space="preserve"> 1. panta 19. punkta c) apakšpunktā. </w:t>
      </w:r>
      <w:r>
        <w:rPr>
          <w:b/>
        </w:rPr>
        <w:t>B</w:t>
      </w:r>
      <w:r>
        <w:t xml:space="preserve"> neveic uzņēmējdarbību Savienības muitas teritorijā un nevar būt ne eksportētājs, kas noteikts </w:t>
      </w:r>
      <w:r>
        <w:rPr>
          <w:i/>
        </w:rPr>
        <w:t>UCC DA</w:t>
      </w:r>
      <w:r>
        <w:t xml:space="preserve"> 1. panta 19. punkta a) apakšpunktā, ne arī eksportētājs, kas noteikts </w:t>
      </w:r>
      <w:r>
        <w:rPr>
          <w:i/>
        </w:rPr>
        <w:t>UCC DA</w:t>
      </w:r>
      <w:r>
        <w:t xml:space="preserve"> 1. panta 19. punkta c) apakšpunktā.</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Ja </w:t>
      </w:r>
      <w:r>
        <w:rPr>
          <w:b/>
        </w:rPr>
        <w:t>B</w:t>
      </w:r>
      <w:r>
        <w:t xml:space="preserve"> ir nosūtītājs un tā vārds/nosaukums ir jānorāda 2. ailē, </w:t>
      </w:r>
      <w:r>
        <w:rPr>
          <w:b/>
        </w:rPr>
        <w:t>B</w:t>
      </w:r>
      <w:r>
        <w:t xml:space="preserve"> ir jāieceļ netiešs pārstāvis muitā. Vēl viens iespējamais risinājums – </w:t>
      </w:r>
      <w:r>
        <w:rPr>
          <w:b/>
        </w:rPr>
        <w:t>B</w:t>
      </w:r>
      <w:r>
        <w:t xml:space="preserve"> ieceļ </w:t>
      </w:r>
      <w:r>
        <w:rPr>
          <w:b/>
        </w:rPr>
        <w:t>A</w:t>
      </w:r>
      <w:r>
        <w:t xml:space="preserve"> par personu, kas atbildīga par eksportēšanai nepieciešamo muitas prasību izpildi.</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both"/>
        <w:rPr>
          <w:noProof/>
          <w:u w:val="thick" w:color="000000"/>
        </w:rPr>
      </w:pPr>
      <w:r>
        <w:rPr>
          <w:noProof/>
          <w:u w:val="thick" w:color="000000"/>
        </w:rPr>
        <w:t>3. scenārijs</w:t>
      </w:r>
    </w:p>
    <w:p w:rsidR="009F2953" w:rsidRDefault="009F2953" w:rsidP="00C42ADE">
      <w:pPr>
        <w:jc w:val="both"/>
        <w:rPr>
          <w:rFonts w:ascii="Times New Roman" w:eastAsia="Times New Roman" w:hAnsi="Times New Roman" w:cs="Times New Roman"/>
          <w:b/>
          <w:bCs/>
          <w:noProof/>
          <w:sz w:val="24"/>
          <w:szCs w:val="17"/>
        </w:rPr>
      </w:pPr>
    </w:p>
    <w:p w:rsidR="000B7AE5" w:rsidRDefault="00AC38A8" w:rsidP="00C42ADE">
      <w:pPr>
        <w:jc w:val="both"/>
        <w:rPr>
          <w:rFonts w:ascii="Times New Roman" w:eastAsia="Times New Roman" w:hAnsi="Times New Roman" w:cs="Times New Roman"/>
          <w:b/>
          <w:bCs/>
          <w:noProof/>
          <w:sz w:val="24"/>
          <w:szCs w:val="17"/>
        </w:rPr>
      </w:pPr>
      <w:r w:rsidRPr="00AC38A8">
        <w:rPr>
          <w:rFonts w:ascii="Times New Roman" w:eastAsia="Times New Roman" w:hAnsi="Times New Roman" w:cs="Times New Roman"/>
          <w:b/>
          <w:bCs/>
          <w:noProof/>
          <w:sz w:val="24"/>
          <w:szCs w:val="17"/>
          <w:lang w:bidi="ar-SA"/>
        </w:rPr>
        <w:drawing>
          <wp:inline distT="0" distB="0" distL="0" distR="0">
            <wp:extent cx="5762625" cy="14308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430834"/>
                    </a:xfrm>
                    <a:prstGeom prst="rect">
                      <a:avLst/>
                    </a:prstGeom>
                    <a:noFill/>
                    <a:ln>
                      <a:noFill/>
                    </a:ln>
                  </pic:spPr>
                </pic:pic>
              </a:graphicData>
            </a:graphic>
          </wp:inline>
        </w:drawing>
      </w:r>
    </w:p>
    <w:p w:rsidR="000B7AE5" w:rsidRPr="00C42ADE" w:rsidRDefault="000B7AE5" w:rsidP="00C42ADE">
      <w:pPr>
        <w:jc w:val="both"/>
        <w:rPr>
          <w:rFonts w:ascii="Times New Roman" w:eastAsia="Times New Roman" w:hAnsi="Times New Roman" w:cs="Times New Roman"/>
          <w:b/>
          <w:bCs/>
          <w:noProof/>
          <w:sz w:val="24"/>
          <w:szCs w:val="17"/>
        </w:rPr>
      </w:pPr>
    </w:p>
    <w:p w:rsidR="009F2953" w:rsidRPr="00C42ADE" w:rsidRDefault="009F2953" w:rsidP="00C42ADE">
      <w:pPr>
        <w:pStyle w:val="BodyText"/>
        <w:ind w:left="0"/>
        <w:jc w:val="both"/>
        <w:rPr>
          <w:noProof/>
        </w:rPr>
      </w:pPr>
      <w:r>
        <w:t>Preces no Beļģijas tiek pārdotas Alžīrijai, un pēc tam tās tiek pārdotas tālāk Jaunzēlandei. Preču fiziska pārvietošana notiek tieši no Beļģijas uz Jaunzēlandi B vārdā, B esot šo preču nosūtītājam. A nav noslēdzis līgumu ar C. B neveic uzņēmējdarbību Savienībā. A izsniedz rēķinu B, B izsniedz rēķinu C.</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A nav eksportētājs, jo </w:t>
      </w:r>
      <w:r>
        <w:rPr>
          <w:i/>
        </w:rPr>
        <w:t>UCC DA</w:t>
      </w:r>
      <w:r>
        <w:t xml:space="preserve"> 1. panta 19. punkta a) apakšpunkts nav piemērojams, ja vien pārdošanas dokumentācijā nav norādīts, ka A ir iesaistīts eksporta procedūrā un ka tam ir tiesības lemt par to, ka preces ir eksportējamas uz galamērķi ārpus ES (sk. 1. scenāriju).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B</w:t>
      </w:r>
      <w:r>
        <w:t xml:space="preserve"> nevar būt </w:t>
      </w:r>
      <w:r>
        <w:rPr>
          <w:i/>
        </w:rPr>
        <w:t>UCC DA</w:t>
      </w:r>
      <w:r>
        <w:t xml:space="preserve"> 1. panta 19. punkta c) apakšpunktā noteiktais preču eksportētājs. Tomēr </w:t>
      </w:r>
      <w:r>
        <w:rPr>
          <w:u w:val="single"/>
        </w:rPr>
        <w:t>pārejas periodā</w:t>
      </w:r>
      <w:r>
        <w:t xml:space="preserve"> </w:t>
      </w:r>
      <w:r>
        <w:rPr>
          <w:b/>
        </w:rPr>
        <w:t>B</w:t>
      </w:r>
      <w:r>
        <w:t xml:space="preserve"> var būt norādīts 2. ailē kā nosūtītājs, un tā netiešo pārstāvi muitā, kurš veic uzņēmējdarbību ES, var norādīt 14. ailē.</w:t>
      </w:r>
    </w:p>
    <w:p w:rsidR="009F2953" w:rsidRPr="00C42ADE" w:rsidRDefault="009F2953" w:rsidP="00C42ADE">
      <w:pPr>
        <w:jc w:val="both"/>
        <w:rPr>
          <w:rFonts w:ascii="Times New Roman" w:eastAsia="Times New Roman" w:hAnsi="Times New Roman" w:cs="Times New Roman"/>
          <w:noProof/>
          <w:sz w:val="24"/>
          <w:szCs w:val="24"/>
        </w:rPr>
      </w:pPr>
    </w:p>
    <w:p w:rsidR="00AC38A8" w:rsidRDefault="00AC38A8">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both"/>
        <w:rPr>
          <w:noProof/>
          <w:u w:val="thick" w:color="000000"/>
        </w:rPr>
      </w:pPr>
      <w:r>
        <w:rPr>
          <w:noProof/>
          <w:u w:val="thick" w:color="000000"/>
        </w:rPr>
        <w:t>4. scenārijs</w:t>
      </w:r>
    </w:p>
    <w:p w:rsidR="009F2953" w:rsidRDefault="009F2953" w:rsidP="00C42ADE">
      <w:pPr>
        <w:jc w:val="both"/>
        <w:rPr>
          <w:rFonts w:ascii="Times New Roman" w:eastAsia="Times New Roman" w:hAnsi="Times New Roman" w:cs="Times New Roman"/>
          <w:b/>
          <w:bCs/>
          <w:noProof/>
          <w:sz w:val="24"/>
          <w:szCs w:val="17"/>
        </w:rPr>
      </w:pPr>
    </w:p>
    <w:p w:rsidR="000B7AE5" w:rsidRDefault="00AC38A8" w:rsidP="00C42ADE">
      <w:pPr>
        <w:jc w:val="both"/>
        <w:rPr>
          <w:rFonts w:ascii="Times New Roman" w:eastAsia="Times New Roman" w:hAnsi="Times New Roman" w:cs="Times New Roman"/>
          <w:b/>
          <w:bCs/>
          <w:noProof/>
          <w:sz w:val="24"/>
          <w:szCs w:val="17"/>
        </w:rPr>
      </w:pPr>
      <w:r w:rsidRPr="00AC38A8">
        <w:rPr>
          <w:rFonts w:ascii="Times New Roman" w:eastAsia="Times New Roman" w:hAnsi="Times New Roman" w:cs="Times New Roman"/>
          <w:b/>
          <w:bCs/>
          <w:noProof/>
          <w:sz w:val="24"/>
          <w:szCs w:val="17"/>
          <w:lang w:bidi="ar-SA"/>
        </w:rPr>
        <w:drawing>
          <wp:inline distT="0" distB="0" distL="0" distR="0">
            <wp:extent cx="5762625" cy="15350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1535022"/>
                    </a:xfrm>
                    <a:prstGeom prst="rect">
                      <a:avLst/>
                    </a:prstGeom>
                    <a:noFill/>
                    <a:ln>
                      <a:noFill/>
                    </a:ln>
                  </pic:spPr>
                </pic:pic>
              </a:graphicData>
            </a:graphic>
          </wp:inline>
        </w:drawing>
      </w:r>
    </w:p>
    <w:p w:rsidR="000B7AE5" w:rsidRPr="00C42ADE" w:rsidRDefault="000B7AE5" w:rsidP="00C42ADE">
      <w:pPr>
        <w:jc w:val="both"/>
        <w:rPr>
          <w:rFonts w:ascii="Times New Roman" w:eastAsia="Times New Roman" w:hAnsi="Times New Roman" w:cs="Times New Roman"/>
          <w:b/>
          <w:bCs/>
          <w:noProof/>
          <w:sz w:val="24"/>
          <w:szCs w:val="17"/>
        </w:rPr>
      </w:pPr>
    </w:p>
    <w:p w:rsidR="009F2953" w:rsidRPr="00C42ADE" w:rsidRDefault="009F2953" w:rsidP="00C42ADE">
      <w:pPr>
        <w:pStyle w:val="BodyText"/>
        <w:ind w:left="0"/>
        <w:jc w:val="both"/>
        <w:rPr>
          <w:noProof/>
        </w:rPr>
      </w:pPr>
      <w:r>
        <w:t xml:space="preserve">Preces no Nīderlandes tiek pārdotas Austrijai, un pēc tam tās tiek pārdotas tālāk Ķīnai. Preču fiziska pārvietošana notiek tieši no Nīderlandes uz Ķīnu </w:t>
      </w:r>
      <w:r>
        <w:rPr>
          <w:b/>
        </w:rPr>
        <w:t>B</w:t>
      </w:r>
      <w:r>
        <w:t xml:space="preserve"> vārdā. A nav noslēdzis līgumu ar </w:t>
      </w:r>
      <w:r>
        <w:rPr>
          <w:b/>
        </w:rPr>
        <w:t>C</w:t>
      </w:r>
      <w:r>
        <w:t xml:space="preserve">. </w:t>
      </w:r>
      <w:r>
        <w:rPr>
          <w:b/>
        </w:rPr>
        <w:t>B</w:t>
      </w:r>
      <w:r>
        <w:t xml:space="preserve"> veic uzņēmējdarbību Savienībā. </w:t>
      </w:r>
      <w:r>
        <w:rPr>
          <w:b/>
        </w:rPr>
        <w:t>A</w:t>
      </w:r>
      <w:r>
        <w:t xml:space="preserve"> izsniedz rēķinu </w:t>
      </w:r>
      <w:r>
        <w:rPr>
          <w:b/>
        </w:rPr>
        <w:t>B</w:t>
      </w:r>
      <w:r>
        <w:t xml:space="preserve">, </w:t>
      </w:r>
      <w:r>
        <w:rPr>
          <w:b/>
        </w:rPr>
        <w:t>B</w:t>
      </w:r>
      <w:r>
        <w:t xml:space="preserve"> izsniedz rēķinu </w:t>
      </w:r>
      <w:r>
        <w:rPr>
          <w:b/>
        </w:rPr>
        <w:t>C</w:t>
      </w:r>
      <w:r>
        <w:t>.</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B</w:t>
      </w:r>
      <w:r>
        <w:t xml:space="preserve"> ir uzdevis </w:t>
      </w:r>
      <w:r>
        <w:rPr>
          <w:b/>
        </w:rPr>
        <w:t>A</w:t>
      </w:r>
      <w:r>
        <w:t xml:space="preserve"> nogādāt preces tieši </w:t>
      </w:r>
      <w:r>
        <w:rPr>
          <w:b/>
        </w:rPr>
        <w:t>C</w:t>
      </w:r>
      <w:r>
        <w:t xml:space="preserve"> (caur Roterdamas ostu). Eksportētājs ir </w:t>
      </w:r>
      <w:r>
        <w:rPr>
          <w:b/>
        </w:rPr>
        <w:t>A</w:t>
      </w:r>
      <w:r>
        <w:t xml:space="preserve">, jo ir piemērojams </w:t>
      </w:r>
      <w:r>
        <w:rPr>
          <w:i/>
        </w:rPr>
        <w:t>UCC DA</w:t>
      </w:r>
      <w:r>
        <w:t xml:space="preserve"> 1. panta 19. punkta c) apakšpunkts. Tā kā </w:t>
      </w:r>
      <w:r>
        <w:rPr>
          <w:b/>
        </w:rPr>
        <w:t>B</w:t>
      </w:r>
      <w:r>
        <w:t xml:space="preserve"> ir uzdevis </w:t>
      </w:r>
      <w:r>
        <w:rPr>
          <w:b/>
        </w:rPr>
        <w:t>A</w:t>
      </w:r>
      <w:r>
        <w:t xml:space="preserve"> nogādāt preces no Nīderlandes tieši uz Ķīnu, uzņēmums </w:t>
      </w:r>
      <w:r>
        <w:rPr>
          <w:b/>
        </w:rPr>
        <w:t>A</w:t>
      </w:r>
      <w:r>
        <w:t xml:space="preserve"> kļūst par eksportētāju.</w:t>
      </w:r>
    </w:p>
    <w:p w:rsidR="009F2953" w:rsidRDefault="009F2953" w:rsidP="00C42ADE">
      <w:pPr>
        <w:jc w:val="both"/>
        <w:rPr>
          <w:rFonts w:ascii="Times New Roman" w:eastAsia="Times New Roman" w:hAnsi="Times New Roman" w:cs="Times New Roman"/>
          <w:noProof/>
          <w:sz w:val="24"/>
          <w:szCs w:val="24"/>
        </w:rPr>
      </w:pPr>
    </w:p>
    <w:p w:rsidR="00AC38A8" w:rsidRPr="00C42ADE" w:rsidRDefault="00AC38A8" w:rsidP="00C42ADE">
      <w:pPr>
        <w:jc w:val="both"/>
        <w:rPr>
          <w:rFonts w:ascii="Times New Roman" w:eastAsia="Times New Roman" w:hAnsi="Times New Roman" w:cs="Times New Roman"/>
          <w:noProof/>
          <w:sz w:val="24"/>
          <w:szCs w:val="24"/>
        </w:rPr>
      </w:pPr>
    </w:p>
    <w:p w:rsidR="009F2953" w:rsidRPr="00C42ADE" w:rsidRDefault="009F2953" w:rsidP="00C42ADE">
      <w:pPr>
        <w:pStyle w:val="Heading1"/>
        <w:ind w:left="0"/>
        <w:jc w:val="both"/>
        <w:rPr>
          <w:noProof/>
          <w:u w:val="thick" w:color="000000"/>
        </w:rPr>
      </w:pPr>
      <w:r>
        <w:rPr>
          <w:noProof/>
          <w:u w:val="thick" w:color="000000"/>
        </w:rPr>
        <w:t>5. scenārijs</w:t>
      </w:r>
    </w:p>
    <w:p w:rsidR="009F2953" w:rsidRDefault="009F2953" w:rsidP="00C42ADE">
      <w:pPr>
        <w:jc w:val="both"/>
        <w:rPr>
          <w:rFonts w:ascii="Times New Roman" w:eastAsia="Times New Roman" w:hAnsi="Times New Roman" w:cs="Times New Roman"/>
          <w:b/>
          <w:bCs/>
          <w:noProof/>
          <w:sz w:val="24"/>
          <w:szCs w:val="17"/>
        </w:rPr>
      </w:pPr>
    </w:p>
    <w:p w:rsidR="00C42ADE" w:rsidRDefault="00AC38A8" w:rsidP="00AC38A8">
      <w:pPr>
        <w:jc w:val="center"/>
        <w:rPr>
          <w:rFonts w:ascii="Times New Roman" w:eastAsia="Times New Roman" w:hAnsi="Times New Roman" w:cs="Times New Roman"/>
          <w:b/>
          <w:bCs/>
          <w:noProof/>
          <w:sz w:val="24"/>
          <w:szCs w:val="17"/>
        </w:rPr>
      </w:pPr>
      <w:r w:rsidRPr="00AC38A8">
        <w:rPr>
          <w:rFonts w:ascii="Times New Roman" w:eastAsia="Times New Roman" w:hAnsi="Times New Roman" w:cs="Times New Roman"/>
          <w:b/>
          <w:bCs/>
          <w:noProof/>
          <w:sz w:val="24"/>
          <w:szCs w:val="17"/>
          <w:lang w:bidi="ar-SA"/>
        </w:rPr>
        <w:drawing>
          <wp:inline distT="0" distB="0" distL="0" distR="0">
            <wp:extent cx="5133455" cy="353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6431" cy="3539525"/>
                    </a:xfrm>
                    <a:prstGeom prst="rect">
                      <a:avLst/>
                    </a:prstGeom>
                    <a:noFill/>
                    <a:ln>
                      <a:noFill/>
                    </a:ln>
                  </pic:spPr>
                </pic:pic>
              </a:graphicData>
            </a:graphic>
          </wp:inline>
        </w:drawing>
      </w:r>
    </w:p>
    <w:p w:rsidR="00C42ADE" w:rsidRDefault="00C42ADE" w:rsidP="00C42ADE">
      <w:pPr>
        <w:jc w:val="both"/>
        <w:rPr>
          <w:rFonts w:ascii="Times New Roman" w:eastAsia="Times New Roman" w:hAnsi="Times New Roman" w:cs="Times New Roman"/>
          <w:b/>
          <w:bCs/>
          <w:noProof/>
          <w:sz w:val="24"/>
          <w:szCs w:val="17"/>
        </w:rPr>
      </w:pPr>
    </w:p>
    <w:p w:rsidR="009F2953" w:rsidRPr="00C42ADE" w:rsidRDefault="009F2953" w:rsidP="00C42ADE">
      <w:pPr>
        <w:pStyle w:val="BodyText"/>
        <w:ind w:left="0"/>
        <w:jc w:val="both"/>
        <w:rPr>
          <w:noProof/>
        </w:rPr>
      </w:pPr>
      <w:r>
        <w:rPr>
          <w:b/>
        </w:rPr>
        <w:t>A</w:t>
      </w:r>
      <w:r>
        <w:t xml:space="preserve"> ir preču pārdevējs Šveicē.</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A</w:t>
      </w:r>
      <w:r>
        <w:t xml:space="preserve"> izmanto rūpnīcu Beļģijā. </w:t>
      </w:r>
      <w:r>
        <w:rPr>
          <w:b/>
        </w:rPr>
        <w:t>A</w:t>
      </w:r>
      <w:r>
        <w:t xml:space="preserve"> pieder preces.</w:t>
      </w:r>
    </w:p>
    <w:p w:rsidR="009F2953" w:rsidRPr="00C42ADE" w:rsidRDefault="009F2953" w:rsidP="00C42ADE">
      <w:pPr>
        <w:pStyle w:val="BodyText"/>
        <w:ind w:left="0"/>
        <w:jc w:val="both"/>
        <w:rPr>
          <w:noProof/>
        </w:rPr>
      </w:pPr>
      <w:r>
        <w:rPr>
          <w:b/>
        </w:rPr>
        <w:t>B</w:t>
      </w:r>
      <w:r>
        <w:t xml:space="preserve"> ir rūpnīcas īpašnieks.</w:t>
      </w:r>
    </w:p>
    <w:p w:rsidR="009F2953" w:rsidRPr="00C42ADE" w:rsidRDefault="009F2953" w:rsidP="00C42ADE">
      <w:pPr>
        <w:pStyle w:val="BodyText"/>
        <w:ind w:left="0"/>
        <w:jc w:val="both"/>
        <w:rPr>
          <w:noProof/>
        </w:rPr>
      </w:pPr>
      <w:r>
        <w:rPr>
          <w:b/>
        </w:rPr>
        <w:t>A</w:t>
      </w:r>
      <w:r>
        <w:t xml:space="preserve"> izmanto montāžas centru Francijā. </w:t>
      </w:r>
      <w:r>
        <w:rPr>
          <w:b/>
        </w:rPr>
        <w:t>A</w:t>
      </w:r>
      <w:r>
        <w:t xml:space="preserve"> saglabā īpašumtiesības uz precēm.</w:t>
      </w:r>
    </w:p>
    <w:p w:rsidR="009F2953" w:rsidRPr="00C42ADE" w:rsidRDefault="009F2953" w:rsidP="00C42ADE">
      <w:pPr>
        <w:pStyle w:val="BodyText"/>
        <w:ind w:left="0"/>
        <w:jc w:val="both"/>
        <w:rPr>
          <w:noProof/>
        </w:rPr>
      </w:pPr>
      <w:r>
        <w:rPr>
          <w:b/>
        </w:rPr>
        <w:t>C</w:t>
      </w:r>
      <w:r>
        <w:t xml:space="preserve"> ir montāžas centra īpašnieks.</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B</w:t>
      </w:r>
      <w:r>
        <w:t xml:space="preserve"> un </w:t>
      </w:r>
      <w:r>
        <w:rPr>
          <w:b/>
        </w:rPr>
        <w:t>C</w:t>
      </w:r>
      <w:r>
        <w:t xml:space="preserve"> neizdod pārdošanas rēķinus. Tie ir atbildīgi vienīgi par preču ražošanu un piegādi.</w:t>
      </w:r>
    </w:p>
    <w:p w:rsidR="009F2953" w:rsidRPr="00C42ADE" w:rsidRDefault="009F2953" w:rsidP="00C42ADE">
      <w:pPr>
        <w:jc w:val="both"/>
        <w:rPr>
          <w:rFonts w:ascii="Times New Roman" w:hAnsi="Times New Roman"/>
          <w:noProof/>
          <w:sz w:val="24"/>
        </w:rPr>
      </w:pPr>
    </w:p>
    <w:p w:rsidR="009F2953" w:rsidRPr="00C42ADE" w:rsidRDefault="009F2953" w:rsidP="00C42ADE">
      <w:pPr>
        <w:pStyle w:val="BodyText"/>
        <w:ind w:left="0"/>
        <w:jc w:val="both"/>
        <w:rPr>
          <w:noProof/>
        </w:rPr>
      </w:pPr>
      <w:r>
        <w:rPr>
          <w:b/>
        </w:rPr>
        <w:t>A</w:t>
      </w:r>
      <w:r>
        <w:t xml:space="preserve"> izmanto izplatīšanas centru Francijā.</w:t>
      </w:r>
    </w:p>
    <w:p w:rsidR="009F2953" w:rsidRPr="00C42ADE" w:rsidRDefault="009F2953" w:rsidP="00C42ADE">
      <w:pPr>
        <w:pStyle w:val="BodyText"/>
        <w:ind w:left="0"/>
        <w:jc w:val="both"/>
        <w:rPr>
          <w:noProof/>
        </w:rPr>
      </w:pPr>
      <w:r>
        <w:rPr>
          <w:b/>
        </w:rPr>
        <w:t>D</w:t>
      </w:r>
      <w:r>
        <w:t xml:space="preserve"> ir izplatīšanas centra īpašnieks.</w:t>
      </w:r>
    </w:p>
    <w:p w:rsidR="009F2953" w:rsidRPr="00C42ADE" w:rsidRDefault="009F2953" w:rsidP="00C42ADE">
      <w:pPr>
        <w:pStyle w:val="BodyText"/>
        <w:ind w:left="0"/>
        <w:jc w:val="both"/>
        <w:rPr>
          <w:noProof/>
        </w:rPr>
      </w:pPr>
      <w:r>
        <w:rPr>
          <w:b/>
        </w:rPr>
        <w:t>E</w:t>
      </w:r>
      <w:r>
        <w:t xml:space="preserve"> ir preču pircējs. </w:t>
      </w:r>
      <w:r>
        <w:rPr>
          <w:b/>
        </w:rPr>
        <w:t>E</w:t>
      </w:r>
      <w:r>
        <w:t xml:space="preserve"> atrodas ASV.</w:t>
      </w:r>
    </w:p>
    <w:p w:rsidR="00AC38A8" w:rsidRDefault="00AC38A8" w:rsidP="00C42ADE">
      <w:pPr>
        <w:pStyle w:val="BodyText"/>
        <w:ind w:left="0"/>
        <w:jc w:val="both"/>
        <w:rPr>
          <w:b/>
        </w:rPr>
      </w:pPr>
    </w:p>
    <w:p w:rsidR="009F2953" w:rsidRPr="00C42ADE" w:rsidRDefault="009F2953" w:rsidP="00C42ADE">
      <w:pPr>
        <w:pStyle w:val="BodyText"/>
        <w:ind w:left="0"/>
        <w:jc w:val="both"/>
        <w:rPr>
          <w:noProof/>
        </w:rPr>
      </w:pPr>
      <w:r>
        <w:rPr>
          <w:b/>
        </w:rPr>
        <w:t>A</w:t>
      </w:r>
      <w:r>
        <w:t xml:space="preserve"> pārdod Beļģijas rūpnīcā un tā Francijas montāžas centrā saražotās preces un izplata tās pircējiem, tostarp </w:t>
      </w:r>
      <w:r>
        <w:rPr>
          <w:b/>
        </w:rPr>
        <w:t>E</w:t>
      </w:r>
      <w:r>
        <w:t xml:space="preserve">, kurš atrodas ASV. Kad tiek saņemts pasūtījums, </w:t>
      </w:r>
      <w:r>
        <w:rPr>
          <w:b/>
        </w:rPr>
        <w:t>A</w:t>
      </w:r>
      <w:r>
        <w:t xml:space="preserve"> pārdošanas struktūrvienība veic ierakstu savos uzskaites reģistros un nosūta pasūtījumu izplatīšanas centram, kurš organizē savu inventāru saskaņā ar beznoliktavu principu. Pārvadājumu organizē </w:t>
      </w:r>
      <w:r>
        <w:rPr>
          <w:b/>
        </w:rPr>
        <w:t>A</w:t>
      </w:r>
      <w:r>
        <w:t>.</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A</w:t>
      </w:r>
      <w:r>
        <w:t xml:space="preserve"> izsniedz rēķinu </w:t>
      </w:r>
      <w:r>
        <w:rPr>
          <w:b/>
        </w:rPr>
        <w:t>E</w:t>
      </w:r>
      <w:r>
        <w:t>.</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A</w:t>
      </w:r>
      <w:r>
        <w:t xml:space="preserve"> nav pastāvīgas darījumdarbības vietas ES. </w:t>
      </w:r>
      <w:r>
        <w:rPr>
          <w:b/>
        </w:rPr>
        <w:t>A</w:t>
      </w:r>
      <w:r>
        <w:t xml:space="preserve"> nav juridiskās adreses ES. </w:t>
      </w:r>
      <w:r>
        <w:rPr>
          <w:b/>
        </w:rPr>
        <w:t>A</w:t>
      </w:r>
      <w:r>
        <w:t xml:space="preserve"> galvenā mītne neatrodas ES. Līdz ar to </w:t>
      </w:r>
      <w:r>
        <w:rPr>
          <w:b/>
        </w:rPr>
        <w:t>A</w:t>
      </w:r>
      <w:r>
        <w:t xml:space="preserve"> neveic uzņēmējdarbību Savienības muitas teritorijā un nav uzskatāms par </w:t>
      </w:r>
      <w:r>
        <w:rPr>
          <w:i/>
        </w:rPr>
        <w:t>UCC DA</w:t>
      </w:r>
      <w:r>
        <w:t xml:space="preserve"> 1. panta 19. punkta a) vai</w:t>
      </w:r>
    </w:p>
    <w:p w:rsidR="009F2953" w:rsidRPr="00C42ADE" w:rsidRDefault="009F2953" w:rsidP="00C42ADE">
      <w:pPr>
        <w:pStyle w:val="BodyText"/>
        <w:ind w:left="0"/>
        <w:jc w:val="both"/>
        <w:rPr>
          <w:noProof/>
        </w:rPr>
      </w:pPr>
      <w:r>
        <w:t>c) apakšpunktā minēto eksportētāju.</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Ja </w:t>
      </w:r>
      <w:r>
        <w:rPr>
          <w:b/>
        </w:rPr>
        <w:t>A</w:t>
      </w:r>
      <w:r>
        <w:t xml:space="preserve"> nevēlas, lai tā tirdzniecības partneri, kuri veic uzņēmējdarbību ES, uzzinātu par tā nodomu eksportēt preces, tas var iesniegt eksporta deklarāciju savā vārdā ar netiešā pārstāvja starpniecību.</w:t>
      </w:r>
    </w:p>
    <w:p w:rsidR="009F2953" w:rsidRPr="00C42ADE" w:rsidRDefault="009F2953" w:rsidP="00C42ADE">
      <w:pPr>
        <w:jc w:val="both"/>
        <w:rPr>
          <w:rFonts w:ascii="Times New Roman" w:eastAsia="Times New Roman" w:hAnsi="Times New Roman" w:cs="Times New Roman"/>
          <w:noProof/>
          <w:sz w:val="24"/>
          <w:szCs w:val="23"/>
        </w:rPr>
      </w:pPr>
    </w:p>
    <w:p w:rsidR="009F2953" w:rsidRPr="00C42ADE" w:rsidRDefault="009F2953" w:rsidP="00C42ADE">
      <w:pPr>
        <w:pStyle w:val="BodyText"/>
        <w:ind w:left="0"/>
        <w:jc w:val="both"/>
        <w:rPr>
          <w:noProof/>
        </w:rPr>
      </w:pPr>
      <w:r>
        <w:t xml:space="preserve">Situācija var atšķirties, ja </w:t>
      </w:r>
      <w:r>
        <w:rPr>
          <w:b/>
        </w:rPr>
        <w:t>B</w:t>
      </w:r>
      <w:r>
        <w:t xml:space="preserve">, </w:t>
      </w:r>
      <w:r>
        <w:rPr>
          <w:b/>
        </w:rPr>
        <w:t>C</w:t>
      </w:r>
      <w:r>
        <w:t xml:space="preserve"> vai </w:t>
      </w:r>
      <w:r>
        <w:rPr>
          <w:b/>
        </w:rPr>
        <w:t>D</w:t>
      </w:r>
      <w:r>
        <w:t xml:space="preserve"> ir </w:t>
      </w:r>
      <w:r>
        <w:rPr>
          <w:b/>
        </w:rPr>
        <w:t>A</w:t>
      </w:r>
      <w:r>
        <w:t xml:space="preserve"> filiāle vai meitasuzņēmums un </w:t>
      </w:r>
      <w:r>
        <w:rPr>
          <w:b/>
        </w:rPr>
        <w:t>A</w:t>
      </w:r>
      <w:r>
        <w:t xml:space="preserve"> ir principāls. Šādā gadījumā </w:t>
      </w:r>
      <w:r>
        <w:rPr>
          <w:b/>
        </w:rPr>
        <w:t>A</w:t>
      </w:r>
      <w:r>
        <w:t xml:space="preserve"> rīcībā ir pastāvīga darījumdarbības vieta ES </w:t>
      </w:r>
      <w:r>
        <w:rPr>
          <w:i/>
        </w:rPr>
        <w:t>UCC</w:t>
      </w:r>
      <w:r>
        <w:t xml:space="preserve"> 5. panta 32. punkta nozīmē. </w:t>
      </w:r>
      <w:r>
        <w:rPr>
          <w:b/>
        </w:rPr>
        <w:t>A</w:t>
      </w:r>
      <w:r>
        <w:t xml:space="preserve"> ir eksportētājs, par kuru informācija ir jāsniedz 2. ailē. Jānodrošina, ka viena no A filiālēm tiek minēta datos, kas tiek norādīti eksporta deklarācijas 44. ailē. Tā kā katram uzņēmumam ir unikāls </w:t>
      </w:r>
      <w:r>
        <w:rPr>
          <w:i/>
        </w:rPr>
        <w:t>EORI</w:t>
      </w:r>
      <w:r>
        <w:t xml:space="preserve"> numurs, atkarībā no pilnvarojuma nosacījumiem </w:t>
      </w:r>
      <w:r>
        <w:rPr>
          <w:b/>
        </w:rPr>
        <w:t>B</w:t>
      </w:r>
      <w:r>
        <w:t xml:space="preserve"> un/vai </w:t>
      </w:r>
      <w:r>
        <w:rPr>
          <w:b/>
        </w:rPr>
        <w:t>C</w:t>
      </w:r>
      <w:r>
        <w:t xml:space="preserve">, un/vai </w:t>
      </w:r>
      <w:r>
        <w:rPr>
          <w:b/>
        </w:rPr>
        <w:t>D</w:t>
      </w:r>
      <w:r>
        <w:t xml:space="preserve"> būs tāds pats </w:t>
      </w:r>
      <w:r>
        <w:rPr>
          <w:i/>
        </w:rPr>
        <w:t>EORI</w:t>
      </w:r>
      <w:r>
        <w:t xml:space="preserve"> numurs kā </w:t>
      </w:r>
      <w:r>
        <w:rPr>
          <w:b/>
        </w:rPr>
        <w:t>A</w:t>
      </w:r>
      <w:r>
        <w:t xml:space="preserve">. Tomēr </w:t>
      </w:r>
      <w:r>
        <w:rPr>
          <w:i/>
        </w:rPr>
        <w:t>EORI</w:t>
      </w:r>
      <w:r>
        <w:t xml:space="preserve"> numurs būs tas, kuru piešķīris uzņēmums, kurš veic uzņēmējdarbību Šveicē.</w:t>
      </w:r>
    </w:p>
    <w:p w:rsidR="000B7AE5" w:rsidRDefault="000B7AE5" w:rsidP="00C42ADE">
      <w:pPr>
        <w:jc w:val="both"/>
        <w:rPr>
          <w:rFonts w:ascii="Times New Roman" w:hAnsi="Times New Roman"/>
          <w:b/>
          <w:noProof/>
          <w:sz w:val="24"/>
          <w:u w:val="thick" w:color="000000"/>
        </w:rPr>
      </w:pPr>
    </w:p>
    <w:p w:rsidR="00AC38A8" w:rsidRDefault="00AC38A8" w:rsidP="00C42ADE">
      <w:pPr>
        <w:jc w:val="both"/>
        <w:rPr>
          <w:rFonts w:ascii="Times New Roman" w:hAnsi="Times New Roman"/>
          <w:b/>
          <w:noProof/>
          <w:sz w:val="24"/>
          <w:u w:val="thick" w:color="000000"/>
        </w:rPr>
      </w:pPr>
    </w:p>
    <w:p w:rsidR="009F2953" w:rsidRDefault="000B7AE5" w:rsidP="00C42ADE">
      <w:pPr>
        <w:jc w:val="both"/>
        <w:rPr>
          <w:rFonts w:ascii="Times New Roman" w:hAnsi="Times New Roman"/>
          <w:noProof/>
          <w:sz w:val="24"/>
        </w:rPr>
      </w:pPr>
      <w:r>
        <w:rPr>
          <w:rFonts w:ascii="Times New Roman" w:hAnsi="Times New Roman"/>
          <w:b/>
          <w:noProof/>
          <w:sz w:val="24"/>
          <w:u w:val="thick" w:color="000000"/>
        </w:rPr>
        <w:t>6. scenārijs</w:t>
      </w:r>
    </w:p>
    <w:p w:rsidR="009F2953" w:rsidRPr="00C42ADE" w:rsidRDefault="009F2953" w:rsidP="00C42ADE">
      <w:pPr>
        <w:jc w:val="both"/>
        <w:rPr>
          <w:rFonts w:ascii="Times New Roman" w:eastAsia="Times New Roman" w:hAnsi="Times New Roman" w:cs="Times New Roman"/>
          <w:noProof/>
          <w:sz w:val="24"/>
          <w:szCs w:val="20"/>
        </w:rPr>
      </w:pPr>
    </w:p>
    <w:p w:rsidR="00C42ADE" w:rsidRDefault="00AC38A8" w:rsidP="00AC38A8">
      <w:pPr>
        <w:pStyle w:val="BodyText"/>
        <w:tabs>
          <w:tab w:val="left" w:pos="3310"/>
        </w:tabs>
        <w:ind w:left="0"/>
        <w:jc w:val="center"/>
        <w:rPr>
          <w:noProof/>
        </w:rPr>
      </w:pPr>
      <w:r w:rsidRPr="00AC38A8">
        <w:rPr>
          <w:noProof/>
          <w:lang w:bidi="ar-SA"/>
        </w:rPr>
        <w:drawing>
          <wp:inline distT="0" distB="0" distL="0" distR="0">
            <wp:extent cx="5401734" cy="19044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965" cy="1907698"/>
                    </a:xfrm>
                    <a:prstGeom prst="rect">
                      <a:avLst/>
                    </a:prstGeom>
                    <a:noFill/>
                    <a:ln>
                      <a:noFill/>
                    </a:ln>
                  </pic:spPr>
                </pic:pic>
              </a:graphicData>
            </a:graphic>
          </wp:inline>
        </w:drawing>
      </w:r>
    </w:p>
    <w:p w:rsidR="00C42ADE" w:rsidRDefault="00C42ADE" w:rsidP="00C42ADE">
      <w:pPr>
        <w:pStyle w:val="BodyText"/>
        <w:tabs>
          <w:tab w:val="left" w:pos="3310"/>
        </w:tabs>
        <w:ind w:left="0"/>
        <w:jc w:val="both"/>
        <w:rPr>
          <w:noProof/>
        </w:rPr>
      </w:pPr>
    </w:p>
    <w:p w:rsidR="009F2953" w:rsidRPr="00C42ADE" w:rsidRDefault="009F2953" w:rsidP="00C42ADE">
      <w:pPr>
        <w:pStyle w:val="BodyText"/>
        <w:ind w:left="0"/>
        <w:jc w:val="both"/>
        <w:rPr>
          <w:rFonts w:cs="Times New Roman"/>
          <w:noProof/>
        </w:rPr>
      </w:pPr>
      <w:r>
        <w:rPr>
          <w:b/>
        </w:rPr>
        <w:t>A</w:t>
      </w:r>
      <w:r>
        <w:t xml:space="preserve"> ir ASV uzņēmums, kas piegādā materiālus galaproduktu ražošanai. </w:t>
      </w:r>
      <w:r>
        <w:rPr>
          <w:b/>
        </w:rPr>
        <w:t>A</w:t>
      </w:r>
      <w:r>
        <w:t xml:space="preserve"> ir meitasuzņēmums Šveicē (</w:t>
      </w:r>
      <w:r>
        <w:rPr>
          <w:b/>
        </w:rPr>
        <w:t>B</w:t>
      </w:r>
      <w:r>
        <w:t xml:space="preserve">). </w:t>
      </w:r>
      <w:r>
        <w:rPr>
          <w:b/>
        </w:rPr>
        <w:t>A</w:t>
      </w:r>
      <w:r>
        <w:t xml:space="preserve"> pārdod preces </w:t>
      </w:r>
      <w:r>
        <w:rPr>
          <w:b/>
        </w:rPr>
        <w:t>B</w:t>
      </w:r>
      <w:r>
        <w:t xml:space="preserve">. </w:t>
      </w:r>
      <w:r>
        <w:rPr>
          <w:b/>
        </w:rPr>
        <w:t>A</w:t>
      </w:r>
      <w:r>
        <w:t xml:space="preserve"> importē šos materiālus Francijā, kur tie tiek uzglabāti izplatīšanas centrā. Kamēr preces tiek uzglabātas Francijā, tās pieder </w:t>
      </w:r>
      <w:r>
        <w:rPr>
          <w:b/>
        </w:rPr>
        <w:t>B</w:t>
      </w:r>
      <w:r>
        <w:t>.</w:t>
      </w:r>
    </w:p>
    <w:p w:rsidR="00AC38A8" w:rsidRDefault="00AC38A8" w:rsidP="00C42ADE">
      <w:pPr>
        <w:pStyle w:val="BodyText"/>
        <w:ind w:left="0"/>
        <w:jc w:val="both"/>
      </w:pPr>
    </w:p>
    <w:p w:rsidR="009F2953" w:rsidRPr="00C42ADE" w:rsidRDefault="009F2953" w:rsidP="00C42ADE">
      <w:pPr>
        <w:pStyle w:val="BodyText"/>
        <w:ind w:left="0"/>
        <w:jc w:val="both"/>
        <w:rPr>
          <w:noProof/>
        </w:rPr>
      </w:pPr>
      <w:r>
        <w:lastRenderedPageBreak/>
        <w:t xml:space="preserve">No Francijas preces tiek eksportētas ražotājam </w:t>
      </w:r>
      <w:r>
        <w:rPr>
          <w:b/>
        </w:rPr>
        <w:t>D</w:t>
      </w:r>
      <w:r>
        <w:t xml:space="preserve"> Ķīnā. </w:t>
      </w:r>
      <w:r>
        <w:rPr>
          <w:b/>
        </w:rPr>
        <w:t>A</w:t>
      </w:r>
      <w:r>
        <w:t xml:space="preserve"> nosūta rēķinu </w:t>
      </w:r>
      <w:r>
        <w:rPr>
          <w:b/>
        </w:rPr>
        <w:t>B</w:t>
      </w:r>
      <w:r>
        <w:t xml:space="preserve">, </w:t>
      </w:r>
      <w:r>
        <w:rPr>
          <w:b/>
        </w:rPr>
        <w:t>B</w:t>
      </w:r>
      <w:r>
        <w:t xml:space="preserve"> nosūta rēķinu </w:t>
      </w:r>
      <w:r>
        <w:rPr>
          <w:b/>
        </w:rPr>
        <w:t>D</w:t>
      </w:r>
      <w:r>
        <w:t>.</w:t>
      </w:r>
    </w:p>
    <w:p w:rsidR="00AC38A8" w:rsidRDefault="00AC38A8" w:rsidP="00C42ADE">
      <w:pPr>
        <w:pStyle w:val="BodyText"/>
        <w:ind w:left="0"/>
        <w:jc w:val="both"/>
        <w:rPr>
          <w:b/>
        </w:rPr>
      </w:pPr>
    </w:p>
    <w:p w:rsidR="009F2953" w:rsidRDefault="009F2953" w:rsidP="00C42ADE">
      <w:pPr>
        <w:pStyle w:val="BodyText"/>
        <w:ind w:left="0"/>
        <w:jc w:val="both"/>
      </w:pPr>
      <w:r>
        <w:rPr>
          <w:b/>
        </w:rPr>
        <w:t>A</w:t>
      </w:r>
      <w:r>
        <w:t xml:space="preserve"> neveic uzņēmējdarbību Savienības muitas teritorijā un nevar būt eksportētājs, ja vien nav iecēlis netiešu pārstāvi muitā, kurš atbilst </w:t>
      </w:r>
      <w:r>
        <w:rPr>
          <w:i/>
        </w:rPr>
        <w:t>UCC DA</w:t>
      </w:r>
      <w:r>
        <w:t xml:space="preserve"> 1. panta 19. punkta c) apakšpunkta nosacījumiem.</w:t>
      </w:r>
    </w:p>
    <w:p w:rsidR="00AC38A8" w:rsidRPr="00C42ADE" w:rsidRDefault="00AC38A8" w:rsidP="00C42ADE">
      <w:pPr>
        <w:pStyle w:val="BodyText"/>
        <w:ind w:left="0"/>
        <w:jc w:val="both"/>
        <w:rPr>
          <w:noProof/>
        </w:rPr>
      </w:pPr>
    </w:p>
    <w:p w:rsidR="009F2953" w:rsidRDefault="009F2953" w:rsidP="00C42ADE">
      <w:pPr>
        <w:pStyle w:val="BodyText"/>
        <w:ind w:left="0"/>
        <w:jc w:val="both"/>
      </w:pPr>
      <w:r>
        <w:rPr>
          <w:b/>
        </w:rPr>
        <w:t>B</w:t>
      </w:r>
      <w:r>
        <w:t xml:space="preserve"> neveic uzņēmējdarbību ES un nevar būt eksportētājs, kura nosaukums tiek norādīts eksporta deklarācijas 2. ailē. </w:t>
      </w:r>
      <w:r>
        <w:rPr>
          <w:b/>
        </w:rPr>
        <w:t>B</w:t>
      </w:r>
      <w:r>
        <w:t xml:space="preserve"> var pilnvarot netiešu pārstāvi muitā. Šādā gadījumā B nosaukums un adrese jānorāda 2. ailē. Netiešā muitas pārstāvja nosaukums un adrese jānorāda eksporta deklarācijas 14. ailē.</w:t>
      </w:r>
    </w:p>
    <w:p w:rsidR="00AC38A8" w:rsidRPr="00C42ADE" w:rsidRDefault="00AC38A8" w:rsidP="00C42ADE">
      <w:pPr>
        <w:pStyle w:val="BodyText"/>
        <w:ind w:left="0"/>
        <w:jc w:val="both"/>
        <w:rPr>
          <w:noProof/>
        </w:rPr>
      </w:pPr>
    </w:p>
    <w:p w:rsidR="009F2953" w:rsidRPr="00C42ADE" w:rsidRDefault="009F2953" w:rsidP="00C42ADE">
      <w:pPr>
        <w:pStyle w:val="BodyText"/>
        <w:ind w:left="0"/>
        <w:jc w:val="both"/>
        <w:rPr>
          <w:rFonts w:cs="Times New Roman"/>
          <w:noProof/>
        </w:rPr>
      </w:pPr>
      <w:r>
        <w:t>C ir izplatīšanas centra īpašnieks. C nevēlas rīkoties kā B pārstāvis.</w:t>
      </w:r>
    </w:p>
    <w:p w:rsidR="009F2953" w:rsidRDefault="009F2953" w:rsidP="00C42ADE">
      <w:pPr>
        <w:jc w:val="both"/>
        <w:rPr>
          <w:rFonts w:ascii="Times New Roman" w:eastAsia="Times New Roman" w:hAnsi="Times New Roman" w:cs="Times New Roman"/>
          <w:noProof/>
          <w:sz w:val="24"/>
          <w:szCs w:val="31"/>
        </w:rPr>
      </w:pPr>
    </w:p>
    <w:p w:rsidR="00AC38A8" w:rsidRPr="00C42ADE" w:rsidRDefault="00AC38A8" w:rsidP="00C42ADE">
      <w:pPr>
        <w:jc w:val="both"/>
        <w:rPr>
          <w:rFonts w:ascii="Times New Roman" w:eastAsia="Times New Roman" w:hAnsi="Times New Roman" w:cs="Times New Roman"/>
          <w:noProof/>
          <w:sz w:val="24"/>
          <w:szCs w:val="31"/>
        </w:rPr>
      </w:pPr>
    </w:p>
    <w:p w:rsidR="009F2953" w:rsidRPr="00C42ADE" w:rsidRDefault="009F2953" w:rsidP="00C42ADE">
      <w:pPr>
        <w:pStyle w:val="Heading1"/>
        <w:ind w:left="0"/>
        <w:jc w:val="both"/>
        <w:rPr>
          <w:noProof/>
          <w:u w:val="thick" w:color="000000"/>
        </w:rPr>
      </w:pPr>
      <w:r>
        <w:rPr>
          <w:noProof/>
          <w:u w:val="thick" w:color="000000"/>
        </w:rPr>
        <w:t>7. scenārijs</w:t>
      </w:r>
    </w:p>
    <w:p w:rsidR="009F2953" w:rsidRPr="00C42ADE" w:rsidRDefault="009F2953" w:rsidP="00C42ADE">
      <w:pPr>
        <w:jc w:val="both"/>
        <w:rPr>
          <w:rFonts w:ascii="Times New Roman" w:eastAsia="Times New Roman" w:hAnsi="Times New Roman" w:cs="Times New Roman"/>
          <w:b/>
          <w:bCs/>
          <w:noProof/>
          <w:sz w:val="24"/>
          <w:szCs w:val="20"/>
        </w:rPr>
      </w:pPr>
    </w:p>
    <w:p w:rsidR="009F2953" w:rsidRPr="00C42ADE" w:rsidRDefault="009F2953" w:rsidP="00C42ADE">
      <w:pPr>
        <w:pStyle w:val="BodyText"/>
        <w:ind w:left="0"/>
        <w:jc w:val="both"/>
        <w:rPr>
          <w:noProof/>
        </w:rPr>
      </w:pPr>
      <w:r>
        <w:rPr>
          <w:b/>
        </w:rPr>
        <w:t>A</w:t>
      </w:r>
      <w:r>
        <w:t xml:space="preserve"> ir privātpersona, kura pērk senlietas Francijā un ved tās uz Šveici personīgajā bagāžā. </w:t>
      </w:r>
      <w:r>
        <w:rPr>
          <w:b/>
        </w:rPr>
        <w:t>A</w:t>
      </w:r>
      <w:r>
        <w:t xml:space="preserve"> ir Francijas pastāvīgais iedzīvotājs. </w:t>
      </w:r>
      <w:r>
        <w:rPr>
          <w:b/>
        </w:rPr>
        <w:t>A</w:t>
      </w:r>
      <w:r>
        <w:t xml:space="preserve"> ir </w:t>
      </w:r>
      <w:r>
        <w:rPr>
          <w:i/>
        </w:rPr>
        <w:t>UCC DA</w:t>
      </w:r>
      <w:r>
        <w:t xml:space="preserve"> 1. panta 19. punkta b) apakšpunktā noteiktais eksportētājs, un viņam ir jāiesniedz eksporta deklarācija.</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rPr>
          <w:b/>
        </w:rPr>
        <w:t>A</w:t>
      </w:r>
      <w:r>
        <w:t xml:space="preserve"> var arī iecelt pārstāvi muitā. </w:t>
      </w:r>
      <w:r>
        <w:rPr>
          <w:b/>
        </w:rPr>
        <w:t>A</w:t>
      </w:r>
      <w:r>
        <w:t xml:space="preserve"> var izvēlēties iecelt tiešu pārstāvi muitā vai netiešu pārstāvi muitā.</w:t>
      </w:r>
    </w:p>
    <w:p w:rsidR="009F2953" w:rsidRPr="00C42ADE" w:rsidRDefault="009F2953" w:rsidP="00C42ADE">
      <w:pPr>
        <w:jc w:val="both"/>
        <w:rPr>
          <w:rFonts w:ascii="Times New Roman" w:eastAsia="Times New Roman" w:hAnsi="Times New Roman" w:cs="Times New Roman"/>
          <w:noProof/>
          <w:sz w:val="24"/>
          <w:szCs w:val="24"/>
        </w:rPr>
      </w:pPr>
    </w:p>
    <w:p w:rsidR="009F2953" w:rsidRPr="00C42ADE" w:rsidRDefault="009F2953" w:rsidP="00C42ADE">
      <w:pPr>
        <w:pStyle w:val="BodyText"/>
        <w:ind w:left="0"/>
        <w:jc w:val="both"/>
        <w:rPr>
          <w:noProof/>
        </w:rPr>
      </w:pPr>
      <w:r>
        <w:t xml:space="preserve">Dati par </w:t>
      </w:r>
      <w:r>
        <w:rPr>
          <w:b/>
        </w:rPr>
        <w:t>A</w:t>
      </w:r>
      <w:r>
        <w:t xml:space="preserve"> tiek sniegti 2. ailē.</w:t>
      </w:r>
    </w:p>
    <w:p w:rsidR="000B7AE5" w:rsidRDefault="000B7AE5" w:rsidP="00C42ADE">
      <w:pPr>
        <w:pStyle w:val="Heading1"/>
        <w:ind w:left="0"/>
        <w:jc w:val="both"/>
        <w:rPr>
          <w:noProof/>
          <w:u w:val="thick" w:color="000000"/>
        </w:rPr>
      </w:pPr>
    </w:p>
    <w:p w:rsidR="00AC38A8" w:rsidRDefault="00AC38A8" w:rsidP="00C42ADE">
      <w:pPr>
        <w:pStyle w:val="Heading1"/>
        <w:ind w:left="0"/>
        <w:jc w:val="both"/>
        <w:rPr>
          <w:noProof/>
          <w:u w:val="thick" w:color="000000"/>
        </w:rPr>
      </w:pPr>
    </w:p>
    <w:p w:rsidR="009F2953" w:rsidRPr="00C42ADE" w:rsidRDefault="009F2953" w:rsidP="00C42ADE">
      <w:pPr>
        <w:pStyle w:val="Heading1"/>
        <w:ind w:left="0"/>
        <w:jc w:val="both"/>
        <w:rPr>
          <w:noProof/>
          <w:u w:val="thick" w:color="000000"/>
        </w:rPr>
      </w:pPr>
      <w:r>
        <w:rPr>
          <w:noProof/>
          <w:u w:val="thick" w:color="000000"/>
        </w:rPr>
        <w:t>8. scenārijs</w:t>
      </w:r>
    </w:p>
    <w:p w:rsidR="009F2953" w:rsidRPr="00C42ADE" w:rsidRDefault="009F2953" w:rsidP="00C42ADE">
      <w:pPr>
        <w:jc w:val="both"/>
        <w:rPr>
          <w:rFonts w:ascii="Times New Roman" w:eastAsia="Times New Roman" w:hAnsi="Times New Roman" w:cs="Times New Roman"/>
          <w:b/>
          <w:bCs/>
          <w:noProof/>
          <w:sz w:val="24"/>
          <w:szCs w:val="17"/>
        </w:rPr>
      </w:pPr>
    </w:p>
    <w:p w:rsidR="009F2953" w:rsidRPr="00C42ADE" w:rsidRDefault="009F2953" w:rsidP="00C42ADE">
      <w:pPr>
        <w:pStyle w:val="BodyText"/>
        <w:ind w:left="0"/>
        <w:jc w:val="both"/>
        <w:rPr>
          <w:noProof/>
        </w:rPr>
      </w:pPr>
      <w:r>
        <w:rPr>
          <w:b/>
        </w:rPr>
        <w:t>A</w:t>
      </w:r>
      <w:r>
        <w:t xml:space="preserve"> ir privātpersona, kas pastāvīgi dzīvo Šveicē un [pērk] preces Francijā. Šīs preces neatbilst termina “preces personīgajā bagāžā” definīcijai. Līdz ar to 1. panta 19. punkta b) apakšpunkts nav piemērojams. </w:t>
      </w:r>
      <w:r>
        <w:rPr>
          <w:b/>
        </w:rPr>
        <w:t>A</w:t>
      </w:r>
      <w:r>
        <w:t xml:space="preserve"> ir jāieceļ netiešs pārstāvis muitā, kuram jābūt norādītam 14. ailē.</w:t>
      </w:r>
    </w:p>
    <w:p w:rsidR="009F2953" w:rsidRDefault="009F2953"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Default="00AC38A8" w:rsidP="00C42ADE">
      <w:pPr>
        <w:jc w:val="both"/>
        <w:rPr>
          <w:rFonts w:ascii="Times New Roman" w:eastAsia="Times New Roman" w:hAnsi="Times New Roman" w:cs="Times New Roman"/>
          <w:noProof/>
          <w:sz w:val="24"/>
          <w:szCs w:val="15"/>
        </w:rPr>
      </w:pPr>
    </w:p>
    <w:p w:rsidR="00AC38A8" w:rsidRPr="00C42ADE" w:rsidRDefault="00AC38A8" w:rsidP="00C42ADE">
      <w:pPr>
        <w:jc w:val="both"/>
        <w:rPr>
          <w:rFonts w:ascii="Times New Roman" w:eastAsia="Times New Roman" w:hAnsi="Times New Roman" w:cs="Times New Roman"/>
          <w:noProof/>
          <w:sz w:val="24"/>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2"/>
        <w:gridCol w:w="8819"/>
      </w:tblGrid>
      <w:tr w:rsidR="000B7AE5" w:rsidTr="00AC38A8">
        <w:tc>
          <w:tcPr>
            <w:tcW w:w="312" w:type="dxa"/>
          </w:tcPr>
          <w:p w:rsidR="000B7AE5" w:rsidRDefault="000B7AE5" w:rsidP="00AC38A8">
            <w:pPr>
              <w:jc w:val="center"/>
              <w:rPr>
                <w:rFonts w:ascii="Times New Roman" w:hAnsi="Times New Roman"/>
                <w:noProof/>
                <w:sz w:val="24"/>
              </w:rPr>
            </w:pPr>
            <w:r>
              <w:rPr>
                <w:rFonts w:ascii="Times New Roman" w:hAnsi="Times New Roman"/>
                <w:noProof/>
                <w:sz w:val="24"/>
                <w:lang w:bidi="ar-SA"/>
              </w:rPr>
              <w:drawing>
                <wp:inline distT="0" distB="0" distL="0" distR="0">
                  <wp:extent cx="152400" cy="10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p>
        </w:tc>
        <w:tc>
          <w:tcPr>
            <w:tcW w:w="8819" w:type="dxa"/>
            <w:vAlign w:val="bottom"/>
          </w:tcPr>
          <w:p w:rsidR="000B7AE5" w:rsidRPr="00AC38A8" w:rsidRDefault="000B7AE5" w:rsidP="00AC38A8">
            <w:pPr>
              <w:rPr>
                <w:rFonts w:ascii="Times New Roman" w:hAnsi="Times New Roman"/>
                <w:noProof/>
                <w:sz w:val="20"/>
                <w:szCs w:val="20"/>
              </w:rPr>
            </w:pPr>
            <w:r w:rsidRPr="00AC38A8">
              <w:rPr>
                <w:rFonts w:ascii="Times New Roman" w:hAnsi="Times New Roman"/>
                <w:noProof/>
                <w:sz w:val="14"/>
                <w:szCs w:val="20"/>
              </w:rPr>
              <w:t>Elektroniski parakstīts 25.05.2016. plkst. 09.44 (UTC +02) saskaņā ar Komisijas Lēmuma 2004/563 4.2. pantu (Elektronisko dokumentu derīgums).</w:t>
            </w:r>
          </w:p>
        </w:tc>
      </w:tr>
    </w:tbl>
    <w:p w:rsidR="000B7AE5" w:rsidRPr="00C42ADE" w:rsidRDefault="000B7AE5" w:rsidP="00AC38A8">
      <w:pPr>
        <w:jc w:val="both"/>
        <w:rPr>
          <w:rFonts w:ascii="Times New Roman" w:hAnsi="Times New Roman"/>
          <w:noProof/>
          <w:sz w:val="24"/>
        </w:rPr>
      </w:pPr>
    </w:p>
    <w:sectPr w:rsidR="000B7AE5" w:rsidRPr="00C42ADE" w:rsidSect="00AB33E6">
      <w:headerReference w:type="default" r:id="rId16"/>
      <w:footerReference w:type="default" r:id="rId17"/>
      <w:headerReference w:type="first" r:id="rId18"/>
      <w:footerReference w:type="first" r:id="rId19"/>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138" w:rsidRPr="009F2953" w:rsidRDefault="00BE4317">
      <w:pPr>
        <w:rPr>
          <w:noProof/>
        </w:rPr>
      </w:pPr>
      <w:r w:rsidRPr="009F2953">
        <w:rPr>
          <w:noProof/>
        </w:rPr>
        <w:separator/>
      </w:r>
    </w:p>
  </w:endnote>
  <w:endnote w:type="continuationSeparator" w:id="0">
    <w:p w:rsidR="00644138" w:rsidRPr="009F2953" w:rsidRDefault="00BE4317">
      <w:pPr>
        <w:rPr>
          <w:noProof/>
        </w:rPr>
      </w:pPr>
      <w:r w:rsidRPr="009F295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E6" w:rsidRPr="004F5D11" w:rsidRDefault="00AB33E6" w:rsidP="00AB33E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B33E6" w:rsidRPr="004F5D11" w:rsidRDefault="00AB33E6" w:rsidP="00AB33E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B33E6" w:rsidRPr="004F5D11" w:rsidRDefault="00AB33E6" w:rsidP="00AB33E6">
    <w:pPr>
      <w:pStyle w:val="Header"/>
      <w:tabs>
        <w:tab w:val="clear" w:pos="4153"/>
        <w:tab w:val="clear" w:pos="8306"/>
        <w:tab w:val="right" w:pos="9072"/>
      </w:tabs>
      <w:jc w:val="both"/>
      <w:rPr>
        <w:rStyle w:val="PageNumber"/>
        <w:rFonts w:ascii="Times New Roman" w:hAnsi="Times New Roman"/>
        <w:sz w:val="20"/>
        <w:szCs w:val="20"/>
      </w:rPr>
    </w:pPr>
  </w:p>
  <w:p w:rsidR="00AB33E6" w:rsidRPr="004F5D11" w:rsidRDefault="00AB33E6" w:rsidP="00AB33E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AC38A8">
      <w:rPr>
        <w:rStyle w:val="PageNumber"/>
        <w:rFonts w:ascii="Times New Roman" w:hAnsi="Times New Roman"/>
        <w:noProof/>
        <w:sz w:val="20"/>
        <w:szCs w:val="20"/>
      </w:rPr>
      <w:t>9</w:t>
    </w:r>
    <w:r w:rsidRPr="004F5D11">
      <w:rPr>
        <w:rStyle w:val="PageNumber"/>
        <w:rFonts w:ascii="Times New Roman" w:hAnsi="Times New Roman"/>
        <w:sz w:val="20"/>
        <w:szCs w:val="20"/>
      </w:rPr>
      <w:fldChar w:fldCharType="end"/>
    </w:r>
  </w:p>
  <w:p w:rsidR="00E430FF" w:rsidRPr="009F2953" w:rsidRDefault="00E430FF">
    <w:pPr>
      <w:spacing w:line="14" w:lineRule="auto"/>
      <w:rPr>
        <w:noProof/>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E6" w:rsidRPr="004F5D11" w:rsidRDefault="00AB33E6" w:rsidP="00AB33E6">
    <w:pPr>
      <w:pStyle w:val="Header"/>
      <w:tabs>
        <w:tab w:val="clear" w:pos="4153"/>
        <w:tab w:val="clear" w:pos="8306"/>
        <w:tab w:val="left" w:pos="9072"/>
      </w:tabs>
      <w:jc w:val="both"/>
      <w:rPr>
        <w:rStyle w:val="PageNumber"/>
        <w:rFonts w:ascii="Times New Roman" w:hAnsi="Times New Roman"/>
        <w:sz w:val="20"/>
        <w:szCs w:val="20"/>
      </w:rPr>
    </w:pPr>
  </w:p>
  <w:p w:rsidR="00AB33E6" w:rsidRPr="004F5D11" w:rsidRDefault="00AB33E6" w:rsidP="00AB33E6">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B33E6" w:rsidRPr="004F5D11" w:rsidRDefault="00AB33E6" w:rsidP="00AB33E6">
    <w:pPr>
      <w:pStyle w:val="Header"/>
      <w:tabs>
        <w:tab w:val="clear" w:pos="4153"/>
        <w:tab w:val="clear" w:pos="8306"/>
        <w:tab w:val="left" w:pos="9072"/>
      </w:tabs>
      <w:jc w:val="both"/>
      <w:rPr>
        <w:rStyle w:val="PageNumber"/>
        <w:rFonts w:ascii="Times New Roman" w:hAnsi="Times New Roman"/>
        <w:sz w:val="20"/>
        <w:szCs w:val="20"/>
      </w:rPr>
    </w:pPr>
  </w:p>
  <w:p w:rsidR="00AB33E6" w:rsidRPr="004F5D11" w:rsidRDefault="00AB33E6" w:rsidP="00AB33E6">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138" w:rsidRPr="009F2953" w:rsidRDefault="00BE4317">
      <w:pPr>
        <w:rPr>
          <w:noProof/>
        </w:rPr>
      </w:pPr>
      <w:r w:rsidRPr="009F2953">
        <w:rPr>
          <w:noProof/>
        </w:rPr>
        <w:separator/>
      </w:r>
    </w:p>
  </w:footnote>
  <w:footnote w:type="continuationSeparator" w:id="0">
    <w:p w:rsidR="00644138" w:rsidRPr="009F2953" w:rsidRDefault="00BE4317">
      <w:pPr>
        <w:rPr>
          <w:noProof/>
        </w:rPr>
      </w:pPr>
      <w:r w:rsidRPr="009F2953">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E6" w:rsidRPr="004F5D11" w:rsidRDefault="00AB33E6" w:rsidP="00AB33E6">
    <w:pPr>
      <w:pStyle w:val="Header"/>
      <w:tabs>
        <w:tab w:val="clear" w:pos="4153"/>
        <w:tab w:val="clear" w:pos="8306"/>
      </w:tabs>
      <w:jc w:val="both"/>
      <w:rPr>
        <w:rStyle w:val="PageNumber"/>
        <w:rFonts w:ascii="Times New Roman" w:hAnsi="Times New Roman"/>
        <w:sz w:val="20"/>
        <w:szCs w:val="20"/>
      </w:rPr>
    </w:pPr>
  </w:p>
  <w:p w:rsidR="00AB33E6" w:rsidRPr="004F5D11" w:rsidRDefault="00AB33E6" w:rsidP="00AB33E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B33E6" w:rsidRPr="004F5D11" w:rsidRDefault="00AB33E6" w:rsidP="00AB33E6">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E6" w:rsidRPr="004F5D11" w:rsidRDefault="00AB33E6" w:rsidP="00AB33E6">
    <w:pPr>
      <w:pBdr>
        <w:bottom w:val="single" w:sz="12" w:space="5" w:color="auto"/>
      </w:pBdr>
      <w:jc w:val="both"/>
      <w:rPr>
        <w:rFonts w:ascii="Times New Roman" w:hAnsi="Times New Roman"/>
        <w:spacing w:val="-2"/>
        <w:sz w:val="20"/>
        <w:szCs w:val="20"/>
      </w:rPr>
    </w:pPr>
  </w:p>
  <w:p w:rsidR="00AB33E6" w:rsidRPr="004F5D11" w:rsidRDefault="00AB33E6" w:rsidP="00AB33E6">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D4506"/>
    <w:multiLevelType w:val="hybridMultilevel"/>
    <w:tmpl w:val="67EAF676"/>
    <w:lvl w:ilvl="0" w:tplc="C5E439A2">
      <w:start w:val="1"/>
      <w:numFmt w:val="bullet"/>
      <w:lvlText w:val=""/>
      <w:lvlJc w:val="left"/>
      <w:pPr>
        <w:ind w:left="117" w:hanging="360"/>
      </w:pPr>
      <w:rPr>
        <w:rFonts w:ascii="Symbol" w:eastAsia="Symbol" w:hAnsi="Symbol" w:hint="default"/>
        <w:sz w:val="24"/>
        <w:szCs w:val="24"/>
      </w:rPr>
    </w:lvl>
    <w:lvl w:ilvl="1" w:tplc="5052EF5E">
      <w:start w:val="1"/>
      <w:numFmt w:val="bullet"/>
      <w:lvlText w:val="•"/>
      <w:lvlJc w:val="left"/>
      <w:pPr>
        <w:ind w:left="1036" w:hanging="360"/>
      </w:pPr>
      <w:rPr>
        <w:rFonts w:hint="default"/>
      </w:rPr>
    </w:lvl>
    <w:lvl w:ilvl="2" w:tplc="9D8A1DCE">
      <w:start w:val="1"/>
      <w:numFmt w:val="bullet"/>
      <w:lvlText w:val="•"/>
      <w:lvlJc w:val="left"/>
      <w:pPr>
        <w:ind w:left="1955" w:hanging="360"/>
      </w:pPr>
      <w:rPr>
        <w:rFonts w:hint="default"/>
      </w:rPr>
    </w:lvl>
    <w:lvl w:ilvl="3" w:tplc="D22C5F0A">
      <w:start w:val="1"/>
      <w:numFmt w:val="bullet"/>
      <w:lvlText w:val="•"/>
      <w:lvlJc w:val="left"/>
      <w:pPr>
        <w:ind w:left="2873" w:hanging="360"/>
      </w:pPr>
      <w:rPr>
        <w:rFonts w:hint="default"/>
      </w:rPr>
    </w:lvl>
    <w:lvl w:ilvl="4" w:tplc="699AAA6C">
      <w:start w:val="1"/>
      <w:numFmt w:val="bullet"/>
      <w:lvlText w:val="•"/>
      <w:lvlJc w:val="left"/>
      <w:pPr>
        <w:ind w:left="3792" w:hanging="360"/>
      </w:pPr>
      <w:rPr>
        <w:rFonts w:hint="default"/>
      </w:rPr>
    </w:lvl>
    <w:lvl w:ilvl="5" w:tplc="9E5A5BA0">
      <w:start w:val="1"/>
      <w:numFmt w:val="bullet"/>
      <w:lvlText w:val="•"/>
      <w:lvlJc w:val="left"/>
      <w:pPr>
        <w:ind w:left="4711" w:hanging="360"/>
      </w:pPr>
      <w:rPr>
        <w:rFonts w:hint="default"/>
      </w:rPr>
    </w:lvl>
    <w:lvl w:ilvl="6" w:tplc="5F967E14">
      <w:start w:val="1"/>
      <w:numFmt w:val="bullet"/>
      <w:lvlText w:val="•"/>
      <w:lvlJc w:val="left"/>
      <w:pPr>
        <w:ind w:left="5630" w:hanging="360"/>
      </w:pPr>
      <w:rPr>
        <w:rFonts w:hint="default"/>
      </w:rPr>
    </w:lvl>
    <w:lvl w:ilvl="7" w:tplc="341C81BE">
      <w:start w:val="1"/>
      <w:numFmt w:val="bullet"/>
      <w:lvlText w:val="•"/>
      <w:lvlJc w:val="left"/>
      <w:pPr>
        <w:ind w:left="6549" w:hanging="360"/>
      </w:pPr>
      <w:rPr>
        <w:rFonts w:hint="default"/>
      </w:rPr>
    </w:lvl>
    <w:lvl w:ilvl="8" w:tplc="E2E2B08E">
      <w:start w:val="1"/>
      <w:numFmt w:val="bullet"/>
      <w:lvlText w:val="•"/>
      <w:lvlJc w:val="left"/>
      <w:pPr>
        <w:ind w:left="7468" w:hanging="360"/>
      </w:pPr>
      <w:rPr>
        <w:rFonts w:hint="default"/>
      </w:rPr>
    </w:lvl>
  </w:abstractNum>
  <w:abstractNum w:abstractNumId="1">
    <w:nsid w:val="41713E19"/>
    <w:multiLevelType w:val="hybridMultilevel"/>
    <w:tmpl w:val="1C1E2324"/>
    <w:lvl w:ilvl="0" w:tplc="76783798">
      <w:start w:val="1"/>
      <w:numFmt w:val="upperRoman"/>
      <w:lvlText w:val="%1."/>
      <w:lvlJc w:val="left"/>
      <w:pPr>
        <w:ind w:left="837" w:hanging="721"/>
      </w:pPr>
      <w:rPr>
        <w:rFonts w:ascii="Times New Roman" w:eastAsia="Times New Roman" w:hAnsi="Times New Roman" w:hint="default"/>
        <w:b/>
        <w:bCs/>
        <w:sz w:val="24"/>
        <w:szCs w:val="24"/>
      </w:rPr>
    </w:lvl>
    <w:lvl w:ilvl="1" w:tplc="4C18A9BE">
      <w:start w:val="1"/>
      <w:numFmt w:val="decimal"/>
      <w:lvlText w:val="%2."/>
      <w:lvlJc w:val="left"/>
      <w:pPr>
        <w:ind w:left="837" w:hanging="360"/>
      </w:pPr>
      <w:rPr>
        <w:rFonts w:ascii="Times New Roman" w:eastAsia="Times New Roman" w:hAnsi="Times New Roman" w:hint="default"/>
        <w:b/>
        <w:bCs/>
        <w:sz w:val="24"/>
        <w:szCs w:val="24"/>
      </w:rPr>
    </w:lvl>
    <w:lvl w:ilvl="2" w:tplc="4BB6F09E">
      <w:start w:val="1"/>
      <w:numFmt w:val="decimal"/>
      <w:lvlText w:val="%3)"/>
      <w:lvlJc w:val="left"/>
      <w:pPr>
        <w:ind w:left="897" w:hanging="360"/>
      </w:pPr>
      <w:rPr>
        <w:rFonts w:ascii="Times New Roman" w:eastAsia="Times New Roman" w:hAnsi="Times New Roman" w:hint="default"/>
        <w:sz w:val="24"/>
        <w:szCs w:val="24"/>
      </w:rPr>
    </w:lvl>
    <w:lvl w:ilvl="3" w:tplc="6658B310">
      <w:start w:val="1"/>
      <w:numFmt w:val="bullet"/>
      <w:lvlText w:val="•"/>
      <w:lvlJc w:val="left"/>
      <w:pPr>
        <w:ind w:left="2948" w:hanging="360"/>
      </w:pPr>
      <w:rPr>
        <w:rFonts w:hint="default"/>
      </w:rPr>
    </w:lvl>
    <w:lvl w:ilvl="4" w:tplc="1EEC8344">
      <w:start w:val="1"/>
      <w:numFmt w:val="bullet"/>
      <w:lvlText w:val="•"/>
      <w:lvlJc w:val="left"/>
      <w:pPr>
        <w:ind w:left="3973" w:hanging="360"/>
      </w:pPr>
      <w:rPr>
        <w:rFonts w:hint="default"/>
      </w:rPr>
    </w:lvl>
    <w:lvl w:ilvl="5" w:tplc="61B01372">
      <w:start w:val="1"/>
      <w:numFmt w:val="bullet"/>
      <w:lvlText w:val="•"/>
      <w:lvlJc w:val="left"/>
      <w:pPr>
        <w:ind w:left="4999" w:hanging="360"/>
      </w:pPr>
      <w:rPr>
        <w:rFonts w:hint="default"/>
      </w:rPr>
    </w:lvl>
    <w:lvl w:ilvl="6" w:tplc="675CA954">
      <w:start w:val="1"/>
      <w:numFmt w:val="bullet"/>
      <w:lvlText w:val="•"/>
      <w:lvlJc w:val="left"/>
      <w:pPr>
        <w:ind w:left="6024" w:hanging="360"/>
      </w:pPr>
      <w:rPr>
        <w:rFonts w:hint="default"/>
      </w:rPr>
    </w:lvl>
    <w:lvl w:ilvl="7" w:tplc="66C07494">
      <w:start w:val="1"/>
      <w:numFmt w:val="bullet"/>
      <w:lvlText w:val="•"/>
      <w:lvlJc w:val="left"/>
      <w:pPr>
        <w:ind w:left="7050" w:hanging="360"/>
      </w:pPr>
      <w:rPr>
        <w:rFonts w:hint="default"/>
      </w:rPr>
    </w:lvl>
    <w:lvl w:ilvl="8" w:tplc="B55861F8">
      <w:start w:val="1"/>
      <w:numFmt w:val="bullet"/>
      <w:lvlText w:val="•"/>
      <w:lvlJc w:val="left"/>
      <w:pPr>
        <w:ind w:left="8075" w:hanging="360"/>
      </w:pPr>
      <w:rPr>
        <w:rFonts w:hint="default"/>
      </w:rPr>
    </w:lvl>
  </w:abstractNum>
  <w:abstractNum w:abstractNumId="2">
    <w:nsid w:val="4F0E2222"/>
    <w:multiLevelType w:val="hybridMultilevel"/>
    <w:tmpl w:val="4F0CF712"/>
    <w:lvl w:ilvl="0" w:tplc="22B27414">
      <w:start w:val="1"/>
      <w:numFmt w:val="bullet"/>
      <w:lvlText w:val=""/>
      <w:lvlJc w:val="left"/>
      <w:pPr>
        <w:ind w:left="837" w:hanging="360"/>
      </w:pPr>
      <w:rPr>
        <w:rFonts w:ascii="Symbol" w:eastAsia="Symbol" w:hAnsi="Symbol" w:hint="default"/>
        <w:sz w:val="24"/>
        <w:szCs w:val="24"/>
      </w:rPr>
    </w:lvl>
    <w:lvl w:ilvl="1" w:tplc="8042F572">
      <w:start w:val="1"/>
      <w:numFmt w:val="bullet"/>
      <w:lvlText w:val="-"/>
      <w:lvlJc w:val="left"/>
      <w:pPr>
        <w:ind w:left="1557" w:hanging="360"/>
      </w:pPr>
      <w:rPr>
        <w:rFonts w:ascii="Courier New" w:eastAsia="Courier New" w:hAnsi="Courier New" w:hint="default"/>
        <w:sz w:val="24"/>
        <w:szCs w:val="24"/>
      </w:rPr>
    </w:lvl>
    <w:lvl w:ilvl="2" w:tplc="CD3882DC">
      <w:start w:val="1"/>
      <w:numFmt w:val="bullet"/>
      <w:lvlText w:val="•"/>
      <w:lvlJc w:val="left"/>
      <w:pPr>
        <w:ind w:left="2418" w:hanging="360"/>
      </w:pPr>
      <w:rPr>
        <w:rFonts w:hint="default"/>
      </w:rPr>
    </w:lvl>
    <w:lvl w:ilvl="3" w:tplc="AFB8D536">
      <w:start w:val="1"/>
      <w:numFmt w:val="bullet"/>
      <w:lvlText w:val="•"/>
      <w:lvlJc w:val="left"/>
      <w:pPr>
        <w:ind w:left="3279" w:hanging="360"/>
      </w:pPr>
      <w:rPr>
        <w:rFonts w:hint="default"/>
      </w:rPr>
    </w:lvl>
    <w:lvl w:ilvl="4" w:tplc="FF54EE34">
      <w:start w:val="1"/>
      <w:numFmt w:val="bullet"/>
      <w:lvlText w:val="•"/>
      <w:lvlJc w:val="left"/>
      <w:pPr>
        <w:ind w:left="4140" w:hanging="360"/>
      </w:pPr>
      <w:rPr>
        <w:rFonts w:hint="default"/>
      </w:rPr>
    </w:lvl>
    <w:lvl w:ilvl="5" w:tplc="DC4AAE88">
      <w:start w:val="1"/>
      <w:numFmt w:val="bullet"/>
      <w:lvlText w:val="•"/>
      <w:lvlJc w:val="left"/>
      <w:pPr>
        <w:ind w:left="5001" w:hanging="360"/>
      </w:pPr>
      <w:rPr>
        <w:rFonts w:hint="default"/>
      </w:rPr>
    </w:lvl>
    <w:lvl w:ilvl="6" w:tplc="04406C04">
      <w:start w:val="1"/>
      <w:numFmt w:val="bullet"/>
      <w:lvlText w:val="•"/>
      <w:lvlJc w:val="left"/>
      <w:pPr>
        <w:ind w:left="5862" w:hanging="360"/>
      </w:pPr>
      <w:rPr>
        <w:rFonts w:hint="default"/>
      </w:rPr>
    </w:lvl>
    <w:lvl w:ilvl="7" w:tplc="39E2F242">
      <w:start w:val="1"/>
      <w:numFmt w:val="bullet"/>
      <w:lvlText w:val="•"/>
      <w:lvlJc w:val="left"/>
      <w:pPr>
        <w:ind w:left="6723" w:hanging="360"/>
      </w:pPr>
      <w:rPr>
        <w:rFonts w:hint="default"/>
      </w:rPr>
    </w:lvl>
    <w:lvl w:ilvl="8" w:tplc="6DB41F48">
      <w:start w:val="1"/>
      <w:numFmt w:val="bullet"/>
      <w:lvlText w:val="•"/>
      <w:lvlJc w:val="left"/>
      <w:pPr>
        <w:ind w:left="7584" w:hanging="360"/>
      </w:pPr>
      <w:rPr>
        <w:rFonts w:hint="default"/>
      </w:rPr>
    </w:lvl>
  </w:abstractNum>
  <w:abstractNum w:abstractNumId="3">
    <w:nsid w:val="588075FC"/>
    <w:multiLevelType w:val="hybridMultilevel"/>
    <w:tmpl w:val="11E841A0"/>
    <w:lvl w:ilvl="0" w:tplc="FFE20BFA">
      <w:start w:val="1"/>
      <w:numFmt w:val="bullet"/>
      <w:lvlText w:val=""/>
      <w:lvlJc w:val="left"/>
      <w:pPr>
        <w:ind w:left="897" w:hanging="360"/>
      </w:pPr>
      <w:rPr>
        <w:rFonts w:ascii="Symbol" w:eastAsia="Symbol" w:hAnsi="Symbol" w:hint="default"/>
        <w:sz w:val="24"/>
        <w:szCs w:val="24"/>
      </w:rPr>
    </w:lvl>
    <w:lvl w:ilvl="1" w:tplc="BD587E00">
      <w:start w:val="1"/>
      <w:numFmt w:val="bullet"/>
      <w:lvlText w:val="•"/>
      <w:lvlJc w:val="left"/>
      <w:pPr>
        <w:ind w:left="1738" w:hanging="360"/>
      </w:pPr>
      <w:rPr>
        <w:rFonts w:hint="default"/>
      </w:rPr>
    </w:lvl>
    <w:lvl w:ilvl="2" w:tplc="2DCE7E38">
      <w:start w:val="1"/>
      <w:numFmt w:val="bullet"/>
      <w:lvlText w:val="•"/>
      <w:lvlJc w:val="left"/>
      <w:pPr>
        <w:ind w:left="2579" w:hanging="360"/>
      </w:pPr>
      <w:rPr>
        <w:rFonts w:hint="default"/>
      </w:rPr>
    </w:lvl>
    <w:lvl w:ilvl="3" w:tplc="973EBDE2">
      <w:start w:val="1"/>
      <w:numFmt w:val="bullet"/>
      <w:lvlText w:val="•"/>
      <w:lvlJc w:val="left"/>
      <w:pPr>
        <w:ind w:left="3420" w:hanging="360"/>
      </w:pPr>
      <w:rPr>
        <w:rFonts w:hint="default"/>
      </w:rPr>
    </w:lvl>
    <w:lvl w:ilvl="4" w:tplc="1EBC57CC">
      <w:start w:val="1"/>
      <w:numFmt w:val="bullet"/>
      <w:lvlText w:val="•"/>
      <w:lvlJc w:val="left"/>
      <w:pPr>
        <w:ind w:left="4261" w:hanging="360"/>
      </w:pPr>
      <w:rPr>
        <w:rFonts w:hint="default"/>
      </w:rPr>
    </w:lvl>
    <w:lvl w:ilvl="5" w:tplc="9836C798">
      <w:start w:val="1"/>
      <w:numFmt w:val="bullet"/>
      <w:lvlText w:val="•"/>
      <w:lvlJc w:val="left"/>
      <w:pPr>
        <w:ind w:left="5102" w:hanging="360"/>
      </w:pPr>
      <w:rPr>
        <w:rFonts w:hint="default"/>
      </w:rPr>
    </w:lvl>
    <w:lvl w:ilvl="6" w:tplc="B9C0AB1A">
      <w:start w:val="1"/>
      <w:numFmt w:val="bullet"/>
      <w:lvlText w:val="•"/>
      <w:lvlJc w:val="left"/>
      <w:pPr>
        <w:ind w:left="5942" w:hanging="360"/>
      </w:pPr>
      <w:rPr>
        <w:rFonts w:hint="default"/>
      </w:rPr>
    </w:lvl>
    <w:lvl w:ilvl="7" w:tplc="A4EEABCA">
      <w:start w:val="1"/>
      <w:numFmt w:val="bullet"/>
      <w:lvlText w:val="•"/>
      <w:lvlJc w:val="left"/>
      <w:pPr>
        <w:ind w:left="6783" w:hanging="360"/>
      </w:pPr>
      <w:rPr>
        <w:rFonts w:hint="default"/>
      </w:rPr>
    </w:lvl>
    <w:lvl w:ilvl="8" w:tplc="0CF69DA0">
      <w:start w:val="1"/>
      <w:numFmt w:val="bullet"/>
      <w:lvlText w:val="•"/>
      <w:lvlJc w:val="left"/>
      <w:pPr>
        <w:ind w:left="7624"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E430FF"/>
    <w:rsid w:val="000B7AE5"/>
    <w:rsid w:val="0031355A"/>
    <w:rsid w:val="00644138"/>
    <w:rsid w:val="009F2953"/>
    <w:rsid w:val="00AB33E6"/>
    <w:rsid w:val="00AC38A8"/>
    <w:rsid w:val="00BE4317"/>
    <w:rsid w:val="00C42ADE"/>
    <w:rsid w:val="00D71713"/>
    <w:rsid w:val="00E43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F2953"/>
    <w:pPr>
      <w:tabs>
        <w:tab w:val="center" w:pos="4153"/>
        <w:tab w:val="right" w:pos="8306"/>
      </w:tabs>
    </w:pPr>
  </w:style>
  <w:style w:type="character" w:customStyle="1" w:styleId="HeaderChar">
    <w:name w:val="Header Char"/>
    <w:basedOn w:val="DefaultParagraphFont"/>
    <w:link w:val="Header"/>
    <w:uiPriority w:val="99"/>
    <w:rsid w:val="009F2953"/>
  </w:style>
  <w:style w:type="paragraph" w:styleId="Footer">
    <w:name w:val="footer"/>
    <w:basedOn w:val="Normal"/>
    <w:link w:val="FooterChar"/>
    <w:unhideWhenUsed/>
    <w:rsid w:val="009F2953"/>
    <w:pPr>
      <w:tabs>
        <w:tab w:val="center" w:pos="4153"/>
        <w:tab w:val="right" w:pos="8306"/>
      </w:tabs>
    </w:pPr>
  </w:style>
  <w:style w:type="character" w:customStyle="1" w:styleId="FooterChar">
    <w:name w:val="Footer Char"/>
    <w:basedOn w:val="DefaultParagraphFont"/>
    <w:link w:val="Footer"/>
    <w:uiPriority w:val="99"/>
    <w:rsid w:val="009F2953"/>
  </w:style>
  <w:style w:type="table" w:styleId="TableGrid">
    <w:name w:val="Table Grid"/>
    <w:basedOn w:val="TableNormal"/>
    <w:uiPriority w:val="39"/>
    <w:rsid w:val="00C42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B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9418</Words>
  <Characters>5369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2017-02-02T11:00:00Z</dcterms:created>
  <dcterms:modified xsi:type="dcterms:W3CDTF">2017-03-23T12:47:00Z</dcterms:modified>
</cp:coreProperties>
</file>