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C3B3C" w14:textId="36D773A7" w:rsidR="00575D5A" w:rsidRDefault="00575D5A" w:rsidP="00575D5A">
      <w:pPr>
        <w:tabs>
          <w:tab w:val="left" w:pos="5325"/>
          <w:tab w:val="left" w:pos="8784"/>
        </w:tabs>
        <w:jc w:val="both"/>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single" w:sz="18" w:space="0" w:color="0070C0"/>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32"/>
        <w:gridCol w:w="3119"/>
        <w:gridCol w:w="880"/>
      </w:tblGrid>
      <w:tr w:rsidR="006C7810" w14:paraId="2919FB23" w14:textId="185992CD" w:rsidTr="003E5457">
        <w:tc>
          <w:tcPr>
            <w:tcW w:w="2810" w:type="pct"/>
            <w:tcBorders>
              <w:bottom w:val="single" w:sz="8" w:space="0" w:color="auto"/>
            </w:tcBorders>
          </w:tcPr>
          <w:p w14:paraId="60293595" w14:textId="027C935B" w:rsidR="006C7810" w:rsidRDefault="006C7810" w:rsidP="003E5457">
            <w:pPr>
              <w:tabs>
                <w:tab w:val="left" w:pos="5325"/>
                <w:tab w:val="left" w:pos="8784"/>
              </w:tabs>
              <w:jc w:val="right"/>
              <w:rPr>
                <w:rFonts w:ascii="Times New Roman" w:hAnsi="Times New Roman" w:cs="Times New Roman"/>
                <w:noProof/>
                <w:sz w:val="24"/>
                <w:szCs w:val="24"/>
              </w:rPr>
            </w:pPr>
            <w:r>
              <w:rPr>
                <w:rFonts w:ascii="Times New Roman" w:hAnsi="Times New Roman"/>
                <w:noProof/>
                <w:sz w:val="24"/>
              </w:rPr>
              <w:drawing>
                <wp:inline distT="0" distB="0" distL="0" distR="0" wp14:anchorId="002DBAB1" wp14:editId="3E383769">
                  <wp:extent cx="2414016" cy="529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02083" cy="548903"/>
                          </a:xfrm>
                          <a:prstGeom prst="rect">
                            <a:avLst/>
                          </a:prstGeom>
                        </pic:spPr>
                      </pic:pic>
                    </a:graphicData>
                  </a:graphic>
                </wp:inline>
              </w:drawing>
            </w:r>
          </w:p>
        </w:tc>
        <w:tc>
          <w:tcPr>
            <w:tcW w:w="1708" w:type="pct"/>
            <w:tcBorders>
              <w:bottom w:val="single" w:sz="8" w:space="0" w:color="auto"/>
            </w:tcBorders>
          </w:tcPr>
          <w:p w14:paraId="27F97C15" w14:textId="47C73656" w:rsidR="006C7810" w:rsidRDefault="006C7810" w:rsidP="002777EB">
            <w:pPr>
              <w:tabs>
                <w:tab w:val="left" w:pos="5325"/>
                <w:tab w:val="left" w:pos="8784"/>
              </w:tabs>
              <w:jc w:val="both"/>
              <w:rPr>
                <w:rFonts w:ascii="Times New Roman" w:hAnsi="Times New Roman" w:cs="Times New Roman"/>
                <w:noProof/>
                <w:sz w:val="24"/>
                <w:szCs w:val="24"/>
              </w:rPr>
            </w:pPr>
            <w:r w:rsidRPr="00BD375C">
              <w:rPr>
                <w:rFonts w:ascii="Times New Roman" w:hAnsi="Times New Roman"/>
                <w:szCs w:val="20"/>
              </w:rPr>
              <w:t>STARPTAUTISKĀ JŪRNIECĪBAS ORGANIZĀCIJA</w:t>
            </w:r>
          </w:p>
        </w:tc>
        <w:tc>
          <w:tcPr>
            <w:tcW w:w="482" w:type="pct"/>
            <w:tcBorders>
              <w:bottom w:val="single" w:sz="8" w:space="0" w:color="auto"/>
            </w:tcBorders>
          </w:tcPr>
          <w:p w14:paraId="3F617559" w14:textId="623F8C74" w:rsidR="006C7810" w:rsidRPr="006C7810" w:rsidRDefault="006C7810" w:rsidP="006C7810">
            <w:pPr>
              <w:tabs>
                <w:tab w:val="left" w:pos="5325"/>
                <w:tab w:val="left" w:pos="8784"/>
              </w:tabs>
              <w:jc w:val="right"/>
              <w:rPr>
                <w:rFonts w:ascii="Times New Roman" w:hAnsi="Times New Roman" w:cs="Times New Roman"/>
                <w:b/>
                <w:i/>
                <w:noProof/>
                <w:sz w:val="24"/>
                <w:szCs w:val="24"/>
              </w:rPr>
            </w:pPr>
            <w:r>
              <w:rPr>
                <w:rFonts w:ascii="Times New Roman" w:hAnsi="Times New Roman"/>
                <w:b/>
                <w:i/>
                <w:sz w:val="40"/>
              </w:rPr>
              <w:t>E</w:t>
            </w:r>
          </w:p>
        </w:tc>
      </w:tr>
    </w:tbl>
    <w:p w14:paraId="108C807A" w14:textId="77777777" w:rsidR="006C7810" w:rsidRDefault="006C7810" w:rsidP="00937DA2">
      <w:pPr>
        <w:jc w:val="both"/>
        <w:rPr>
          <w:rFonts w:ascii="Times New Roman" w:hAnsi="Times New Roman" w:cs="Times New Roman"/>
          <w:noProof/>
          <w:sz w:val="24"/>
          <w:szCs w:val="24"/>
        </w:rPr>
      </w:pPr>
    </w:p>
    <w:p w14:paraId="1C0F1886" w14:textId="77777777" w:rsidR="006C7810" w:rsidRDefault="009427F7" w:rsidP="006C7810">
      <w:pPr>
        <w:jc w:val="center"/>
        <w:rPr>
          <w:rFonts w:ascii="Times New Roman" w:hAnsi="Times New Roman" w:cs="Times New Roman"/>
          <w:noProof/>
          <w:sz w:val="24"/>
          <w:szCs w:val="24"/>
        </w:rPr>
      </w:pPr>
      <w:r>
        <w:rPr>
          <w:rFonts w:ascii="Times New Roman" w:hAnsi="Times New Roman"/>
          <w:i/>
          <w:iCs/>
          <w:sz w:val="24"/>
        </w:rPr>
        <w:t>4 ALBERT EMBANKMENT</w:t>
      </w:r>
    </w:p>
    <w:p w14:paraId="18C5F2A0" w14:textId="5BF47519" w:rsidR="009427F7" w:rsidRPr="00937DA2" w:rsidRDefault="009427F7" w:rsidP="006C7810">
      <w:pPr>
        <w:jc w:val="center"/>
        <w:rPr>
          <w:rFonts w:ascii="Times New Roman" w:eastAsia="Arial" w:hAnsi="Times New Roman" w:cs="Times New Roman"/>
          <w:noProof/>
          <w:sz w:val="24"/>
          <w:szCs w:val="24"/>
        </w:rPr>
      </w:pPr>
      <w:r>
        <w:rPr>
          <w:rFonts w:ascii="Times New Roman" w:hAnsi="Times New Roman"/>
          <w:i/>
          <w:iCs/>
          <w:sz w:val="24"/>
        </w:rPr>
        <w:t>LONDON SE1 7SR</w:t>
      </w:r>
    </w:p>
    <w:p w14:paraId="7CF99919" w14:textId="63093703" w:rsidR="009427F7" w:rsidRPr="00937DA2" w:rsidRDefault="009427F7" w:rsidP="006C7810">
      <w:pPr>
        <w:tabs>
          <w:tab w:val="left" w:pos="5372"/>
        </w:tabs>
        <w:jc w:val="center"/>
        <w:rPr>
          <w:rFonts w:ascii="Times New Roman" w:hAnsi="Times New Roman" w:cs="Times New Roman"/>
          <w:noProof/>
          <w:sz w:val="24"/>
          <w:szCs w:val="24"/>
        </w:rPr>
      </w:pPr>
      <w:r>
        <w:rPr>
          <w:rFonts w:ascii="Times New Roman" w:hAnsi="Times New Roman"/>
          <w:sz w:val="24"/>
        </w:rPr>
        <w:t>Tālruņa numurs: +44 (0)20 7735 7611. Fakss: +44 (0)20 7587 3210</w:t>
      </w:r>
    </w:p>
    <w:p w14:paraId="2575B0BD" w14:textId="77777777" w:rsidR="009427F7" w:rsidRPr="00937DA2" w:rsidRDefault="009427F7" w:rsidP="00937DA2">
      <w:pPr>
        <w:jc w:val="both"/>
        <w:rPr>
          <w:rFonts w:ascii="Times New Roman" w:eastAsia="Arial" w:hAnsi="Times New Roman" w:cs="Times New Roman"/>
          <w:noProof/>
          <w:sz w:val="24"/>
          <w:szCs w:val="24"/>
        </w:rPr>
      </w:pPr>
    </w:p>
    <w:p w14:paraId="2F0A00DA" w14:textId="77777777"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i/>
          <w:iCs/>
          <w:sz w:val="24"/>
        </w:rPr>
        <w:t>NV.035</w:t>
      </w:r>
    </w:p>
    <w:p w14:paraId="0BD0CBB9" w14:textId="77777777" w:rsidR="009427F7" w:rsidRPr="00937DA2" w:rsidRDefault="009427F7" w:rsidP="00937DA2">
      <w:pPr>
        <w:jc w:val="both"/>
        <w:rPr>
          <w:rFonts w:ascii="Times New Roman" w:eastAsia="Arial" w:hAnsi="Times New Roman" w:cs="Times New Roman"/>
          <w:noProof/>
          <w:sz w:val="24"/>
          <w:szCs w:val="24"/>
        </w:rPr>
      </w:pPr>
    </w:p>
    <w:p w14:paraId="5B36A409" w14:textId="6B164C1C"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sz w:val="24"/>
        </w:rPr>
        <w:t>Esam pagodināti vērst uzmanību uz Starptautisko kodeksu kuģiem, kurus ekspluatē polārajos ūdeņos (Polārais kodekss), ko Kuģošanas drošības komiteja pieņēma 2014. gada 21. novembrī savā deviņdesmit ceturtajā sesijā (ar drošību saistītie noteikumi ievadā un visa I-A un 1-8. daļa) un ko Jūras vides aizsardzības komiteja pieņēma 2015. gada 15. maijā savā sešdesmit astotajā sesijā (ar vides aizsardzību saistītie noteikumi ievadā un visa II-A un 11-8. daļa) attiecīgi ar rezolūcijām MSC.385(94) un MEPC.264(68).</w:t>
      </w:r>
    </w:p>
    <w:p w14:paraId="5A3FE707" w14:textId="77777777" w:rsidR="009427F7" w:rsidRPr="00937DA2" w:rsidRDefault="009427F7" w:rsidP="00937DA2">
      <w:pPr>
        <w:jc w:val="both"/>
        <w:rPr>
          <w:rFonts w:ascii="Times New Roman" w:eastAsia="Arial" w:hAnsi="Times New Roman" w:cs="Times New Roman"/>
          <w:noProof/>
          <w:sz w:val="24"/>
          <w:szCs w:val="24"/>
        </w:rPr>
      </w:pPr>
    </w:p>
    <w:p w14:paraId="608ED7C0" w14:textId="77777777"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sz w:val="24"/>
        </w:rPr>
        <w:t xml:space="preserve">Rezolūciju MSC.385(94) un MEPC.264(68) pielikumos iekļautā Polārā kodeksa konsolidētā apstiprinātā kopija tika nosūtīta </w:t>
      </w:r>
      <w:r>
        <w:rPr>
          <w:rFonts w:ascii="Times New Roman" w:hAnsi="Times New Roman"/>
          <w:i/>
          <w:iCs/>
          <w:sz w:val="24"/>
        </w:rPr>
        <w:t>IMODOCS</w:t>
      </w:r>
      <w:r>
        <w:rPr>
          <w:rFonts w:ascii="Times New Roman" w:hAnsi="Times New Roman"/>
          <w:sz w:val="24"/>
        </w:rPr>
        <w:t xml:space="preserve"> saskaņā ar līgumu sadaļu angļu, arābu, franču, krievu, ķīniešu un spāņu valodā 2016. gada 23. februārī.</w:t>
      </w:r>
    </w:p>
    <w:p w14:paraId="62F7C347" w14:textId="77777777" w:rsidR="009427F7" w:rsidRPr="00937DA2" w:rsidRDefault="009427F7" w:rsidP="00937DA2">
      <w:pPr>
        <w:jc w:val="both"/>
        <w:rPr>
          <w:rFonts w:ascii="Times New Roman" w:eastAsia="Arial" w:hAnsi="Times New Roman" w:cs="Times New Roman"/>
          <w:noProof/>
          <w:sz w:val="24"/>
          <w:szCs w:val="24"/>
        </w:rPr>
      </w:pPr>
    </w:p>
    <w:p w14:paraId="560B7586" w14:textId="681F2CCD"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sz w:val="24"/>
        </w:rPr>
        <w:t>Pēc konsolidētās apstiprinātās kopijas izdošanas ģenerālsekretāra uzmanības lokā ir nonākusi kļūda, kas ir pieļauta Polārā kodeksa angļu, arābu, franču, krievu, ķīniešu, un spāņu valodas redakcijās un kas ir jālabo atbilstoši tam, kā piedāvāts šajā verbālnotā.</w:t>
      </w:r>
    </w:p>
    <w:p w14:paraId="10A883C1" w14:textId="77777777" w:rsidR="009427F7" w:rsidRPr="00937DA2" w:rsidRDefault="009427F7" w:rsidP="00937DA2">
      <w:pPr>
        <w:jc w:val="both"/>
        <w:rPr>
          <w:rFonts w:ascii="Times New Roman" w:eastAsia="Arial" w:hAnsi="Times New Roman" w:cs="Times New Roman"/>
          <w:noProof/>
          <w:sz w:val="24"/>
          <w:szCs w:val="24"/>
        </w:rPr>
      </w:pPr>
    </w:p>
    <w:p w14:paraId="2BD33012" w14:textId="1CEA7262" w:rsidR="009427F7" w:rsidRPr="00937DA2" w:rsidRDefault="001166C4" w:rsidP="00937DA2">
      <w:pPr>
        <w:pStyle w:val="BodyText"/>
        <w:ind w:left="0"/>
        <w:jc w:val="both"/>
        <w:rPr>
          <w:rFonts w:ascii="Times New Roman" w:hAnsi="Times New Roman" w:cs="Times New Roman"/>
          <w:noProof/>
          <w:sz w:val="24"/>
          <w:szCs w:val="24"/>
        </w:rPr>
      </w:pPr>
      <w:r>
        <w:rPr>
          <w:rFonts w:ascii="Times New Roman" w:hAnsi="Times New Roman"/>
          <w:sz w:val="24"/>
        </w:rPr>
        <w:pict w14:anchorId="0DED0292">
          <v:group id="_x0000_s1068" style="position:absolute;left:0;text-align:left;margin-left:463.6pt;margin-top:24.5pt;width:.1pt;height:14.35pt;z-index:-251658240;mso-position-horizontal-relative:page" coordorigin="9272,490" coordsize="2,287">
            <v:shape id="_x0000_s1069" style="position:absolute;left:9272;top:490;width:2;height:287" coordorigin="9272,490" coordsize="0,287" path="m9272,490r,286e" filled="f" strokecolor="#efeff2" strokeweight=".55856mm">
              <v:path arrowok="t"/>
            </v:shape>
            <w10:wrap anchorx="page"/>
          </v:group>
        </w:pict>
      </w:r>
      <w:r w:rsidR="00F533F3" w:rsidRPr="00F533F3">
        <w:rPr>
          <w:rFonts w:ascii="Times New Roman" w:hAnsi="Times New Roman"/>
          <w:sz w:val="24"/>
        </w:rPr>
        <w:t>Šajā sakarā Kuģošanas drošības komiteja savā deviņdesmit devītajā sesijā vienojās, ka Polārā kodeksa I-A daļas 1.3.1. punkts, kas nosaka, ka “Derīga polārā kuģa apliecība ir uz katra šā kodeksa darbības jomā ietilpstoša kuģa”, ir jālabo un jāizsaka šādā redakcijā: “Uz katra kuģa, kuram piemērojama šī daļa, ir jābūt derīgai polārā kuģa apliecībai.”</w:t>
      </w:r>
      <w:r w:rsidR="00F533F3">
        <w:rPr>
          <w:rFonts w:ascii="Times New Roman" w:hAnsi="Times New Roman"/>
          <w:sz w:val="24"/>
        </w:rPr>
        <w:t xml:space="preserve"> </w:t>
      </w:r>
      <w:r w:rsidR="00764D63">
        <w:rPr>
          <w:rFonts w:ascii="Times New Roman" w:hAnsi="Times New Roman"/>
          <w:sz w:val="24"/>
        </w:rPr>
        <w:t>Komiteja lūdza sekretariātam veikt nepieciešamo labojumu, izmantojot labojumu verbālprocesu (MSC 99/22, 21.32. un 21.33. punkts).</w:t>
      </w:r>
    </w:p>
    <w:p w14:paraId="5FE7FBC7" w14:textId="77777777" w:rsidR="009427F7" w:rsidRPr="00937DA2" w:rsidRDefault="009427F7" w:rsidP="00937DA2">
      <w:pPr>
        <w:jc w:val="both"/>
        <w:rPr>
          <w:rFonts w:ascii="Times New Roman" w:hAnsi="Times New Roman" w:cs="Times New Roman"/>
          <w:noProof/>
          <w:sz w:val="24"/>
          <w:szCs w:val="24"/>
        </w:rPr>
      </w:pPr>
    </w:p>
    <w:p w14:paraId="61B2E7F1" w14:textId="427089A6"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sz w:val="24"/>
        </w:rPr>
        <w:t xml:space="preserve">Ja līdz </w:t>
      </w:r>
      <w:r>
        <w:rPr>
          <w:rFonts w:ascii="Times New Roman" w:hAnsi="Times New Roman"/>
          <w:b/>
          <w:bCs/>
          <w:sz w:val="24"/>
        </w:rPr>
        <w:t>2021. gada 16. jūlijam</w:t>
      </w:r>
      <w:r>
        <w:rPr>
          <w:rFonts w:ascii="Times New Roman" w:hAnsi="Times New Roman"/>
          <w:sz w:val="24"/>
        </w:rPr>
        <w:t xml:space="preserve"> ģenerālsekretāram netiks paziņots neviens iebildums pret ierosināto labojumu, labojums tiks veikts un attiecīgās valdības tiks informētas par izmaiņām, izmantojot ģenerālsekretāra izdotu labojumu verbālprocesu.</w:t>
      </w:r>
    </w:p>
    <w:p w14:paraId="68716FDF" w14:textId="77777777" w:rsidR="009427F7" w:rsidRPr="00937DA2" w:rsidRDefault="009427F7" w:rsidP="00937DA2">
      <w:pPr>
        <w:jc w:val="both"/>
        <w:rPr>
          <w:rFonts w:ascii="Times New Roman" w:eastAsia="Arial" w:hAnsi="Times New Roman" w:cs="Times New Roman"/>
          <w:noProof/>
          <w:sz w:val="24"/>
          <w:szCs w:val="24"/>
        </w:rPr>
      </w:pPr>
    </w:p>
    <w:p w14:paraId="62DDA5EF" w14:textId="77777777" w:rsidR="009427F7" w:rsidRPr="00937DA2" w:rsidRDefault="009427F7" w:rsidP="00937DA2">
      <w:pPr>
        <w:pStyle w:val="BodyText"/>
        <w:ind w:left="0"/>
        <w:jc w:val="both"/>
        <w:rPr>
          <w:rFonts w:ascii="Times New Roman" w:hAnsi="Times New Roman" w:cs="Times New Roman"/>
          <w:noProof/>
          <w:sz w:val="24"/>
          <w:szCs w:val="24"/>
        </w:rPr>
      </w:pPr>
      <w:r>
        <w:rPr>
          <w:rFonts w:ascii="Times New Roman" w:hAnsi="Times New Roman"/>
          <w:sz w:val="24"/>
        </w:rPr>
        <w:t>Londona, 2021. gada 16. aprīlis</w:t>
      </w:r>
    </w:p>
    <w:p w14:paraId="54DF8B67" w14:textId="7A636B5C" w:rsidR="009427F7" w:rsidRDefault="00C12B2A" w:rsidP="00937DA2">
      <w:pPr>
        <w:jc w:val="both"/>
        <w:rPr>
          <w:rFonts w:ascii="Times New Roman" w:eastAsia="Arial" w:hAnsi="Times New Roman" w:cs="Times New Roman"/>
          <w:noProof/>
          <w:sz w:val="24"/>
          <w:szCs w:val="24"/>
        </w:rPr>
      </w:pPr>
      <w:r>
        <w:rPr>
          <w:rFonts w:ascii="Times New Roman" w:hAnsi="Times New Roman"/>
          <w:noProof/>
          <w:sz w:val="24"/>
        </w:rPr>
        <w:drawing>
          <wp:inline distT="0" distB="0" distL="0" distR="0" wp14:anchorId="531AA986" wp14:editId="31F95D5F">
            <wp:extent cx="1433779" cy="540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75167" cy="556313"/>
                    </a:xfrm>
                    <a:prstGeom prst="rect">
                      <a:avLst/>
                    </a:prstGeom>
                  </pic:spPr>
                </pic:pic>
              </a:graphicData>
            </a:graphic>
          </wp:inline>
        </w:drawing>
      </w:r>
    </w:p>
    <w:p w14:paraId="550492EA" w14:textId="1CC5096F" w:rsidR="000B5C33" w:rsidRDefault="000B5C33" w:rsidP="00937DA2">
      <w:pPr>
        <w:jc w:val="both"/>
        <w:rPr>
          <w:rFonts w:ascii="Times New Roman" w:eastAsia="Arial" w:hAnsi="Times New Roman" w:cs="Times New Roman"/>
          <w:noProof/>
          <w:sz w:val="24"/>
          <w:szCs w:val="24"/>
        </w:rPr>
      </w:pPr>
    </w:p>
    <w:p w14:paraId="3903E158" w14:textId="77777777" w:rsidR="00BD375C" w:rsidRDefault="00BD375C" w:rsidP="00937DA2">
      <w:pPr>
        <w:jc w:val="both"/>
        <w:rPr>
          <w:rFonts w:ascii="Times New Roman" w:eastAsia="Arial" w:hAnsi="Times New Roman" w:cs="Times New Roman"/>
          <w:noProof/>
          <w:sz w:val="24"/>
          <w:szCs w:val="24"/>
        </w:rPr>
      </w:pPr>
    </w:p>
    <w:p w14:paraId="3D01EF4D" w14:textId="2F5940C0" w:rsidR="00040D9E" w:rsidRDefault="00BD375C" w:rsidP="00BD375C">
      <w:pPr>
        <w:tabs>
          <w:tab w:val="left" w:leader="underscore" w:pos="9072"/>
        </w:tabs>
        <w:jc w:val="both"/>
        <w:rPr>
          <w:rFonts w:ascii="Times New Roman" w:eastAsia="Arial" w:hAnsi="Times New Roman" w:cs="Times New Roman"/>
          <w:noProof/>
          <w:sz w:val="24"/>
          <w:szCs w:val="24"/>
        </w:rPr>
      </w:pPr>
      <w:r>
        <w:rPr>
          <w:rFonts w:ascii="Times New Roman" w:eastAsia="Arial" w:hAnsi="Times New Roman" w:cs="Times New Roman"/>
          <w:noProof/>
          <w:sz w:val="24"/>
          <w:szCs w:val="24"/>
        </w:rPr>
        <w:tab/>
      </w:r>
    </w:p>
    <w:p w14:paraId="2A7AAEEC" w14:textId="407C6A5E" w:rsidR="000B5C33" w:rsidRDefault="00B92512" w:rsidP="00B92512">
      <w:pPr>
        <w:tabs>
          <w:tab w:val="left" w:leader="underscore" w:pos="9072"/>
        </w:tabs>
        <w:jc w:val="right"/>
        <w:rPr>
          <w:rFonts w:ascii="Times New Roman" w:eastAsia="Arial" w:hAnsi="Times New Roman" w:cs="Times New Roman"/>
          <w:noProof/>
          <w:sz w:val="24"/>
          <w:szCs w:val="24"/>
        </w:rPr>
      </w:pPr>
      <w:r>
        <w:rPr>
          <w:rFonts w:ascii="Times New Roman" w:hAnsi="Times New Roman"/>
          <w:noProof/>
          <w:sz w:val="24"/>
        </w:rPr>
        <w:drawing>
          <wp:inline distT="0" distB="0" distL="0" distR="0" wp14:anchorId="0864051A" wp14:editId="548A72AF">
            <wp:extent cx="866775"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p w14:paraId="6160202B" w14:textId="542EE4EC" w:rsidR="000B5C33" w:rsidRPr="00937DA2" w:rsidRDefault="000B5C33" w:rsidP="00937DA2">
      <w:pPr>
        <w:jc w:val="both"/>
        <w:rPr>
          <w:rFonts w:ascii="Times New Roman" w:eastAsia="Arial" w:hAnsi="Times New Roman" w:cs="Times New Roman"/>
          <w:i/>
          <w:noProof/>
          <w:sz w:val="24"/>
          <w:szCs w:val="24"/>
        </w:rPr>
      </w:pPr>
    </w:p>
    <w:p w14:paraId="1442FD05" w14:textId="52891AA5" w:rsidR="00040D9E" w:rsidRDefault="00040D9E">
      <w:pPr>
        <w:rPr>
          <w:rFonts w:ascii="Times New Roman" w:hAnsi="Times New Roman" w:cs="Times New Roman"/>
          <w:noProof/>
          <w:sz w:val="24"/>
          <w:szCs w:val="24"/>
        </w:rPr>
      </w:pPr>
      <w:r>
        <w:br w:type="page"/>
      </w:r>
    </w:p>
    <w:p w14:paraId="36055AAC" w14:textId="77777777" w:rsidR="009427F7" w:rsidRPr="00937DA2" w:rsidRDefault="009427F7" w:rsidP="00937DA2">
      <w:pPr>
        <w:jc w:val="both"/>
        <w:rPr>
          <w:rFonts w:ascii="Times New Roman" w:eastAsia="Arial" w:hAnsi="Times New Roman" w:cs="Times New Roman"/>
          <w:noProof/>
          <w:sz w:val="24"/>
          <w:szCs w:val="24"/>
        </w:rPr>
      </w:pPr>
    </w:p>
    <w:p w14:paraId="067437E1" w14:textId="42594189" w:rsidR="009427F7" w:rsidRPr="00937DA2" w:rsidRDefault="009427F7" w:rsidP="00040D9E">
      <w:pPr>
        <w:pStyle w:val="Heading1"/>
        <w:jc w:val="center"/>
        <w:rPr>
          <w:rFonts w:ascii="Times New Roman" w:hAnsi="Times New Roman" w:cs="Times New Roman"/>
          <w:noProof/>
          <w:sz w:val="24"/>
          <w:szCs w:val="24"/>
        </w:rPr>
      </w:pPr>
      <w:r>
        <w:rPr>
          <w:rFonts w:ascii="Times New Roman" w:hAnsi="Times New Roman"/>
          <w:sz w:val="24"/>
        </w:rPr>
        <w:t>STARPTAUTISKAIS KODEKSS KUĢIEM, KURUS EKSPLUATĒ POLĀRAJOS ŪDEŅOS (POLĀRAIS KODEKSS)</w:t>
      </w:r>
      <w:r>
        <w:rPr>
          <w:rFonts w:ascii="Times New Roman" w:hAnsi="Times New Roman"/>
          <w:sz w:val="24"/>
        </w:rPr>
        <w:br/>
        <w:t>IEROSINĀTAIS LABOJUMS</w:t>
      </w:r>
    </w:p>
    <w:p w14:paraId="67DAEB69" w14:textId="77777777" w:rsidR="00040D9E" w:rsidRDefault="00040D9E" w:rsidP="00937DA2">
      <w:pPr>
        <w:jc w:val="both"/>
        <w:rPr>
          <w:rFonts w:ascii="Times New Roman" w:hAnsi="Times New Roman" w:cs="Times New Roman"/>
          <w:noProof/>
          <w:sz w:val="24"/>
          <w:szCs w:val="24"/>
        </w:rPr>
      </w:pPr>
    </w:p>
    <w:p w14:paraId="3390597A" w14:textId="75340619" w:rsidR="009427F7" w:rsidRPr="00937DA2" w:rsidRDefault="009427F7" w:rsidP="00A673CA">
      <w:pPr>
        <w:jc w:val="center"/>
        <w:rPr>
          <w:rFonts w:ascii="Times New Roman" w:hAnsi="Times New Roman" w:cs="Times New Roman"/>
          <w:noProof/>
          <w:sz w:val="24"/>
          <w:szCs w:val="24"/>
        </w:rPr>
      </w:pPr>
      <w:r>
        <w:rPr>
          <w:rFonts w:ascii="Times New Roman" w:hAnsi="Times New Roman"/>
          <w:sz w:val="24"/>
        </w:rPr>
        <w:t>(Visas atsauces attiecas uz Polārā kodeksa redakciju, kas iekļauta rezolūcijas MSC.385(94) un rezolūcijas MEPC.264(68) konsolidētajā apstiprinātajā kopijā.)</w:t>
      </w:r>
    </w:p>
    <w:p w14:paraId="08F217A6" w14:textId="77777777" w:rsidR="009427F7" w:rsidRPr="00937DA2" w:rsidRDefault="009427F7" w:rsidP="00937DA2">
      <w:pPr>
        <w:jc w:val="both"/>
        <w:rPr>
          <w:rFonts w:ascii="Times New Roman" w:eastAsia="Arial" w:hAnsi="Times New Roman" w:cs="Times New Roman"/>
          <w:noProof/>
          <w:sz w:val="24"/>
          <w:szCs w:val="24"/>
        </w:rPr>
      </w:pPr>
    </w:p>
    <w:p w14:paraId="4A81F034" w14:textId="6A3DDB4A" w:rsidR="009427F7" w:rsidRPr="00937DA2" w:rsidRDefault="009427F7" w:rsidP="00040D9E">
      <w:pPr>
        <w:jc w:val="center"/>
        <w:rPr>
          <w:rFonts w:ascii="Times New Roman" w:hAnsi="Times New Roman" w:cs="Times New Roman"/>
          <w:b/>
          <w:noProof/>
          <w:sz w:val="24"/>
          <w:szCs w:val="24"/>
        </w:rPr>
      </w:pPr>
      <w:r>
        <w:rPr>
          <w:rFonts w:ascii="Times New Roman" w:hAnsi="Times New Roman"/>
          <w:b/>
          <w:sz w:val="24"/>
        </w:rPr>
        <w:t>I-A DAĻA</w:t>
      </w:r>
      <w:r w:rsidR="00A673CA">
        <w:rPr>
          <w:rFonts w:ascii="Times New Roman" w:hAnsi="Times New Roman"/>
          <w:b/>
          <w:sz w:val="24"/>
        </w:rPr>
        <w:br/>
      </w:r>
      <w:r>
        <w:rPr>
          <w:rFonts w:ascii="Times New Roman" w:hAnsi="Times New Roman"/>
          <w:b/>
          <w:sz w:val="24"/>
        </w:rPr>
        <w:t>DROŠĪBAS PASĀKUMI</w:t>
      </w:r>
    </w:p>
    <w:p w14:paraId="75E8DDDE" w14:textId="77777777" w:rsidR="009427F7" w:rsidRPr="00937DA2" w:rsidRDefault="009427F7" w:rsidP="00040D9E">
      <w:pPr>
        <w:jc w:val="center"/>
        <w:rPr>
          <w:rFonts w:ascii="Times New Roman" w:eastAsia="Arial" w:hAnsi="Times New Roman" w:cs="Times New Roman"/>
          <w:b/>
          <w:bCs/>
          <w:noProof/>
          <w:sz w:val="24"/>
          <w:szCs w:val="24"/>
        </w:rPr>
      </w:pPr>
      <w:r>
        <w:rPr>
          <w:rFonts w:ascii="Times New Roman" w:hAnsi="Times New Roman"/>
          <w:b/>
          <w:sz w:val="24"/>
        </w:rPr>
        <w:t>1. NODAĻA. VISPĀRĪGI NOTEIKUMI</w:t>
      </w:r>
    </w:p>
    <w:p w14:paraId="01948BD5" w14:textId="77777777" w:rsidR="009427F7" w:rsidRPr="00937DA2" w:rsidRDefault="009427F7" w:rsidP="00937DA2">
      <w:pPr>
        <w:jc w:val="both"/>
        <w:rPr>
          <w:rFonts w:ascii="Times New Roman" w:eastAsia="Arial" w:hAnsi="Times New Roman" w:cs="Times New Roman"/>
          <w:b/>
          <w:bCs/>
          <w:noProof/>
          <w:sz w:val="24"/>
          <w:szCs w:val="24"/>
        </w:rPr>
      </w:pPr>
    </w:p>
    <w:p w14:paraId="3AC5195C" w14:textId="6540C8A0" w:rsidR="009427F7" w:rsidRPr="00937DA2" w:rsidRDefault="009427F7" w:rsidP="00937DA2">
      <w:pPr>
        <w:tabs>
          <w:tab w:val="left" w:pos="858"/>
        </w:tabs>
        <w:jc w:val="both"/>
        <w:rPr>
          <w:rFonts w:ascii="Times New Roman" w:hAnsi="Times New Roman" w:cs="Times New Roman"/>
          <w:b/>
          <w:noProof/>
          <w:sz w:val="24"/>
          <w:szCs w:val="24"/>
        </w:rPr>
      </w:pPr>
      <w:r>
        <w:rPr>
          <w:rFonts w:ascii="Times New Roman" w:hAnsi="Times New Roman"/>
          <w:b/>
          <w:sz w:val="24"/>
        </w:rPr>
        <w:t>1.3. Apliecība un apskate</w:t>
      </w:r>
    </w:p>
    <w:p w14:paraId="3687E6D9" w14:textId="77777777" w:rsidR="009427F7" w:rsidRPr="00937DA2" w:rsidRDefault="009427F7" w:rsidP="00937DA2">
      <w:pPr>
        <w:jc w:val="both"/>
        <w:rPr>
          <w:rFonts w:ascii="Times New Roman" w:eastAsia="Arial" w:hAnsi="Times New Roman" w:cs="Times New Roman"/>
          <w:b/>
          <w:bCs/>
          <w:noProof/>
          <w:sz w:val="24"/>
          <w:szCs w:val="24"/>
        </w:rPr>
      </w:pPr>
    </w:p>
    <w:p w14:paraId="16AFE8ED" w14:textId="77777777" w:rsidR="009427F7" w:rsidRPr="00937DA2" w:rsidRDefault="009427F7" w:rsidP="00937DA2">
      <w:pPr>
        <w:jc w:val="both"/>
        <w:rPr>
          <w:rFonts w:ascii="Times New Roman" w:hAnsi="Times New Roman" w:cs="Times New Roman"/>
          <w:noProof/>
          <w:sz w:val="24"/>
          <w:szCs w:val="24"/>
        </w:rPr>
      </w:pPr>
      <w:r>
        <w:rPr>
          <w:rFonts w:ascii="Times New Roman" w:hAnsi="Times New Roman"/>
          <w:sz w:val="24"/>
        </w:rPr>
        <w:t>Kodeksa 1.3.1. punktu izsaka šādā redakcijā:</w:t>
      </w:r>
    </w:p>
    <w:p w14:paraId="75879A9F" w14:textId="77777777" w:rsidR="009427F7" w:rsidRPr="00937DA2" w:rsidRDefault="009427F7" w:rsidP="00937DA2">
      <w:pPr>
        <w:jc w:val="both"/>
        <w:rPr>
          <w:rFonts w:ascii="Times New Roman" w:eastAsia="Arial" w:hAnsi="Times New Roman" w:cs="Times New Roman"/>
          <w:noProof/>
          <w:sz w:val="24"/>
          <w:szCs w:val="24"/>
        </w:rPr>
      </w:pPr>
    </w:p>
    <w:p w14:paraId="2E468A9E" w14:textId="66475E07" w:rsidR="009427F7" w:rsidRDefault="00587286" w:rsidP="00937DA2">
      <w:pPr>
        <w:jc w:val="both"/>
        <w:rPr>
          <w:rFonts w:ascii="Times New Roman" w:hAnsi="Times New Roman"/>
          <w:sz w:val="24"/>
        </w:rPr>
      </w:pPr>
      <w:r w:rsidRPr="00587286">
        <w:rPr>
          <w:rFonts w:ascii="Times New Roman" w:hAnsi="Times New Roman"/>
          <w:sz w:val="24"/>
        </w:rPr>
        <w:t>“Uz katra kuģa, kuram piemērojama šī daļa, ir jābūt derīgai polārā kuģa apliecībai.”</w:t>
      </w:r>
    </w:p>
    <w:p w14:paraId="5AEF26D5" w14:textId="77777777" w:rsidR="00587286" w:rsidRPr="00937DA2" w:rsidRDefault="00587286" w:rsidP="00937DA2">
      <w:pPr>
        <w:jc w:val="both"/>
        <w:rPr>
          <w:rFonts w:ascii="Times New Roman" w:eastAsia="Arial" w:hAnsi="Times New Roman" w:cs="Times New Roman"/>
          <w:noProof/>
          <w:sz w:val="24"/>
          <w:szCs w:val="24"/>
        </w:rPr>
      </w:pPr>
    </w:p>
    <w:p w14:paraId="634098AD" w14:textId="243FCA58" w:rsidR="009427F7" w:rsidRPr="00937DA2" w:rsidRDefault="009427F7" w:rsidP="00937DA2">
      <w:pPr>
        <w:jc w:val="both"/>
        <w:rPr>
          <w:rFonts w:ascii="Times New Roman" w:hAnsi="Times New Roman" w:cs="Times New Roman"/>
          <w:i/>
          <w:noProof/>
          <w:sz w:val="24"/>
          <w:szCs w:val="24"/>
        </w:rPr>
      </w:pPr>
      <w:r>
        <w:rPr>
          <w:rFonts w:ascii="Times New Roman" w:hAnsi="Times New Roman"/>
          <w:i/>
          <w:sz w:val="24"/>
        </w:rPr>
        <w:t>Šis ierosinātais labojums attiecas uz Polārā kodeksa konsolidētās apstiprinātās kopijas angļu, arābu, franču, krievu, ķīniešu un spāņu valodas redakcijām.</w:t>
      </w:r>
    </w:p>
    <w:p w14:paraId="402E176A" w14:textId="77777777" w:rsidR="009427F7" w:rsidRPr="00937DA2" w:rsidRDefault="009427F7" w:rsidP="00937DA2">
      <w:pPr>
        <w:jc w:val="both"/>
        <w:rPr>
          <w:rFonts w:ascii="Times New Roman" w:eastAsia="Arial" w:hAnsi="Times New Roman" w:cs="Times New Roman"/>
          <w:i/>
          <w:noProof/>
          <w:sz w:val="24"/>
          <w:szCs w:val="24"/>
        </w:rPr>
      </w:pPr>
    </w:p>
    <w:p w14:paraId="54EF80A3" w14:textId="06F93135" w:rsidR="009427F7" w:rsidRPr="00040D9E" w:rsidRDefault="00040D9E" w:rsidP="00040D9E">
      <w:pPr>
        <w:tabs>
          <w:tab w:val="left" w:pos="3402"/>
          <w:tab w:val="left" w:leader="underscore" w:pos="5103"/>
        </w:tabs>
        <w:jc w:val="both"/>
        <w:rPr>
          <w:rFonts w:ascii="Times New Roman" w:eastAsia="Arial" w:hAnsi="Times New Roman" w:cs="Times New Roman"/>
          <w:iCs/>
          <w:noProof/>
          <w:sz w:val="24"/>
          <w:szCs w:val="24"/>
        </w:rPr>
      </w:pPr>
      <w:r>
        <w:rPr>
          <w:rFonts w:ascii="Times New Roman" w:hAnsi="Times New Roman"/>
          <w:i/>
          <w:sz w:val="24"/>
        </w:rPr>
        <w:tab/>
      </w:r>
      <w:r>
        <w:rPr>
          <w:rFonts w:ascii="Times New Roman" w:hAnsi="Times New Roman"/>
          <w:i/>
          <w:sz w:val="24"/>
        </w:rPr>
        <w:tab/>
      </w:r>
    </w:p>
    <w:sectPr w:rsidR="009427F7" w:rsidRPr="00040D9E" w:rsidSect="00937DA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30BEF" w14:textId="77777777" w:rsidR="001166C4" w:rsidRPr="009427F7" w:rsidRDefault="001166C4" w:rsidP="009427F7">
      <w:pPr>
        <w:rPr>
          <w:noProof/>
        </w:rPr>
      </w:pPr>
      <w:r w:rsidRPr="009427F7">
        <w:rPr>
          <w:noProof/>
        </w:rPr>
        <w:separator/>
      </w:r>
    </w:p>
  </w:endnote>
  <w:endnote w:type="continuationSeparator" w:id="0">
    <w:p w14:paraId="66525528" w14:textId="77777777" w:rsidR="001166C4" w:rsidRPr="009427F7" w:rsidRDefault="001166C4" w:rsidP="009427F7">
      <w:pPr>
        <w:rPr>
          <w:noProof/>
        </w:rPr>
      </w:pPr>
      <w:r w:rsidRPr="009427F7">
        <w:rPr>
          <w:noProof/>
        </w:rPr>
        <w:continuationSeparator/>
      </w:r>
    </w:p>
  </w:endnote>
  <w:endnote w:type="continuationNotice" w:id="1">
    <w:p w14:paraId="4A436256" w14:textId="77777777" w:rsidR="001166C4" w:rsidRDefault="0011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BE99" w14:textId="77777777" w:rsidR="008F221A" w:rsidRPr="003E47FA" w:rsidRDefault="008F221A" w:rsidP="008F221A">
    <w:pPr>
      <w:pStyle w:val="Header"/>
      <w:tabs>
        <w:tab w:val="left" w:pos="9072"/>
      </w:tabs>
      <w:jc w:val="both"/>
      <w:rPr>
        <w:rStyle w:val="PageNumber"/>
        <w:rFonts w:ascii="Times New Roman" w:hAnsi="Times New Roman" w:cs="Times New Roman"/>
        <w:sz w:val="20"/>
        <w:szCs w:val="20"/>
      </w:rPr>
    </w:pPr>
  </w:p>
  <w:p w14:paraId="4EFAAB41" w14:textId="77777777" w:rsidR="008F221A" w:rsidRPr="003E47FA" w:rsidRDefault="008F221A" w:rsidP="008F221A">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188B4E3" w14:textId="77777777" w:rsidR="008F221A" w:rsidRPr="003E47FA" w:rsidRDefault="008F221A" w:rsidP="008F221A">
    <w:pPr>
      <w:pStyle w:val="Header"/>
      <w:tabs>
        <w:tab w:val="right" w:pos="9072"/>
      </w:tabs>
      <w:jc w:val="both"/>
      <w:rPr>
        <w:rStyle w:val="PageNumber"/>
        <w:rFonts w:ascii="Times New Roman" w:hAnsi="Times New Roman" w:cs="Times New Roman"/>
        <w:sz w:val="20"/>
        <w:szCs w:val="20"/>
      </w:rPr>
    </w:pPr>
  </w:p>
  <w:p w14:paraId="74900B87" w14:textId="77777777" w:rsidR="008F221A" w:rsidRPr="003E47FA" w:rsidRDefault="008F221A" w:rsidP="008F221A">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2021</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86F5" w14:textId="77777777" w:rsidR="008F221A" w:rsidRPr="003F25D0" w:rsidRDefault="008F221A" w:rsidP="008F221A">
    <w:pPr>
      <w:pStyle w:val="Header"/>
      <w:tabs>
        <w:tab w:val="left" w:pos="9072"/>
      </w:tabs>
      <w:jc w:val="both"/>
      <w:rPr>
        <w:rStyle w:val="PageNumber"/>
        <w:rFonts w:ascii="Times New Roman" w:hAnsi="Times New Roman"/>
        <w:sz w:val="20"/>
        <w:szCs w:val="18"/>
      </w:rPr>
    </w:pPr>
    <w:bookmarkStart w:id="14" w:name="_Hlk496261764"/>
    <w:bookmarkStart w:id="15" w:name="_Hlk496261765"/>
    <w:bookmarkStart w:id="16" w:name="_Hlk496261766"/>
    <w:bookmarkStart w:id="17" w:name="_Hlk30491075"/>
    <w:bookmarkStart w:id="18" w:name="_Hlk30491076"/>
  </w:p>
  <w:p w14:paraId="125E304F" w14:textId="77777777" w:rsidR="008F221A" w:rsidRPr="003F25D0" w:rsidRDefault="008F221A" w:rsidP="008F221A">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42700F3B" w14:textId="77777777" w:rsidR="008F221A" w:rsidRPr="003F25D0" w:rsidRDefault="008F221A" w:rsidP="008F221A">
    <w:pPr>
      <w:pStyle w:val="Header"/>
      <w:tabs>
        <w:tab w:val="left" w:pos="9072"/>
      </w:tabs>
      <w:jc w:val="both"/>
      <w:rPr>
        <w:rStyle w:val="PageNumber"/>
        <w:rFonts w:ascii="Times New Roman" w:hAnsi="Times New Roman"/>
        <w:sz w:val="20"/>
        <w:szCs w:val="18"/>
      </w:rPr>
    </w:pPr>
  </w:p>
  <w:p w14:paraId="60051DAD" w14:textId="77777777" w:rsidR="008F221A" w:rsidRPr="003F25D0" w:rsidRDefault="008F221A" w:rsidP="008F221A">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sidRPr="003F25D0">
      <w:rPr>
        <w:rFonts w:ascii="Times New Roman" w:hAnsi="Times New Roman"/>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67F5" w14:textId="77777777" w:rsidR="001166C4" w:rsidRPr="009427F7" w:rsidRDefault="001166C4" w:rsidP="009427F7">
      <w:pPr>
        <w:rPr>
          <w:noProof/>
        </w:rPr>
      </w:pPr>
      <w:r w:rsidRPr="009427F7">
        <w:rPr>
          <w:noProof/>
        </w:rPr>
        <w:separator/>
      </w:r>
    </w:p>
  </w:footnote>
  <w:footnote w:type="continuationSeparator" w:id="0">
    <w:p w14:paraId="43C41049" w14:textId="77777777" w:rsidR="001166C4" w:rsidRPr="009427F7" w:rsidRDefault="001166C4" w:rsidP="009427F7">
      <w:pPr>
        <w:rPr>
          <w:noProof/>
        </w:rPr>
      </w:pPr>
      <w:r w:rsidRPr="009427F7">
        <w:rPr>
          <w:noProof/>
        </w:rPr>
        <w:continuationSeparator/>
      </w:r>
    </w:p>
  </w:footnote>
  <w:footnote w:type="continuationNotice" w:id="1">
    <w:p w14:paraId="5E679982" w14:textId="77777777" w:rsidR="001166C4" w:rsidRDefault="00116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0D61" w14:textId="77777777" w:rsidR="008F221A" w:rsidRPr="0075517C" w:rsidRDefault="008F221A" w:rsidP="008F221A">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32EF20C" w14:textId="77777777" w:rsidR="008F221A" w:rsidRPr="0075517C" w:rsidRDefault="008F221A" w:rsidP="008F221A">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B08657E" w14:textId="77777777" w:rsidR="008F221A" w:rsidRPr="0075517C" w:rsidRDefault="008F221A" w:rsidP="008F221A">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E699" w14:textId="77777777" w:rsidR="008F221A" w:rsidRPr="000F66E7" w:rsidRDefault="008F221A" w:rsidP="008F221A">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14B94FE1" w14:textId="77777777" w:rsidR="008F221A" w:rsidRDefault="008F221A" w:rsidP="008F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4D47B0"/>
    <w:rsid w:val="00040D9E"/>
    <w:rsid w:val="00042B6C"/>
    <w:rsid w:val="00080D12"/>
    <w:rsid w:val="000B5C33"/>
    <w:rsid w:val="000C1575"/>
    <w:rsid w:val="001166C4"/>
    <w:rsid w:val="001C596A"/>
    <w:rsid w:val="0026263B"/>
    <w:rsid w:val="002777EB"/>
    <w:rsid w:val="00290553"/>
    <w:rsid w:val="002A0C16"/>
    <w:rsid w:val="002B5527"/>
    <w:rsid w:val="00381E47"/>
    <w:rsid w:val="003E5457"/>
    <w:rsid w:val="00434608"/>
    <w:rsid w:val="004D47B0"/>
    <w:rsid w:val="004F0C9B"/>
    <w:rsid w:val="00575D5A"/>
    <w:rsid w:val="00587286"/>
    <w:rsid w:val="00665166"/>
    <w:rsid w:val="006C7810"/>
    <w:rsid w:val="00764D63"/>
    <w:rsid w:val="007E1356"/>
    <w:rsid w:val="00833F27"/>
    <w:rsid w:val="008702D7"/>
    <w:rsid w:val="008E23D9"/>
    <w:rsid w:val="008F221A"/>
    <w:rsid w:val="00911B39"/>
    <w:rsid w:val="00937DA2"/>
    <w:rsid w:val="009427F7"/>
    <w:rsid w:val="009A5189"/>
    <w:rsid w:val="00A1734C"/>
    <w:rsid w:val="00A36816"/>
    <w:rsid w:val="00A673CA"/>
    <w:rsid w:val="00A80D9A"/>
    <w:rsid w:val="00B92512"/>
    <w:rsid w:val="00BB406B"/>
    <w:rsid w:val="00BD375C"/>
    <w:rsid w:val="00C12B2A"/>
    <w:rsid w:val="00D20292"/>
    <w:rsid w:val="00D3600A"/>
    <w:rsid w:val="00D407C9"/>
    <w:rsid w:val="00F533F3"/>
    <w:rsid w:val="00F571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5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
    </w:pPr>
    <w:rPr>
      <w:rFonts w:ascii="Arial" w:eastAsia="Arial" w:hAnsi="Arial"/>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9427F7"/>
    <w:pPr>
      <w:tabs>
        <w:tab w:val="center" w:pos="4513"/>
        <w:tab w:val="right" w:pos="9026"/>
      </w:tabs>
    </w:pPr>
  </w:style>
  <w:style w:type="character" w:customStyle="1" w:styleId="HeaderChar">
    <w:name w:val="Header Char"/>
    <w:basedOn w:val="DefaultParagraphFont"/>
    <w:link w:val="Header"/>
    <w:rsid w:val="009427F7"/>
  </w:style>
  <w:style w:type="paragraph" w:styleId="Footer">
    <w:name w:val="footer"/>
    <w:basedOn w:val="Normal"/>
    <w:link w:val="FooterChar"/>
    <w:unhideWhenUsed/>
    <w:rsid w:val="009427F7"/>
    <w:pPr>
      <w:tabs>
        <w:tab w:val="center" w:pos="4513"/>
        <w:tab w:val="right" w:pos="9026"/>
      </w:tabs>
    </w:pPr>
  </w:style>
  <w:style w:type="character" w:customStyle="1" w:styleId="FooterChar">
    <w:name w:val="Footer Char"/>
    <w:basedOn w:val="DefaultParagraphFont"/>
    <w:link w:val="Footer"/>
    <w:rsid w:val="009427F7"/>
  </w:style>
  <w:style w:type="table" w:styleId="TableGrid">
    <w:name w:val="Table Grid"/>
    <w:basedOn w:val="TableNormal"/>
    <w:uiPriority w:val="39"/>
    <w:rsid w:val="006C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F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4844A-7BE2-4156-AECC-DB337D7B1984}">
  <ds:schemaRefs>
    <ds:schemaRef ds:uri="http://schemas.microsoft.com/sharepoint/v3/contenttype/forms"/>
  </ds:schemaRefs>
</ds:datastoreItem>
</file>

<file path=customXml/itemProps2.xml><?xml version="1.0" encoding="utf-8"?>
<ds:datastoreItem xmlns:ds="http://schemas.openxmlformats.org/officeDocument/2006/customXml" ds:itemID="{2DF58D67-88C5-44F0-9292-C2CF22236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28B1F-D749-4596-B72B-F2E0020C9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1637</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2021-06-30T19:46:00Z</dcterms:created>
  <dcterms:modified xsi:type="dcterms:W3CDTF">2021-10-15T06:03:00Z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