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A39" w:rsidRDefault="00755A39" w:rsidP="00755A39">
      <w:pPr>
        <w:jc w:val="center"/>
        <w:rPr>
          <w:rFonts w:ascii="Times New Roman" w:eastAsia="Times New Roman" w:hAnsi="Times New Roman"/>
          <w:sz w:val="24"/>
          <w:szCs w:val="13"/>
        </w:rPr>
      </w:pPr>
      <w:r>
        <w:rPr>
          <w:rStyle w:val="Parasts"/>
          <w:rFonts w:ascii="Times New Roman" w:hAnsi="Times New Roman"/>
          <w:sz w:val="24"/>
        </w:rPr>
        <w:t xml:space="preserve">SPRIEDUMS 1990. GADA 8. NOVEMBRĪ </w:t>
      </w:r>
      <w:r>
        <w:rPr>
          <w:rStyle w:val="Parasts"/>
          <w:rFonts w:ascii="Times New Roman" w:hAnsi="Times New Roman"/>
          <w:sz w:val="24"/>
          <w:cs/>
        </w:rPr>
        <w:t xml:space="preserve">– </w:t>
      </w:r>
      <w:r>
        <w:rPr>
          <w:rStyle w:val="Parasts"/>
          <w:rFonts w:ascii="Times New Roman" w:hAnsi="Times New Roman"/>
          <w:sz w:val="24"/>
        </w:rPr>
        <w:t>LIETA C-177/88</w:t>
      </w:r>
    </w:p>
    <w:p w:rsidR="00755A39" w:rsidRDefault="00755A39" w:rsidP="00755A39">
      <w:pPr>
        <w:jc w:val="both"/>
        <w:rPr>
          <w:rFonts w:ascii="Times New Roman" w:eastAsia="Times New Roman" w:hAnsi="Times New Roman"/>
          <w:sz w:val="24"/>
          <w:szCs w:val="13"/>
        </w:rPr>
      </w:pPr>
    </w:p>
    <w:p w:rsidR="00755A39" w:rsidRPr="00857B04" w:rsidRDefault="00755A39" w:rsidP="00755A39">
      <w:pPr>
        <w:pStyle w:val="Virsraksts3"/>
        <w:ind w:left="0"/>
        <w:jc w:val="center"/>
        <w:rPr>
          <w:sz w:val="24"/>
        </w:rPr>
      </w:pPr>
      <w:r>
        <w:rPr>
          <w:rStyle w:val="Virsraksts3"/>
          <w:sz w:val="24"/>
        </w:rPr>
        <w:t>TIESAS SPRIEDUMS</w:t>
      </w:r>
    </w:p>
    <w:p w:rsidR="00755A39" w:rsidRPr="00857B04" w:rsidRDefault="00755A39" w:rsidP="00755A39">
      <w:pPr>
        <w:jc w:val="center"/>
        <w:rPr>
          <w:rFonts w:ascii="Times New Roman" w:hAnsi="Times New Roman"/>
          <w:sz w:val="24"/>
        </w:rPr>
      </w:pPr>
      <w:r>
        <w:rPr>
          <w:rStyle w:val="Parasts"/>
          <w:rFonts w:ascii="Times New Roman" w:hAnsi="Times New Roman"/>
          <w:sz w:val="24"/>
        </w:rPr>
        <w:t xml:space="preserve">1990. gada 8. novembris </w:t>
      </w:r>
      <w:r>
        <w:rPr>
          <w:rStyle w:val="Vresatsauce"/>
          <w:rFonts w:ascii="Times New Roman" w:hAnsi="Times New Roman"/>
          <w:sz w:val="24"/>
        </w:rPr>
        <w:footnoteReference w:customMarkFollows="1" w:id="1"/>
        <w:sym w:font="Symbol" w:char="F02A"/>
      </w:r>
    </w:p>
    <w:p w:rsidR="00755A39" w:rsidRPr="00857B04" w:rsidRDefault="00755A39" w:rsidP="00755A39">
      <w:pPr>
        <w:jc w:val="both"/>
        <w:rPr>
          <w:rFonts w:ascii="Times New Roman" w:eastAsia="Times New Roman" w:hAnsi="Times New Roman"/>
          <w:sz w:val="24"/>
          <w:szCs w:val="19"/>
        </w:rPr>
      </w:pPr>
    </w:p>
    <w:p w:rsidR="00755A39" w:rsidRPr="00857B04" w:rsidRDefault="00755A39" w:rsidP="00755A39">
      <w:pPr>
        <w:jc w:val="both"/>
        <w:rPr>
          <w:rFonts w:ascii="Times New Roman" w:eastAsia="Times New Roman" w:hAnsi="Times New Roman"/>
          <w:sz w:val="24"/>
          <w:szCs w:val="21"/>
        </w:rPr>
      </w:pPr>
      <w:r>
        <w:rPr>
          <w:rStyle w:val="Parasts"/>
          <w:rFonts w:ascii="Times New Roman" w:hAnsi="Times New Roman"/>
          <w:sz w:val="24"/>
        </w:rPr>
        <w:t>Lietā C-177/88</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jc w:val="both"/>
        <w:rPr>
          <w:rFonts w:ascii="Times New Roman" w:eastAsia="Times New Roman" w:hAnsi="Times New Roman"/>
          <w:sz w:val="24"/>
          <w:szCs w:val="21"/>
        </w:rPr>
      </w:pPr>
      <w:r>
        <w:rPr>
          <w:rStyle w:val="Parasts"/>
          <w:rFonts w:ascii="Times New Roman" w:hAnsi="Times New Roman"/>
          <w:sz w:val="24"/>
        </w:rPr>
        <w:t xml:space="preserve">LŪGUMS sniegt prejudiciālu nolēmumu, ko Tiesai atbilstīgi EK līguma 177. pantam iesniegusi </w:t>
      </w:r>
      <w:r>
        <w:rPr>
          <w:rStyle w:val="Parasts"/>
          <w:rFonts w:ascii="Times New Roman" w:hAnsi="Times New Roman"/>
          <w:i/>
          <w:sz w:val="24"/>
        </w:rPr>
        <w:t>Hoge Raad der Nederlanden</w:t>
      </w:r>
      <w:r>
        <w:rPr>
          <w:rStyle w:val="Parasts"/>
          <w:rFonts w:ascii="Times New Roman" w:hAnsi="Times New Roman"/>
          <w:sz w:val="24"/>
        </w:rPr>
        <w:t xml:space="preserve"> (Nīderlandes Augstākā tiesa), tiesvedībā, kas tiek izskatīta šajā tiesā starp</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b/>
          <w:sz w:val="24"/>
        </w:rPr>
      </w:pPr>
      <w:r>
        <w:rPr>
          <w:rStyle w:val="Pamatteksts"/>
          <w:b/>
          <w:sz w:val="24"/>
        </w:rPr>
        <w:t>Elizabeti Johannu Pasifiku Dekeri [</w:t>
      </w:r>
      <w:r>
        <w:rPr>
          <w:rStyle w:val="Pamatteksts"/>
          <w:b/>
          <w:i/>
          <w:sz w:val="24"/>
        </w:rPr>
        <w:t>Elisabeth Johanna Pacifica Dekker</w:t>
      </w:r>
      <w:r>
        <w:rPr>
          <w:rStyle w:val="Pamatteksts"/>
          <w:b/>
          <w:sz w:val="24"/>
        </w:rPr>
        <w:t>]</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Virsraksts3"/>
        <w:ind w:left="0"/>
        <w:jc w:val="center"/>
        <w:rPr>
          <w:sz w:val="24"/>
        </w:rPr>
      </w:pPr>
      <w:r>
        <w:rPr>
          <w:rStyle w:val="Virsraksts3"/>
          <w:sz w:val="24"/>
        </w:rPr>
        <w:t>un</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b/>
          <w:sz w:val="24"/>
        </w:rPr>
      </w:pPr>
      <w:r>
        <w:rPr>
          <w:rStyle w:val="Pamatteksts"/>
          <w:b/>
          <w:i/>
          <w:sz w:val="24"/>
        </w:rPr>
        <w:t>Stichting Vormingscentrum voor Jong Volwassenen (VJV Centrum) Plus</w:t>
      </w:r>
    </w:p>
    <w:p w:rsidR="00755A39" w:rsidRPr="00857B04" w:rsidRDefault="00755A39" w:rsidP="00755A39">
      <w:pPr>
        <w:jc w:val="both"/>
        <w:rPr>
          <w:rFonts w:ascii="Times New Roman" w:eastAsia="Times New Roman" w:hAnsi="Times New Roman"/>
          <w:sz w:val="24"/>
          <w:szCs w:val="27"/>
        </w:rPr>
      </w:pPr>
    </w:p>
    <w:p w:rsidR="00755A39" w:rsidRPr="00857B04" w:rsidRDefault="00755A39" w:rsidP="00755A39">
      <w:pPr>
        <w:pStyle w:val="Virsraksts3"/>
        <w:ind w:left="0" w:firstLine="4"/>
        <w:jc w:val="both"/>
        <w:rPr>
          <w:sz w:val="24"/>
        </w:rPr>
      </w:pPr>
      <w:r>
        <w:rPr>
          <w:rStyle w:val="Virsraksts3"/>
          <w:sz w:val="24"/>
        </w:rPr>
        <w:t>par Padomes 1976. gada 9. februāra Direktīvas 76/207/EK par tāda principa īstenošanu, kas paredz vienlīdzīgu attieksmi pret vīriešiem un sievietēm attiecībā uz darba, profesionālās izglītības un izaugsmes iespējām un darba apstākļiem (OV L 39, 1976. gads, 40. lpp.), 2. un 3. panta interpretāciju,</w:t>
      </w:r>
    </w:p>
    <w:p w:rsidR="00755A39" w:rsidRPr="00857B04" w:rsidRDefault="00755A39" w:rsidP="00755A39">
      <w:pPr>
        <w:jc w:val="both"/>
        <w:rPr>
          <w:rFonts w:ascii="Times New Roman" w:hAnsi="Times New Roman"/>
          <w:sz w:val="24"/>
        </w:rPr>
      </w:pPr>
    </w:p>
    <w:p w:rsidR="00755A39" w:rsidRPr="00857B04" w:rsidRDefault="00755A39" w:rsidP="00755A39">
      <w:pPr>
        <w:jc w:val="center"/>
        <w:rPr>
          <w:rFonts w:ascii="Times New Roman" w:hAnsi="Times New Roman"/>
          <w:sz w:val="24"/>
        </w:rPr>
      </w:pPr>
      <w:r>
        <w:rPr>
          <w:rStyle w:val="Parasts"/>
          <w:rFonts w:ascii="Times New Roman" w:hAnsi="Times New Roman"/>
          <w:sz w:val="24"/>
        </w:rPr>
        <w:t>TIESA</w:t>
      </w:r>
    </w:p>
    <w:p w:rsidR="00755A39" w:rsidRPr="00857B04" w:rsidRDefault="00755A39" w:rsidP="00755A39">
      <w:pPr>
        <w:jc w:val="both"/>
        <w:rPr>
          <w:rFonts w:ascii="Times New Roman" w:eastAsia="Times New Roman" w:hAnsi="Times New Roman"/>
          <w:sz w:val="24"/>
          <w:szCs w:val="21"/>
        </w:rPr>
      </w:pPr>
    </w:p>
    <w:p w:rsidR="00755A39" w:rsidRPr="00857B04" w:rsidRDefault="00755A39" w:rsidP="00755A39">
      <w:pPr>
        <w:jc w:val="both"/>
        <w:rPr>
          <w:rFonts w:ascii="Times New Roman" w:hAnsi="Times New Roman"/>
          <w:sz w:val="24"/>
        </w:rPr>
      </w:pPr>
      <w:r>
        <w:rPr>
          <w:rStyle w:val="Parasts"/>
          <w:rFonts w:ascii="Times New Roman" w:hAnsi="Times New Roman"/>
          <w:sz w:val="24"/>
        </w:rPr>
        <w:t>šādā sastāvā: priekšsēdētājs O. Dūe [</w:t>
      </w:r>
      <w:r>
        <w:rPr>
          <w:rStyle w:val="Parasts"/>
          <w:rFonts w:ascii="Times New Roman" w:hAnsi="Times New Roman"/>
          <w:i/>
          <w:sz w:val="24"/>
        </w:rPr>
        <w:t>O. Due</w:t>
      </w:r>
      <w:r>
        <w:rPr>
          <w:rStyle w:val="Parasts"/>
          <w:rFonts w:ascii="Times New Roman" w:hAnsi="Times New Roman"/>
          <w:sz w:val="24"/>
        </w:rPr>
        <w:t>], palātas priekšsēdētāji Ž. K. Muitīņu di Almeida [</w:t>
      </w:r>
      <w:r>
        <w:rPr>
          <w:rStyle w:val="Parasts"/>
          <w:rFonts w:ascii="Times New Roman" w:hAnsi="Times New Roman"/>
          <w:i/>
          <w:sz w:val="24"/>
        </w:rPr>
        <w:t>J. C. Moitinho de Almeida</w:t>
      </w:r>
      <w:r>
        <w:rPr>
          <w:rStyle w:val="Parasts"/>
          <w:rFonts w:ascii="Times New Roman" w:hAnsi="Times New Roman"/>
          <w:sz w:val="24"/>
        </w:rPr>
        <w:t>], H. K. Rodrigess Iglesjass [</w:t>
      </w:r>
      <w:r>
        <w:rPr>
          <w:rStyle w:val="Parasts"/>
          <w:rFonts w:ascii="Times New Roman" w:hAnsi="Times New Roman"/>
          <w:i/>
          <w:sz w:val="24"/>
        </w:rPr>
        <w:t>G. C. Rodríguez Iglesias</w:t>
      </w:r>
      <w:r>
        <w:rPr>
          <w:rStyle w:val="Parasts"/>
          <w:rFonts w:ascii="Times New Roman" w:hAnsi="Times New Roman"/>
          <w:sz w:val="24"/>
        </w:rPr>
        <w:t>] un M. Diess de Velasko [</w:t>
      </w:r>
      <w:r>
        <w:rPr>
          <w:rStyle w:val="Parasts"/>
          <w:rFonts w:ascii="Times New Roman" w:hAnsi="Times New Roman"/>
          <w:i/>
          <w:sz w:val="24"/>
        </w:rPr>
        <w:t>M. Díez de Velasco</w:t>
      </w:r>
      <w:r>
        <w:rPr>
          <w:rStyle w:val="Parasts"/>
          <w:rFonts w:ascii="Times New Roman" w:hAnsi="Times New Roman"/>
          <w:sz w:val="24"/>
        </w:rPr>
        <w:t>], tiesneši sers Gordons Slins [</w:t>
      </w:r>
      <w:r>
        <w:rPr>
          <w:rStyle w:val="Parasts"/>
          <w:rFonts w:ascii="Times New Roman" w:hAnsi="Times New Roman"/>
          <w:i/>
          <w:sz w:val="24"/>
        </w:rPr>
        <w:t>Gordon Slynn</w:t>
      </w:r>
      <w:r>
        <w:rPr>
          <w:rStyle w:val="Parasts"/>
          <w:rFonts w:ascii="Times New Roman" w:hAnsi="Times New Roman"/>
          <w:sz w:val="24"/>
        </w:rPr>
        <w:t>], K. N. Kakuris [</w:t>
      </w:r>
      <w:r>
        <w:rPr>
          <w:rStyle w:val="Parasts"/>
          <w:rFonts w:ascii="Times New Roman" w:hAnsi="Times New Roman"/>
          <w:i/>
          <w:sz w:val="24"/>
        </w:rPr>
        <w:t>C. N. Kakouris</w:t>
      </w:r>
      <w:r>
        <w:rPr>
          <w:rStyle w:val="Parasts"/>
          <w:rFonts w:ascii="Times New Roman" w:hAnsi="Times New Roman"/>
          <w:sz w:val="24"/>
        </w:rPr>
        <w:t>] un F. Greviss [</w:t>
      </w:r>
      <w:r>
        <w:rPr>
          <w:rStyle w:val="Parasts"/>
          <w:rFonts w:ascii="Times New Roman" w:hAnsi="Times New Roman"/>
          <w:i/>
          <w:sz w:val="24"/>
        </w:rPr>
        <w:t>F. Grevisse</w:t>
      </w:r>
      <w:r>
        <w:rPr>
          <w:rStyle w:val="Parasts"/>
          <w:rFonts w:ascii="Times New Roman" w:hAnsi="Times New Roman"/>
          <w:sz w:val="24"/>
        </w:rPr>
        <w:t>],</w:t>
      </w:r>
    </w:p>
    <w:p w:rsidR="00755A39" w:rsidRPr="00857B04" w:rsidRDefault="00755A39" w:rsidP="00755A39">
      <w:pPr>
        <w:jc w:val="both"/>
        <w:rPr>
          <w:rFonts w:ascii="Times New Roman" w:hAnsi="Times New Roman"/>
          <w:sz w:val="24"/>
        </w:rPr>
      </w:pPr>
    </w:p>
    <w:p w:rsidR="00755A39" w:rsidRPr="00857B04" w:rsidRDefault="00755A39" w:rsidP="00755A39">
      <w:pPr>
        <w:jc w:val="both"/>
        <w:rPr>
          <w:rFonts w:ascii="Times New Roman" w:hAnsi="Times New Roman"/>
          <w:sz w:val="24"/>
        </w:rPr>
      </w:pPr>
      <w:r>
        <w:rPr>
          <w:rStyle w:val="Parasts"/>
          <w:rFonts w:ascii="Times New Roman" w:hAnsi="Times New Roman"/>
          <w:sz w:val="24"/>
        </w:rPr>
        <w:t>ģenerāladvokāts: M. Darmons [</w:t>
      </w:r>
      <w:r>
        <w:rPr>
          <w:rStyle w:val="Parasts"/>
          <w:rFonts w:ascii="Times New Roman" w:hAnsi="Times New Roman"/>
          <w:i/>
          <w:sz w:val="24"/>
        </w:rPr>
        <w:t>M. Darmon</w:t>
      </w:r>
      <w:r>
        <w:rPr>
          <w:rStyle w:val="Parasts"/>
          <w:rFonts w:ascii="Times New Roman" w:hAnsi="Times New Roman"/>
          <w:sz w:val="24"/>
        </w:rPr>
        <w:t>],</w:t>
      </w:r>
    </w:p>
    <w:p w:rsidR="00755A39" w:rsidRDefault="00755A39" w:rsidP="00755A39">
      <w:pPr>
        <w:jc w:val="both"/>
        <w:rPr>
          <w:rFonts w:ascii="Times New Roman" w:hAnsi="Times New Roman"/>
          <w:sz w:val="24"/>
        </w:rPr>
      </w:pPr>
      <w:r>
        <w:rPr>
          <w:rStyle w:val="Parasts"/>
          <w:rFonts w:ascii="Times New Roman" w:hAnsi="Times New Roman"/>
          <w:sz w:val="24"/>
        </w:rPr>
        <w:t>sekretārs: B. Pastora [</w:t>
      </w:r>
      <w:r>
        <w:rPr>
          <w:rStyle w:val="Parasts"/>
          <w:rFonts w:ascii="Times New Roman" w:hAnsi="Times New Roman"/>
          <w:i/>
          <w:sz w:val="24"/>
        </w:rPr>
        <w:t>B. Pastor</w:t>
      </w:r>
      <w:r>
        <w:rPr>
          <w:rStyle w:val="Parasts"/>
          <w:rFonts w:ascii="Times New Roman" w:hAnsi="Times New Roman"/>
          <w:sz w:val="24"/>
        </w:rPr>
        <w:t>], administratore,</w:t>
      </w:r>
    </w:p>
    <w:p w:rsidR="00755A39" w:rsidRPr="00857B04" w:rsidRDefault="00755A39" w:rsidP="00755A39">
      <w:pPr>
        <w:jc w:val="both"/>
        <w:rPr>
          <w:rFonts w:ascii="Times New Roman" w:hAnsi="Times New Roman"/>
          <w:sz w:val="24"/>
        </w:rPr>
      </w:pPr>
    </w:p>
    <w:p w:rsidR="00755A39" w:rsidRPr="00857B04" w:rsidRDefault="00755A39" w:rsidP="00755A39">
      <w:pPr>
        <w:pStyle w:val="Virsraksts3"/>
        <w:ind w:left="0"/>
        <w:jc w:val="both"/>
        <w:rPr>
          <w:sz w:val="24"/>
        </w:rPr>
      </w:pPr>
      <w:r>
        <w:rPr>
          <w:rStyle w:val="Virsraksts3"/>
          <w:sz w:val="24"/>
        </w:rPr>
        <w:t>izskatījusi rakstveida apsvērumus, ko iesniedzis</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ind w:firstLine="4"/>
        <w:jc w:val="both"/>
        <w:rPr>
          <w:rFonts w:ascii="Times New Roman" w:hAnsi="Times New Roman"/>
          <w:sz w:val="24"/>
        </w:rPr>
      </w:pPr>
      <w:r>
        <w:rPr>
          <w:rStyle w:val="Parasts"/>
          <w:rFonts w:ascii="Times New Roman" w:hAnsi="Times New Roman"/>
          <w:sz w:val="24"/>
        </w:rPr>
        <w:t>T. E. Van Dejks [</w:t>
      </w:r>
      <w:r>
        <w:rPr>
          <w:rStyle w:val="Parasts"/>
          <w:rFonts w:ascii="Times New Roman" w:hAnsi="Times New Roman"/>
          <w:i/>
          <w:sz w:val="24"/>
        </w:rPr>
        <w:t>T. E. Van Dijk</w:t>
      </w:r>
      <w:r>
        <w:rPr>
          <w:rStyle w:val="Parasts"/>
          <w:rFonts w:ascii="Times New Roman" w:hAnsi="Times New Roman"/>
          <w:sz w:val="24"/>
        </w:rPr>
        <w:t>] (Hāgas advokātu kolēģija) Dekeres kundzes vārdā, kura ir prasītāja pamattiesvedībā,</w:t>
      </w:r>
    </w:p>
    <w:p w:rsidR="00755A39" w:rsidRPr="00857B04" w:rsidRDefault="00755A39" w:rsidP="00755A39">
      <w:pPr>
        <w:jc w:val="both"/>
        <w:rPr>
          <w:rFonts w:ascii="Times New Roman" w:eastAsia="Times New Roman" w:hAnsi="Times New Roman"/>
          <w:sz w:val="24"/>
          <w:szCs w:val="23"/>
        </w:rPr>
      </w:pPr>
    </w:p>
    <w:p w:rsidR="00755A39" w:rsidRPr="00857B04" w:rsidRDefault="00755A39" w:rsidP="00755A39">
      <w:pPr>
        <w:pStyle w:val="Pamatteksts"/>
        <w:ind w:left="0" w:hanging="5"/>
        <w:jc w:val="both"/>
        <w:rPr>
          <w:sz w:val="24"/>
        </w:rPr>
      </w:pPr>
      <w:r>
        <w:rPr>
          <w:rStyle w:val="Pamatteksts"/>
          <w:sz w:val="24"/>
        </w:rPr>
        <w:t>J. L. de Veikerslots [</w:t>
      </w:r>
      <w:r>
        <w:rPr>
          <w:rStyle w:val="Pamatteksts"/>
          <w:i/>
          <w:sz w:val="24"/>
        </w:rPr>
        <w:t>J. L. de Wijkerslooth</w:t>
      </w:r>
      <w:r>
        <w:rPr>
          <w:rStyle w:val="Pamatteksts"/>
          <w:sz w:val="24"/>
        </w:rPr>
        <w:t xml:space="preserve">] (Hāgas advokātu kolēģija) </w:t>
      </w:r>
      <w:r>
        <w:rPr>
          <w:rStyle w:val="Pamatteksts"/>
          <w:i/>
          <w:sz w:val="24"/>
        </w:rPr>
        <w:t>VJV</w:t>
      </w:r>
      <w:r>
        <w:rPr>
          <w:rStyle w:val="Pamatteksts"/>
          <w:sz w:val="24"/>
        </w:rPr>
        <w:t xml:space="preserve"> vārdā, kas ir atbildētājs pamattiesvedībā,</w:t>
      </w:r>
    </w:p>
    <w:p w:rsidR="00755A39" w:rsidRPr="00857B04" w:rsidRDefault="00755A39" w:rsidP="00755A39">
      <w:pPr>
        <w:jc w:val="both"/>
        <w:rPr>
          <w:rFonts w:ascii="Times New Roman" w:hAnsi="Times New Roman"/>
          <w:sz w:val="24"/>
        </w:rPr>
      </w:pPr>
    </w:p>
    <w:p w:rsidR="00755A39" w:rsidRPr="00857B04" w:rsidRDefault="00755A39" w:rsidP="00755A39">
      <w:pPr>
        <w:pStyle w:val="Pamatteksts"/>
        <w:ind w:left="0" w:hanging="5"/>
        <w:jc w:val="both"/>
        <w:rPr>
          <w:sz w:val="24"/>
        </w:rPr>
      </w:pPr>
      <w:r>
        <w:rPr>
          <w:rStyle w:val="Pamatteksts"/>
          <w:sz w:val="24"/>
        </w:rPr>
        <w:t>Dž. A. Gensmantela [</w:t>
      </w:r>
      <w:r>
        <w:rPr>
          <w:rStyle w:val="Pamatteksts"/>
          <w:i/>
          <w:sz w:val="24"/>
        </w:rPr>
        <w:t>J. A. Gensmantel</w:t>
      </w:r>
      <w:r>
        <w:rPr>
          <w:rStyle w:val="Pamatteksts"/>
          <w:sz w:val="24"/>
        </w:rPr>
        <w:t>] no Valsts kases juriskonsultu departamenta Apvienotās Karalistes vārdā, rīkojoties kā pārstāve,</w:t>
      </w:r>
    </w:p>
    <w:p w:rsidR="00755A39" w:rsidRPr="00857B04" w:rsidRDefault="00755A39" w:rsidP="00755A39">
      <w:pPr>
        <w:jc w:val="both"/>
        <w:rPr>
          <w:rFonts w:ascii="Times New Roman" w:hAnsi="Times New Roman"/>
          <w:sz w:val="24"/>
        </w:rPr>
      </w:pPr>
    </w:p>
    <w:p w:rsidR="00755A39" w:rsidRPr="00857B04" w:rsidRDefault="00755A39" w:rsidP="00755A39">
      <w:pPr>
        <w:pStyle w:val="Virsraksts2"/>
        <w:ind w:left="0"/>
        <w:jc w:val="both"/>
        <w:rPr>
          <w:sz w:val="24"/>
        </w:rPr>
      </w:pPr>
      <w:r>
        <w:rPr>
          <w:rStyle w:val="Virsraksts2"/>
          <w:sz w:val="24"/>
        </w:rPr>
        <w:t>Ārlietu ministrijas ģenerālsekretārs E. F. Jākobss [</w:t>
      </w:r>
      <w:r>
        <w:rPr>
          <w:rStyle w:val="Virsraksts2"/>
          <w:i/>
          <w:sz w:val="24"/>
        </w:rPr>
        <w:t>E. F. Jacobs</w:t>
      </w:r>
      <w:r>
        <w:rPr>
          <w:rStyle w:val="Virsraksts2"/>
          <w:sz w:val="24"/>
        </w:rPr>
        <w:t>] Nīderlandes valdības vārdā, rīkojoties kā pārstāvis,</w:t>
      </w:r>
    </w:p>
    <w:p w:rsidR="00755A39" w:rsidRDefault="00755A39" w:rsidP="00755A39">
      <w:pPr>
        <w:pStyle w:val="Pamatteksts"/>
        <w:ind w:left="0" w:firstLine="4"/>
        <w:jc w:val="both"/>
        <w:rPr>
          <w:sz w:val="24"/>
        </w:rPr>
      </w:pPr>
    </w:p>
    <w:p w:rsidR="00755A39" w:rsidRPr="00857B04" w:rsidRDefault="00755A39" w:rsidP="00755A39">
      <w:pPr>
        <w:pStyle w:val="Pamatteksts"/>
        <w:ind w:left="0" w:firstLine="4"/>
        <w:jc w:val="both"/>
        <w:rPr>
          <w:sz w:val="24"/>
        </w:rPr>
      </w:pPr>
      <w:r>
        <w:rPr>
          <w:rStyle w:val="Pamatteksts"/>
          <w:sz w:val="24"/>
        </w:rPr>
        <w:t>K. Benksa [</w:t>
      </w:r>
      <w:r>
        <w:rPr>
          <w:rStyle w:val="Pamatteksts"/>
          <w:i/>
          <w:sz w:val="24"/>
        </w:rPr>
        <w:t>K. Banks</w:t>
      </w:r>
      <w:r>
        <w:rPr>
          <w:rStyle w:val="Pamatteksts"/>
          <w:sz w:val="24"/>
        </w:rPr>
        <w:t>] un B. J. Dreibers [</w:t>
      </w:r>
      <w:r>
        <w:rPr>
          <w:rStyle w:val="Pamatteksts"/>
          <w:i/>
          <w:sz w:val="24"/>
        </w:rPr>
        <w:t>B. J. Drijber</w:t>
      </w:r>
      <w:r>
        <w:rPr>
          <w:rStyle w:val="Pamatteksts"/>
          <w:sz w:val="24"/>
        </w:rPr>
        <w:t>] Eiropas Kopienu Komisijas vārdā, rīkojoties kā pārstāvji,</w:t>
      </w:r>
    </w:p>
    <w:p w:rsidR="00755A39" w:rsidRPr="00857B04" w:rsidRDefault="00755A39" w:rsidP="00755A39">
      <w:pPr>
        <w:jc w:val="both"/>
        <w:rPr>
          <w:rFonts w:ascii="Times New Roman" w:hAnsi="Times New Roman"/>
          <w:sz w:val="24"/>
        </w:rPr>
      </w:pPr>
    </w:p>
    <w:p w:rsidR="00755A39" w:rsidRPr="00857B04" w:rsidRDefault="00755A39" w:rsidP="00755A39">
      <w:pPr>
        <w:pStyle w:val="Pamatteksts"/>
        <w:ind w:left="0"/>
        <w:jc w:val="both"/>
        <w:rPr>
          <w:sz w:val="24"/>
        </w:rPr>
      </w:pPr>
      <w:r>
        <w:rPr>
          <w:rStyle w:val="Pamatteksts"/>
          <w:sz w:val="24"/>
        </w:rPr>
        <w:lastRenderedPageBreak/>
        <w:t>ņemot vērā tiesas sēdes ziņojumu,</w:t>
      </w:r>
    </w:p>
    <w:p w:rsidR="00755A39" w:rsidRPr="00857B04" w:rsidRDefault="00755A39" w:rsidP="00755A39">
      <w:pPr>
        <w:jc w:val="both"/>
        <w:rPr>
          <w:rFonts w:ascii="Times New Roman" w:eastAsia="Times New Roman" w:hAnsi="Times New Roman"/>
          <w:sz w:val="24"/>
          <w:szCs w:val="26"/>
        </w:rPr>
      </w:pPr>
    </w:p>
    <w:p w:rsidR="00755A39" w:rsidRPr="00857B04" w:rsidRDefault="00755A39" w:rsidP="00755A39">
      <w:pPr>
        <w:pStyle w:val="Pamatteksts"/>
        <w:ind w:left="0" w:firstLine="4"/>
        <w:jc w:val="both"/>
        <w:rPr>
          <w:sz w:val="24"/>
        </w:rPr>
      </w:pPr>
      <w:r>
        <w:rPr>
          <w:rStyle w:val="Pamatteksts"/>
          <w:sz w:val="24"/>
        </w:rPr>
        <w:t xml:space="preserve">pēc tam, kad 1989. gada 3. oktobra tiesas sēdē tika uzklausīti mutvārdu paskaidrojumi, ko sniedza E. J. P. Dekere, </w:t>
      </w:r>
      <w:r>
        <w:rPr>
          <w:rStyle w:val="Pamatteksts"/>
          <w:i/>
          <w:sz w:val="24"/>
        </w:rPr>
        <w:t>VJV-Centrum</w:t>
      </w:r>
      <w:r>
        <w:rPr>
          <w:rStyle w:val="Pamatteksts"/>
          <w:sz w:val="24"/>
        </w:rPr>
        <w:t>, kuru pārstāvēja S. M. Everss [</w:t>
      </w:r>
      <w:r>
        <w:rPr>
          <w:rStyle w:val="Pamatteksts"/>
          <w:i/>
          <w:sz w:val="24"/>
        </w:rPr>
        <w:t>S. M. Evers</w:t>
      </w:r>
      <w:r>
        <w:rPr>
          <w:rStyle w:val="Pamatteksts"/>
          <w:sz w:val="24"/>
        </w:rPr>
        <w:t>] no Hāgas advokātu kolēģijas, Nīderlandes valdība, kuru pārstāvēja J. V. de Žvāns [</w:t>
      </w:r>
      <w:r>
        <w:rPr>
          <w:rStyle w:val="Pamatteksts"/>
          <w:i/>
          <w:sz w:val="24"/>
        </w:rPr>
        <w:t>J. W. de Zwaan</w:t>
      </w:r>
      <w:r>
        <w:rPr>
          <w:rStyle w:val="Pamatteksts"/>
          <w:sz w:val="24"/>
        </w:rPr>
        <w:t>], rīkojoties kā pārstāvis, Apvienotā Karaliste, ko pārstāvēja D. Peniks [</w:t>
      </w:r>
      <w:r>
        <w:rPr>
          <w:rStyle w:val="Pamatteksts"/>
          <w:i/>
          <w:sz w:val="24"/>
        </w:rPr>
        <w:t>D. Pannick</w:t>
      </w:r>
      <w:r>
        <w:rPr>
          <w:rStyle w:val="Pamatteksts"/>
          <w:sz w:val="24"/>
        </w:rPr>
        <w:t>], rīkojoties kā pārstāvis, un Komisija,</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sz w:val="24"/>
        </w:rPr>
      </w:pPr>
      <w:r>
        <w:rPr>
          <w:rStyle w:val="Pamatteksts"/>
          <w:sz w:val="24"/>
        </w:rPr>
        <w:t>pēc ģenerāladvokāta secinājumu uzklausīšanas 1989. gada 14. novembra tiesas sēdē,</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sz w:val="24"/>
        </w:rPr>
      </w:pPr>
      <w:r>
        <w:rPr>
          <w:rStyle w:val="Pamatteksts"/>
          <w:sz w:val="24"/>
        </w:rPr>
        <w:t>pasludina šo spriedumu.</w:t>
      </w:r>
    </w:p>
    <w:p w:rsidR="00755A39" w:rsidRDefault="00755A39" w:rsidP="00755A39">
      <w:pPr>
        <w:jc w:val="both"/>
        <w:rPr>
          <w:rFonts w:ascii="Times New Roman" w:eastAsia="Times New Roman" w:hAnsi="Times New Roman"/>
          <w:sz w:val="24"/>
          <w:szCs w:val="20"/>
        </w:rPr>
      </w:pPr>
    </w:p>
    <w:p w:rsidR="00755A39" w:rsidRPr="00857B04" w:rsidRDefault="00755A39" w:rsidP="00755A39">
      <w:pPr>
        <w:jc w:val="both"/>
        <w:rPr>
          <w:rFonts w:ascii="Times New Roman" w:eastAsia="Times New Roman" w:hAnsi="Times New Roman"/>
          <w:sz w:val="24"/>
          <w:szCs w:val="28"/>
        </w:rPr>
      </w:pPr>
    </w:p>
    <w:p w:rsidR="00755A39" w:rsidRPr="00857B04" w:rsidRDefault="00755A39" w:rsidP="00755A39">
      <w:pPr>
        <w:jc w:val="center"/>
        <w:rPr>
          <w:rFonts w:ascii="Times New Roman" w:hAnsi="Times New Roman"/>
          <w:b/>
          <w:sz w:val="24"/>
        </w:rPr>
      </w:pPr>
      <w:r>
        <w:rPr>
          <w:rStyle w:val="Parasts"/>
          <w:rFonts w:ascii="Times New Roman" w:hAnsi="Times New Roman"/>
          <w:b/>
          <w:sz w:val="24"/>
        </w:rPr>
        <w:t>Spriedums</w:t>
      </w:r>
    </w:p>
    <w:p w:rsidR="00755A39" w:rsidRPr="00857B04" w:rsidRDefault="00755A39" w:rsidP="00755A39">
      <w:pPr>
        <w:jc w:val="both"/>
        <w:rPr>
          <w:rFonts w:ascii="Times New Roman" w:eastAsia="Times New Roman" w:hAnsi="Times New Roman"/>
          <w:b/>
          <w:bCs/>
          <w:sz w:val="24"/>
          <w:szCs w:val="14"/>
        </w:rPr>
      </w:pPr>
    </w:p>
    <w:p w:rsidR="00755A39" w:rsidRPr="00857B04" w:rsidRDefault="00755A39" w:rsidP="00755A39">
      <w:pPr>
        <w:pStyle w:val="Pamatteksts"/>
        <w:ind w:left="0" w:firstLine="9"/>
        <w:jc w:val="both"/>
        <w:rPr>
          <w:sz w:val="24"/>
        </w:rPr>
      </w:pPr>
      <w:r>
        <w:rPr>
          <w:rStyle w:val="Pamatteksts"/>
          <w:sz w:val="24"/>
        </w:rPr>
        <w:t>1. Nīderlandes Augstākā tiesa ar 1988. gada 24. jūnija spriedumu, ko Tiesa saņēma 1988. gada 30. jūnijā, vērsās Tiesā ar lūgumu sniegt prejudiciālu nolēmumu saskaņā ar EEK līguma 177. pantu par četriem jautājumiem attiecībā uz Padomes 1976. gada 9. februāra Direktīvas par tāda principa īstenošanu, kas paredz vienlīdzīgu attieksmi pret vīriešiem un sievietēm attiecībā uz darba, profesionālās izglītības un izaugsmes iespējām un darba apstākļiem (Oficiālais Vēstnesis, 1976. gads, L 39, 40. lpp.), 2. un 3. panta interpretāciju.</w:t>
      </w:r>
    </w:p>
    <w:p w:rsidR="00755A39" w:rsidRPr="00857B04" w:rsidRDefault="00755A39" w:rsidP="00755A39">
      <w:pPr>
        <w:jc w:val="both"/>
        <w:rPr>
          <w:rFonts w:ascii="Times New Roman" w:eastAsia="Times New Roman" w:hAnsi="Times New Roman"/>
          <w:sz w:val="24"/>
          <w:szCs w:val="12"/>
        </w:rPr>
      </w:pPr>
    </w:p>
    <w:p w:rsidR="00755A39" w:rsidRPr="00857B04" w:rsidRDefault="00755A39" w:rsidP="00755A39">
      <w:pPr>
        <w:pStyle w:val="Virsraksts3"/>
        <w:ind w:left="0" w:firstLine="14"/>
        <w:jc w:val="both"/>
        <w:rPr>
          <w:sz w:val="24"/>
        </w:rPr>
      </w:pPr>
      <w:r>
        <w:rPr>
          <w:rStyle w:val="Virsraksts3"/>
          <w:sz w:val="24"/>
        </w:rPr>
        <w:t xml:space="preserve">2. Šie jautājumi radās saistībā ar strīdu starp Dekeres kundzi un </w:t>
      </w:r>
      <w:r>
        <w:rPr>
          <w:rStyle w:val="Virsraksts3"/>
          <w:i/>
          <w:sz w:val="24"/>
        </w:rPr>
        <w:t>Stichting Vormingscentrum voor Jong Volwassenen (VJV-Centrum) Plus</w:t>
      </w:r>
      <w:r>
        <w:rPr>
          <w:rStyle w:val="Virsraksts3"/>
          <w:sz w:val="24"/>
        </w:rPr>
        <w:t xml:space="preserve"> (turpmāk tekstā </w:t>
      </w:r>
      <w:r>
        <w:rPr>
          <w:rStyle w:val="Virsraksts3"/>
          <w:sz w:val="24"/>
          <w:cs/>
        </w:rPr>
        <w:t>– “</w:t>
      </w:r>
      <w:r>
        <w:rPr>
          <w:rStyle w:val="Virsraksts3"/>
          <w:i/>
          <w:sz w:val="24"/>
        </w:rPr>
        <w:t>VJV</w:t>
      </w:r>
      <w:r>
        <w:rPr>
          <w:rStyle w:val="Virsraksts3"/>
          <w:sz w:val="24"/>
          <w:cs/>
        </w:rPr>
        <w:t>”</w:t>
      </w:r>
      <w:r>
        <w:rPr>
          <w:rStyle w:val="Virsraksts3"/>
          <w:sz w:val="24"/>
        </w:rPr>
        <w:t xml:space="preserve">). Dekeres kundze 1981. gada jūnijā pieteicās pasniedzējas darbam </w:t>
      </w:r>
      <w:r>
        <w:rPr>
          <w:rStyle w:val="Virsraksts3"/>
          <w:i/>
          <w:sz w:val="24"/>
        </w:rPr>
        <w:t>VJV</w:t>
      </w:r>
      <w:r>
        <w:rPr>
          <w:rStyle w:val="Virsraksts3"/>
          <w:sz w:val="24"/>
        </w:rPr>
        <w:t xml:space="preserve"> vadītajā jauniešu mācību centrā. Savukārt 1981. gada 15. jūnijā viņa informēja pieteikumu izskatīšanās komiteju par to, ka ir trešajā grūtniecības mēnesī. Tomēr komiteja izvirzīja viņu </w:t>
      </w:r>
      <w:r>
        <w:rPr>
          <w:rStyle w:val="Virsraksts3"/>
          <w:i/>
          <w:sz w:val="24"/>
        </w:rPr>
        <w:t>VJV</w:t>
      </w:r>
      <w:r>
        <w:rPr>
          <w:rStyle w:val="Virsraksts3"/>
          <w:sz w:val="24"/>
        </w:rPr>
        <w:t xml:space="preserve"> valdei kā piemērotāko kandidāti minētajam amatam. Taču 1981. gada 10. jūlija vēstulē </w:t>
      </w:r>
      <w:r>
        <w:rPr>
          <w:rStyle w:val="Virsraksts3"/>
          <w:i/>
          <w:sz w:val="24"/>
        </w:rPr>
        <w:t>VJV</w:t>
      </w:r>
      <w:r>
        <w:rPr>
          <w:rStyle w:val="Virsraksts3"/>
          <w:sz w:val="24"/>
        </w:rPr>
        <w:t xml:space="preserve"> informēja Dekeres kundzi, ka viņa netiks pieņemta darbā.</w:t>
      </w:r>
    </w:p>
    <w:p w:rsidR="00755A39" w:rsidRPr="00857B04" w:rsidRDefault="00755A39" w:rsidP="00755A39">
      <w:pPr>
        <w:jc w:val="both"/>
        <w:rPr>
          <w:rFonts w:ascii="Times New Roman" w:eastAsia="Times New Roman" w:hAnsi="Times New Roman"/>
          <w:sz w:val="24"/>
          <w:szCs w:val="19"/>
        </w:rPr>
      </w:pPr>
    </w:p>
    <w:p w:rsidR="00755A39" w:rsidRPr="00857B04" w:rsidRDefault="00755A39" w:rsidP="00755A39">
      <w:pPr>
        <w:ind w:firstLine="9"/>
        <w:jc w:val="both"/>
        <w:rPr>
          <w:rFonts w:ascii="Times New Roman" w:hAnsi="Times New Roman"/>
          <w:sz w:val="24"/>
        </w:rPr>
      </w:pPr>
      <w:r>
        <w:rPr>
          <w:rStyle w:val="Parasts"/>
          <w:rFonts w:ascii="Times New Roman" w:hAnsi="Times New Roman"/>
          <w:sz w:val="24"/>
        </w:rPr>
        <w:t xml:space="preserve">3. Savā vēstulē </w:t>
      </w:r>
      <w:r>
        <w:rPr>
          <w:rStyle w:val="Parasts"/>
          <w:rFonts w:ascii="Times New Roman" w:hAnsi="Times New Roman"/>
          <w:i/>
          <w:sz w:val="24"/>
        </w:rPr>
        <w:t>VJV</w:t>
      </w:r>
      <w:r>
        <w:rPr>
          <w:rStyle w:val="Parasts"/>
          <w:rFonts w:ascii="Times New Roman" w:hAnsi="Times New Roman"/>
          <w:sz w:val="24"/>
        </w:rPr>
        <w:t xml:space="preserve"> paskaidroja, ka šāds lēmums pieņemts tādēļ, ka Dekeres kundze ir bijusi grūtniecības stāvoklī jau pieteikuma iesniegšanas brīdī un ka saskaņā ar tā rīcībā esošo informāciju gadījumā, ja </w:t>
      </w:r>
      <w:r>
        <w:rPr>
          <w:rStyle w:val="Parasts"/>
          <w:rFonts w:ascii="Times New Roman" w:hAnsi="Times New Roman"/>
          <w:i/>
          <w:sz w:val="24"/>
        </w:rPr>
        <w:t>VJV</w:t>
      </w:r>
      <w:r>
        <w:rPr>
          <w:rStyle w:val="Parasts"/>
          <w:rFonts w:ascii="Times New Roman" w:hAnsi="Times New Roman"/>
          <w:sz w:val="24"/>
        </w:rPr>
        <w:t xml:space="preserve"> pieņemtu viņu darbā, tā apdrošinātājs </w:t>
      </w:r>
      <w:r>
        <w:rPr>
          <w:rStyle w:val="Parasts"/>
          <w:rFonts w:ascii="Times New Roman" w:hAnsi="Times New Roman"/>
          <w:i/>
          <w:sz w:val="24"/>
        </w:rPr>
        <w:t>Risicofonds Sociale Voorzieningen Bijzonder Onderwijs</w:t>
      </w:r>
      <w:r>
        <w:rPr>
          <w:rStyle w:val="Parasts"/>
          <w:rFonts w:ascii="Times New Roman" w:hAnsi="Times New Roman"/>
          <w:sz w:val="24"/>
        </w:rPr>
        <w:t xml:space="preserve"> (Sociālo pabalstu izmaksāšanas apdrošināšanas fonds īpašās izglītības jomā, turpmāk tekstā </w:t>
      </w:r>
      <w:r>
        <w:rPr>
          <w:rStyle w:val="Parasts"/>
          <w:rFonts w:ascii="Times New Roman" w:hAnsi="Times New Roman"/>
          <w:sz w:val="24"/>
          <w:cs/>
        </w:rPr>
        <w:t>– “</w:t>
      </w:r>
      <w:r>
        <w:rPr>
          <w:rStyle w:val="Parasts"/>
          <w:rFonts w:ascii="Times New Roman" w:hAnsi="Times New Roman"/>
          <w:i/>
          <w:sz w:val="24"/>
        </w:rPr>
        <w:t>Risicofonds</w:t>
      </w:r>
      <w:r>
        <w:rPr>
          <w:rStyle w:val="Parasts"/>
          <w:rFonts w:ascii="Times New Roman" w:hAnsi="Times New Roman"/>
          <w:sz w:val="24"/>
          <w:cs/>
        </w:rPr>
        <w:t>”</w:t>
      </w:r>
      <w:r>
        <w:rPr>
          <w:rStyle w:val="Parasts"/>
          <w:rFonts w:ascii="Times New Roman" w:hAnsi="Times New Roman"/>
          <w:sz w:val="24"/>
        </w:rPr>
        <w:t xml:space="preserve">) neatlīdzinātu </w:t>
      </w:r>
      <w:r>
        <w:rPr>
          <w:rStyle w:val="Parasts"/>
          <w:rFonts w:ascii="Times New Roman" w:hAnsi="Times New Roman"/>
          <w:i/>
          <w:sz w:val="24"/>
        </w:rPr>
        <w:t>VJV</w:t>
      </w:r>
      <w:r>
        <w:rPr>
          <w:rStyle w:val="Parasts"/>
          <w:rFonts w:ascii="Times New Roman" w:hAnsi="Times New Roman"/>
          <w:sz w:val="24"/>
        </w:rPr>
        <w:t xml:space="preserve"> dienas pabalstus, ko </w:t>
      </w:r>
      <w:r>
        <w:rPr>
          <w:rStyle w:val="Parasts"/>
          <w:rFonts w:ascii="Times New Roman" w:hAnsi="Times New Roman"/>
          <w:i/>
          <w:sz w:val="24"/>
        </w:rPr>
        <w:t>VJV</w:t>
      </w:r>
      <w:r>
        <w:rPr>
          <w:rStyle w:val="Parasts"/>
          <w:rFonts w:ascii="Times New Roman" w:hAnsi="Times New Roman"/>
          <w:sz w:val="24"/>
        </w:rPr>
        <w:t xml:space="preserve"> būtu pienākums maksāt viņai grūtniecības un dzemdību atvaļinājuma laikā. Līdz ar to </w:t>
      </w:r>
      <w:r>
        <w:rPr>
          <w:rStyle w:val="Parasts"/>
          <w:rFonts w:ascii="Times New Roman" w:hAnsi="Times New Roman"/>
          <w:i/>
          <w:sz w:val="24"/>
        </w:rPr>
        <w:t>VJV</w:t>
      </w:r>
      <w:r>
        <w:rPr>
          <w:rStyle w:val="Parasts"/>
          <w:rFonts w:ascii="Times New Roman" w:hAnsi="Times New Roman"/>
          <w:sz w:val="24"/>
        </w:rPr>
        <w:t xml:space="preserve"> nespētu finansēt aizvietotāja algošanu Dekeres kundzes prombūtnes laikā, un tam nāktos saskarties ar darbinieku trūkumu.</w:t>
      </w:r>
    </w:p>
    <w:p w:rsidR="00755A39" w:rsidRPr="00857B04" w:rsidRDefault="00755A39" w:rsidP="00755A39">
      <w:pPr>
        <w:jc w:val="both"/>
        <w:rPr>
          <w:rFonts w:ascii="Times New Roman" w:eastAsia="Times New Roman" w:hAnsi="Times New Roman"/>
          <w:sz w:val="24"/>
          <w:szCs w:val="19"/>
        </w:rPr>
      </w:pPr>
    </w:p>
    <w:p w:rsidR="00755A39" w:rsidRPr="00857B04" w:rsidRDefault="00755A39" w:rsidP="00755A39">
      <w:pPr>
        <w:ind w:firstLine="4"/>
        <w:jc w:val="both"/>
        <w:rPr>
          <w:rFonts w:ascii="Times New Roman" w:hAnsi="Times New Roman"/>
          <w:sz w:val="24"/>
        </w:rPr>
      </w:pPr>
      <w:r>
        <w:rPr>
          <w:rStyle w:val="Parasts"/>
          <w:rFonts w:ascii="Times New Roman" w:hAnsi="Times New Roman"/>
          <w:sz w:val="24"/>
        </w:rPr>
        <w:t xml:space="preserve">4. Tiesai iesniegtie dokumenti liecina par to, ka saskaņā ar </w:t>
      </w:r>
      <w:r>
        <w:rPr>
          <w:rStyle w:val="Parasts"/>
          <w:rFonts w:ascii="Times New Roman" w:hAnsi="Times New Roman"/>
          <w:i/>
          <w:sz w:val="24"/>
        </w:rPr>
        <w:t>Ziekengeldreglement</w:t>
      </w:r>
      <w:r>
        <w:rPr>
          <w:rStyle w:val="Parasts"/>
          <w:rFonts w:ascii="Times New Roman" w:hAnsi="Times New Roman"/>
          <w:sz w:val="24"/>
        </w:rPr>
        <w:t xml:space="preserve"> (</w:t>
      </w:r>
      <w:r>
        <w:rPr>
          <w:rStyle w:val="Parasts"/>
          <w:rFonts w:ascii="Times New Roman" w:hAnsi="Times New Roman"/>
          <w:i/>
          <w:sz w:val="24"/>
        </w:rPr>
        <w:t>Risicofonds</w:t>
      </w:r>
      <w:r>
        <w:rPr>
          <w:rStyle w:val="Parasts"/>
          <w:rFonts w:ascii="Times New Roman" w:hAnsi="Times New Roman"/>
          <w:sz w:val="24"/>
        </w:rPr>
        <w:t xml:space="preserve"> iekšējo noteikumu, kas reglamentē dienas slimības pabalstu izmaksāšanu) 6. pantu </w:t>
      </w:r>
      <w:r>
        <w:rPr>
          <w:rStyle w:val="Parasts"/>
          <w:rFonts w:ascii="Times New Roman" w:hAnsi="Times New Roman"/>
          <w:i/>
          <w:sz w:val="24"/>
        </w:rPr>
        <w:t>Risicofonds</w:t>
      </w:r>
      <w:r>
        <w:rPr>
          <w:rStyle w:val="Parasts"/>
          <w:rFonts w:ascii="Times New Roman" w:hAnsi="Times New Roman"/>
          <w:sz w:val="24"/>
        </w:rPr>
        <w:t xml:space="preserve"> valde ir tiesīga atteikties atlīdzināt dalībniekam (darba devējam) visu dienas pabalstu summu vai tās daļu tad, ja apdrošinātā persona (darba ņēmējs) kļūst nespējīga veikt savus pienākumus sešu mēnešu laikā pēc apdrošināšanas stāšanās spēkā un ja brīdī, kad šī apdrošināšana stājās spēkā, varēja paredzēt, ka apdrošinātās personas veselības stāvokļa dēļ šāda nespēja iestāsies minētajā laika posmā. Atšķirībā no </w:t>
      </w:r>
      <w:r>
        <w:rPr>
          <w:rStyle w:val="Parasts"/>
          <w:rFonts w:ascii="Times New Roman" w:hAnsi="Times New Roman"/>
          <w:i/>
          <w:sz w:val="24"/>
        </w:rPr>
        <w:t>Ziektewet</w:t>
      </w:r>
      <w:r>
        <w:rPr>
          <w:rStyle w:val="Parasts"/>
          <w:rFonts w:ascii="Times New Roman" w:hAnsi="Times New Roman"/>
          <w:sz w:val="24"/>
        </w:rPr>
        <w:t xml:space="preserve"> (Nīderlandes Likuma par veselības apdrošināšanu) 44. panta 1. punkta b) apakšpunkta, kurā ir noteikta apdrošināšanas shēma, ko parasti piemēro attiecībā uz darba ņēmējiem privātajā sektorā, </w:t>
      </w:r>
      <w:r>
        <w:rPr>
          <w:rStyle w:val="Parasts"/>
          <w:rFonts w:ascii="Times New Roman" w:hAnsi="Times New Roman"/>
          <w:i/>
          <w:sz w:val="24"/>
        </w:rPr>
        <w:t>Ziekengeldreglement</w:t>
      </w:r>
      <w:r>
        <w:rPr>
          <w:rStyle w:val="Parasts"/>
          <w:rFonts w:ascii="Times New Roman" w:hAnsi="Times New Roman"/>
          <w:sz w:val="24"/>
        </w:rPr>
        <w:t xml:space="preserve">, kas ir vienīgie noteikumi, kuri tika piemēroti attiecībā uz Dekeres kundzi, nenosaka, ka attiecībā uz grūtniecības gadījumiem nav piemērojams noteikums, kas paredz iespēju atteikt dienas pabalstu atlīdzināšanu </w:t>
      </w:r>
      <w:r>
        <w:rPr>
          <w:rStyle w:val="Parasts"/>
          <w:rFonts w:ascii="Times New Roman" w:hAnsi="Times New Roman"/>
          <w:sz w:val="24"/>
          <w:cs/>
        </w:rPr>
        <w:t>“</w:t>
      </w:r>
      <w:r>
        <w:rPr>
          <w:rStyle w:val="Parasts"/>
          <w:rFonts w:ascii="Times New Roman" w:hAnsi="Times New Roman"/>
          <w:sz w:val="24"/>
        </w:rPr>
        <w:t>paredzamas slimības</w:t>
      </w:r>
      <w:r>
        <w:rPr>
          <w:rStyle w:val="Parasts"/>
          <w:rFonts w:ascii="Times New Roman" w:hAnsi="Times New Roman"/>
          <w:sz w:val="24"/>
          <w:cs/>
        </w:rPr>
        <w:t xml:space="preserve">” </w:t>
      </w:r>
      <w:r>
        <w:rPr>
          <w:rStyle w:val="Parasts"/>
          <w:rFonts w:ascii="Times New Roman" w:hAnsi="Times New Roman"/>
          <w:sz w:val="24"/>
        </w:rPr>
        <w:t>gadījumos.</w:t>
      </w:r>
    </w:p>
    <w:p w:rsidR="00755A39" w:rsidRPr="00857B04" w:rsidRDefault="00755A39" w:rsidP="00755A39">
      <w:pPr>
        <w:jc w:val="both"/>
        <w:rPr>
          <w:rFonts w:ascii="Times New Roman" w:eastAsia="Times New Roman" w:hAnsi="Times New Roman"/>
          <w:sz w:val="24"/>
          <w:szCs w:val="25"/>
        </w:rPr>
      </w:pPr>
    </w:p>
    <w:p w:rsidR="00755A39" w:rsidRPr="00857B04" w:rsidRDefault="00755A39" w:rsidP="00755A39">
      <w:pPr>
        <w:jc w:val="both"/>
        <w:rPr>
          <w:rFonts w:ascii="Times New Roman" w:hAnsi="Times New Roman"/>
          <w:sz w:val="24"/>
        </w:rPr>
      </w:pPr>
      <w:r>
        <w:rPr>
          <w:rStyle w:val="Parasts"/>
          <w:rFonts w:ascii="Times New Roman" w:hAnsi="Times New Roman"/>
          <w:sz w:val="24"/>
        </w:rPr>
        <w:t>5. Hārlemas rajona tiesa [</w:t>
      </w:r>
      <w:r>
        <w:rPr>
          <w:rStyle w:val="Parasts"/>
          <w:rFonts w:ascii="Times New Roman" w:hAnsi="Times New Roman"/>
          <w:i/>
          <w:sz w:val="24"/>
        </w:rPr>
        <w:t>Arrondissementsrechtbank</w:t>
      </w:r>
      <w:r>
        <w:rPr>
          <w:rStyle w:val="Parasts"/>
          <w:rFonts w:ascii="Times New Roman" w:hAnsi="Times New Roman"/>
          <w:sz w:val="24"/>
        </w:rPr>
        <w:t>] un Apelācijas instances tiesa [</w:t>
      </w:r>
      <w:r>
        <w:rPr>
          <w:rStyle w:val="Parasts"/>
          <w:rFonts w:ascii="Times New Roman" w:hAnsi="Times New Roman"/>
          <w:i/>
          <w:sz w:val="24"/>
        </w:rPr>
        <w:t>Gerechtshof</w:t>
      </w:r>
      <w:r>
        <w:rPr>
          <w:rStyle w:val="Parasts"/>
          <w:rFonts w:ascii="Times New Roman" w:hAnsi="Times New Roman"/>
          <w:sz w:val="24"/>
        </w:rPr>
        <w:t xml:space="preserve">] noraidīja Dekeres kundzes lūgumus uzdot </w:t>
      </w:r>
      <w:r>
        <w:rPr>
          <w:rStyle w:val="Parasts"/>
          <w:rFonts w:ascii="Times New Roman" w:hAnsi="Times New Roman"/>
          <w:i/>
          <w:sz w:val="24"/>
        </w:rPr>
        <w:t>VJV</w:t>
      </w:r>
      <w:r>
        <w:rPr>
          <w:rStyle w:val="Parasts"/>
          <w:rFonts w:ascii="Times New Roman" w:hAnsi="Times New Roman"/>
          <w:sz w:val="24"/>
        </w:rPr>
        <w:t xml:space="preserve"> samaksāt viņai kompensāciju par finanšu zaudējumiem, pēc kā viņa iesniedza apelācijas sūdzību Nīderlandes Augstākajā tiesā (</w:t>
      </w:r>
      <w:r>
        <w:rPr>
          <w:rStyle w:val="Parasts"/>
          <w:rFonts w:ascii="Times New Roman" w:hAnsi="Times New Roman"/>
          <w:i/>
          <w:sz w:val="24"/>
        </w:rPr>
        <w:t>Hoge Raad der Nederlanden</w:t>
      </w:r>
      <w:r>
        <w:rPr>
          <w:rStyle w:val="Parasts"/>
          <w:rFonts w:ascii="Times New Roman" w:hAnsi="Times New Roman"/>
          <w:sz w:val="24"/>
        </w:rPr>
        <w:t>).</w:t>
      </w:r>
    </w:p>
    <w:p w:rsidR="00755A39" w:rsidRPr="00857B04" w:rsidRDefault="00755A39" w:rsidP="00755A39">
      <w:pPr>
        <w:jc w:val="both"/>
        <w:rPr>
          <w:rFonts w:ascii="Times New Roman" w:eastAsia="Times New Roman" w:hAnsi="Times New Roman"/>
          <w:sz w:val="24"/>
          <w:szCs w:val="15"/>
        </w:rPr>
      </w:pPr>
    </w:p>
    <w:p w:rsidR="00755A39" w:rsidRPr="00DF21D9" w:rsidRDefault="00755A39" w:rsidP="00755A39">
      <w:pPr>
        <w:pStyle w:val="Pamatteksts"/>
        <w:tabs>
          <w:tab w:val="left" w:pos="572"/>
        </w:tabs>
        <w:ind w:left="0"/>
        <w:jc w:val="both"/>
        <w:rPr>
          <w:sz w:val="24"/>
        </w:rPr>
      </w:pPr>
      <w:r>
        <w:rPr>
          <w:rStyle w:val="Pamatteksts"/>
          <w:sz w:val="24"/>
        </w:rPr>
        <w:t>6. Uzskatot, ka šī apelācija ir radījusi problēmas saistībā ar Padomes Direktīvas 76/207 interpretāciju, Nīderlandes Augstākā tiesa nolēma nosūtīt Tiesai turpmāk minētos jautājumus prejudiciālā nolēmuma sniegšanai.</w:t>
      </w:r>
    </w:p>
    <w:p w:rsidR="00755A39" w:rsidRPr="00857B04" w:rsidRDefault="00755A39" w:rsidP="00755A39">
      <w:pPr>
        <w:jc w:val="both"/>
        <w:rPr>
          <w:rFonts w:ascii="Times New Roman" w:eastAsia="Times New Roman" w:hAnsi="Times New Roman"/>
          <w:sz w:val="24"/>
          <w:szCs w:val="21"/>
        </w:rPr>
      </w:pPr>
    </w:p>
    <w:p w:rsidR="00755A39" w:rsidRPr="00857B04" w:rsidRDefault="00755A39" w:rsidP="00755A39">
      <w:pPr>
        <w:pStyle w:val="Pamatteksts"/>
        <w:ind w:left="426"/>
        <w:jc w:val="both"/>
        <w:rPr>
          <w:sz w:val="24"/>
        </w:rPr>
      </w:pPr>
      <w:r>
        <w:rPr>
          <w:rStyle w:val="Pamatteksts"/>
          <w:sz w:val="24"/>
          <w:cs/>
        </w:rPr>
        <w:t>“</w:t>
      </w:r>
      <w:r>
        <w:rPr>
          <w:rStyle w:val="Pamatteksts"/>
          <w:sz w:val="24"/>
        </w:rPr>
        <w:t>1. Vai darba devējs tieši vai netieši pārkāpj Direktīvas (Padomes 1976. gada 9. februāra Direktīva 76/207/EEK par tāda principa īstenošanu, kas paredz vienlīdzīgu attieksmi pret vīriešiem un sievietēm attiecībā uz darba, profesionālās izglītības un izaugsmes iespējām un darba apstākļiem) 2. panta 1. punktā un 3. panta 1. punktā noteikto vienlīdzīgas attieksmes principu, ja tas atsakās slēgt darba līgumu ar kandidāti, kuru tas ir atzinis par piemērotu, ņemot vērā nelabvēlīgās sekas, kas būtu tam paredzamas tādēļ, ka šī kandidāte ir bijusi grūtniecības stāvoklī laikā, kad viņa iesniedza darba pieteikumu, saistībā ar publiskas institūcijas noteikumiem par nepiemērotību darbam, kuros ar grūtniecību un dzemdībām saistīta darbnespēja ir pielīdzināta slimības izraisītai darbnespējai?</w:t>
      </w:r>
    </w:p>
    <w:p w:rsidR="00755A39" w:rsidRPr="00857B04" w:rsidRDefault="00755A39" w:rsidP="00755A39">
      <w:pPr>
        <w:ind w:left="426"/>
        <w:jc w:val="both"/>
        <w:rPr>
          <w:rFonts w:ascii="Times New Roman" w:eastAsia="Times New Roman" w:hAnsi="Times New Roman"/>
          <w:sz w:val="24"/>
          <w:szCs w:val="20"/>
        </w:rPr>
      </w:pPr>
    </w:p>
    <w:p w:rsidR="00755A39" w:rsidRPr="00857B04" w:rsidRDefault="00755A39" w:rsidP="00755A39">
      <w:pPr>
        <w:pStyle w:val="Pamatteksts"/>
        <w:ind w:left="426"/>
        <w:jc w:val="both"/>
        <w:rPr>
          <w:sz w:val="24"/>
        </w:rPr>
      </w:pPr>
      <w:r>
        <w:rPr>
          <w:rStyle w:val="Pamatteksts"/>
          <w:sz w:val="24"/>
        </w:rPr>
        <w:t>2. Vai šajā saistībā tam, ka darba pieteikumu nebija iesniedzis neviens vīrietis, ir būtiska nozīme?</w:t>
      </w:r>
    </w:p>
    <w:p w:rsidR="00755A39" w:rsidRPr="00857B04" w:rsidRDefault="00755A39" w:rsidP="00755A39">
      <w:pPr>
        <w:ind w:left="426"/>
        <w:jc w:val="both"/>
        <w:rPr>
          <w:rFonts w:ascii="Times New Roman" w:eastAsia="Times New Roman" w:hAnsi="Times New Roman"/>
          <w:sz w:val="24"/>
          <w:szCs w:val="20"/>
        </w:rPr>
      </w:pPr>
    </w:p>
    <w:p w:rsidR="00755A39" w:rsidRPr="00857B04" w:rsidRDefault="00755A39" w:rsidP="00755A39">
      <w:pPr>
        <w:pStyle w:val="Pamatteksts"/>
        <w:tabs>
          <w:tab w:val="left" w:pos="988"/>
        </w:tabs>
        <w:ind w:left="426"/>
        <w:jc w:val="both"/>
        <w:rPr>
          <w:sz w:val="24"/>
        </w:rPr>
      </w:pPr>
      <w:r>
        <w:rPr>
          <w:rStyle w:val="Pamatteksts"/>
          <w:sz w:val="24"/>
        </w:rPr>
        <w:t>3. Vai turpmāk minētais ir saderīgs ar 2. un 3. pantu?</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tabs>
          <w:tab w:val="left" w:pos="1342"/>
        </w:tabs>
        <w:ind w:left="709"/>
        <w:jc w:val="both"/>
        <w:rPr>
          <w:sz w:val="24"/>
        </w:rPr>
      </w:pPr>
      <w:r>
        <w:rPr>
          <w:rStyle w:val="Pamatteksts"/>
          <w:sz w:val="24"/>
        </w:rPr>
        <w:t>a) Ja tiek konstatēts, ka pret kandidātu ir pārkāpts vienlīdzīgas attieksmes princips, ir nepieciešama arī darba devēja vaina, lai varētu uzturēt prasību par šādu pārkāpumu.</w:t>
      </w:r>
    </w:p>
    <w:p w:rsidR="00755A39" w:rsidRPr="00857B04" w:rsidRDefault="00755A39" w:rsidP="00755A39">
      <w:pPr>
        <w:ind w:left="709"/>
        <w:jc w:val="both"/>
        <w:rPr>
          <w:rFonts w:ascii="Times New Roman" w:eastAsia="Times New Roman" w:hAnsi="Times New Roman"/>
          <w:sz w:val="24"/>
          <w:szCs w:val="20"/>
        </w:rPr>
      </w:pPr>
    </w:p>
    <w:p w:rsidR="00755A39" w:rsidRPr="00857B04" w:rsidRDefault="00755A39" w:rsidP="00755A39">
      <w:pPr>
        <w:pStyle w:val="Pamatteksts"/>
        <w:tabs>
          <w:tab w:val="left" w:pos="1356"/>
        </w:tabs>
        <w:ind w:left="709"/>
        <w:jc w:val="both"/>
        <w:rPr>
          <w:sz w:val="24"/>
        </w:rPr>
      </w:pPr>
      <w:r>
        <w:rPr>
          <w:rStyle w:val="Pamatteksts"/>
          <w:sz w:val="24"/>
        </w:rPr>
        <w:t>b) Ja šāds pārkāpums tiek konstatēts, vai darba devējs no savas puses joprojām var pamatoti aizbildināties pat tad, ja nepastāv neviens 2. panta 2.</w:t>
      </w:r>
      <w:r>
        <w:rPr>
          <w:rStyle w:val="Pamatteksts"/>
          <w:sz w:val="24"/>
          <w:cs/>
        </w:rPr>
        <w:t>–</w:t>
      </w:r>
      <w:r>
        <w:rPr>
          <w:rStyle w:val="Pamatteksts"/>
          <w:sz w:val="24"/>
        </w:rPr>
        <w:t>4. punktā minētais gadījums?</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426"/>
        <w:jc w:val="both"/>
        <w:rPr>
          <w:sz w:val="24"/>
        </w:rPr>
      </w:pPr>
      <w:r>
        <w:rPr>
          <w:rStyle w:val="Pamatteksts"/>
          <w:sz w:val="24"/>
        </w:rPr>
        <w:t>4. Ja iepriekš 3. jautājumā minētā vaina ir nepieciešama vai ja ir iespējams pamatoti aizbildināties, vai tas, ka darba devēju apdraud faktu kopsavilkumā minētais risks, ir pietiekams iemesls, lai varētu uzskatīt, ka darba devēja vaina nepastāv vai ka darba devējam ir bijis pamatots aizbildinājums, jeb vai 2. un 3. pants ir jāinterpretē tādējādi, ka darba devējam ir jāuzņemas šis risks, ja vien tas nav pilnīgi pārliecinājies par to, ka darbnespējas pabalsts tiks atteikts vai ka nāksies saskarties ar darbinieku trūkumu, un nav darījis visu iespējamo, lai to novērstu?</w:t>
      </w:r>
      <w:r>
        <w:rPr>
          <w:rStyle w:val="Pamatteksts"/>
          <w:sz w:val="24"/>
          <w:cs/>
        </w:rPr>
        <w:t>”</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sz w:val="24"/>
        </w:rPr>
      </w:pPr>
      <w:r>
        <w:rPr>
          <w:rStyle w:val="Pamatteksts"/>
          <w:sz w:val="24"/>
        </w:rPr>
        <w:t>7. Pilnīgāks lietas apstākļu, tiesvedības gaitas un Tiesai iesniegto rakstveida apsvērumu izklāsts ir sniegts tiesas sēdes ziņojumā, un turpmāk šī informācija ir minēta un apspriesta vienīgi tiktāl, cik tas ir nepieciešams Tiesas argumentācijai.</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jc w:val="both"/>
        <w:rPr>
          <w:rFonts w:ascii="Times New Roman" w:hAnsi="Times New Roman"/>
          <w:b/>
          <w:sz w:val="24"/>
        </w:rPr>
      </w:pPr>
      <w:r>
        <w:rPr>
          <w:rStyle w:val="Parasts"/>
          <w:rFonts w:ascii="Times New Roman" w:hAnsi="Times New Roman"/>
          <w:b/>
          <w:sz w:val="24"/>
        </w:rPr>
        <w:t>Pirmais jautājums</w:t>
      </w:r>
    </w:p>
    <w:p w:rsidR="00755A39" w:rsidRPr="00857B04" w:rsidRDefault="00755A39" w:rsidP="00755A39">
      <w:pPr>
        <w:jc w:val="both"/>
        <w:rPr>
          <w:rFonts w:ascii="Times New Roman" w:eastAsia="Times New Roman" w:hAnsi="Times New Roman"/>
          <w:b/>
          <w:bCs/>
          <w:sz w:val="24"/>
          <w:szCs w:val="16"/>
        </w:rPr>
      </w:pPr>
    </w:p>
    <w:p w:rsidR="00755A39" w:rsidRPr="00857B04" w:rsidRDefault="00755A39" w:rsidP="00755A39">
      <w:pPr>
        <w:pStyle w:val="Pamatteksts"/>
        <w:ind w:left="0" w:firstLine="9"/>
        <w:jc w:val="both"/>
        <w:rPr>
          <w:sz w:val="24"/>
        </w:rPr>
      </w:pPr>
      <w:r>
        <w:rPr>
          <w:rStyle w:val="Pamatteksts"/>
          <w:sz w:val="24"/>
        </w:rPr>
        <w:t>8. Vispirms jāatzīmē, ka atbilstīgi Direktīvas 1. panta 1. punktam Direktīvas mērķis ir īstenot dalībvalstīs principu, kas paredz vienlīdzīgu attieksmi pret vīriešiem un sievietēm attiecībā uz darba, profesionālās izglītības un izaugsmes iespējām un darba apstākļiem.</w:t>
      </w:r>
    </w:p>
    <w:p w:rsidR="00755A39" w:rsidRPr="00857B04" w:rsidRDefault="00755A39" w:rsidP="00755A39">
      <w:pPr>
        <w:jc w:val="both"/>
        <w:rPr>
          <w:rFonts w:ascii="Times New Roman" w:eastAsia="Times New Roman" w:hAnsi="Times New Roman"/>
          <w:sz w:val="24"/>
          <w:szCs w:val="29"/>
        </w:rPr>
      </w:pPr>
    </w:p>
    <w:p w:rsidR="00755A39" w:rsidRPr="00857B04" w:rsidRDefault="00755A39" w:rsidP="00755A39">
      <w:pPr>
        <w:pStyle w:val="Pamatteksts"/>
        <w:ind w:left="0" w:hanging="5"/>
        <w:jc w:val="both"/>
        <w:rPr>
          <w:sz w:val="24"/>
        </w:rPr>
      </w:pPr>
      <w:r>
        <w:rPr>
          <w:rStyle w:val="Pamatteksts"/>
          <w:sz w:val="24"/>
        </w:rPr>
        <w:t xml:space="preserve">9. Direktīvas 2. panta 1. punktā ir noteikts, ka </w:t>
      </w:r>
      <w:r>
        <w:rPr>
          <w:rStyle w:val="Pamatteksts"/>
          <w:sz w:val="24"/>
          <w:cs/>
        </w:rPr>
        <w:t>“</w:t>
      </w:r>
      <w:r>
        <w:rPr>
          <w:rStyle w:val="Pamatteksts"/>
          <w:sz w:val="24"/>
        </w:rPr>
        <w:t xml:space="preserve">(..) vienlīdzīgas attieksmes princips nozīmē to, </w:t>
      </w:r>
      <w:r>
        <w:rPr>
          <w:rStyle w:val="Pamatteksts"/>
          <w:sz w:val="24"/>
        </w:rPr>
        <w:lastRenderedPageBreak/>
        <w:t>ka nav nekādas tiešas vai netiešas diskriminācijas atkarībā no dzimuma, jo īpaši, norādot uz ģimenes stāvokli</w:t>
      </w:r>
      <w:r>
        <w:rPr>
          <w:rStyle w:val="Pamatteksts"/>
          <w:sz w:val="24"/>
          <w:cs/>
        </w:rPr>
        <w:t>”</w:t>
      </w:r>
      <w:r>
        <w:rPr>
          <w:rStyle w:val="Pamatteksts"/>
          <w:sz w:val="24"/>
        </w:rPr>
        <w:t xml:space="preserve">. Saskaņā ar 3. panta 1. punktu </w:t>
      </w:r>
      <w:r>
        <w:rPr>
          <w:rStyle w:val="Pamatteksts"/>
          <w:sz w:val="24"/>
          <w:cs/>
        </w:rPr>
        <w:t>“</w:t>
      </w:r>
      <w:r>
        <w:rPr>
          <w:rStyle w:val="Pamatteksts"/>
          <w:sz w:val="24"/>
        </w:rPr>
        <w:t>vienlīdzīgas attieksmes principa piemērošana nozīmē to, ka nosacījumos, to skaitā atlases kritērijos, kas attiecas uz iespēju iegūt darba vietu vai amatu, (..), nav nekādas diskriminācijas atkarībā no dzimuma</w:t>
      </w:r>
      <w:r>
        <w:rPr>
          <w:rStyle w:val="Pamatteksts"/>
          <w:sz w:val="24"/>
          <w:cs/>
        </w:rPr>
        <w:t>”</w:t>
      </w:r>
      <w:r>
        <w:rPr>
          <w:rStyle w:val="Pamatteksts"/>
          <w:sz w:val="24"/>
        </w:rPr>
        <w:t>.</w:t>
      </w:r>
    </w:p>
    <w:p w:rsidR="00755A39" w:rsidRPr="00857B04" w:rsidRDefault="00755A39" w:rsidP="00755A39">
      <w:pPr>
        <w:jc w:val="both"/>
        <w:rPr>
          <w:rFonts w:ascii="Times New Roman" w:hAnsi="Times New Roman"/>
          <w:sz w:val="24"/>
        </w:rPr>
      </w:pPr>
    </w:p>
    <w:p w:rsidR="00755A39" w:rsidRPr="00857B04" w:rsidRDefault="00755A39" w:rsidP="00755A39">
      <w:pPr>
        <w:pStyle w:val="Pamatteksts"/>
        <w:ind w:left="0"/>
        <w:jc w:val="both"/>
        <w:rPr>
          <w:sz w:val="24"/>
        </w:rPr>
      </w:pPr>
      <w:r>
        <w:rPr>
          <w:rStyle w:val="Pamatteksts"/>
          <w:sz w:val="24"/>
        </w:rPr>
        <w:t>10. Ir jāizskata jautājums par to, vai saistībā ar Direktīvu nepieņemšanu darbā valsts tiesas norādītajos apstākļos var uzskatīt par tiešu diskrimināciju atkarībā no dzimuma. Atbilde ir atkarīga no tā, vai nepieņemšanas darbā galvenais iemesls ir attiecināms uz visiem darbiniekiem neatkarīgi no viņu dzimuma vai arī tikai uz viena konkrēta dzimuma darbiniekiem.</w:t>
      </w:r>
    </w:p>
    <w:p w:rsidR="00755A39" w:rsidRPr="00857B04" w:rsidRDefault="00755A39" w:rsidP="00755A39">
      <w:pPr>
        <w:jc w:val="both"/>
        <w:rPr>
          <w:rFonts w:ascii="Times New Roman" w:eastAsia="Times New Roman" w:hAnsi="Times New Roman"/>
          <w:sz w:val="24"/>
          <w:szCs w:val="16"/>
        </w:rPr>
      </w:pPr>
    </w:p>
    <w:p w:rsidR="00755A39" w:rsidRPr="00857B04" w:rsidRDefault="00755A39" w:rsidP="00755A39">
      <w:pPr>
        <w:jc w:val="both"/>
        <w:rPr>
          <w:sz w:val="24"/>
        </w:rPr>
      </w:pPr>
      <w:r>
        <w:rPr>
          <w:rStyle w:val="Parasts"/>
          <w:rFonts w:ascii="Times New Roman" w:hAnsi="Times New Roman"/>
          <w:sz w:val="24"/>
        </w:rPr>
        <w:t xml:space="preserve">11. Darba devēja norādītais iemesls, kādēļ tas ir atteicies pieņemt darbā Dekeres kundzi, galvenokārt ir tas, ka darba devējs nebūtu varējis saņemt atlīdzību no </w:t>
      </w:r>
      <w:r>
        <w:rPr>
          <w:rStyle w:val="Parasts"/>
          <w:rFonts w:ascii="Times New Roman" w:hAnsi="Times New Roman"/>
          <w:i/>
          <w:sz w:val="24"/>
        </w:rPr>
        <w:t>Risicofonds</w:t>
      </w:r>
      <w:r>
        <w:rPr>
          <w:rStyle w:val="Parasts"/>
          <w:rFonts w:ascii="Times New Roman" w:hAnsi="Times New Roman"/>
          <w:sz w:val="24"/>
        </w:rPr>
        <w:t xml:space="preserve"> par dienas pabalstiem, ko tam būtu nācies maksāt viņai grūtniecības atvaļinājuma laikā, un ka tajā pašā laikā tam būtu jāalgo aizvietotājs. Šāda situācija pastāv tādēļ, ka, no vienas puses, attiecīgajā valsts apdrošināšanas shēmā grūtniecība ir pielīdzināta slimībai un, no otras puses, </w:t>
      </w:r>
      <w:r>
        <w:rPr>
          <w:rStyle w:val="Parasts"/>
          <w:rFonts w:ascii="Times New Roman" w:hAnsi="Times New Roman"/>
          <w:i/>
          <w:sz w:val="24"/>
        </w:rPr>
        <w:t>Ziekengeldreglement</w:t>
      </w:r>
      <w:r>
        <w:rPr>
          <w:rStyle w:val="Parasts"/>
          <w:rFonts w:ascii="Times New Roman" w:hAnsi="Times New Roman"/>
          <w:sz w:val="24"/>
        </w:rPr>
        <w:t xml:space="preserve"> nav paredzēts izņēmums attiecībā uz grūtniecību, kas to izslēgtu no to gadījumu loka, kuros </w:t>
      </w:r>
      <w:r>
        <w:rPr>
          <w:rStyle w:val="Parasts"/>
          <w:rFonts w:ascii="Times New Roman" w:hAnsi="Times New Roman"/>
          <w:i/>
          <w:sz w:val="24"/>
        </w:rPr>
        <w:t>Risicofonds</w:t>
      </w:r>
      <w:r>
        <w:rPr>
          <w:rStyle w:val="Parasts"/>
          <w:rFonts w:ascii="Times New Roman" w:hAnsi="Times New Roman"/>
          <w:sz w:val="24"/>
        </w:rPr>
        <w:t xml:space="preserve"> ir tiesīgs atteikties atlīdzināt dienas pabalstus.</w:t>
      </w:r>
    </w:p>
    <w:p w:rsidR="00755A39" w:rsidRPr="00857B04" w:rsidRDefault="00755A39" w:rsidP="00755A39">
      <w:pPr>
        <w:jc w:val="both"/>
        <w:rPr>
          <w:rFonts w:ascii="Times New Roman" w:eastAsia="Times New Roman" w:hAnsi="Times New Roman"/>
          <w:sz w:val="24"/>
          <w:szCs w:val="34"/>
        </w:rPr>
      </w:pPr>
    </w:p>
    <w:p w:rsidR="00755A39" w:rsidRPr="00857B04" w:rsidRDefault="00755A39" w:rsidP="00755A39">
      <w:pPr>
        <w:pStyle w:val="Pamatteksts"/>
        <w:ind w:left="0"/>
        <w:jc w:val="both"/>
        <w:rPr>
          <w:sz w:val="24"/>
        </w:rPr>
      </w:pPr>
      <w:r>
        <w:rPr>
          <w:rStyle w:val="Pamatteksts"/>
          <w:sz w:val="24"/>
        </w:rPr>
        <w:t>12. Šajā saistībā ir jāatzīmē, ka tikai sievietēm var būt atteikta pieņemšana darbā grūtniecības stāvokļa dēļ, un tāpēc šāds atteikums ir uzskatāms par tiešu diskrimināciju atkarībā no dzimuma. Ir jāuzskata, ka atteikums pieņemt personu darbā, pamatojoties uz finansiālajām sekām, ko radītu grūtniecības izraisīta prombūtne, galvenokārt ir balstīts uz grūtniecības faktu. Šāda diskriminācija nav attaisnojama ar apsvērumiem par finansiālajiem zaudējumiem, kas darba devējam, kurš ir pieņēmis darbā sievieti grūtniecības stāvoklī, rastos viņas grūtniecības un dzemdību atvaļinājuma laikā.</w:t>
      </w:r>
    </w:p>
    <w:p w:rsidR="00755A39" w:rsidRPr="00857B04" w:rsidRDefault="00755A39" w:rsidP="00755A39">
      <w:pPr>
        <w:jc w:val="both"/>
        <w:rPr>
          <w:rFonts w:ascii="Times New Roman" w:hAnsi="Times New Roman"/>
          <w:sz w:val="24"/>
        </w:rPr>
      </w:pPr>
    </w:p>
    <w:p w:rsidR="00755A39" w:rsidRPr="00857B04" w:rsidRDefault="00755A39" w:rsidP="00755A39">
      <w:pPr>
        <w:pStyle w:val="Pamatteksts"/>
        <w:ind w:left="0"/>
        <w:jc w:val="both"/>
        <w:rPr>
          <w:sz w:val="24"/>
        </w:rPr>
      </w:pPr>
      <w:r>
        <w:rPr>
          <w:rStyle w:val="Pamatteksts"/>
          <w:sz w:val="24"/>
        </w:rPr>
        <w:t xml:space="preserve">13. Jebkurā gadījumā to, ka grūtniecība tiek pielīdzināta slimībai un ka atšķiras attiecīgie </w:t>
      </w:r>
      <w:r>
        <w:rPr>
          <w:rStyle w:val="Pamatteksts"/>
          <w:i/>
          <w:sz w:val="24"/>
        </w:rPr>
        <w:t>Ziektewet</w:t>
      </w:r>
      <w:r>
        <w:rPr>
          <w:rStyle w:val="Pamatteksts"/>
          <w:sz w:val="24"/>
        </w:rPr>
        <w:t xml:space="preserve"> un </w:t>
      </w:r>
      <w:r>
        <w:rPr>
          <w:rStyle w:val="Pamatteksts"/>
          <w:i/>
          <w:sz w:val="24"/>
        </w:rPr>
        <w:t>Ziekengeldreglement</w:t>
      </w:r>
      <w:r>
        <w:rPr>
          <w:rStyle w:val="Pamatteksts"/>
          <w:sz w:val="24"/>
        </w:rPr>
        <w:t xml:space="preserve"> noteikumi, kas reglamentē to dienas pabalstu atlīdzināšanu, kas ir jāizmaksā saistībā ar grūtniecību, nevar uzskatīt par pierādījumiem diskriminācijai atkarībā no dzimuma Direktīvas nozīmē. Visbeidzot, ciktāl darba devēja atteikums pieņemt personu darbā, pamatojoties uz finansiālajām sekām, ko radītu grūtniecības izraisīta prombūtne, ir uzskatāms par tiešu diskrimināciju, nav nepieciešamības izskatīt, vai iepriekš minētie valsts noteikumi rada tādu spiedienu uz darba devēju, ka tam nākas atteikt grūtniecības stāvoklī esošai sievietei pieņemšanu darbā, tādējādi diskriminējot šo sievieti Direktīvas nozīmē.</w:t>
      </w:r>
    </w:p>
    <w:p w:rsidR="00755A39" w:rsidRPr="00857B04" w:rsidRDefault="00755A39" w:rsidP="00755A39">
      <w:pPr>
        <w:jc w:val="both"/>
        <w:rPr>
          <w:rFonts w:ascii="Times New Roman" w:eastAsia="Times New Roman" w:hAnsi="Times New Roman"/>
          <w:sz w:val="24"/>
          <w:szCs w:val="27"/>
        </w:rPr>
      </w:pPr>
    </w:p>
    <w:p w:rsidR="00755A39" w:rsidRPr="00857B04" w:rsidRDefault="00755A39" w:rsidP="00755A39">
      <w:pPr>
        <w:pStyle w:val="Pamatteksts"/>
        <w:ind w:left="0"/>
        <w:jc w:val="both"/>
        <w:rPr>
          <w:sz w:val="24"/>
        </w:rPr>
      </w:pPr>
      <w:r>
        <w:rPr>
          <w:rStyle w:val="Pamatteksts"/>
          <w:sz w:val="24"/>
        </w:rPr>
        <w:t>14. No iepriekš minētā izriet, ka atbilde uz pirmo jautājumu ir tā, ka darba devējs tieši pārkāpj vienlīdzīgas attieksmes principu, kas ir noteikts Padomes 1976. gada 9. februāra Direktīvas 76/207/EEK par tāda principa īstenošanu, kas paredz vienlīdzīgu attieksmi pret vīriešiem un sievietēm attiecībā uz darba, profesionālās izglītības un izaugsmes iespējām un darba apstākļiem, 2. panta 1. punktā un 3. panta 1. punktā, ja tas atsakās slēgt darba līgumu ar sieviešu kārtas kandidāti, kuru uzskata par piemērotu attiecīgajam darbam, un šāda atteikuma pamatā ir iespējamās nelabvēlīgās sekas, kas tam radīsies, pieņemot darbā sievieti grūtniecības stāvoklī, jo publisku institūciju pieņemtajos darbnespējas noteikumos darbnespēja, kas radusies grūtniecības un dzemdību dēļ, tiek pielīdzināta darbnespējai, kas radusies slimības dēļ.</w:t>
      </w:r>
    </w:p>
    <w:p w:rsidR="00755A39" w:rsidRPr="00857B04" w:rsidRDefault="00755A39" w:rsidP="00755A39">
      <w:pPr>
        <w:jc w:val="both"/>
        <w:rPr>
          <w:rFonts w:ascii="Times New Roman" w:eastAsia="Times New Roman" w:hAnsi="Times New Roman"/>
          <w:sz w:val="24"/>
          <w:szCs w:val="26"/>
        </w:rPr>
      </w:pPr>
    </w:p>
    <w:p w:rsidR="00755A39" w:rsidRPr="00857B04" w:rsidRDefault="00755A39" w:rsidP="00755A39">
      <w:pPr>
        <w:jc w:val="both"/>
        <w:rPr>
          <w:rFonts w:ascii="Times New Roman" w:hAnsi="Times New Roman"/>
          <w:b/>
          <w:sz w:val="24"/>
        </w:rPr>
      </w:pPr>
      <w:r>
        <w:rPr>
          <w:rStyle w:val="Parasts"/>
          <w:rFonts w:ascii="Times New Roman" w:hAnsi="Times New Roman"/>
          <w:b/>
          <w:sz w:val="24"/>
        </w:rPr>
        <w:t>Otrais jautājums</w:t>
      </w:r>
    </w:p>
    <w:p w:rsidR="00755A39" w:rsidRPr="00857B04" w:rsidRDefault="00755A39" w:rsidP="00755A39">
      <w:pPr>
        <w:jc w:val="both"/>
        <w:rPr>
          <w:rFonts w:ascii="Times New Roman" w:eastAsia="Times New Roman" w:hAnsi="Times New Roman"/>
          <w:b/>
          <w:bCs/>
          <w:sz w:val="24"/>
          <w:szCs w:val="21"/>
        </w:rPr>
      </w:pPr>
    </w:p>
    <w:p w:rsidR="00755A39" w:rsidRPr="00857B04" w:rsidRDefault="00755A39" w:rsidP="00755A39">
      <w:pPr>
        <w:pStyle w:val="Virsraksts3"/>
        <w:tabs>
          <w:tab w:val="left" w:pos="477"/>
        </w:tabs>
        <w:ind w:left="0"/>
        <w:jc w:val="both"/>
        <w:rPr>
          <w:sz w:val="24"/>
        </w:rPr>
      </w:pPr>
      <w:r>
        <w:rPr>
          <w:rStyle w:val="Virsraksts3"/>
          <w:sz w:val="24"/>
        </w:rPr>
        <w:t>15. Savā otrajā jautājumā Augstākā tiesa jautā, vai tas, ka uz attiecīgo darba vietu nebija pieteikušies vīriešu kārtas kandidāti, var ietekmēt atbildi uz pirmo jautājumu.</w:t>
      </w:r>
    </w:p>
    <w:p w:rsidR="00755A39" w:rsidRPr="00857B04" w:rsidRDefault="00755A39" w:rsidP="00755A39">
      <w:pPr>
        <w:jc w:val="both"/>
        <w:rPr>
          <w:rFonts w:ascii="Times New Roman" w:eastAsia="Times New Roman" w:hAnsi="Times New Roman"/>
          <w:sz w:val="24"/>
          <w:szCs w:val="18"/>
        </w:rPr>
      </w:pPr>
    </w:p>
    <w:p w:rsidR="00755A39" w:rsidRPr="00857B04" w:rsidRDefault="00755A39" w:rsidP="00755A39">
      <w:pPr>
        <w:jc w:val="both"/>
        <w:rPr>
          <w:rFonts w:ascii="Times New Roman" w:hAnsi="Times New Roman"/>
          <w:sz w:val="24"/>
        </w:rPr>
      </w:pPr>
      <w:r>
        <w:rPr>
          <w:rStyle w:val="Parasts"/>
          <w:rFonts w:ascii="Times New Roman" w:hAnsi="Times New Roman"/>
          <w:sz w:val="24"/>
        </w:rPr>
        <w:t xml:space="preserve">16. </w:t>
      </w:r>
      <w:r>
        <w:rPr>
          <w:rStyle w:val="Parasts"/>
          <w:rFonts w:ascii="Times New Roman" w:hAnsi="Times New Roman"/>
          <w:i/>
          <w:sz w:val="24"/>
        </w:rPr>
        <w:t>VJV</w:t>
      </w:r>
      <w:r>
        <w:rPr>
          <w:rStyle w:val="Parasts"/>
          <w:rFonts w:ascii="Times New Roman" w:hAnsi="Times New Roman"/>
          <w:sz w:val="24"/>
        </w:rPr>
        <w:t xml:space="preserve"> apgalvo, ka uz otro jautājumu ir jāatbild apstiprinoši, jo runa ir nevis par abstrakta </w:t>
      </w:r>
      <w:r>
        <w:rPr>
          <w:rStyle w:val="Parasts"/>
          <w:rFonts w:ascii="Times New Roman" w:hAnsi="Times New Roman"/>
          <w:sz w:val="24"/>
        </w:rPr>
        <w:lastRenderedPageBreak/>
        <w:t>pasākuma diskriminējošo ietekmi, bet gan par konkrētu darba devēja lēmumu nepieņemt darbā konkrētu kandidātu. Kad darba devējs izvēlas darbinieku tikai no sieviešu kārtas kandidātu vidus, tā izvēlei nevarot piedēvēt diskrimināciju atkarībā no dzimuma, jo šādā gadījumā darba devējs rīkojas, pamatojoties uz citiem finansiāla vai administratīva rakstura apsvērumiem.</w:t>
      </w:r>
    </w:p>
    <w:p w:rsidR="00755A39" w:rsidRPr="00857B04" w:rsidRDefault="00755A39" w:rsidP="00755A39">
      <w:pPr>
        <w:jc w:val="both"/>
        <w:rPr>
          <w:rFonts w:ascii="Times New Roman" w:hAnsi="Times New Roman"/>
          <w:sz w:val="24"/>
        </w:rPr>
      </w:pPr>
    </w:p>
    <w:p w:rsidR="00755A39" w:rsidRPr="00F0459D" w:rsidRDefault="00755A39" w:rsidP="00755A39">
      <w:pPr>
        <w:jc w:val="both"/>
        <w:rPr>
          <w:rFonts w:ascii="Times New Roman" w:eastAsia="Times New Roman" w:hAnsi="Times New Roman"/>
          <w:sz w:val="24"/>
          <w:szCs w:val="21"/>
        </w:rPr>
      </w:pPr>
      <w:r>
        <w:rPr>
          <w:rStyle w:val="Parasts"/>
          <w:rFonts w:ascii="Times New Roman" w:hAnsi="Times New Roman"/>
          <w:sz w:val="24"/>
        </w:rPr>
        <w:t>17. Jāuzsver, ka atbilde uz jautājumu par to, vai atteikums pieņemt darbā sievieti ir uzskatāms par tiešu vai netiešu diskrimināciju, ir atkarīgs no šāda atteikuma iemesla. Ja šis iemesls ir saistīts ar to, ka attiecīgā persona ir grūtniecības stāvoklī, tad lēmums ir tieši saistīts ar kandidāta dzimumu. Šādos apstākļos vīriešu kārtas kandidātu neesamība nevar ietekmēt atbildi uz pirmo jautājumu.</w:t>
      </w:r>
    </w:p>
    <w:p w:rsidR="00755A39" w:rsidRPr="00857B04" w:rsidRDefault="00755A39" w:rsidP="00755A39">
      <w:pPr>
        <w:jc w:val="both"/>
        <w:rPr>
          <w:rFonts w:ascii="Times New Roman" w:eastAsia="Times New Roman" w:hAnsi="Times New Roman"/>
          <w:sz w:val="24"/>
          <w:szCs w:val="27"/>
        </w:rPr>
      </w:pPr>
    </w:p>
    <w:p w:rsidR="00755A39" w:rsidRPr="00F0459D" w:rsidRDefault="00755A39" w:rsidP="00755A39">
      <w:pPr>
        <w:tabs>
          <w:tab w:val="left" w:pos="487"/>
        </w:tabs>
        <w:jc w:val="both"/>
        <w:rPr>
          <w:rFonts w:ascii="Times New Roman" w:eastAsia="Times New Roman" w:hAnsi="Times New Roman"/>
          <w:sz w:val="24"/>
          <w:szCs w:val="21"/>
        </w:rPr>
      </w:pPr>
      <w:r>
        <w:rPr>
          <w:rStyle w:val="Parasts"/>
          <w:rFonts w:ascii="Times New Roman" w:hAnsi="Times New Roman"/>
          <w:sz w:val="24"/>
        </w:rPr>
        <w:t>18. Tāpēc atbildei uz otro jautājumu ir jābūt tādai, ka tas, ka neviens vīrietis nebija pieteicies uz attiecīgo darbavietu, neietekmē atbildi uz pirmo jautājumu.</w:t>
      </w:r>
    </w:p>
    <w:p w:rsidR="00755A39" w:rsidRPr="00857B04" w:rsidRDefault="00755A39" w:rsidP="00755A39">
      <w:pPr>
        <w:jc w:val="both"/>
        <w:rPr>
          <w:rFonts w:ascii="Times New Roman" w:eastAsia="Times New Roman" w:hAnsi="Times New Roman"/>
          <w:sz w:val="24"/>
          <w:szCs w:val="16"/>
        </w:rPr>
      </w:pPr>
    </w:p>
    <w:p w:rsidR="00755A39" w:rsidRPr="00F0459D" w:rsidRDefault="00755A39" w:rsidP="00755A39">
      <w:pPr>
        <w:jc w:val="both"/>
        <w:rPr>
          <w:rFonts w:ascii="Times New Roman" w:eastAsia="Times New Roman" w:hAnsi="Times New Roman"/>
          <w:b/>
          <w:sz w:val="24"/>
          <w:szCs w:val="24"/>
        </w:rPr>
      </w:pPr>
      <w:r>
        <w:rPr>
          <w:rStyle w:val="Parasts"/>
          <w:rFonts w:ascii="Times New Roman" w:hAnsi="Times New Roman"/>
          <w:b/>
          <w:sz w:val="24"/>
        </w:rPr>
        <w:t>Trešais jautājums</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sz w:val="24"/>
        </w:rPr>
      </w:pPr>
      <w:r>
        <w:rPr>
          <w:rStyle w:val="Pamatteksts"/>
          <w:sz w:val="24"/>
        </w:rPr>
        <w:t>19. Trešais jautājums ir par to, vai tas, ka kompensācijas prasība, kas ir iesniegta, pamatojoties uz vienlīdzīgas attieksmes principa pārkāpumu, var būt apmierināta tikai tad, ja ir pierādīta darba devēja vaina un darba devējam nav neviena pamatota aizbildinājuma, kas to atbrīvotu no atbildības, ir pretrunā Direktīvas 2. un 3. pantam.</w:t>
      </w:r>
    </w:p>
    <w:p w:rsidR="00755A39" w:rsidRPr="00857B04" w:rsidRDefault="00755A39" w:rsidP="00755A39">
      <w:pPr>
        <w:jc w:val="both"/>
        <w:rPr>
          <w:rFonts w:ascii="Times New Roman" w:eastAsia="Times New Roman" w:hAnsi="Times New Roman"/>
          <w:sz w:val="24"/>
          <w:szCs w:val="26"/>
        </w:rPr>
      </w:pPr>
    </w:p>
    <w:p w:rsidR="00755A39" w:rsidRPr="00857B04" w:rsidRDefault="00755A39" w:rsidP="00755A39">
      <w:pPr>
        <w:pStyle w:val="Pamatteksts"/>
        <w:ind w:left="0"/>
        <w:jc w:val="both"/>
        <w:rPr>
          <w:sz w:val="24"/>
        </w:rPr>
      </w:pPr>
      <w:r>
        <w:rPr>
          <w:rStyle w:val="Pamatteksts"/>
          <w:sz w:val="24"/>
        </w:rPr>
        <w:t>20. Dekeres kundze, Nīderlandes valdība un Apvienotā Karaliste uzskata, ka, konstatējot vienlīdzīgas attieksmes principa pārkāpumu, šis pārkāpums ir pietiekams iemesls, lai uzskatītu, ka darba devējs ir saucams pie atbildības.</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sz w:val="24"/>
        </w:rPr>
      </w:pPr>
      <w:r>
        <w:rPr>
          <w:rStyle w:val="Pamatteksts"/>
          <w:sz w:val="24"/>
        </w:rPr>
        <w:t xml:space="preserve">21. </w:t>
      </w:r>
      <w:r>
        <w:rPr>
          <w:rStyle w:val="Pamatteksts"/>
          <w:i/>
          <w:sz w:val="24"/>
        </w:rPr>
        <w:t>VJV</w:t>
      </w:r>
      <w:r>
        <w:rPr>
          <w:rStyle w:val="Pamatteksts"/>
          <w:sz w:val="24"/>
        </w:rPr>
        <w:t xml:space="preserve"> no savas puses norādīja, ka trešā jautājuma dalījums divās daļās starp darba devēja vainu, no vienas puses, un iespējamo tāda pamatota aizbildinājuma neesamību, kas varētu atbrīvot darba devēju no atbildības, no otras puses, ir daļēji saistīts ar valsts tiesību aktiem, kas ir piemērojami attiecībā uz pamattiesvedību, kura paredz atšķirīgas juridiskās sekas atkarībā no konkrētā gadījuma. </w:t>
      </w:r>
      <w:r>
        <w:rPr>
          <w:rStyle w:val="Pamatteksts"/>
          <w:i/>
          <w:sz w:val="24"/>
        </w:rPr>
        <w:t>VJV</w:t>
      </w:r>
      <w:r>
        <w:rPr>
          <w:rStyle w:val="Pamatteksts"/>
          <w:sz w:val="24"/>
        </w:rPr>
        <w:t xml:space="preserve"> uzskata, ka Direktīva ļauj atbildēt tikai uz jautājumu par to, vai vienlīdzīgas attieksmes principa pārkāpumu var attaisnot kādā konkrētā gadījumā.</w:t>
      </w:r>
    </w:p>
    <w:p w:rsidR="00755A39" w:rsidRPr="00857B04" w:rsidRDefault="00755A39" w:rsidP="00755A39">
      <w:pPr>
        <w:jc w:val="both"/>
        <w:rPr>
          <w:rFonts w:ascii="Times New Roman" w:eastAsia="Times New Roman" w:hAnsi="Times New Roman"/>
          <w:sz w:val="24"/>
          <w:szCs w:val="17"/>
        </w:rPr>
      </w:pPr>
    </w:p>
    <w:p w:rsidR="00755A39" w:rsidRPr="00857B04" w:rsidRDefault="00755A39" w:rsidP="00755A39">
      <w:pPr>
        <w:pStyle w:val="Pamatteksts"/>
        <w:ind w:left="0"/>
        <w:jc w:val="both"/>
        <w:rPr>
          <w:sz w:val="24"/>
        </w:rPr>
      </w:pPr>
      <w:r>
        <w:rPr>
          <w:rStyle w:val="Pamatteksts"/>
          <w:sz w:val="24"/>
        </w:rPr>
        <w:t>22. Šajā saistībā ir jāatzīmē, ka Direktīvas 2. panta 2., 3. un 4. punktā ir noteikti izņēmumi attiecībā uz 2. panta 1. punktā noteikto vienlīdzīgas attieksmes principu, taču Direktīva nekādā veidā neparedz, ka diskriminācijā vainojamas personas atbildība ir jebkādā veidā atkarīga no vainas pierādījumiem vai no šādas vainas atbrīvojošu aizbildinājumu neesamības.</w:t>
      </w:r>
    </w:p>
    <w:p w:rsidR="00755A39" w:rsidRPr="00857B04" w:rsidRDefault="00755A39" w:rsidP="00755A39">
      <w:pPr>
        <w:jc w:val="both"/>
        <w:rPr>
          <w:rFonts w:ascii="Times New Roman" w:eastAsia="Times New Roman" w:hAnsi="Times New Roman"/>
          <w:sz w:val="24"/>
          <w:szCs w:val="20"/>
        </w:rPr>
      </w:pPr>
    </w:p>
    <w:p w:rsidR="00755A39" w:rsidRPr="00857B04" w:rsidRDefault="00755A39" w:rsidP="00755A39">
      <w:pPr>
        <w:pStyle w:val="Pamatteksts"/>
        <w:ind w:left="0"/>
        <w:jc w:val="both"/>
        <w:rPr>
          <w:sz w:val="24"/>
        </w:rPr>
      </w:pPr>
      <w:r>
        <w:rPr>
          <w:rStyle w:val="Pamatteksts"/>
          <w:sz w:val="24"/>
        </w:rPr>
        <w:t xml:space="preserve">23. Direktīvas 6. pantā ir atzītas no diskriminācijas cietušu personu tiesības, kuras var aizstāvēt tiesā. Lai arī Direktīvas pilnīgai piemērošanai nav nepieciešamas nekādas konkrēta veida sankcijas attiecībā uz nelikumīgu diskrimināciju, tomēr šādām sankcijām ir jābūt tādām, lai nodrošinātu reālu un efektīvu aizsardzību (spriedums lietā 14/83, </w:t>
      </w:r>
      <w:r>
        <w:rPr>
          <w:rStyle w:val="Pamatteksts"/>
          <w:sz w:val="24"/>
          <w:cs/>
        </w:rPr>
        <w:t>“</w:t>
      </w:r>
      <w:r>
        <w:rPr>
          <w:rStyle w:val="Pamatteksts"/>
          <w:sz w:val="24"/>
        </w:rPr>
        <w:t>Fon Kolsone un Kamane pret Ziemeļreinas-Vestfālenes federālo zemi</w:t>
      </w:r>
      <w:r>
        <w:rPr>
          <w:rStyle w:val="Pamatteksts"/>
          <w:sz w:val="24"/>
          <w:cs/>
        </w:rPr>
        <w:t xml:space="preserve">” </w:t>
      </w:r>
      <w:r>
        <w:rPr>
          <w:rStyle w:val="Pamatteksts"/>
          <w:sz w:val="24"/>
        </w:rPr>
        <w:t>[</w:t>
      </w:r>
      <w:r>
        <w:rPr>
          <w:rStyle w:val="Pamatteksts"/>
          <w:i/>
          <w:sz w:val="24"/>
        </w:rPr>
        <w:t>Von Colson and Kamann v Land Nordrhein-Westfalen</w:t>
      </w:r>
      <w:r>
        <w:rPr>
          <w:rStyle w:val="Pamatteksts"/>
          <w:sz w:val="24"/>
        </w:rPr>
        <w:t xml:space="preserve">], [1984. gads], </w:t>
      </w:r>
      <w:r>
        <w:rPr>
          <w:rStyle w:val="Pamatteksts"/>
          <w:i/>
          <w:sz w:val="24"/>
        </w:rPr>
        <w:t>ECR </w:t>
      </w:r>
      <w:r>
        <w:rPr>
          <w:rStyle w:val="Pamatteksts"/>
          <w:sz w:val="24"/>
        </w:rPr>
        <w:t>1891, 23. punkts). Turklāt šādām sankcijām ir jābūt preventīvai ietekmei uz darba devēju.</w:t>
      </w:r>
    </w:p>
    <w:p w:rsidR="00755A39" w:rsidRPr="00857B04" w:rsidRDefault="00755A39" w:rsidP="00755A39">
      <w:pPr>
        <w:jc w:val="both"/>
        <w:rPr>
          <w:rFonts w:ascii="Times New Roman" w:eastAsia="Times New Roman" w:hAnsi="Times New Roman"/>
          <w:sz w:val="24"/>
          <w:szCs w:val="12"/>
        </w:rPr>
      </w:pPr>
    </w:p>
    <w:p w:rsidR="00755A39" w:rsidRPr="00857B04" w:rsidRDefault="00755A39" w:rsidP="00755A39">
      <w:pPr>
        <w:pStyle w:val="Virsraksts3"/>
        <w:ind w:left="0"/>
        <w:jc w:val="both"/>
        <w:rPr>
          <w:sz w:val="24"/>
        </w:rPr>
      </w:pPr>
      <w:r>
        <w:rPr>
          <w:rStyle w:val="Virsraksts3"/>
          <w:sz w:val="24"/>
        </w:rPr>
        <w:t>24. Jāatzīmē, ka gadījumā, ja darba devēja atbildība par vienlīdzīgas attieksmes principa pārkāpumu būtu atkarīga no pierādījumiem par darba devēja vainu un arī no piemērojamajos valsts tiesību aktos atzīto atbrīvojuma iemeslu nepastāvēšanas, šo principu praktiskā iedarbība tiktu ievērojami vājināta.</w:t>
      </w:r>
    </w:p>
    <w:p w:rsidR="00755A39" w:rsidRPr="00857B04" w:rsidRDefault="00755A39" w:rsidP="00755A39">
      <w:pPr>
        <w:jc w:val="both"/>
        <w:rPr>
          <w:rFonts w:ascii="Times New Roman" w:eastAsia="Times New Roman" w:hAnsi="Times New Roman"/>
          <w:sz w:val="24"/>
          <w:szCs w:val="26"/>
        </w:rPr>
      </w:pPr>
    </w:p>
    <w:p w:rsidR="00755A39" w:rsidRPr="00857B04" w:rsidRDefault="00755A39" w:rsidP="00755A39">
      <w:pPr>
        <w:jc w:val="both"/>
        <w:rPr>
          <w:rFonts w:ascii="Times New Roman" w:eastAsia="Times New Roman" w:hAnsi="Times New Roman"/>
          <w:sz w:val="24"/>
          <w:szCs w:val="21"/>
        </w:rPr>
      </w:pPr>
      <w:r>
        <w:rPr>
          <w:rStyle w:val="Parasts"/>
          <w:rFonts w:ascii="Times New Roman" w:hAnsi="Times New Roman"/>
          <w:sz w:val="24"/>
        </w:rPr>
        <w:t xml:space="preserve">25. Līdz ar to gadījumā, kad dalībvalsts izraudzītās sankcijas ir ietvertas darba devēja </w:t>
      </w:r>
      <w:r>
        <w:rPr>
          <w:rStyle w:val="Parasts"/>
          <w:rFonts w:ascii="Times New Roman" w:hAnsi="Times New Roman"/>
          <w:sz w:val="24"/>
        </w:rPr>
        <w:lastRenderedPageBreak/>
        <w:t>civiltiesisko atbildību reglamentējošajos noteikumos, jebkurš diskriminācijas aizlieguma pārkāpums pats par sevi ir pietiekams pamats darba devēja saukšanai pie atbildības bez jebkādas iespējas piesaukt valsts tiesību aktos noteiktos atbrīvojuma iemeslus.</w:t>
      </w:r>
    </w:p>
    <w:p w:rsidR="00755A39" w:rsidRPr="00857B04" w:rsidRDefault="00755A39" w:rsidP="00755A39">
      <w:pPr>
        <w:jc w:val="both"/>
        <w:rPr>
          <w:rFonts w:ascii="Times New Roman" w:eastAsia="Times New Roman" w:hAnsi="Times New Roman"/>
          <w:sz w:val="24"/>
          <w:szCs w:val="24"/>
        </w:rPr>
      </w:pPr>
    </w:p>
    <w:p w:rsidR="00755A39" w:rsidRPr="00857B04" w:rsidRDefault="00755A39" w:rsidP="00755A39">
      <w:pPr>
        <w:jc w:val="both"/>
        <w:rPr>
          <w:rFonts w:ascii="Times New Roman" w:eastAsia="Times New Roman" w:hAnsi="Times New Roman"/>
          <w:sz w:val="24"/>
          <w:szCs w:val="21"/>
        </w:rPr>
      </w:pPr>
      <w:r>
        <w:rPr>
          <w:rStyle w:val="Parasts"/>
          <w:rFonts w:ascii="Times New Roman" w:hAnsi="Times New Roman"/>
          <w:sz w:val="24"/>
        </w:rPr>
        <w:t>26. Attiecīgi atbilde uz šo jautājumu ir tāda, ka, lai arī Direktīva 76/207 sniedz dalībvalstīm iespēju izvēlēties starp vairākiem tās mērķa sasniegšanai piemērotiem risinājumiem, lemjot par to, kāds sods būtu jāpiespriež par diskriminācijas aizlieguma pārkāpumu, tā tomēr paredz, ka gadījumos, kad dalībvalsts izvēlas piemērot sankcijas, kas ietilpst tās civiltiesiskās atbildības noteikumos, jebkurš diskriminācijas aizlieguma pārkāpums pats par sevi ir pietiekams pamats vainīgās personas saukšanai pie pilnas atbildības, un nevar atsaukties uz valsts tiesību aktos paredzētajiem atbrīvojuma iemesliem.</w:t>
      </w:r>
    </w:p>
    <w:p w:rsidR="00755A39" w:rsidRPr="00857B04" w:rsidRDefault="00755A39" w:rsidP="00755A39">
      <w:pPr>
        <w:jc w:val="both"/>
        <w:rPr>
          <w:rFonts w:ascii="Times New Roman" w:eastAsia="Times New Roman" w:hAnsi="Times New Roman"/>
          <w:sz w:val="24"/>
          <w:szCs w:val="26"/>
        </w:rPr>
      </w:pPr>
    </w:p>
    <w:p w:rsidR="00755A39" w:rsidRPr="00857B04" w:rsidRDefault="00755A39" w:rsidP="00755A39">
      <w:pPr>
        <w:jc w:val="both"/>
        <w:rPr>
          <w:rFonts w:ascii="Times New Roman" w:hAnsi="Times New Roman"/>
          <w:b/>
          <w:sz w:val="24"/>
        </w:rPr>
      </w:pPr>
      <w:r>
        <w:rPr>
          <w:rStyle w:val="Parasts"/>
          <w:rFonts w:ascii="Times New Roman" w:hAnsi="Times New Roman"/>
          <w:b/>
          <w:sz w:val="24"/>
        </w:rPr>
        <w:t>Ceturtais jautājums</w:t>
      </w:r>
    </w:p>
    <w:p w:rsidR="00755A39" w:rsidRPr="00857B04" w:rsidRDefault="00755A39" w:rsidP="00755A39">
      <w:pPr>
        <w:jc w:val="both"/>
        <w:rPr>
          <w:rFonts w:ascii="Times New Roman" w:eastAsia="Times New Roman" w:hAnsi="Times New Roman"/>
          <w:b/>
          <w:bCs/>
          <w:sz w:val="24"/>
          <w:szCs w:val="21"/>
        </w:rPr>
      </w:pPr>
    </w:p>
    <w:p w:rsidR="00755A39" w:rsidRPr="00857B04" w:rsidRDefault="00755A39" w:rsidP="00755A39">
      <w:pPr>
        <w:pStyle w:val="Virsraksts3"/>
        <w:ind w:left="0"/>
        <w:jc w:val="both"/>
        <w:rPr>
          <w:sz w:val="24"/>
        </w:rPr>
      </w:pPr>
      <w:r>
        <w:rPr>
          <w:rStyle w:val="Virsraksts3"/>
          <w:sz w:val="24"/>
        </w:rPr>
        <w:t>27. Atbilde uz trešo jautājumu atceļ nepieciešamību sniegt nolēmumu attiecībā uz ceturto jautājumu.</w:t>
      </w:r>
    </w:p>
    <w:p w:rsidR="00755A39" w:rsidRPr="00857B04" w:rsidRDefault="00755A39" w:rsidP="00755A39">
      <w:pPr>
        <w:jc w:val="both"/>
        <w:rPr>
          <w:rFonts w:ascii="Times New Roman" w:eastAsia="Times New Roman" w:hAnsi="Times New Roman"/>
          <w:sz w:val="24"/>
        </w:rPr>
      </w:pPr>
    </w:p>
    <w:p w:rsidR="00755A39" w:rsidRPr="00857B04" w:rsidRDefault="00755A39" w:rsidP="00755A39">
      <w:pPr>
        <w:jc w:val="both"/>
        <w:rPr>
          <w:rFonts w:ascii="Times New Roman" w:hAnsi="Times New Roman"/>
          <w:b/>
          <w:sz w:val="24"/>
        </w:rPr>
      </w:pPr>
      <w:r>
        <w:rPr>
          <w:rStyle w:val="Parasts"/>
          <w:rFonts w:ascii="Times New Roman" w:hAnsi="Times New Roman"/>
          <w:b/>
          <w:sz w:val="24"/>
        </w:rPr>
        <w:t>Izdevumi</w:t>
      </w:r>
    </w:p>
    <w:p w:rsidR="00755A39" w:rsidRPr="00857B04" w:rsidRDefault="00755A39" w:rsidP="00755A39">
      <w:pPr>
        <w:jc w:val="both"/>
        <w:rPr>
          <w:rFonts w:ascii="Times New Roman" w:eastAsia="Times New Roman" w:hAnsi="Times New Roman"/>
          <w:b/>
          <w:bCs/>
          <w:sz w:val="24"/>
        </w:rPr>
      </w:pPr>
    </w:p>
    <w:p w:rsidR="00755A39" w:rsidRPr="00857B04" w:rsidRDefault="00755A39" w:rsidP="00755A39">
      <w:pPr>
        <w:jc w:val="both"/>
        <w:rPr>
          <w:sz w:val="24"/>
        </w:rPr>
      </w:pPr>
      <w:r>
        <w:rPr>
          <w:rStyle w:val="Parasts"/>
          <w:rFonts w:ascii="Times New Roman" w:hAnsi="Times New Roman"/>
          <w:sz w:val="24"/>
        </w:rPr>
        <w:t>28. Izdevumi, kas ir radušies Nīderlandes valdībai, Apvienotajai Karalistei un Komisijai, kuras ir iesniegušas savus apsvērumus Tiesai, nav atlīdzināmi. Tā kā šī izskatīšana, ciktāl tā skar pamattiesvedības puses, pēc būtības ir valsts tiesas izskatītā procesa posms, tad par izdevumiem lemj šī valsts tiesa.</w:t>
      </w:r>
    </w:p>
    <w:p w:rsidR="00755A39" w:rsidRPr="00857B04" w:rsidRDefault="00755A39" w:rsidP="00755A39">
      <w:pPr>
        <w:jc w:val="both"/>
        <w:rPr>
          <w:rFonts w:ascii="Times New Roman" w:eastAsia="Times New Roman" w:hAnsi="Times New Roman"/>
          <w:sz w:val="24"/>
          <w:szCs w:val="14"/>
        </w:rPr>
      </w:pPr>
    </w:p>
    <w:p w:rsidR="00755A39" w:rsidRPr="00857B04" w:rsidRDefault="00755A39" w:rsidP="00755A39">
      <w:pPr>
        <w:pStyle w:val="Virsraksts2"/>
        <w:ind w:left="0"/>
        <w:jc w:val="both"/>
        <w:rPr>
          <w:sz w:val="24"/>
        </w:rPr>
      </w:pPr>
      <w:r>
        <w:rPr>
          <w:rStyle w:val="Virsraksts2"/>
          <w:sz w:val="24"/>
        </w:rPr>
        <w:t>Ar šādu pamatojumu</w:t>
      </w:r>
    </w:p>
    <w:p w:rsidR="00755A39" w:rsidRPr="00857B04" w:rsidRDefault="00755A39" w:rsidP="00755A39">
      <w:pPr>
        <w:jc w:val="both"/>
        <w:rPr>
          <w:rFonts w:ascii="Times New Roman" w:eastAsia="Times New Roman" w:hAnsi="Times New Roman"/>
          <w:sz w:val="24"/>
        </w:rPr>
      </w:pPr>
    </w:p>
    <w:p w:rsidR="00755A39" w:rsidRPr="00857B04" w:rsidRDefault="00755A39" w:rsidP="00755A39">
      <w:pPr>
        <w:jc w:val="center"/>
        <w:rPr>
          <w:rFonts w:ascii="Times New Roman" w:hAnsi="Times New Roman"/>
          <w:sz w:val="24"/>
        </w:rPr>
      </w:pPr>
      <w:r>
        <w:rPr>
          <w:rStyle w:val="Parasts"/>
          <w:rFonts w:ascii="Times New Roman" w:hAnsi="Times New Roman"/>
          <w:sz w:val="24"/>
        </w:rPr>
        <w:t>TIESA,</w:t>
      </w:r>
    </w:p>
    <w:p w:rsidR="00755A39" w:rsidRPr="00857B04" w:rsidRDefault="00755A39" w:rsidP="00755A39">
      <w:pPr>
        <w:jc w:val="both"/>
        <w:rPr>
          <w:rFonts w:ascii="Times New Roman" w:eastAsia="Times New Roman" w:hAnsi="Times New Roman"/>
          <w:sz w:val="24"/>
          <w:szCs w:val="32"/>
        </w:rPr>
      </w:pPr>
    </w:p>
    <w:p w:rsidR="00755A39" w:rsidRPr="00857B04" w:rsidRDefault="00755A39" w:rsidP="00755A39">
      <w:pPr>
        <w:ind w:firstLine="4"/>
        <w:jc w:val="both"/>
        <w:rPr>
          <w:rFonts w:ascii="Times New Roman" w:eastAsia="Times New Roman" w:hAnsi="Times New Roman"/>
          <w:sz w:val="24"/>
          <w:szCs w:val="19"/>
        </w:rPr>
      </w:pPr>
      <w:r>
        <w:rPr>
          <w:rStyle w:val="Parasts"/>
          <w:rFonts w:ascii="Times New Roman" w:hAnsi="Times New Roman"/>
          <w:sz w:val="24"/>
        </w:rPr>
        <w:t>atbildot uz jautājumiem, ko tai ir uzdevusi Nīderlandes Augstākā tiesa ar 1988. gada 28. jūnija spriedumu, lemj šādi:</w:t>
      </w:r>
    </w:p>
    <w:p w:rsidR="00755A39" w:rsidRPr="00857B04" w:rsidRDefault="00755A39" w:rsidP="00755A39">
      <w:pPr>
        <w:jc w:val="both"/>
        <w:rPr>
          <w:rFonts w:ascii="Times New Roman" w:eastAsia="Times New Roman" w:hAnsi="Times New Roman"/>
          <w:sz w:val="24"/>
          <w:szCs w:val="18"/>
        </w:rPr>
      </w:pPr>
    </w:p>
    <w:p w:rsidR="00755A39" w:rsidRPr="00857B04" w:rsidRDefault="00755A39" w:rsidP="00755A39">
      <w:pPr>
        <w:jc w:val="both"/>
        <w:rPr>
          <w:rFonts w:ascii="Times New Roman" w:eastAsia="Times New Roman" w:hAnsi="Times New Roman"/>
          <w:sz w:val="24"/>
          <w:szCs w:val="20"/>
        </w:rPr>
      </w:pPr>
    </w:p>
    <w:p w:rsidR="00755A39" w:rsidRPr="00E06662" w:rsidRDefault="00755A39" w:rsidP="00755A39">
      <w:pPr>
        <w:tabs>
          <w:tab w:val="left" w:pos="874"/>
        </w:tabs>
        <w:jc w:val="both"/>
        <w:rPr>
          <w:rFonts w:ascii="Times New Roman" w:eastAsia="Times New Roman" w:hAnsi="Times New Roman"/>
          <w:sz w:val="24"/>
          <w:szCs w:val="19"/>
        </w:rPr>
      </w:pPr>
      <w:r>
        <w:rPr>
          <w:rStyle w:val="Parasts"/>
          <w:rFonts w:ascii="Times New Roman" w:hAnsi="Times New Roman"/>
          <w:sz w:val="24"/>
        </w:rPr>
        <w:t>1. darba devējs tieši pārkāpj vienlīdzīgas attieksmes principu, kas ir noteikts Padomes 1976. gada 9. februāra Direktīvas 76/207/EEK par tāda principa īstenošanu, kas paredz vienlīdzīgu attieksmi pret vīriešiem un sievietēm attiecībā uz darba, profesionālās izglītības un izaugsmes iespējām un darba apstākļiem, 2. panta 1. punktā un 3. panta 1. punktā, ja tas atsakās slēgt darba līgumu ar sieviešu kārtas kandidāti, kuru uzskata par piemērotu attiecīgajam darbam, un šāda atteikuma pamatā ir iespējamās nelabvēlīgās sekas, kas tam radīsies, pieņemot darbā sievieti grūtniecības stāvoklī, jo publisku institūciju pieņemtajos darbnespējas noteikumos darbnespēja, kas ir radusies grūtniecības un dzemdību dēļ, tiek pielīdzināta darbnespējai, kas ir radusies slimības dēļ;</w:t>
      </w:r>
    </w:p>
    <w:p w:rsidR="00755A39" w:rsidRPr="00857B04" w:rsidRDefault="00755A39" w:rsidP="00755A39">
      <w:pPr>
        <w:jc w:val="both"/>
        <w:rPr>
          <w:rFonts w:ascii="Times New Roman" w:eastAsia="Times New Roman" w:hAnsi="Times New Roman"/>
          <w:sz w:val="24"/>
          <w:szCs w:val="18"/>
        </w:rPr>
      </w:pPr>
    </w:p>
    <w:p w:rsidR="00755A39" w:rsidRPr="00857B04" w:rsidRDefault="00755A39" w:rsidP="00755A39">
      <w:pPr>
        <w:tabs>
          <w:tab w:val="left" w:pos="864"/>
        </w:tabs>
        <w:jc w:val="both"/>
        <w:rPr>
          <w:rFonts w:ascii="Times New Roman" w:hAnsi="Times New Roman"/>
          <w:sz w:val="24"/>
        </w:rPr>
      </w:pPr>
      <w:r>
        <w:rPr>
          <w:rStyle w:val="Parasts"/>
          <w:rFonts w:ascii="Times New Roman" w:hAnsi="Times New Roman"/>
          <w:sz w:val="24"/>
        </w:rPr>
        <w:t>2. tas, ka darba pieteikumu nav iesniedzis neviens vīrietis, neietekmē atbildi uz pirmo jautājumu;</w:t>
      </w:r>
    </w:p>
    <w:p w:rsidR="00755A39" w:rsidRPr="00857B04" w:rsidRDefault="00755A39" w:rsidP="00755A39">
      <w:pPr>
        <w:jc w:val="both"/>
        <w:rPr>
          <w:rFonts w:ascii="Times New Roman" w:eastAsia="Times New Roman" w:hAnsi="Times New Roman"/>
          <w:sz w:val="24"/>
          <w:szCs w:val="18"/>
        </w:rPr>
      </w:pPr>
    </w:p>
    <w:p w:rsidR="00755A39" w:rsidRPr="00857B04" w:rsidRDefault="00755A39" w:rsidP="00755A39">
      <w:pPr>
        <w:tabs>
          <w:tab w:val="left" w:pos="869"/>
        </w:tabs>
        <w:jc w:val="both"/>
        <w:rPr>
          <w:rFonts w:ascii="Times New Roman" w:hAnsi="Times New Roman"/>
          <w:sz w:val="24"/>
        </w:rPr>
      </w:pPr>
      <w:r>
        <w:rPr>
          <w:rStyle w:val="Parasts"/>
          <w:rFonts w:ascii="Times New Roman" w:hAnsi="Times New Roman"/>
          <w:sz w:val="24"/>
        </w:rPr>
        <w:t>3. lai arī Direktīva 76/207 sniedz dalībvalstīm iespēju izvēlēties starp vairākiem tās mērķa sasniegšanai piemērotiem risinājumiem, lemjot par to, kāds sods būtu jāpiespriež par diskriminācijas aizlieguma pārkāpumu, tā tomēr paredz, ka gadījumos, kad dalībvalsts izvēlas piemērot sankcijas, kas ietilpst tās civiltiesiskās atbildības noteikumos, jebkurš diskriminācijas aizlieguma pārkāpums pats par sevi ir pietiekams pamats vainīgās personas saukšanai pie pilnas atbildības un nevar atsaukties uz valsts tiesību aktos paredzētajiem atbrīvojuma iemesliem.</w:t>
      </w:r>
    </w:p>
    <w:p w:rsidR="00755A39" w:rsidRPr="00857B04" w:rsidRDefault="00755A39" w:rsidP="00755A39">
      <w:pPr>
        <w:jc w:val="both"/>
        <w:rPr>
          <w:rFonts w:ascii="Times New Roman" w:eastAsia="Times New Roman" w:hAnsi="Times New Roman"/>
          <w:sz w:val="24"/>
          <w:szCs w:val="18"/>
        </w:rPr>
      </w:pPr>
      <w:bookmarkStart w:id="0" w:name="_GoBack"/>
      <w:bookmarkEnd w:id="0"/>
    </w:p>
    <w:tbl>
      <w:tblPr>
        <w:tblW w:w="0" w:type="auto"/>
        <w:tblCellMar>
          <w:top w:w="28" w:type="dxa"/>
          <w:left w:w="28" w:type="dxa"/>
          <w:bottom w:w="28" w:type="dxa"/>
          <w:right w:w="28" w:type="dxa"/>
        </w:tblCellMar>
        <w:tblLook w:val="04A0" w:firstRow="1" w:lastRow="0" w:firstColumn="1" w:lastColumn="0" w:noHBand="0" w:noVBand="1"/>
      </w:tblPr>
      <w:tblGrid>
        <w:gridCol w:w="2269"/>
        <w:gridCol w:w="857"/>
        <w:gridCol w:w="1409"/>
        <w:gridCol w:w="1239"/>
        <w:gridCol w:w="1029"/>
        <w:gridCol w:w="2269"/>
      </w:tblGrid>
      <w:tr w:rsidR="00755A39" w:rsidRPr="0006008B" w:rsidTr="00755A39">
        <w:tc>
          <w:tcPr>
            <w:tcW w:w="3147" w:type="dxa"/>
            <w:gridSpan w:val="2"/>
            <w:shd w:val="clear" w:color="auto" w:fill="auto"/>
          </w:tcPr>
          <w:p w:rsidR="00755A39" w:rsidRPr="0006008B" w:rsidRDefault="00755A39" w:rsidP="00E33FC3">
            <w:pPr>
              <w:jc w:val="center"/>
              <w:rPr>
                <w:rFonts w:ascii="Times New Roman" w:hAnsi="Times New Roman"/>
                <w:sz w:val="24"/>
              </w:rPr>
            </w:pPr>
            <w:r>
              <w:rPr>
                <w:rStyle w:val="Parasts"/>
                <w:rFonts w:ascii="Times New Roman" w:hAnsi="Times New Roman"/>
                <w:sz w:val="24"/>
              </w:rPr>
              <w:t>Dūe</w:t>
            </w:r>
          </w:p>
        </w:tc>
        <w:tc>
          <w:tcPr>
            <w:tcW w:w="2662" w:type="dxa"/>
            <w:gridSpan w:val="2"/>
            <w:shd w:val="clear" w:color="auto" w:fill="auto"/>
          </w:tcPr>
          <w:p w:rsidR="00755A39" w:rsidRPr="0006008B" w:rsidRDefault="00755A39" w:rsidP="00E33FC3">
            <w:pPr>
              <w:jc w:val="center"/>
              <w:rPr>
                <w:rFonts w:ascii="Times New Roman" w:hAnsi="Times New Roman"/>
                <w:sz w:val="24"/>
              </w:rPr>
            </w:pPr>
            <w:r>
              <w:rPr>
                <w:rStyle w:val="Parasts"/>
                <w:rFonts w:ascii="Times New Roman" w:hAnsi="Times New Roman"/>
                <w:sz w:val="24"/>
              </w:rPr>
              <w:t>Muitīņu di Almeida</w:t>
            </w:r>
          </w:p>
        </w:tc>
        <w:tc>
          <w:tcPr>
            <w:tcW w:w="3319" w:type="dxa"/>
            <w:gridSpan w:val="2"/>
            <w:shd w:val="clear" w:color="auto" w:fill="auto"/>
          </w:tcPr>
          <w:p w:rsidR="00755A39" w:rsidRPr="0006008B" w:rsidRDefault="00755A39" w:rsidP="00E33FC3">
            <w:pPr>
              <w:jc w:val="center"/>
              <w:rPr>
                <w:rFonts w:ascii="Times New Roman" w:hAnsi="Times New Roman"/>
                <w:sz w:val="24"/>
              </w:rPr>
            </w:pPr>
            <w:r>
              <w:rPr>
                <w:rStyle w:val="Parasts"/>
                <w:rFonts w:ascii="Times New Roman" w:hAnsi="Times New Roman"/>
                <w:sz w:val="24"/>
              </w:rPr>
              <w:t>Rodrigess Iglesjass</w:t>
            </w:r>
          </w:p>
        </w:tc>
      </w:tr>
      <w:tr w:rsidR="00755A39" w:rsidRPr="0006008B" w:rsidTr="00755A39">
        <w:tc>
          <w:tcPr>
            <w:tcW w:w="2282" w:type="dxa"/>
            <w:shd w:val="clear" w:color="auto" w:fill="auto"/>
          </w:tcPr>
          <w:p w:rsidR="00755A39" w:rsidRPr="0006008B" w:rsidRDefault="00755A39" w:rsidP="00E33FC3">
            <w:pPr>
              <w:jc w:val="center"/>
              <w:rPr>
                <w:rFonts w:ascii="Times New Roman" w:hAnsi="Times New Roman"/>
                <w:sz w:val="24"/>
              </w:rPr>
            </w:pPr>
            <w:r>
              <w:rPr>
                <w:rStyle w:val="Parasts"/>
                <w:rFonts w:ascii="Times New Roman" w:hAnsi="Times New Roman"/>
                <w:sz w:val="24"/>
              </w:rPr>
              <w:t>Diess de Velasko</w:t>
            </w:r>
          </w:p>
        </w:tc>
        <w:tc>
          <w:tcPr>
            <w:tcW w:w="2282" w:type="dxa"/>
            <w:gridSpan w:val="2"/>
            <w:shd w:val="clear" w:color="auto" w:fill="auto"/>
          </w:tcPr>
          <w:p w:rsidR="00755A39" w:rsidRPr="0006008B" w:rsidRDefault="00755A39" w:rsidP="00E33FC3">
            <w:pPr>
              <w:jc w:val="center"/>
              <w:rPr>
                <w:rFonts w:ascii="Times New Roman" w:hAnsi="Times New Roman"/>
                <w:sz w:val="24"/>
              </w:rPr>
            </w:pPr>
            <w:r>
              <w:rPr>
                <w:rStyle w:val="Parasts"/>
                <w:rFonts w:ascii="Times New Roman" w:hAnsi="Times New Roman"/>
                <w:sz w:val="24"/>
              </w:rPr>
              <w:t>Slins</w:t>
            </w:r>
          </w:p>
        </w:tc>
        <w:tc>
          <w:tcPr>
            <w:tcW w:w="2282" w:type="dxa"/>
            <w:gridSpan w:val="2"/>
            <w:shd w:val="clear" w:color="auto" w:fill="auto"/>
          </w:tcPr>
          <w:p w:rsidR="00755A39" w:rsidRPr="0006008B" w:rsidRDefault="00755A39" w:rsidP="00E33FC3">
            <w:pPr>
              <w:jc w:val="center"/>
              <w:rPr>
                <w:rFonts w:ascii="Times New Roman" w:hAnsi="Times New Roman"/>
                <w:sz w:val="24"/>
              </w:rPr>
            </w:pPr>
            <w:r>
              <w:rPr>
                <w:rStyle w:val="Parasts"/>
                <w:rFonts w:ascii="Times New Roman" w:hAnsi="Times New Roman"/>
                <w:sz w:val="24"/>
              </w:rPr>
              <w:t>Kakuris</w:t>
            </w:r>
          </w:p>
        </w:tc>
        <w:tc>
          <w:tcPr>
            <w:tcW w:w="2282" w:type="dxa"/>
            <w:shd w:val="clear" w:color="auto" w:fill="auto"/>
          </w:tcPr>
          <w:p w:rsidR="00755A39" w:rsidRPr="0006008B" w:rsidRDefault="00755A39" w:rsidP="00E33FC3">
            <w:pPr>
              <w:jc w:val="center"/>
              <w:rPr>
                <w:rFonts w:ascii="Times New Roman" w:hAnsi="Times New Roman"/>
                <w:sz w:val="24"/>
                <w:szCs w:val="24"/>
              </w:rPr>
            </w:pPr>
            <w:r>
              <w:rPr>
                <w:rStyle w:val="Parasts"/>
                <w:rFonts w:ascii="Times New Roman" w:hAnsi="Times New Roman"/>
                <w:sz w:val="24"/>
              </w:rPr>
              <w:t>Greviss</w:t>
            </w:r>
          </w:p>
        </w:tc>
      </w:tr>
    </w:tbl>
    <w:p w:rsidR="00755A39" w:rsidRDefault="00755A39" w:rsidP="00755A39">
      <w:pPr>
        <w:jc w:val="both"/>
        <w:rPr>
          <w:rFonts w:ascii="Times New Roman" w:hAnsi="Times New Roman"/>
          <w:sz w:val="24"/>
        </w:rPr>
      </w:pPr>
    </w:p>
    <w:p w:rsidR="00755A39" w:rsidRPr="00857B04" w:rsidRDefault="00755A39" w:rsidP="00755A39">
      <w:pPr>
        <w:jc w:val="both"/>
        <w:rPr>
          <w:rFonts w:ascii="Times New Roman" w:hAnsi="Times New Roman"/>
          <w:sz w:val="24"/>
        </w:rPr>
      </w:pPr>
      <w:r>
        <w:rPr>
          <w:rStyle w:val="Parasts"/>
          <w:rFonts w:ascii="Times New Roman" w:hAnsi="Times New Roman"/>
          <w:sz w:val="24"/>
        </w:rPr>
        <w:t>Pasludināts atklātā tiesas sēdē Luksemburgā 1990. gada 8. novembrī.</w:t>
      </w:r>
    </w:p>
    <w:p w:rsidR="00755A39" w:rsidRPr="00857B04" w:rsidRDefault="00755A39" w:rsidP="00755A39">
      <w:pPr>
        <w:jc w:val="both"/>
        <w:rPr>
          <w:rFonts w:ascii="Times New Roman" w:eastAsia="Times New Roman" w:hAnsi="Times New Roman"/>
          <w:sz w:val="24"/>
          <w:szCs w:val="18"/>
        </w:rPr>
      </w:pPr>
    </w:p>
    <w:tbl>
      <w:tblPr>
        <w:tblW w:w="0" w:type="auto"/>
        <w:tblCellMar>
          <w:top w:w="28" w:type="dxa"/>
          <w:left w:w="28" w:type="dxa"/>
          <w:bottom w:w="28" w:type="dxa"/>
          <w:right w:w="28" w:type="dxa"/>
        </w:tblCellMar>
        <w:tblLook w:val="04A0" w:firstRow="1" w:lastRow="0" w:firstColumn="1" w:lastColumn="0" w:noHBand="0" w:noVBand="1"/>
      </w:tblPr>
      <w:tblGrid>
        <w:gridCol w:w="4530"/>
        <w:gridCol w:w="4542"/>
      </w:tblGrid>
      <w:tr w:rsidR="00755A39" w:rsidRPr="0006008B" w:rsidTr="00755A39">
        <w:tc>
          <w:tcPr>
            <w:tcW w:w="4644" w:type="dxa"/>
            <w:shd w:val="clear" w:color="auto" w:fill="auto"/>
          </w:tcPr>
          <w:p w:rsidR="00755A39" w:rsidRPr="0006008B" w:rsidRDefault="00755A39" w:rsidP="00E33FC3">
            <w:pPr>
              <w:jc w:val="both"/>
              <w:rPr>
                <w:rFonts w:ascii="Times New Roman" w:hAnsi="Times New Roman"/>
                <w:sz w:val="24"/>
              </w:rPr>
            </w:pPr>
            <w:r>
              <w:rPr>
                <w:rStyle w:val="Parasts"/>
                <w:rFonts w:ascii="Times New Roman" w:hAnsi="Times New Roman"/>
                <w:sz w:val="24"/>
              </w:rPr>
              <w:t>Ž. G. Žiro [</w:t>
            </w:r>
            <w:r>
              <w:rPr>
                <w:rStyle w:val="Parasts"/>
                <w:rFonts w:ascii="Times New Roman" w:hAnsi="Times New Roman"/>
                <w:i/>
                <w:sz w:val="24"/>
              </w:rPr>
              <w:t>J.-G. Giraud</w:t>
            </w:r>
            <w:r>
              <w:rPr>
                <w:rStyle w:val="Parasts"/>
                <w:rFonts w:ascii="Times New Roman" w:hAnsi="Times New Roman"/>
                <w:sz w:val="24"/>
              </w:rPr>
              <w:t>]</w:t>
            </w:r>
          </w:p>
          <w:p w:rsidR="00755A39" w:rsidRPr="0006008B" w:rsidRDefault="00755A39" w:rsidP="00E33FC3">
            <w:pPr>
              <w:jc w:val="both"/>
              <w:rPr>
                <w:rFonts w:ascii="Times New Roman" w:eastAsia="Times New Roman" w:hAnsi="Times New Roman"/>
                <w:sz w:val="24"/>
                <w:szCs w:val="18"/>
              </w:rPr>
            </w:pPr>
            <w:r>
              <w:rPr>
                <w:rStyle w:val="Parasts"/>
                <w:rFonts w:ascii="Times New Roman" w:hAnsi="Times New Roman"/>
                <w:sz w:val="24"/>
              </w:rPr>
              <w:t>sekretārs</w:t>
            </w:r>
          </w:p>
        </w:tc>
        <w:tc>
          <w:tcPr>
            <w:tcW w:w="4644" w:type="dxa"/>
            <w:shd w:val="clear" w:color="auto" w:fill="auto"/>
          </w:tcPr>
          <w:p w:rsidR="00755A39" w:rsidRPr="0006008B" w:rsidRDefault="00755A39" w:rsidP="00E33FC3">
            <w:pPr>
              <w:jc w:val="right"/>
              <w:rPr>
                <w:rFonts w:ascii="Times New Roman" w:hAnsi="Times New Roman"/>
                <w:sz w:val="24"/>
              </w:rPr>
            </w:pPr>
            <w:r>
              <w:rPr>
                <w:rStyle w:val="Parasts"/>
                <w:rFonts w:ascii="Times New Roman" w:hAnsi="Times New Roman"/>
                <w:sz w:val="24"/>
              </w:rPr>
              <w:t>O. Dūe</w:t>
            </w:r>
          </w:p>
          <w:p w:rsidR="00755A39" w:rsidRPr="0006008B" w:rsidRDefault="00755A39" w:rsidP="00E33FC3">
            <w:pPr>
              <w:jc w:val="right"/>
              <w:rPr>
                <w:rFonts w:ascii="Times New Roman" w:eastAsia="Times New Roman" w:hAnsi="Times New Roman"/>
                <w:sz w:val="24"/>
                <w:szCs w:val="18"/>
              </w:rPr>
            </w:pPr>
            <w:r>
              <w:rPr>
                <w:rStyle w:val="Parasts"/>
                <w:rFonts w:ascii="Times New Roman" w:hAnsi="Times New Roman"/>
                <w:sz w:val="24"/>
              </w:rPr>
              <w:t>priekšsēdētājs</w:t>
            </w:r>
          </w:p>
        </w:tc>
      </w:tr>
    </w:tbl>
    <w:p w:rsidR="00755A39" w:rsidRPr="00857B04" w:rsidRDefault="00755A39" w:rsidP="00755A39">
      <w:pPr>
        <w:tabs>
          <w:tab w:val="left" w:pos="7073"/>
        </w:tabs>
        <w:jc w:val="both"/>
        <w:rPr>
          <w:rFonts w:ascii="Times New Roman" w:hAnsi="Times New Roman"/>
          <w:sz w:val="24"/>
        </w:rPr>
      </w:pPr>
    </w:p>
    <w:p w:rsidR="00E7520A" w:rsidRDefault="00E7520A"/>
    <w:sectPr w:rsidR="00E7520A" w:rsidSect="00755A39">
      <w:headerReference w:type="default" r:id="rId7"/>
      <w:footerReference w:type="default" r:id="rId8"/>
      <w:headerReference w:type="first" r:id="rId9"/>
      <w:footerReference w:type="first" r:id="rId10"/>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A39" w:rsidRDefault="00755A39" w:rsidP="00755A39">
      <w:r>
        <w:separator/>
      </w:r>
    </w:p>
  </w:endnote>
  <w:endnote w:type="continuationSeparator" w:id="0">
    <w:p w:rsidR="00755A39" w:rsidRDefault="00755A39" w:rsidP="0075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A39" w:rsidRPr="00755A39" w:rsidRDefault="00755A39" w:rsidP="00755A39">
    <w:pPr>
      <w:pStyle w:val="Galvene"/>
      <w:tabs>
        <w:tab w:val="clear" w:pos="4153"/>
        <w:tab w:val="clear" w:pos="8306"/>
        <w:tab w:val="left" w:pos="9072"/>
      </w:tabs>
      <w:rPr>
        <w:rStyle w:val="Lappusesnumurs"/>
        <w:rFonts w:ascii="Times New Roman" w:hAnsi="Times New Roman"/>
        <w:sz w:val="20"/>
        <w:szCs w:val="20"/>
      </w:rPr>
    </w:pPr>
  </w:p>
  <w:p w:rsidR="00755A39" w:rsidRPr="00755A39" w:rsidRDefault="00755A39" w:rsidP="00755A39">
    <w:pPr>
      <w:pStyle w:val="Galvene"/>
      <w:tabs>
        <w:tab w:val="clear" w:pos="4153"/>
        <w:tab w:val="clear" w:pos="8306"/>
        <w:tab w:val="right" w:leader="underscore" w:pos="9072"/>
      </w:tabs>
      <w:rPr>
        <w:rStyle w:val="Lappusesnumurs"/>
        <w:rFonts w:ascii="Times New Roman" w:hAnsi="Times New Roman"/>
        <w:sz w:val="20"/>
        <w:szCs w:val="20"/>
      </w:rPr>
    </w:pPr>
    <w:r w:rsidRPr="00755A39">
      <w:rPr>
        <w:rStyle w:val="Lappusesnumurs"/>
        <w:rFonts w:ascii="Times New Roman" w:hAnsi="Times New Roman"/>
        <w:sz w:val="20"/>
        <w:szCs w:val="20"/>
      </w:rPr>
      <w:tab/>
    </w:r>
  </w:p>
  <w:p w:rsidR="00755A39" w:rsidRPr="00755A39" w:rsidRDefault="00755A39" w:rsidP="00755A39">
    <w:pPr>
      <w:pStyle w:val="Galvene"/>
      <w:tabs>
        <w:tab w:val="clear" w:pos="4153"/>
        <w:tab w:val="clear" w:pos="8306"/>
        <w:tab w:val="right" w:pos="9072"/>
      </w:tabs>
      <w:rPr>
        <w:rStyle w:val="Lappusesnumurs"/>
        <w:rFonts w:ascii="Times New Roman" w:hAnsi="Times New Roman"/>
        <w:sz w:val="20"/>
        <w:szCs w:val="20"/>
      </w:rPr>
    </w:pPr>
  </w:p>
  <w:p w:rsidR="00755A39" w:rsidRPr="00755A39" w:rsidRDefault="00755A39" w:rsidP="00755A39">
    <w:pPr>
      <w:pStyle w:val="Kjene"/>
      <w:tabs>
        <w:tab w:val="clear" w:pos="4153"/>
        <w:tab w:val="clear" w:pos="8306"/>
        <w:tab w:val="right" w:pos="9072"/>
      </w:tabs>
      <w:rPr>
        <w:rFonts w:ascii="Times New Roman" w:hAnsi="Times New Roman"/>
        <w:sz w:val="20"/>
        <w:szCs w:val="20"/>
      </w:rPr>
    </w:pPr>
    <w:r w:rsidRPr="00755A39">
      <w:rPr>
        <w:rFonts w:ascii="Times New Roman" w:hAnsi="Times New Roman"/>
        <w:noProof/>
        <w:sz w:val="20"/>
        <w:szCs w:val="20"/>
      </w:rPr>
      <w:t xml:space="preserve">Tulkojums </w:t>
    </w:r>
    <w:r w:rsidRPr="00755A39">
      <w:rPr>
        <w:rFonts w:ascii="Times New Roman" w:hAnsi="Times New Roman"/>
        <w:noProof/>
        <w:sz w:val="20"/>
        <w:szCs w:val="20"/>
      </w:rPr>
      <w:fldChar w:fldCharType="begin"/>
    </w:r>
    <w:r w:rsidRPr="00755A39">
      <w:rPr>
        <w:rFonts w:ascii="Times New Roman" w:hAnsi="Times New Roman"/>
        <w:noProof/>
        <w:sz w:val="20"/>
        <w:szCs w:val="20"/>
      </w:rPr>
      <w:instrText>symbol 211 \f "Symbol" \s 9</w:instrText>
    </w:r>
    <w:r w:rsidRPr="00755A39">
      <w:rPr>
        <w:rFonts w:ascii="Times New Roman" w:hAnsi="Times New Roman"/>
        <w:noProof/>
        <w:sz w:val="20"/>
        <w:szCs w:val="20"/>
      </w:rPr>
      <w:fldChar w:fldCharType="separate"/>
    </w:r>
    <w:r w:rsidRPr="00755A39">
      <w:rPr>
        <w:rFonts w:ascii="Times New Roman" w:hAnsi="Times New Roman"/>
        <w:noProof/>
        <w:sz w:val="20"/>
        <w:szCs w:val="20"/>
      </w:rPr>
      <w:t>Ó</w:t>
    </w:r>
    <w:r w:rsidRPr="00755A39">
      <w:rPr>
        <w:rFonts w:ascii="Times New Roman" w:hAnsi="Times New Roman"/>
        <w:noProof/>
        <w:sz w:val="20"/>
        <w:szCs w:val="20"/>
      </w:rPr>
      <w:fldChar w:fldCharType="end"/>
    </w:r>
    <w:r w:rsidRPr="00755A39">
      <w:rPr>
        <w:rFonts w:ascii="Times New Roman" w:hAnsi="Times New Roman"/>
        <w:noProof/>
        <w:sz w:val="20"/>
        <w:szCs w:val="20"/>
      </w:rPr>
      <w:t xml:space="preserve"> Valsts valodas centrs, 2018</w:t>
    </w:r>
    <w:r w:rsidRPr="00755A39">
      <w:rPr>
        <w:rFonts w:ascii="Times New Roman" w:hAnsi="Times New Roman"/>
        <w:sz w:val="20"/>
        <w:szCs w:val="20"/>
      </w:rPr>
      <w:tab/>
    </w:r>
    <w:r w:rsidRPr="00755A39">
      <w:rPr>
        <w:rStyle w:val="Lappusesnumurs"/>
        <w:rFonts w:ascii="Times New Roman" w:hAnsi="Times New Roman"/>
        <w:sz w:val="20"/>
        <w:szCs w:val="20"/>
      </w:rPr>
      <w:fldChar w:fldCharType="begin"/>
    </w:r>
    <w:r w:rsidRPr="00755A39">
      <w:rPr>
        <w:rStyle w:val="Lappusesnumurs"/>
        <w:rFonts w:ascii="Times New Roman" w:hAnsi="Times New Roman"/>
        <w:sz w:val="20"/>
        <w:szCs w:val="20"/>
      </w:rPr>
      <w:instrText xml:space="preserve">page </w:instrText>
    </w:r>
    <w:r w:rsidRPr="00755A39">
      <w:rPr>
        <w:rStyle w:val="Lappusesnumurs"/>
        <w:rFonts w:ascii="Times New Roman" w:hAnsi="Times New Roman"/>
        <w:sz w:val="20"/>
        <w:szCs w:val="20"/>
      </w:rPr>
      <w:fldChar w:fldCharType="separate"/>
    </w:r>
    <w:r w:rsidRPr="00755A39">
      <w:rPr>
        <w:rStyle w:val="Lappusesnumurs"/>
        <w:rFonts w:ascii="Times New Roman" w:hAnsi="Times New Roman"/>
        <w:sz w:val="20"/>
        <w:szCs w:val="20"/>
      </w:rPr>
      <w:t>2</w:t>
    </w:r>
    <w:r w:rsidRPr="00755A39">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A39" w:rsidRPr="00755A39" w:rsidRDefault="00755A39" w:rsidP="00755A39">
    <w:pPr>
      <w:pStyle w:val="Galvene"/>
      <w:tabs>
        <w:tab w:val="clear" w:pos="4153"/>
        <w:tab w:val="clear" w:pos="8306"/>
        <w:tab w:val="left" w:pos="9072"/>
      </w:tabs>
      <w:rPr>
        <w:rStyle w:val="Lappusesnumurs"/>
        <w:rFonts w:ascii="Times New Roman" w:hAnsi="Times New Roman"/>
        <w:sz w:val="20"/>
        <w:szCs w:val="18"/>
      </w:rPr>
    </w:pPr>
    <w:bookmarkStart w:id="11" w:name="_Hlk496261764"/>
    <w:bookmarkStart w:id="12" w:name="_Hlk496261765"/>
    <w:bookmarkStart w:id="13" w:name="_Hlk496261766"/>
  </w:p>
  <w:p w:rsidR="00755A39" w:rsidRPr="00755A39" w:rsidRDefault="00755A39" w:rsidP="00755A39">
    <w:pPr>
      <w:pStyle w:val="Galvene"/>
      <w:tabs>
        <w:tab w:val="clear" w:pos="4153"/>
        <w:tab w:val="clear" w:pos="8306"/>
        <w:tab w:val="left" w:leader="underscore" w:pos="9072"/>
      </w:tabs>
      <w:rPr>
        <w:rStyle w:val="Lappusesnumurs"/>
        <w:rFonts w:ascii="Times New Roman" w:hAnsi="Times New Roman"/>
        <w:sz w:val="20"/>
        <w:szCs w:val="18"/>
      </w:rPr>
    </w:pPr>
    <w:r w:rsidRPr="00755A39">
      <w:rPr>
        <w:rStyle w:val="Lappusesnumurs"/>
        <w:rFonts w:ascii="Times New Roman" w:hAnsi="Times New Roman"/>
        <w:sz w:val="20"/>
        <w:szCs w:val="18"/>
      </w:rPr>
      <w:tab/>
    </w:r>
  </w:p>
  <w:p w:rsidR="00755A39" w:rsidRPr="00755A39" w:rsidRDefault="00755A39" w:rsidP="00755A39">
    <w:pPr>
      <w:pStyle w:val="Galvene"/>
      <w:tabs>
        <w:tab w:val="clear" w:pos="4153"/>
        <w:tab w:val="clear" w:pos="8306"/>
        <w:tab w:val="left" w:pos="9072"/>
      </w:tabs>
      <w:rPr>
        <w:rStyle w:val="Lappusesnumurs"/>
        <w:rFonts w:ascii="Times New Roman" w:hAnsi="Times New Roman"/>
        <w:sz w:val="20"/>
        <w:szCs w:val="18"/>
      </w:rPr>
    </w:pPr>
  </w:p>
  <w:p w:rsidR="00755A39" w:rsidRPr="00755A39" w:rsidRDefault="00755A39" w:rsidP="00755A39">
    <w:pPr>
      <w:pStyle w:val="Kjene"/>
      <w:rPr>
        <w:rFonts w:ascii="Times New Roman" w:hAnsi="Times New Roman"/>
        <w:sz w:val="20"/>
        <w:szCs w:val="18"/>
      </w:rPr>
    </w:pPr>
    <w:r w:rsidRPr="00755A39">
      <w:rPr>
        <w:rFonts w:ascii="Times New Roman" w:hAnsi="Times New Roman"/>
        <w:noProof/>
        <w:sz w:val="20"/>
        <w:szCs w:val="18"/>
      </w:rPr>
      <w:t xml:space="preserve">Tulkojums </w:t>
    </w:r>
    <w:r w:rsidRPr="00755A39">
      <w:rPr>
        <w:rFonts w:ascii="Times New Roman" w:hAnsi="Times New Roman"/>
        <w:noProof/>
        <w:sz w:val="20"/>
        <w:szCs w:val="18"/>
      </w:rPr>
      <w:fldChar w:fldCharType="begin"/>
    </w:r>
    <w:r w:rsidRPr="00755A39">
      <w:rPr>
        <w:rFonts w:ascii="Times New Roman" w:hAnsi="Times New Roman"/>
        <w:noProof/>
        <w:sz w:val="20"/>
        <w:szCs w:val="18"/>
      </w:rPr>
      <w:instrText>symbol 211 \f "Symbol" \s 9</w:instrText>
    </w:r>
    <w:r w:rsidRPr="00755A39">
      <w:rPr>
        <w:rFonts w:ascii="Times New Roman" w:hAnsi="Times New Roman"/>
        <w:noProof/>
        <w:sz w:val="20"/>
        <w:szCs w:val="18"/>
      </w:rPr>
      <w:fldChar w:fldCharType="separate"/>
    </w:r>
    <w:r w:rsidRPr="00755A39">
      <w:rPr>
        <w:rFonts w:ascii="Times New Roman" w:hAnsi="Times New Roman"/>
        <w:noProof/>
        <w:sz w:val="20"/>
        <w:szCs w:val="18"/>
      </w:rPr>
      <w:t>Ó</w:t>
    </w:r>
    <w:r w:rsidRPr="00755A39">
      <w:rPr>
        <w:rFonts w:ascii="Times New Roman" w:hAnsi="Times New Roman"/>
        <w:noProof/>
        <w:sz w:val="20"/>
        <w:szCs w:val="18"/>
      </w:rPr>
      <w:fldChar w:fldCharType="end"/>
    </w:r>
    <w:r w:rsidRPr="00755A39">
      <w:rPr>
        <w:rFonts w:ascii="Times New Roman" w:hAnsi="Times New Roman"/>
        <w:noProof/>
        <w:sz w:val="20"/>
        <w:szCs w:val="18"/>
      </w:rPr>
      <w:t xml:space="preserve"> Valsts valodas centrs, 201</w:t>
    </w:r>
    <w:bookmarkEnd w:id="11"/>
    <w:bookmarkEnd w:id="12"/>
    <w:bookmarkEnd w:id="13"/>
    <w:r w:rsidRPr="00755A39">
      <w:rPr>
        <w:rFonts w:ascii="Times New Roman" w:hAnsi="Times New Roman"/>
        <w:noProof/>
        <w:sz w:val="20"/>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A39" w:rsidRDefault="00755A39" w:rsidP="00755A39">
      <w:r>
        <w:separator/>
      </w:r>
    </w:p>
  </w:footnote>
  <w:footnote w:type="continuationSeparator" w:id="0">
    <w:p w:rsidR="00755A39" w:rsidRDefault="00755A39" w:rsidP="00755A39">
      <w:r>
        <w:continuationSeparator/>
      </w:r>
    </w:p>
  </w:footnote>
  <w:footnote w:id="1">
    <w:p w:rsidR="00755A39" w:rsidRPr="00857B04" w:rsidRDefault="00755A39" w:rsidP="00755A39">
      <w:pPr>
        <w:pStyle w:val="Vresteksts"/>
        <w:rPr>
          <w:rFonts w:ascii="Times New Roman" w:hAnsi="Times New Roman"/>
        </w:rPr>
      </w:pPr>
      <w:r>
        <w:rPr>
          <w:rStyle w:val="Vresatsauce"/>
          <w:rFonts w:ascii="Times New Roman" w:hAnsi="Times New Roman"/>
        </w:rPr>
        <w:sym w:font="Symbol" w:char="F02A"/>
      </w:r>
      <w:r>
        <w:rPr>
          <w:rStyle w:val="Vresteksts"/>
          <w:rFonts w:ascii="Times New Roman" w:hAnsi="Times New Roman"/>
        </w:rPr>
        <w:t xml:space="preserve"> </w:t>
      </w:r>
      <w:r>
        <w:rPr>
          <w:rStyle w:val="Vresteksts"/>
          <w:rFonts w:ascii="Times New Roman" w:hAnsi="Times New Roman"/>
        </w:rPr>
        <w:t>Tiesvedības valoda: holandiešu.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A39" w:rsidRPr="00755A39" w:rsidRDefault="00755A39" w:rsidP="00755A39">
    <w:pPr>
      <w:pStyle w:val="Galvene"/>
      <w:tabs>
        <w:tab w:val="clear" w:pos="4153"/>
        <w:tab w:val="clear" w:pos="8306"/>
      </w:tabs>
      <w:rPr>
        <w:rStyle w:val="Lappusesnumurs"/>
        <w:rFonts w:ascii="Times New Roman" w:hAnsi="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755A39" w:rsidRPr="00755A39" w:rsidRDefault="00755A39" w:rsidP="00755A39">
    <w:pPr>
      <w:pStyle w:val="Galvene"/>
      <w:tabs>
        <w:tab w:val="clear" w:pos="4153"/>
        <w:tab w:val="clear" w:pos="8306"/>
        <w:tab w:val="right" w:leader="underscore" w:pos="9072"/>
      </w:tabs>
      <w:rPr>
        <w:rStyle w:val="Lappusesnumurs"/>
        <w:rFonts w:ascii="Times New Roman" w:hAnsi="Times New Roman"/>
        <w:sz w:val="20"/>
        <w:szCs w:val="20"/>
      </w:rPr>
    </w:pPr>
    <w:r w:rsidRPr="00755A39">
      <w:rPr>
        <w:rStyle w:val="Lappusesnumurs"/>
        <w:rFonts w:ascii="Times New Roman" w:hAnsi="Times New Roman"/>
        <w:sz w:val="20"/>
        <w:szCs w:val="20"/>
      </w:rPr>
      <w:tab/>
    </w:r>
  </w:p>
  <w:bookmarkEnd w:id="1"/>
  <w:bookmarkEnd w:id="2"/>
  <w:bookmarkEnd w:id="3"/>
  <w:bookmarkEnd w:id="4"/>
  <w:bookmarkEnd w:id="5"/>
  <w:bookmarkEnd w:id="6"/>
  <w:bookmarkEnd w:id="7"/>
  <w:p w:rsidR="00755A39" w:rsidRPr="00755A39" w:rsidRDefault="00755A39" w:rsidP="00755A39">
    <w:pPr>
      <w:pStyle w:val="Galvene"/>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A39" w:rsidRPr="00755A39" w:rsidRDefault="00755A39" w:rsidP="00755A39">
    <w:pPr>
      <w:pBdr>
        <w:bottom w:val="single" w:sz="12" w:space="5" w:color="auto"/>
      </w:pBdr>
      <w:rPr>
        <w:rFonts w:ascii="Times New Roman" w:hAnsi="Times New Roman"/>
        <w:spacing w:val="-2"/>
        <w:sz w:val="20"/>
        <w:szCs w:val="20"/>
      </w:rPr>
    </w:pPr>
    <w:bookmarkStart w:id="8" w:name="_Hlk496261745"/>
    <w:bookmarkStart w:id="9" w:name="_Hlk496261746"/>
    <w:bookmarkStart w:id="10" w:name="_Hlk496261747"/>
  </w:p>
  <w:bookmarkEnd w:id="8"/>
  <w:bookmarkEnd w:id="9"/>
  <w:bookmarkEnd w:id="10"/>
  <w:p w:rsidR="00755A39" w:rsidRPr="00755A39" w:rsidRDefault="00755A39" w:rsidP="00755A39">
    <w:pPr>
      <w:pStyle w:val="Galvene"/>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652A8"/>
    <w:multiLevelType w:val="hybridMultilevel"/>
    <w:tmpl w:val="5F721BD6"/>
    <w:lvl w:ilvl="0" w:tplc="FFFFFFFF">
      <w:start w:val="1"/>
      <w:numFmt w:val="decimal"/>
      <w:lvlText w:val="(%1)"/>
      <w:lvlJc w:val="left"/>
      <w:pPr>
        <w:ind w:left="868" w:hanging="349"/>
      </w:pPr>
      <w:rPr>
        <w:rFonts w:ascii="Times New Roman" w:eastAsia="Times New Roman" w:hAnsi="Times New Roman" w:hint="default"/>
        <w:w w:val="91"/>
        <w:sz w:val="19"/>
        <w:szCs w:val="19"/>
      </w:rPr>
    </w:lvl>
    <w:lvl w:ilvl="1" w:tplc="FFFFFFFF">
      <w:start w:val="1"/>
      <w:numFmt w:val="bullet"/>
      <w:lvlText w:val="•"/>
      <w:lvlJc w:val="left"/>
      <w:pPr>
        <w:ind w:left="1566" w:hanging="349"/>
      </w:pPr>
      <w:rPr>
        <w:rFonts w:hint="default"/>
      </w:rPr>
    </w:lvl>
    <w:lvl w:ilvl="2" w:tplc="FFFFFFFF">
      <w:start w:val="1"/>
      <w:numFmt w:val="bullet"/>
      <w:lvlText w:val="•"/>
      <w:lvlJc w:val="left"/>
      <w:pPr>
        <w:ind w:left="2263" w:hanging="349"/>
      </w:pPr>
      <w:rPr>
        <w:rFonts w:hint="default"/>
      </w:rPr>
    </w:lvl>
    <w:lvl w:ilvl="3" w:tplc="FFFFFFFF">
      <w:start w:val="1"/>
      <w:numFmt w:val="bullet"/>
      <w:lvlText w:val="•"/>
      <w:lvlJc w:val="left"/>
      <w:pPr>
        <w:ind w:left="2961" w:hanging="349"/>
      </w:pPr>
      <w:rPr>
        <w:rFonts w:hint="default"/>
      </w:rPr>
    </w:lvl>
    <w:lvl w:ilvl="4" w:tplc="FFFFFFFF">
      <w:start w:val="1"/>
      <w:numFmt w:val="bullet"/>
      <w:lvlText w:val="•"/>
      <w:lvlJc w:val="left"/>
      <w:pPr>
        <w:ind w:left="3658" w:hanging="349"/>
      </w:pPr>
      <w:rPr>
        <w:rFonts w:hint="default"/>
      </w:rPr>
    </w:lvl>
    <w:lvl w:ilvl="5" w:tplc="FFFFFFFF">
      <w:start w:val="1"/>
      <w:numFmt w:val="bullet"/>
      <w:lvlText w:val="•"/>
      <w:lvlJc w:val="left"/>
      <w:pPr>
        <w:ind w:left="4356" w:hanging="349"/>
      </w:pPr>
      <w:rPr>
        <w:rFonts w:hint="default"/>
      </w:rPr>
    </w:lvl>
    <w:lvl w:ilvl="6" w:tplc="FFFFFFFF">
      <w:start w:val="1"/>
      <w:numFmt w:val="bullet"/>
      <w:lvlText w:val="•"/>
      <w:lvlJc w:val="left"/>
      <w:pPr>
        <w:ind w:left="5053" w:hanging="349"/>
      </w:pPr>
      <w:rPr>
        <w:rFonts w:hint="default"/>
      </w:rPr>
    </w:lvl>
    <w:lvl w:ilvl="7" w:tplc="FFFFFFFF">
      <w:start w:val="1"/>
      <w:numFmt w:val="bullet"/>
      <w:lvlText w:val="•"/>
      <w:lvlJc w:val="left"/>
      <w:pPr>
        <w:ind w:left="5751" w:hanging="349"/>
      </w:pPr>
      <w:rPr>
        <w:rFonts w:hint="default"/>
      </w:rPr>
    </w:lvl>
    <w:lvl w:ilvl="8" w:tplc="FFFFFFFF">
      <w:start w:val="1"/>
      <w:numFmt w:val="bullet"/>
      <w:lvlText w:val="•"/>
      <w:lvlJc w:val="left"/>
      <w:pPr>
        <w:ind w:left="6448" w:hanging="349"/>
      </w:pPr>
      <w:rPr>
        <w:rFonts w:hint="default"/>
      </w:rPr>
    </w:lvl>
  </w:abstractNum>
  <w:abstractNum w:abstractNumId="1" w15:restartNumberingAfterBreak="0">
    <w:nsid w:val="34EB5BCD"/>
    <w:multiLevelType w:val="hybridMultilevel"/>
    <w:tmpl w:val="29AC0232"/>
    <w:lvl w:ilvl="0" w:tplc="FFFFFFFF">
      <w:start w:val="3"/>
      <w:numFmt w:val="decimal"/>
      <w:lvlText w:val="(%1)"/>
      <w:lvlJc w:val="left"/>
      <w:pPr>
        <w:ind w:left="987" w:hanging="344"/>
      </w:pPr>
      <w:rPr>
        <w:rFonts w:ascii="Times New Roman" w:eastAsia="Times New Roman" w:hAnsi="Times New Roman" w:hint="default"/>
        <w:w w:val="97"/>
        <w:sz w:val="20"/>
        <w:szCs w:val="20"/>
      </w:rPr>
    </w:lvl>
    <w:lvl w:ilvl="1" w:tplc="FFFFFFFF">
      <w:start w:val="1"/>
      <w:numFmt w:val="lowerLetter"/>
      <w:lvlText w:val="(%2)"/>
      <w:lvlJc w:val="left"/>
      <w:pPr>
        <w:ind w:left="1336" w:hanging="349"/>
      </w:pPr>
      <w:rPr>
        <w:rFonts w:ascii="Times New Roman" w:eastAsia="Times New Roman" w:hAnsi="Times New Roman" w:hint="default"/>
        <w:w w:val="103"/>
        <w:sz w:val="20"/>
        <w:szCs w:val="20"/>
      </w:rPr>
    </w:lvl>
    <w:lvl w:ilvl="2" w:tplc="FFFFFFFF">
      <w:start w:val="1"/>
      <w:numFmt w:val="bullet"/>
      <w:lvlText w:val="•"/>
      <w:lvlJc w:val="left"/>
      <w:pPr>
        <w:ind w:left="2066" w:hanging="349"/>
      </w:pPr>
      <w:rPr>
        <w:rFonts w:hint="default"/>
      </w:rPr>
    </w:lvl>
    <w:lvl w:ilvl="3" w:tplc="FFFFFFFF">
      <w:start w:val="1"/>
      <w:numFmt w:val="bullet"/>
      <w:lvlText w:val="•"/>
      <w:lvlJc w:val="left"/>
      <w:pPr>
        <w:ind w:left="2795" w:hanging="349"/>
      </w:pPr>
      <w:rPr>
        <w:rFonts w:hint="default"/>
      </w:rPr>
    </w:lvl>
    <w:lvl w:ilvl="4" w:tplc="FFFFFFFF">
      <w:start w:val="1"/>
      <w:numFmt w:val="bullet"/>
      <w:lvlText w:val="•"/>
      <w:lvlJc w:val="left"/>
      <w:pPr>
        <w:ind w:left="3525" w:hanging="349"/>
      </w:pPr>
      <w:rPr>
        <w:rFonts w:hint="default"/>
      </w:rPr>
    </w:lvl>
    <w:lvl w:ilvl="5" w:tplc="FFFFFFFF">
      <w:start w:val="1"/>
      <w:numFmt w:val="bullet"/>
      <w:lvlText w:val="•"/>
      <w:lvlJc w:val="left"/>
      <w:pPr>
        <w:ind w:left="4255" w:hanging="349"/>
      </w:pPr>
      <w:rPr>
        <w:rFonts w:hint="default"/>
      </w:rPr>
    </w:lvl>
    <w:lvl w:ilvl="6" w:tplc="FFFFFFFF">
      <w:start w:val="1"/>
      <w:numFmt w:val="bullet"/>
      <w:lvlText w:val="•"/>
      <w:lvlJc w:val="left"/>
      <w:pPr>
        <w:ind w:left="4985" w:hanging="349"/>
      </w:pPr>
      <w:rPr>
        <w:rFonts w:hint="default"/>
      </w:rPr>
    </w:lvl>
    <w:lvl w:ilvl="7" w:tplc="FFFFFFFF">
      <w:start w:val="1"/>
      <w:numFmt w:val="bullet"/>
      <w:lvlText w:val="•"/>
      <w:lvlJc w:val="left"/>
      <w:pPr>
        <w:ind w:left="5714" w:hanging="349"/>
      </w:pPr>
      <w:rPr>
        <w:rFonts w:hint="default"/>
      </w:rPr>
    </w:lvl>
    <w:lvl w:ilvl="8" w:tplc="FFFFFFFF">
      <w:start w:val="1"/>
      <w:numFmt w:val="bullet"/>
      <w:lvlText w:val="•"/>
      <w:lvlJc w:val="left"/>
      <w:pPr>
        <w:ind w:left="6444" w:hanging="34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39"/>
    <w:rsid w:val="00003E88"/>
    <w:rsid w:val="000132B7"/>
    <w:rsid w:val="000B2683"/>
    <w:rsid w:val="00312AF6"/>
    <w:rsid w:val="003E2DAA"/>
    <w:rsid w:val="00511B5A"/>
    <w:rsid w:val="00521CB6"/>
    <w:rsid w:val="00612747"/>
    <w:rsid w:val="006B1A0C"/>
    <w:rsid w:val="006B5824"/>
    <w:rsid w:val="00712F85"/>
    <w:rsid w:val="00755A39"/>
    <w:rsid w:val="00B37430"/>
    <w:rsid w:val="00B57331"/>
    <w:rsid w:val="00B6396B"/>
    <w:rsid w:val="00BA7686"/>
    <w:rsid w:val="00CA6788"/>
    <w:rsid w:val="00E7520A"/>
    <w:rsid w:val="00E7693B"/>
    <w:rsid w:val="00F934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D4ABC-9649-4DF5-BC83-C9A5885E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rsid w:val="00755A39"/>
    <w:pPr>
      <w:widowControl w:val="0"/>
      <w:spacing w:after="0" w:line="240" w:lineRule="auto"/>
    </w:pPr>
    <w:rPr>
      <w:rFonts w:ascii="Calibri" w:eastAsia="Calibri" w:hAnsi="Calibri" w:cs="Times New Roman"/>
      <w:lang w:eastAsia="lv-LV"/>
    </w:rPr>
  </w:style>
  <w:style w:type="paragraph" w:styleId="Virsraksts1">
    <w:name w:val="heading 1"/>
    <w:basedOn w:val="Parasts"/>
    <w:link w:val="Virsraksts1Rakstz"/>
    <w:uiPriority w:val="1"/>
    <w:qFormat/>
    <w:rsid w:val="00755A39"/>
    <w:pPr>
      <w:ind w:left="483"/>
      <w:outlineLvl w:val="0"/>
    </w:pPr>
    <w:rPr>
      <w:rFonts w:ascii="Times New Roman" w:eastAsia="Times New Roman" w:hAnsi="Times New Roman"/>
      <w:sz w:val="26"/>
      <w:szCs w:val="26"/>
    </w:rPr>
  </w:style>
  <w:style w:type="paragraph" w:styleId="Virsraksts2">
    <w:name w:val="heading 2"/>
    <w:basedOn w:val="Parasts"/>
    <w:link w:val="Virsraksts2Rakstz"/>
    <w:uiPriority w:val="1"/>
    <w:qFormat/>
    <w:rsid w:val="00755A39"/>
    <w:pPr>
      <w:ind w:left="529"/>
      <w:outlineLvl w:val="1"/>
    </w:pPr>
    <w:rPr>
      <w:rFonts w:ascii="Times New Roman" w:eastAsia="Times New Roman" w:hAnsi="Times New Roman"/>
      <w:sz w:val="25"/>
      <w:szCs w:val="25"/>
    </w:rPr>
  </w:style>
  <w:style w:type="paragraph" w:styleId="Virsraksts3">
    <w:name w:val="heading 3"/>
    <w:basedOn w:val="Parasts"/>
    <w:link w:val="Virsraksts3Rakstz"/>
    <w:uiPriority w:val="1"/>
    <w:qFormat/>
    <w:rsid w:val="00755A39"/>
    <w:pPr>
      <w:ind w:left="112"/>
      <w:outlineLvl w:val="2"/>
    </w:pPr>
    <w:rPr>
      <w:rFonts w:ascii="Times New Roman" w:eastAsia="Times New Roman" w:hAnsi="Times New Roman"/>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755A39"/>
    <w:rPr>
      <w:rFonts w:ascii="Times New Roman" w:eastAsia="Times New Roman" w:hAnsi="Times New Roman" w:cs="Times New Roman"/>
      <w:sz w:val="26"/>
      <w:szCs w:val="26"/>
      <w:lang w:eastAsia="lv-LV"/>
    </w:rPr>
  </w:style>
  <w:style w:type="character" w:customStyle="1" w:styleId="Virsraksts2Rakstz">
    <w:name w:val="Virsraksts 2 Rakstz."/>
    <w:basedOn w:val="Noklusjumarindkopasfonts"/>
    <w:link w:val="Virsraksts2"/>
    <w:uiPriority w:val="1"/>
    <w:rsid w:val="00755A39"/>
    <w:rPr>
      <w:rFonts w:ascii="Times New Roman" w:eastAsia="Times New Roman" w:hAnsi="Times New Roman" w:cs="Times New Roman"/>
      <w:sz w:val="25"/>
      <w:szCs w:val="25"/>
      <w:lang w:eastAsia="lv-LV"/>
    </w:rPr>
  </w:style>
  <w:style w:type="character" w:customStyle="1" w:styleId="Virsraksts3Rakstz">
    <w:name w:val="Virsraksts 3 Rakstz."/>
    <w:basedOn w:val="Noklusjumarindkopasfonts"/>
    <w:link w:val="Virsraksts3"/>
    <w:uiPriority w:val="1"/>
    <w:rsid w:val="00755A39"/>
    <w:rPr>
      <w:rFonts w:ascii="Times New Roman" w:eastAsia="Times New Roman" w:hAnsi="Times New Roman" w:cs="Times New Roman"/>
      <w:sz w:val="21"/>
      <w:szCs w:val="21"/>
      <w:lang w:eastAsia="lv-LV"/>
    </w:rPr>
  </w:style>
  <w:style w:type="table" w:customStyle="1" w:styleId="TableNormal">
    <w:name w:val="Table Normal"/>
    <w:uiPriority w:val="2"/>
    <w:semiHidden/>
    <w:unhideWhenUsed/>
    <w:qFormat/>
    <w:rsid w:val="00755A3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755A39"/>
    <w:pPr>
      <w:ind w:left="647"/>
    </w:pPr>
    <w:rPr>
      <w:rFonts w:ascii="Times New Roman" w:eastAsia="Times New Roman" w:hAnsi="Times New Roman"/>
      <w:sz w:val="20"/>
      <w:szCs w:val="20"/>
    </w:rPr>
  </w:style>
  <w:style w:type="character" w:customStyle="1" w:styleId="PamattekstsRakstz">
    <w:name w:val="Pamatteksts Rakstz."/>
    <w:basedOn w:val="Noklusjumarindkopasfonts"/>
    <w:link w:val="Pamatteksts"/>
    <w:uiPriority w:val="1"/>
    <w:rsid w:val="00755A39"/>
    <w:rPr>
      <w:rFonts w:ascii="Times New Roman" w:eastAsia="Times New Roman" w:hAnsi="Times New Roman" w:cs="Times New Roman"/>
      <w:sz w:val="20"/>
      <w:szCs w:val="20"/>
      <w:lang w:eastAsia="lv-LV"/>
    </w:rPr>
  </w:style>
  <w:style w:type="paragraph" w:styleId="Sarakstarindkopa">
    <w:name w:val="List Paragraph"/>
    <w:basedOn w:val="Parasts"/>
    <w:uiPriority w:val="1"/>
    <w:qFormat/>
    <w:rsid w:val="00755A39"/>
  </w:style>
  <w:style w:type="paragraph" w:customStyle="1" w:styleId="TableParagraph">
    <w:name w:val="Table Paragraph"/>
    <w:basedOn w:val="Parasts"/>
    <w:uiPriority w:val="1"/>
    <w:qFormat/>
    <w:rsid w:val="00755A39"/>
  </w:style>
  <w:style w:type="paragraph" w:styleId="Kjene">
    <w:name w:val="footer"/>
    <w:basedOn w:val="Parasts"/>
    <w:link w:val="KjeneRakstz"/>
    <w:unhideWhenUsed/>
    <w:rsid w:val="00755A39"/>
    <w:pPr>
      <w:tabs>
        <w:tab w:val="center" w:pos="4153"/>
        <w:tab w:val="right" w:pos="8306"/>
      </w:tabs>
    </w:pPr>
  </w:style>
  <w:style w:type="character" w:customStyle="1" w:styleId="KjeneRakstz">
    <w:name w:val="Kājene Rakstz."/>
    <w:basedOn w:val="Noklusjumarindkopasfonts"/>
    <w:link w:val="Kjene"/>
    <w:uiPriority w:val="99"/>
    <w:rsid w:val="00755A39"/>
    <w:rPr>
      <w:rFonts w:ascii="Calibri" w:eastAsia="Calibri" w:hAnsi="Calibri" w:cs="Times New Roman"/>
      <w:lang w:eastAsia="lv-LV"/>
    </w:rPr>
  </w:style>
  <w:style w:type="paragraph" w:styleId="Galvene">
    <w:name w:val="header"/>
    <w:basedOn w:val="Parasts"/>
    <w:link w:val="GalveneRakstz"/>
    <w:unhideWhenUsed/>
    <w:rsid w:val="00755A39"/>
    <w:pPr>
      <w:tabs>
        <w:tab w:val="center" w:pos="4153"/>
        <w:tab w:val="right" w:pos="8306"/>
      </w:tabs>
    </w:pPr>
  </w:style>
  <w:style w:type="character" w:customStyle="1" w:styleId="GalveneRakstz">
    <w:name w:val="Galvene Rakstz."/>
    <w:basedOn w:val="Noklusjumarindkopasfonts"/>
    <w:link w:val="Galvene"/>
    <w:uiPriority w:val="99"/>
    <w:rsid w:val="00755A39"/>
    <w:rPr>
      <w:rFonts w:ascii="Calibri" w:eastAsia="Calibri" w:hAnsi="Calibri" w:cs="Times New Roman"/>
      <w:lang w:eastAsia="lv-LV"/>
    </w:rPr>
  </w:style>
  <w:style w:type="paragraph" w:styleId="Vresteksts">
    <w:name w:val="footnote text"/>
    <w:basedOn w:val="Parasts"/>
    <w:link w:val="VrestekstsRakstz"/>
    <w:uiPriority w:val="99"/>
    <w:semiHidden/>
    <w:unhideWhenUsed/>
    <w:rsid w:val="00755A39"/>
    <w:rPr>
      <w:sz w:val="20"/>
      <w:szCs w:val="20"/>
    </w:rPr>
  </w:style>
  <w:style w:type="character" w:customStyle="1" w:styleId="VrestekstsRakstz">
    <w:name w:val="Vēres teksts Rakstz."/>
    <w:basedOn w:val="Noklusjumarindkopasfonts"/>
    <w:link w:val="Vresteksts"/>
    <w:uiPriority w:val="99"/>
    <w:semiHidden/>
    <w:rsid w:val="00755A39"/>
    <w:rPr>
      <w:rFonts w:ascii="Calibri" w:eastAsia="Calibri" w:hAnsi="Calibri" w:cs="Times New Roman"/>
      <w:sz w:val="20"/>
      <w:szCs w:val="20"/>
      <w:lang w:eastAsia="lv-LV"/>
    </w:rPr>
  </w:style>
  <w:style w:type="character" w:styleId="Vresatsauce">
    <w:name w:val="footnote reference"/>
    <w:uiPriority w:val="99"/>
    <w:semiHidden/>
    <w:unhideWhenUsed/>
    <w:rsid w:val="00755A39"/>
    <w:rPr>
      <w:vertAlign w:val="superscript"/>
      <w:lang w:val="lv-LV" w:eastAsia="lv-LV"/>
    </w:rPr>
  </w:style>
  <w:style w:type="table" w:styleId="Reatabula">
    <w:name w:val="Table Grid"/>
    <w:basedOn w:val="Parastatabula"/>
    <w:uiPriority w:val="39"/>
    <w:rsid w:val="00755A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75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11796</Words>
  <Characters>6725</Characters>
  <Application>Microsoft Office Word</Application>
  <DocSecurity>0</DocSecurity>
  <Lines>56</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Grietens</dc:creator>
  <cp:keywords/>
  <dc:description/>
  <cp:lastModifiedBy>Ernests Grietens</cp:lastModifiedBy>
  <cp:revision>1</cp:revision>
  <dcterms:created xsi:type="dcterms:W3CDTF">2018-03-29T10:13:00Z</dcterms:created>
  <dcterms:modified xsi:type="dcterms:W3CDTF">2018-03-29T10:17:00Z</dcterms:modified>
</cp:coreProperties>
</file>